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Arial" w:hAnsi="Arial" w:cs="Arial"/>
          <w:color w:val="auto"/>
          <w:szCs w:val="21"/>
          <w:highlight w:val="none"/>
        </w:rPr>
      </w:pPr>
    </w:p>
    <w:p>
      <w:pPr>
        <w:spacing w:line="360" w:lineRule="auto"/>
        <w:ind w:left="359" w:leftChars="171"/>
        <w:jc w:val="left"/>
        <w:rPr>
          <w:rFonts w:ascii="Arial" w:hAnsi="Arial" w:cs="Arial"/>
          <w:b/>
          <w:bCs/>
          <w:color w:val="auto"/>
          <w:spacing w:val="40"/>
          <w:sz w:val="44"/>
          <w:szCs w:val="44"/>
          <w:highlight w:val="none"/>
        </w:rPr>
      </w:pPr>
    </w:p>
    <w:p>
      <w:pPr>
        <w:spacing w:line="360" w:lineRule="auto"/>
        <w:rPr>
          <w:rFonts w:ascii="Arial" w:hAnsi="Arial" w:cs="Arial"/>
          <w:b/>
          <w:bCs/>
          <w:color w:val="auto"/>
          <w:spacing w:val="40"/>
          <w:sz w:val="44"/>
          <w:szCs w:val="44"/>
          <w:highlight w:val="none"/>
        </w:rPr>
      </w:pPr>
    </w:p>
    <w:p>
      <w:pPr>
        <w:spacing w:line="360" w:lineRule="auto"/>
        <w:ind w:left="359" w:leftChars="171"/>
        <w:jc w:val="center"/>
        <w:rPr>
          <w:rFonts w:ascii="Arial" w:hAnsi="Arial" w:cs="Arial"/>
          <w:b/>
          <w:bCs/>
          <w:color w:val="auto"/>
          <w:spacing w:val="40"/>
          <w:sz w:val="44"/>
          <w:szCs w:val="44"/>
          <w:highlight w:val="none"/>
        </w:rPr>
      </w:pPr>
      <w:r>
        <w:rPr>
          <w:rFonts w:hint="eastAsia" w:ascii="Arial" w:hAnsi="Arial" w:cs="Arial"/>
          <w:b/>
          <w:bCs/>
          <w:color w:val="auto"/>
          <w:spacing w:val="40"/>
          <w:sz w:val="44"/>
          <w:szCs w:val="44"/>
          <w:highlight w:val="none"/>
        </w:rPr>
        <w:t>中山大学附属第一医院医学综合楼地下室放射防护与热室洁净专项工程</w:t>
      </w:r>
    </w:p>
    <w:p>
      <w:pPr>
        <w:spacing w:line="360" w:lineRule="auto"/>
        <w:jc w:val="center"/>
        <w:rPr>
          <w:rFonts w:ascii="Arial" w:hAnsi="Arial" w:cs="Arial"/>
          <w:color w:val="auto"/>
          <w:sz w:val="36"/>
          <w:highlight w:val="none"/>
          <w:u w:val="single"/>
        </w:rPr>
      </w:pPr>
    </w:p>
    <w:p>
      <w:pPr>
        <w:spacing w:line="360" w:lineRule="auto"/>
        <w:jc w:val="center"/>
        <w:rPr>
          <w:rFonts w:ascii="Arial" w:hAnsi="Arial" w:cs="Arial"/>
          <w:b/>
          <w:bCs/>
          <w:color w:val="auto"/>
          <w:spacing w:val="26"/>
          <w:sz w:val="110"/>
          <w:szCs w:val="110"/>
          <w:highlight w:val="none"/>
        </w:rPr>
      </w:pPr>
      <w:r>
        <w:rPr>
          <w:rFonts w:hint="eastAsia" w:ascii="Arial" w:hAnsi="Arial" w:cs="Arial"/>
          <w:b/>
          <w:bCs/>
          <w:color w:val="auto"/>
          <w:spacing w:val="26"/>
          <w:sz w:val="110"/>
          <w:szCs w:val="110"/>
          <w:highlight w:val="none"/>
        </w:rPr>
        <w:t>招标文件</w:t>
      </w:r>
    </w:p>
    <w:p>
      <w:pPr>
        <w:spacing w:line="360" w:lineRule="auto"/>
        <w:jc w:val="center"/>
        <w:rPr>
          <w:rFonts w:hint="eastAsia" w:ascii="Arial" w:hAnsi="Arial" w:eastAsia="宋体" w:cs="Arial"/>
          <w:color w:val="auto"/>
          <w:sz w:val="32"/>
          <w:highlight w:val="none"/>
          <w:lang w:val="en-US" w:eastAsia="zh-CN"/>
        </w:rPr>
      </w:pPr>
    </w:p>
    <w:p>
      <w:pPr>
        <w:spacing w:line="360" w:lineRule="auto"/>
        <w:ind w:firstLine="2560" w:firstLineChars="800"/>
        <w:rPr>
          <w:rFonts w:ascii="Arial" w:hAnsi="Arial" w:cs="Arial"/>
          <w:color w:val="auto"/>
          <w:sz w:val="32"/>
          <w:highlight w:val="none"/>
        </w:rPr>
      </w:pPr>
    </w:p>
    <w:p>
      <w:pPr>
        <w:spacing w:line="360" w:lineRule="auto"/>
        <w:rPr>
          <w:rFonts w:ascii="Arial" w:hAnsi="Arial" w:cs="Arial"/>
          <w:color w:val="auto"/>
          <w:sz w:val="52"/>
          <w:highlight w:val="none"/>
        </w:rPr>
      </w:pPr>
    </w:p>
    <w:p>
      <w:pPr>
        <w:spacing w:line="360" w:lineRule="auto"/>
        <w:rPr>
          <w:rFonts w:ascii="Arial" w:hAnsi="Arial" w:cs="Arial"/>
          <w:color w:val="auto"/>
          <w:sz w:val="52"/>
          <w:highlight w:val="none"/>
        </w:rPr>
      </w:pPr>
    </w:p>
    <w:p>
      <w:pPr>
        <w:spacing w:line="360" w:lineRule="auto"/>
        <w:ind w:firstLine="900" w:firstLineChars="300"/>
        <w:rPr>
          <w:rFonts w:ascii="Arial" w:hAnsi="Arial" w:cs="Arial"/>
          <w:color w:val="auto"/>
          <w:sz w:val="30"/>
          <w:szCs w:val="30"/>
          <w:highlight w:val="none"/>
          <w:u w:val="single"/>
        </w:rPr>
      </w:pPr>
      <w:r>
        <w:rPr>
          <w:rFonts w:hint="eastAsia" w:ascii="Arial" w:hAnsi="Arial" w:cs="Arial"/>
          <w:color w:val="auto"/>
          <w:sz w:val="30"/>
          <w:szCs w:val="30"/>
          <w:highlight w:val="none"/>
        </w:rPr>
        <w:t>招</w:t>
      </w:r>
      <w:r>
        <w:rPr>
          <w:rFonts w:ascii="Arial" w:hAnsi="Arial" w:cs="Arial"/>
          <w:color w:val="auto"/>
          <w:sz w:val="30"/>
          <w:szCs w:val="30"/>
          <w:highlight w:val="none"/>
        </w:rPr>
        <w:t xml:space="preserve">  </w:t>
      </w:r>
      <w:r>
        <w:rPr>
          <w:rFonts w:hint="eastAsia" w:ascii="Arial" w:hAnsi="Arial" w:cs="Arial"/>
          <w:color w:val="auto"/>
          <w:sz w:val="30"/>
          <w:szCs w:val="30"/>
          <w:highlight w:val="none"/>
        </w:rPr>
        <w:t>标</w:t>
      </w:r>
      <w:r>
        <w:rPr>
          <w:rFonts w:ascii="Arial" w:hAnsi="Arial" w:cs="Arial"/>
          <w:color w:val="auto"/>
          <w:sz w:val="30"/>
          <w:szCs w:val="30"/>
          <w:highlight w:val="none"/>
        </w:rPr>
        <w:t xml:space="preserve"> </w:t>
      </w:r>
      <w:r>
        <w:rPr>
          <w:rFonts w:hint="eastAsia" w:ascii="Arial" w:hAnsi="Arial" w:cs="Arial"/>
          <w:color w:val="auto"/>
          <w:sz w:val="30"/>
          <w:szCs w:val="30"/>
          <w:highlight w:val="none"/>
        </w:rPr>
        <w:t>单</w:t>
      </w:r>
      <w:r>
        <w:rPr>
          <w:rFonts w:ascii="Arial" w:hAnsi="Arial" w:cs="Arial"/>
          <w:color w:val="auto"/>
          <w:sz w:val="30"/>
          <w:szCs w:val="30"/>
          <w:highlight w:val="none"/>
        </w:rPr>
        <w:t xml:space="preserve"> </w:t>
      </w:r>
      <w:r>
        <w:rPr>
          <w:rFonts w:hint="eastAsia" w:ascii="Arial" w:hAnsi="Arial" w:cs="Arial"/>
          <w:color w:val="auto"/>
          <w:sz w:val="30"/>
          <w:szCs w:val="30"/>
          <w:highlight w:val="none"/>
        </w:rPr>
        <w:t>位：</w:t>
      </w:r>
      <w:r>
        <w:rPr>
          <w:rFonts w:hint="eastAsia" w:ascii="Arial" w:hAnsi="Arial" w:cs="Arial"/>
          <w:color w:val="auto"/>
          <w:sz w:val="30"/>
          <w:szCs w:val="30"/>
          <w:highlight w:val="none"/>
          <w:u w:val="single"/>
        </w:rPr>
        <w:t xml:space="preserve">     中山大学附属第一医院     </w:t>
      </w:r>
    </w:p>
    <w:p>
      <w:pPr>
        <w:spacing w:line="360" w:lineRule="auto"/>
        <w:ind w:firstLine="945"/>
        <w:rPr>
          <w:rFonts w:ascii="Arial" w:hAnsi="Arial" w:cs="Arial"/>
          <w:color w:val="auto"/>
          <w:sz w:val="30"/>
          <w:szCs w:val="30"/>
          <w:highlight w:val="none"/>
          <w:u w:val="single"/>
        </w:rPr>
      </w:pPr>
      <w:r>
        <w:rPr>
          <w:rFonts w:hint="eastAsia" w:ascii="Arial" w:hAnsi="Arial" w:cs="Arial"/>
          <w:color w:val="auto"/>
          <w:sz w:val="30"/>
          <w:szCs w:val="30"/>
          <w:highlight w:val="none"/>
        </w:rPr>
        <w:t>招标代理单位：</w:t>
      </w:r>
      <w:r>
        <w:rPr>
          <w:rFonts w:hint="eastAsia" w:ascii="Arial" w:hAnsi="Arial" w:cs="Arial"/>
          <w:color w:val="auto"/>
          <w:sz w:val="30"/>
          <w:szCs w:val="30"/>
          <w:highlight w:val="none"/>
          <w:u w:val="single"/>
        </w:rPr>
        <w:t xml:space="preserve">  广东省机电设备招标有限公司  </w:t>
      </w:r>
    </w:p>
    <w:p>
      <w:pPr>
        <w:spacing w:line="360" w:lineRule="auto"/>
        <w:ind w:firstLine="945"/>
        <w:rPr>
          <w:rFonts w:ascii="宋体" w:hAnsi="宋体" w:cs="Arial"/>
          <w:color w:val="auto"/>
          <w:sz w:val="30"/>
          <w:szCs w:val="30"/>
          <w:highlight w:val="none"/>
        </w:rPr>
      </w:pPr>
      <w:r>
        <w:rPr>
          <w:rFonts w:hint="eastAsia" w:ascii="宋体" w:hAnsi="宋体" w:cs="Arial"/>
          <w:color w:val="auto"/>
          <w:sz w:val="30"/>
          <w:szCs w:val="30"/>
          <w:highlight w:val="none"/>
        </w:rPr>
        <w:t>日</w:t>
      </w:r>
      <w:r>
        <w:rPr>
          <w:rFonts w:ascii="宋体" w:hAnsi="宋体" w:cs="Arial"/>
          <w:color w:val="auto"/>
          <w:sz w:val="30"/>
          <w:szCs w:val="30"/>
          <w:highlight w:val="none"/>
        </w:rPr>
        <w:t xml:space="preserve">        </w:t>
      </w:r>
      <w:r>
        <w:rPr>
          <w:rFonts w:hint="eastAsia" w:ascii="宋体" w:hAnsi="宋体" w:cs="Arial"/>
          <w:color w:val="auto"/>
          <w:sz w:val="30"/>
          <w:szCs w:val="30"/>
          <w:highlight w:val="none"/>
        </w:rPr>
        <w:t>期：</w:t>
      </w:r>
      <w:r>
        <w:rPr>
          <w:rFonts w:ascii="宋体" w:hAnsi="宋体" w:cs="Arial"/>
          <w:color w:val="auto"/>
          <w:sz w:val="30"/>
          <w:szCs w:val="30"/>
          <w:highlight w:val="none"/>
          <w:u w:val="single"/>
        </w:rPr>
        <w:t xml:space="preserve">  </w:t>
      </w:r>
      <w:r>
        <w:rPr>
          <w:rFonts w:hint="eastAsia" w:ascii="宋体" w:hAnsi="宋体" w:cs="Arial"/>
          <w:color w:val="auto"/>
          <w:sz w:val="30"/>
          <w:szCs w:val="30"/>
          <w:highlight w:val="none"/>
          <w:u w:val="single"/>
          <w:lang w:val="en-US" w:eastAsia="zh-CN"/>
        </w:rPr>
        <w:t>2023</w:t>
      </w:r>
      <w:r>
        <w:rPr>
          <w:rFonts w:ascii="宋体" w:hAnsi="宋体" w:cs="Arial"/>
          <w:color w:val="auto"/>
          <w:sz w:val="30"/>
          <w:szCs w:val="30"/>
          <w:highlight w:val="none"/>
          <w:u w:val="single"/>
        </w:rPr>
        <w:t xml:space="preserve">  </w:t>
      </w:r>
      <w:r>
        <w:rPr>
          <w:rFonts w:hint="eastAsia" w:ascii="宋体" w:hAnsi="宋体" w:cs="Arial"/>
          <w:color w:val="auto"/>
          <w:sz w:val="30"/>
          <w:szCs w:val="30"/>
          <w:highlight w:val="none"/>
        </w:rPr>
        <w:t>年</w:t>
      </w:r>
      <w:r>
        <w:rPr>
          <w:rFonts w:ascii="宋体" w:hAnsi="宋体" w:cs="Arial"/>
          <w:color w:val="auto"/>
          <w:sz w:val="30"/>
          <w:szCs w:val="30"/>
          <w:highlight w:val="none"/>
          <w:u w:val="single"/>
        </w:rPr>
        <w:t xml:space="preserve">     </w:t>
      </w:r>
      <w:r>
        <w:rPr>
          <w:rFonts w:hint="eastAsia" w:ascii="宋体" w:hAnsi="宋体" w:cs="Arial"/>
          <w:color w:val="auto"/>
          <w:sz w:val="30"/>
          <w:szCs w:val="30"/>
          <w:highlight w:val="none"/>
        </w:rPr>
        <w:t>月</w:t>
      </w:r>
      <w:r>
        <w:rPr>
          <w:rFonts w:ascii="宋体" w:hAnsi="宋体" w:cs="Arial"/>
          <w:color w:val="auto"/>
          <w:sz w:val="30"/>
          <w:szCs w:val="30"/>
          <w:highlight w:val="none"/>
          <w:u w:val="single"/>
        </w:rPr>
        <w:t xml:space="preserve">      </w:t>
      </w:r>
      <w:r>
        <w:rPr>
          <w:rFonts w:hint="eastAsia" w:ascii="宋体" w:hAnsi="宋体" w:cs="Arial"/>
          <w:color w:val="auto"/>
          <w:sz w:val="30"/>
          <w:szCs w:val="30"/>
          <w:highlight w:val="none"/>
        </w:rPr>
        <w:t>日</w:t>
      </w:r>
    </w:p>
    <w:p>
      <w:pPr>
        <w:jc w:val="center"/>
        <w:rPr>
          <w:rFonts w:ascii="Arial" w:hAnsi="Arial" w:cs="Arial"/>
          <w:b/>
          <w:caps/>
          <w:color w:val="auto"/>
          <w:kern w:val="0"/>
          <w:highlight w:val="none"/>
        </w:rPr>
      </w:pPr>
      <w:r>
        <w:rPr>
          <w:rStyle w:val="62"/>
          <w:rFonts w:ascii="Arial" w:hAnsi="Arial" w:cs="Arial"/>
          <w:b/>
          <w:bCs/>
          <w:color w:val="auto"/>
          <w:highlight w:val="none"/>
        </w:rPr>
        <w:br w:type="page"/>
      </w:r>
      <w:r>
        <w:rPr>
          <w:rStyle w:val="62"/>
          <w:rFonts w:ascii="Arial" w:hAnsi="Arial" w:cs="Arial"/>
          <w:b/>
          <w:bCs/>
          <w:color w:val="auto"/>
          <w:sz w:val="28"/>
          <w:szCs w:val="28"/>
          <w:highlight w:val="none"/>
        </w:rPr>
        <w:t>目录</w:t>
      </w:r>
    </w:p>
    <w:p>
      <w:pPr>
        <w:pStyle w:val="39"/>
        <w:rPr>
          <w:rFonts w:ascii="Arial" w:hAnsi="Arial" w:cs="Arial"/>
          <w:caps w:val="0"/>
          <w:color w:val="auto"/>
          <w:kern w:val="2"/>
          <w:sz w:val="21"/>
          <w:szCs w:val="22"/>
          <w:highlight w:val="none"/>
        </w:rPr>
      </w:pPr>
      <w:r>
        <w:rPr>
          <w:rFonts w:ascii="Arial" w:hAnsi="Arial" w:cs="Arial"/>
          <w:color w:val="auto"/>
          <w:highlight w:val="none"/>
        </w:rPr>
        <w:fldChar w:fldCharType="begin"/>
      </w:r>
      <w:r>
        <w:rPr>
          <w:rFonts w:ascii="Arial" w:hAnsi="Arial" w:cs="Arial"/>
          <w:color w:val="auto"/>
          <w:highlight w:val="none"/>
        </w:rPr>
        <w:instrText xml:space="preserve"> TOC \o "1-3"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"_Toc101266278" </w:instrText>
      </w:r>
      <w:r>
        <w:rPr>
          <w:color w:val="auto"/>
          <w:highlight w:val="none"/>
        </w:rPr>
        <w:fldChar w:fldCharType="separate"/>
      </w:r>
      <w:r>
        <w:rPr>
          <w:rStyle w:val="62"/>
          <w:rFonts w:ascii="Arial" w:hAnsi="Arial" w:cs="Arial"/>
          <w:color w:val="auto"/>
          <w:highlight w:val="none"/>
        </w:rPr>
        <w:t>第一章  投标须知</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_Toc101266278 \h </w:instrText>
      </w:r>
      <w:r>
        <w:rPr>
          <w:rFonts w:ascii="Arial" w:hAnsi="Arial" w:cs="Arial"/>
          <w:color w:val="auto"/>
          <w:highlight w:val="none"/>
        </w:rPr>
        <w:fldChar w:fldCharType="separate"/>
      </w:r>
      <w:r>
        <w:rPr>
          <w:rFonts w:ascii="Arial" w:hAnsi="Arial" w:cs="Arial"/>
          <w:color w:val="auto"/>
          <w:highlight w:val="none"/>
        </w:rPr>
        <w:t>3</w:t>
      </w:r>
      <w:r>
        <w:rPr>
          <w:rFonts w:ascii="Arial" w:hAnsi="Arial" w:cs="Arial"/>
          <w:color w:val="auto"/>
          <w:highlight w:val="none"/>
        </w:rPr>
        <w:fldChar w:fldCharType="end"/>
      </w:r>
      <w:r>
        <w:rPr>
          <w:rFonts w:ascii="Arial" w:hAnsi="Arial" w:cs="Arial"/>
          <w:color w:val="auto"/>
          <w:highlight w:val="none"/>
        </w:rPr>
        <w:fldChar w:fldCharType="end"/>
      </w:r>
    </w:p>
    <w:p>
      <w:pPr>
        <w:pStyle w:val="46"/>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"_Toc101266279" </w:instrText>
      </w:r>
      <w:r>
        <w:rPr>
          <w:color w:val="auto"/>
          <w:highlight w:val="none"/>
        </w:rPr>
        <w:fldChar w:fldCharType="separate"/>
      </w:r>
      <w:r>
        <w:rPr>
          <w:rStyle w:val="62"/>
          <w:rFonts w:ascii="Arial" w:hAnsi="Arial" w:cs="Arial"/>
          <w:color w:val="auto"/>
          <w:highlight w:val="none"/>
        </w:rPr>
        <w:t>一、投标须知前附表</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_Toc101266279 \h </w:instrText>
      </w:r>
      <w:r>
        <w:rPr>
          <w:rFonts w:ascii="Arial" w:hAnsi="Arial" w:cs="Arial"/>
          <w:color w:val="auto"/>
          <w:highlight w:val="none"/>
        </w:rPr>
        <w:fldChar w:fldCharType="separate"/>
      </w:r>
      <w:r>
        <w:rPr>
          <w:rFonts w:ascii="Arial" w:hAnsi="Arial" w:cs="Arial"/>
          <w:color w:val="auto"/>
          <w:highlight w:val="none"/>
        </w:rPr>
        <w:t>3</w:t>
      </w:r>
      <w:r>
        <w:rPr>
          <w:rFonts w:ascii="Arial" w:hAnsi="Arial" w:cs="Arial"/>
          <w:color w:val="auto"/>
          <w:highlight w:val="none"/>
        </w:rPr>
        <w:fldChar w:fldCharType="end"/>
      </w:r>
      <w:r>
        <w:rPr>
          <w:rFonts w:ascii="Arial" w:hAnsi="Arial" w:cs="Arial"/>
          <w:color w:val="auto"/>
          <w:highlight w:val="none"/>
        </w:rPr>
        <w:fldChar w:fldCharType="end"/>
      </w:r>
    </w:p>
    <w:p>
      <w:pPr>
        <w:pStyle w:val="46"/>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"_Toc101266280" </w:instrText>
      </w:r>
      <w:r>
        <w:rPr>
          <w:color w:val="auto"/>
          <w:highlight w:val="none"/>
        </w:rPr>
        <w:fldChar w:fldCharType="separate"/>
      </w:r>
      <w:r>
        <w:rPr>
          <w:rStyle w:val="62"/>
          <w:rFonts w:ascii="Arial" w:hAnsi="Arial" w:cs="Arial"/>
          <w:color w:val="auto"/>
          <w:highlight w:val="none"/>
        </w:rPr>
        <w:t>二、投标须知修改表</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_Toc101266280 \h </w:instrText>
      </w:r>
      <w:r>
        <w:rPr>
          <w:rFonts w:ascii="Arial" w:hAnsi="Arial" w:cs="Arial"/>
          <w:color w:val="auto"/>
          <w:highlight w:val="none"/>
        </w:rPr>
        <w:fldChar w:fldCharType="separate"/>
      </w:r>
      <w:r>
        <w:rPr>
          <w:rFonts w:ascii="Arial" w:hAnsi="Arial" w:cs="Arial"/>
          <w:color w:val="auto"/>
          <w:highlight w:val="none"/>
        </w:rPr>
        <w:t>8</w:t>
      </w:r>
      <w:r>
        <w:rPr>
          <w:rFonts w:ascii="Arial" w:hAnsi="Arial" w:cs="Arial"/>
          <w:color w:val="auto"/>
          <w:highlight w:val="none"/>
        </w:rPr>
        <w:fldChar w:fldCharType="end"/>
      </w:r>
      <w:r>
        <w:rPr>
          <w:rFonts w:ascii="Arial" w:hAnsi="Arial" w:cs="Arial"/>
          <w:color w:val="auto"/>
          <w:highlight w:val="none"/>
        </w:rPr>
        <w:fldChar w:fldCharType="end"/>
      </w:r>
    </w:p>
    <w:p>
      <w:pPr>
        <w:pStyle w:val="46"/>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"_Toc101266281" </w:instrText>
      </w:r>
      <w:r>
        <w:rPr>
          <w:color w:val="auto"/>
          <w:highlight w:val="none"/>
        </w:rPr>
        <w:fldChar w:fldCharType="separate"/>
      </w:r>
      <w:r>
        <w:rPr>
          <w:rStyle w:val="62"/>
          <w:rFonts w:ascii="Arial" w:hAnsi="Arial" w:cs="Arial"/>
          <w:color w:val="auto"/>
          <w:highlight w:val="none"/>
        </w:rPr>
        <w:t>三、投标须知通用条款</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_Toc101266281 \h </w:instrText>
      </w:r>
      <w:r>
        <w:rPr>
          <w:rFonts w:ascii="Arial" w:hAnsi="Arial" w:cs="Arial"/>
          <w:color w:val="auto"/>
          <w:highlight w:val="none"/>
        </w:rPr>
        <w:fldChar w:fldCharType="separate"/>
      </w:r>
      <w:r>
        <w:rPr>
          <w:rFonts w:ascii="Arial" w:hAnsi="Arial" w:cs="Arial"/>
          <w:color w:val="auto"/>
          <w:highlight w:val="none"/>
        </w:rPr>
        <w:t>19</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"_Toc101266282" </w:instrText>
      </w:r>
      <w:r>
        <w:rPr>
          <w:color w:val="auto"/>
          <w:highlight w:val="none"/>
        </w:rPr>
        <w:fldChar w:fldCharType="separate"/>
      </w:r>
      <w:r>
        <w:rPr>
          <w:rStyle w:val="62"/>
          <w:rFonts w:ascii="Arial" w:hAnsi="Arial" w:cs="Arial"/>
          <w:color w:val="auto"/>
          <w:highlight w:val="none"/>
        </w:rPr>
        <w:t>（一）总则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_Toc101266282 \h </w:instrText>
      </w:r>
      <w:r>
        <w:rPr>
          <w:rFonts w:ascii="Arial" w:hAnsi="Arial" w:cs="Arial"/>
          <w:color w:val="auto"/>
          <w:highlight w:val="none"/>
        </w:rPr>
        <w:fldChar w:fldCharType="separate"/>
      </w:r>
      <w:r>
        <w:rPr>
          <w:rFonts w:ascii="Arial" w:hAnsi="Arial" w:cs="Arial"/>
          <w:color w:val="auto"/>
          <w:highlight w:val="none"/>
        </w:rPr>
        <w:t>19</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"_Toc101266283" </w:instrText>
      </w:r>
      <w:r>
        <w:rPr>
          <w:color w:val="auto"/>
          <w:highlight w:val="none"/>
        </w:rPr>
        <w:fldChar w:fldCharType="separate"/>
      </w:r>
      <w:r>
        <w:rPr>
          <w:rStyle w:val="62"/>
          <w:rFonts w:ascii="Arial" w:hAnsi="Arial" w:cs="Arial"/>
          <w:color w:val="auto"/>
          <w:highlight w:val="none"/>
        </w:rPr>
        <w:t>（二）招标文件</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_Toc101266283 \h </w:instrText>
      </w:r>
      <w:r>
        <w:rPr>
          <w:rFonts w:ascii="Arial" w:hAnsi="Arial" w:cs="Arial"/>
          <w:color w:val="auto"/>
          <w:highlight w:val="none"/>
        </w:rPr>
        <w:fldChar w:fldCharType="separate"/>
      </w:r>
      <w:r>
        <w:rPr>
          <w:rFonts w:ascii="Arial" w:hAnsi="Arial" w:cs="Arial"/>
          <w:color w:val="auto"/>
          <w:highlight w:val="none"/>
        </w:rPr>
        <w:t>20</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"_Toc101266284" </w:instrText>
      </w:r>
      <w:r>
        <w:rPr>
          <w:color w:val="auto"/>
          <w:highlight w:val="none"/>
        </w:rPr>
        <w:fldChar w:fldCharType="separate"/>
      </w:r>
      <w:r>
        <w:rPr>
          <w:rStyle w:val="62"/>
          <w:rFonts w:ascii="Arial" w:hAnsi="Arial" w:cs="Arial"/>
          <w:color w:val="auto"/>
          <w:highlight w:val="none"/>
        </w:rPr>
        <w:t>（三）投标文件的编制</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_Toc101266284 \h </w:instrText>
      </w:r>
      <w:r>
        <w:rPr>
          <w:rFonts w:ascii="Arial" w:hAnsi="Arial" w:cs="Arial"/>
          <w:color w:val="auto"/>
          <w:highlight w:val="none"/>
        </w:rPr>
        <w:fldChar w:fldCharType="separate"/>
      </w:r>
      <w:r>
        <w:rPr>
          <w:rFonts w:ascii="Arial" w:hAnsi="Arial" w:cs="Arial"/>
          <w:color w:val="auto"/>
          <w:highlight w:val="none"/>
        </w:rPr>
        <w:t>21</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"_Toc101266285" </w:instrText>
      </w:r>
      <w:r>
        <w:rPr>
          <w:color w:val="auto"/>
          <w:highlight w:val="none"/>
        </w:rPr>
        <w:fldChar w:fldCharType="separate"/>
      </w:r>
      <w:r>
        <w:rPr>
          <w:rStyle w:val="62"/>
          <w:rFonts w:ascii="Arial" w:hAnsi="Arial" w:cs="Arial"/>
          <w:color w:val="auto"/>
          <w:highlight w:val="none"/>
        </w:rPr>
        <w:t>（四）投标文件的提交</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_Toc101266285 \h </w:instrText>
      </w:r>
      <w:r>
        <w:rPr>
          <w:rFonts w:ascii="Arial" w:hAnsi="Arial" w:cs="Arial"/>
          <w:color w:val="auto"/>
          <w:highlight w:val="none"/>
        </w:rPr>
        <w:fldChar w:fldCharType="separate"/>
      </w:r>
      <w:r>
        <w:rPr>
          <w:rFonts w:ascii="Arial" w:hAnsi="Arial" w:cs="Arial"/>
          <w:color w:val="auto"/>
          <w:highlight w:val="none"/>
        </w:rPr>
        <w:t>28</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"_Toc101266286" </w:instrText>
      </w:r>
      <w:r>
        <w:rPr>
          <w:color w:val="auto"/>
          <w:highlight w:val="none"/>
        </w:rPr>
        <w:fldChar w:fldCharType="separate"/>
      </w:r>
      <w:r>
        <w:rPr>
          <w:rStyle w:val="62"/>
          <w:rFonts w:ascii="Arial" w:hAnsi="Arial" w:cs="Arial"/>
          <w:color w:val="auto"/>
          <w:highlight w:val="none"/>
        </w:rPr>
        <w:t>（五）开标、评标、定标及合同签定</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_Toc101266286 \h </w:instrText>
      </w:r>
      <w:r>
        <w:rPr>
          <w:rFonts w:ascii="Arial" w:hAnsi="Arial" w:cs="Arial"/>
          <w:color w:val="auto"/>
          <w:highlight w:val="none"/>
        </w:rPr>
        <w:fldChar w:fldCharType="separate"/>
      </w:r>
      <w:r>
        <w:rPr>
          <w:rFonts w:ascii="Arial" w:hAnsi="Arial" w:cs="Arial"/>
          <w:color w:val="auto"/>
          <w:highlight w:val="none"/>
        </w:rPr>
        <w:t>29</w:t>
      </w:r>
      <w:r>
        <w:rPr>
          <w:rFonts w:ascii="Arial" w:hAnsi="Arial" w:cs="Arial"/>
          <w:color w:val="auto"/>
          <w:highlight w:val="none"/>
        </w:rPr>
        <w:fldChar w:fldCharType="end"/>
      </w:r>
      <w:r>
        <w:rPr>
          <w:rFonts w:ascii="Arial" w:hAnsi="Arial" w:cs="Arial"/>
          <w:color w:val="auto"/>
          <w:highlight w:val="none"/>
        </w:rPr>
        <w:fldChar w:fldCharType="end"/>
      </w:r>
    </w:p>
    <w:p>
      <w:pPr>
        <w:pStyle w:val="39"/>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"_Toc101266287" </w:instrText>
      </w:r>
      <w:r>
        <w:rPr>
          <w:color w:val="auto"/>
          <w:highlight w:val="none"/>
        </w:rPr>
        <w:fldChar w:fldCharType="separate"/>
      </w:r>
      <w:r>
        <w:rPr>
          <w:rStyle w:val="62"/>
          <w:rFonts w:ascii="Arial" w:hAnsi="Arial" w:cs="Arial"/>
          <w:color w:val="auto"/>
          <w:highlight w:val="none"/>
        </w:rPr>
        <w:t>第二章  开标、评标及定标办法</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_Toc101266287 \h </w:instrText>
      </w:r>
      <w:r>
        <w:rPr>
          <w:rFonts w:ascii="Arial" w:hAnsi="Arial" w:cs="Arial"/>
          <w:color w:val="auto"/>
          <w:highlight w:val="none"/>
        </w:rPr>
        <w:fldChar w:fldCharType="separate"/>
      </w:r>
      <w:r>
        <w:rPr>
          <w:rFonts w:ascii="Arial" w:hAnsi="Arial" w:cs="Arial"/>
          <w:color w:val="auto"/>
          <w:highlight w:val="none"/>
        </w:rPr>
        <w:t>32</w:t>
      </w:r>
      <w:r>
        <w:rPr>
          <w:rFonts w:ascii="Arial" w:hAnsi="Arial" w:cs="Arial"/>
          <w:color w:val="auto"/>
          <w:highlight w:val="none"/>
        </w:rPr>
        <w:fldChar w:fldCharType="end"/>
      </w:r>
      <w:r>
        <w:rPr>
          <w:rFonts w:ascii="Arial" w:hAnsi="Arial" w:cs="Arial"/>
          <w:color w:val="auto"/>
          <w:highlight w:val="none"/>
        </w:rPr>
        <w:fldChar w:fldCharType="end"/>
      </w:r>
    </w:p>
    <w:p>
      <w:pPr>
        <w:pStyle w:val="46"/>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"_Toc101266288" </w:instrText>
      </w:r>
      <w:r>
        <w:rPr>
          <w:color w:val="auto"/>
          <w:highlight w:val="none"/>
        </w:rPr>
        <w:fldChar w:fldCharType="separate"/>
      </w:r>
      <w:r>
        <w:rPr>
          <w:rStyle w:val="62"/>
          <w:rFonts w:ascii="Arial" w:hAnsi="Arial" w:cs="Arial"/>
          <w:color w:val="auto"/>
          <w:highlight w:val="none"/>
        </w:rPr>
        <w:t>一、开标、评标及定标办法修改表</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_Toc101266288 \h </w:instrText>
      </w:r>
      <w:r>
        <w:rPr>
          <w:rFonts w:ascii="Arial" w:hAnsi="Arial" w:cs="Arial"/>
          <w:color w:val="auto"/>
          <w:highlight w:val="none"/>
        </w:rPr>
        <w:fldChar w:fldCharType="separate"/>
      </w:r>
      <w:r>
        <w:rPr>
          <w:rFonts w:ascii="Arial" w:hAnsi="Arial" w:cs="Arial"/>
          <w:color w:val="auto"/>
          <w:highlight w:val="none"/>
        </w:rPr>
        <w:t>32</w:t>
      </w:r>
      <w:r>
        <w:rPr>
          <w:rFonts w:ascii="Arial" w:hAnsi="Arial" w:cs="Arial"/>
          <w:color w:val="auto"/>
          <w:highlight w:val="none"/>
        </w:rPr>
        <w:fldChar w:fldCharType="end"/>
      </w:r>
      <w:r>
        <w:rPr>
          <w:rFonts w:ascii="Arial" w:hAnsi="Arial" w:cs="Arial"/>
          <w:color w:val="auto"/>
          <w:highlight w:val="none"/>
        </w:rPr>
        <w:fldChar w:fldCharType="end"/>
      </w:r>
    </w:p>
    <w:p>
      <w:pPr>
        <w:pStyle w:val="46"/>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"_Toc101266289" </w:instrText>
      </w:r>
      <w:r>
        <w:rPr>
          <w:color w:val="auto"/>
          <w:highlight w:val="none"/>
        </w:rPr>
        <w:fldChar w:fldCharType="separate"/>
      </w:r>
      <w:r>
        <w:rPr>
          <w:rStyle w:val="62"/>
          <w:rFonts w:ascii="Arial" w:hAnsi="Arial" w:cs="Arial"/>
          <w:color w:val="auto"/>
          <w:highlight w:val="none"/>
        </w:rPr>
        <w:t>二、开标、评标及定标办法通用条款</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_Toc101266289 \h </w:instrText>
      </w:r>
      <w:r>
        <w:rPr>
          <w:rFonts w:ascii="Arial" w:hAnsi="Arial" w:cs="Arial"/>
          <w:color w:val="auto"/>
          <w:highlight w:val="none"/>
        </w:rPr>
        <w:fldChar w:fldCharType="separate"/>
      </w:r>
      <w:r>
        <w:rPr>
          <w:rFonts w:ascii="Arial" w:hAnsi="Arial" w:cs="Arial"/>
          <w:color w:val="auto"/>
          <w:highlight w:val="none"/>
        </w:rPr>
        <w:t>38</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"_Toc101266290" </w:instrText>
      </w:r>
      <w:r>
        <w:rPr>
          <w:color w:val="auto"/>
          <w:highlight w:val="none"/>
        </w:rPr>
        <w:fldChar w:fldCharType="separate"/>
      </w:r>
      <w:r>
        <w:rPr>
          <w:rStyle w:val="62"/>
          <w:rFonts w:ascii="Arial" w:hAnsi="Arial" w:cs="Arial"/>
          <w:color w:val="auto"/>
          <w:highlight w:val="none"/>
        </w:rPr>
        <w:t>（一）总则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_Toc101266290 \h </w:instrText>
      </w:r>
      <w:r>
        <w:rPr>
          <w:rFonts w:ascii="Arial" w:hAnsi="Arial" w:cs="Arial"/>
          <w:color w:val="auto"/>
          <w:highlight w:val="none"/>
        </w:rPr>
        <w:fldChar w:fldCharType="separate"/>
      </w:r>
      <w:r>
        <w:rPr>
          <w:rFonts w:ascii="Arial" w:hAnsi="Arial" w:cs="Arial"/>
          <w:color w:val="auto"/>
          <w:highlight w:val="none"/>
        </w:rPr>
        <w:t>38</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"_Toc101266291" </w:instrText>
      </w:r>
      <w:r>
        <w:rPr>
          <w:color w:val="auto"/>
          <w:highlight w:val="none"/>
        </w:rPr>
        <w:fldChar w:fldCharType="separate"/>
      </w:r>
      <w:r>
        <w:rPr>
          <w:rStyle w:val="62"/>
          <w:rFonts w:ascii="Arial" w:hAnsi="Arial" w:cs="Arial"/>
          <w:color w:val="auto"/>
          <w:highlight w:val="none"/>
        </w:rPr>
        <w:t>（二）开标评标办法程序和细则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_Toc101266291 \h </w:instrText>
      </w:r>
      <w:r>
        <w:rPr>
          <w:rFonts w:ascii="Arial" w:hAnsi="Arial" w:cs="Arial"/>
          <w:color w:val="auto"/>
          <w:highlight w:val="none"/>
        </w:rPr>
        <w:fldChar w:fldCharType="separate"/>
      </w:r>
      <w:r>
        <w:rPr>
          <w:rFonts w:ascii="Arial" w:hAnsi="Arial" w:cs="Arial"/>
          <w:color w:val="auto"/>
          <w:highlight w:val="none"/>
        </w:rPr>
        <w:t>40</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"_Toc101266292" </w:instrText>
      </w:r>
      <w:r>
        <w:rPr>
          <w:color w:val="auto"/>
          <w:highlight w:val="none"/>
        </w:rPr>
        <w:fldChar w:fldCharType="separate"/>
      </w:r>
      <w:r>
        <w:rPr>
          <w:rStyle w:val="62"/>
          <w:rFonts w:ascii="Arial" w:hAnsi="Arial" w:cs="Arial"/>
          <w:color w:val="auto"/>
          <w:highlight w:val="none"/>
        </w:rPr>
        <w:t>可选办法一（适合综合评分法一，技术标与经济标先后分别开启）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_Toc101266292 \h </w:instrText>
      </w:r>
      <w:r>
        <w:rPr>
          <w:rFonts w:ascii="Arial" w:hAnsi="Arial" w:cs="Arial"/>
          <w:color w:val="auto"/>
          <w:highlight w:val="none"/>
        </w:rPr>
        <w:fldChar w:fldCharType="separate"/>
      </w:r>
      <w:r>
        <w:rPr>
          <w:rFonts w:ascii="Arial" w:hAnsi="Arial" w:cs="Arial"/>
          <w:color w:val="auto"/>
          <w:highlight w:val="none"/>
        </w:rPr>
        <w:t>40</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"_Toc101266293" </w:instrText>
      </w:r>
      <w:r>
        <w:rPr>
          <w:color w:val="auto"/>
          <w:highlight w:val="none"/>
        </w:rPr>
        <w:fldChar w:fldCharType="separate"/>
      </w:r>
      <w:r>
        <w:rPr>
          <w:rStyle w:val="62"/>
          <w:rFonts w:ascii="Arial" w:hAnsi="Arial" w:cs="Arial"/>
          <w:color w:val="auto"/>
          <w:highlight w:val="none"/>
        </w:rPr>
        <w:t>可选办法二（适合综合评分法一，技术标与经济标同时开启）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_Toc101266293 \h </w:instrText>
      </w:r>
      <w:r>
        <w:rPr>
          <w:rFonts w:ascii="Arial" w:hAnsi="Arial" w:cs="Arial"/>
          <w:color w:val="auto"/>
          <w:highlight w:val="none"/>
        </w:rPr>
        <w:fldChar w:fldCharType="separate"/>
      </w:r>
      <w:r>
        <w:rPr>
          <w:rFonts w:ascii="Arial" w:hAnsi="Arial" w:cs="Arial"/>
          <w:color w:val="auto"/>
          <w:highlight w:val="none"/>
        </w:rPr>
        <w:t>45</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"_Toc101266294" </w:instrText>
      </w:r>
      <w:r>
        <w:rPr>
          <w:color w:val="auto"/>
          <w:highlight w:val="none"/>
        </w:rPr>
        <w:fldChar w:fldCharType="separate"/>
      </w:r>
      <w:r>
        <w:rPr>
          <w:rStyle w:val="62"/>
          <w:rFonts w:ascii="Arial" w:hAnsi="Arial" w:cs="Arial"/>
          <w:color w:val="auto"/>
          <w:highlight w:val="none"/>
        </w:rPr>
        <w:t>可选办法三（适合综合评分法二，技术标与经济标先后分别开启）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_Toc101266294 \h </w:instrText>
      </w:r>
      <w:r>
        <w:rPr>
          <w:rFonts w:ascii="Arial" w:hAnsi="Arial" w:cs="Arial"/>
          <w:color w:val="auto"/>
          <w:highlight w:val="none"/>
        </w:rPr>
        <w:fldChar w:fldCharType="separate"/>
      </w:r>
      <w:r>
        <w:rPr>
          <w:rFonts w:ascii="Arial" w:hAnsi="Arial" w:cs="Arial"/>
          <w:color w:val="auto"/>
          <w:highlight w:val="none"/>
        </w:rPr>
        <w:t>49</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"_Toc101266295" </w:instrText>
      </w:r>
      <w:r>
        <w:rPr>
          <w:color w:val="auto"/>
          <w:highlight w:val="none"/>
        </w:rPr>
        <w:fldChar w:fldCharType="separate"/>
      </w:r>
      <w:r>
        <w:rPr>
          <w:rStyle w:val="62"/>
          <w:rFonts w:ascii="Arial" w:hAnsi="Arial" w:cs="Arial"/>
          <w:color w:val="auto"/>
          <w:highlight w:val="none"/>
        </w:rPr>
        <w:t>可选办法四（适合综合评分法二，技术标与经济标同时开启）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_Toc101266295 \h </w:instrText>
      </w:r>
      <w:r>
        <w:rPr>
          <w:rFonts w:ascii="Arial" w:hAnsi="Arial" w:cs="Arial"/>
          <w:color w:val="auto"/>
          <w:highlight w:val="none"/>
        </w:rPr>
        <w:fldChar w:fldCharType="separate"/>
      </w:r>
      <w:r>
        <w:rPr>
          <w:rFonts w:ascii="Arial" w:hAnsi="Arial" w:cs="Arial"/>
          <w:color w:val="auto"/>
          <w:highlight w:val="none"/>
        </w:rPr>
        <w:t>54</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"_Toc101266296" </w:instrText>
      </w:r>
      <w:r>
        <w:rPr>
          <w:color w:val="auto"/>
          <w:highlight w:val="none"/>
        </w:rPr>
        <w:fldChar w:fldCharType="separate"/>
      </w:r>
      <w:r>
        <w:rPr>
          <w:rStyle w:val="62"/>
          <w:rFonts w:ascii="Arial" w:hAnsi="Arial" w:cs="Arial"/>
          <w:color w:val="auto"/>
          <w:highlight w:val="none"/>
        </w:rPr>
        <w:t>可选办法五（适合综合评分法三，技术标与经济标先后分别开启）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_Toc101266296 \h </w:instrText>
      </w:r>
      <w:r>
        <w:rPr>
          <w:rFonts w:ascii="Arial" w:hAnsi="Arial" w:cs="Arial"/>
          <w:color w:val="auto"/>
          <w:highlight w:val="none"/>
        </w:rPr>
        <w:fldChar w:fldCharType="separate"/>
      </w:r>
      <w:r>
        <w:rPr>
          <w:rFonts w:ascii="Arial" w:hAnsi="Arial" w:cs="Arial"/>
          <w:color w:val="auto"/>
          <w:highlight w:val="none"/>
        </w:rPr>
        <w:t>59</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"_Toc101266297" </w:instrText>
      </w:r>
      <w:r>
        <w:rPr>
          <w:color w:val="auto"/>
          <w:highlight w:val="none"/>
        </w:rPr>
        <w:fldChar w:fldCharType="separate"/>
      </w:r>
      <w:r>
        <w:rPr>
          <w:rStyle w:val="62"/>
          <w:rFonts w:ascii="Arial" w:hAnsi="Arial" w:cs="Arial"/>
          <w:color w:val="auto"/>
          <w:highlight w:val="none"/>
        </w:rPr>
        <w:t>可选办法六（适合综合评分法三，技术标与经济标同时开启）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_Toc101266297 \h </w:instrText>
      </w:r>
      <w:r>
        <w:rPr>
          <w:rFonts w:ascii="Arial" w:hAnsi="Arial" w:cs="Arial"/>
          <w:color w:val="auto"/>
          <w:highlight w:val="none"/>
        </w:rPr>
        <w:fldChar w:fldCharType="separate"/>
      </w:r>
      <w:r>
        <w:rPr>
          <w:rFonts w:ascii="Arial" w:hAnsi="Arial" w:cs="Arial"/>
          <w:color w:val="auto"/>
          <w:highlight w:val="none"/>
        </w:rPr>
        <w:t>64</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"_Toc101266298" </w:instrText>
      </w:r>
      <w:r>
        <w:rPr>
          <w:color w:val="auto"/>
          <w:highlight w:val="none"/>
        </w:rPr>
        <w:fldChar w:fldCharType="separate"/>
      </w:r>
      <w:r>
        <w:rPr>
          <w:rStyle w:val="62"/>
          <w:rFonts w:ascii="Arial" w:hAnsi="Arial" w:cs="Arial"/>
          <w:color w:val="auto"/>
          <w:highlight w:val="none"/>
        </w:rPr>
        <w:t>可选办法七（适合综合评分法四，技术标与经济标同时开启）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_Toc101266298 \h </w:instrText>
      </w:r>
      <w:r>
        <w:rPr>
          <w:rFonts w:ascii="Arial" w:hAnsi="Arial" w:cs="Arial"/>
          <w:color w:val="auto"/>
          <w:highlight w:val="none"/>
        </w:rPr>
        <w:fldChar w:fldCharType="separate"/>
      </w:r>
      <w:r>
        <w:rPr>
          <w:rFonts w:ascii="Arial" w:hAnsi="Arial" w:cs="Arial"/>
          <w:color w:val="auto"/>
          <w:highlight w:val="none"/>
        </w:rPr>
        <w:t>69</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"_Toc101266299" </w:instrText>
      </w:r>
      <w:r>
        <w:rPr>
          <w:color w:val="auto"/>
          <w:highlight w:val="none"/>
        </w:rPr>
        <w:fldChar w:fldCharType="separate"/>
      </w:r>
      <w:r>
        <w:rPr>
          <w:rStyle w:val="62"/>
          <w:rFonts w:ascii="Arial" w:hAnsi="Arial" w:cs="Arial"/>
          <w:color w:val="auto"/>
          <w:highlight w:val="none"/>
        </w:rPr>
        <w:t>可选办法八（适合经评审的最低投标价法，技术标与经济标同时开启）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_Toc101266299 \h </w:instrText>
      </w:r>
      <w:r>
        <w:rPr>
          <w:rFonts w:ascii="Arial" w:hAnsi="Arial" w:cs="Arial"/>
          <w:color w:val="auto"/>
          <w:highlight w:val="none"/>
        </w:rPr>
        <w:fldChar w:fldCharType="separate"/>
      </w:r>
      <w:r>
        <w:rPr>
          <w:rFonts w:ascii="Arial" w:hAnsi="Arial" w:cs="Arial"/>
          <w:color w:val="auto"/>
          <w:highlight w:val="none"/>
        </w:rPr>
        <w:t>74</w:t>
      </w:r>
      <w:r>
        <w:rPr>
          <w:rFonts w:ascii="Arial" w:hAnsi="Arial" w:cs="Arial"/>
          <w:color w:val="auto"/>
          <w:highlight w:val="none"/>
        </w:rPr>
        <w:fldChar w:fldCharType="end"/>
      </w:r>
      <w:r>
        <w:rPr>
          <w:rFonts w:ascii="Arial" w:hAnsi="Arial" w:cs="Arial"/>
          <w:color w:val="auto"/>
          <w:highlight w:val="none"/>
        </w:rPr>
        <w:fldChar w:fldCharType="end"/>
      </w:r>
    </w:p>
    <w:p>
      <w:pPr>
        <w:pStyle w:val="39"/>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"_Toc101266300" </w:instrText>
      </w:r>
      <w:r>
        <w:rPr>
          <w:color w:val="auto"/>
          <w:highlight w:val="none"/>
        </w:rPr>
        <w:fldChar w:fldCharType="separate"/>
      </w:r>
      <w:r>
        <w:rPr>
          <w:rStyle w:val="62"/>
          <w:rFonts w:ascii="Arial" w:hAnsi="Arial" w:cs="Arial"/>
          <w:color w:val="auto"/>
          <w:highlight w:val="none"/>
        </w:rPr>
        <w:t>第三章  合同条款</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_Toc101266300 \h </w:instrText>
      </w:r>
      <w:r>
        <w:rPr>
          <w:rFonts w:ascii="Arial" w:hAnsi="Arial" w:cs="Arial"/>
          <w:color w:val="auto"/>
          <w:highlight w:val="none"/>
        </w:rPr>
        <w:fldChar w:fldCharType="separate"/>
      </w:r>
      <w:r>
        <w:rPr>
          <w:rFonts w:ascii="Arial" w:hAnsi="Arial" w:cs="Arial"/>
          <w:color w:val="auto"/>
          <w:highlight w:val="none"/>
        </w:rPr>
        <w:t>88</w:t>
      </w:r>
      <w:r>
        <w:rPr>
          <w:rFonts w:ascii="Arial" w:hAnsi="Arial" w:cs="Arial"/>
          <w:color w:val="auto"/>
          <w:highlight w:val="none"/>
        </w:rPr>
        <w:fldChar w:fldCharType="end"/>
      </w:r>
      <w:r>
        <w:rPr>
          <w:rFonts w:ascii="Arial" w:hAnsi="Arial" w:cs="Arial"/>
          <w:color w:val="auto"/>
          <w:highlight w:val="none"/>
        </w:rPr>
        <w:fldChar w:fldCharType="end"/>
      </w:r>
    </w:p>
    <w:p>
      <w:pPr>
        <w:pStyle w:val="39"/>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"_Toc101266301" </w:instrText>
      </w:r>
      <w:r>
        <w:rPr>
          <w:color w:val="auto"/>
          <w:highlight w:val="none"/>
        </w:rPr>
        <w:fldChar w:fldCharType="separate"/>
      </w:r>
      <w:r>
        <w:rPr>
          <w:rStyle w:val="62"/>
          <w:rFonts w:ascii="Arial" w:hAnsi="Arial" w:cs="Arial"/>
          <w:color w:val="auto"/>
          <w:highlight w:val="none"/>
        </w:rPr>
        <w:t>第四章  投标文件格式</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_Toc101266301 \h </w:instrText>
      </w:r>
      <w:r>
        <w:rPr>
          <w:rFonts w:ascii="Arial" w:hAnsi="Arial" w:cs="Arial"/>
          <w:color w:val="auto"/>
          <w:highlight w:val="none"/>
        </w:rPr>
        <w:fldChar w:fldCharType="separate"/>
      </w:r>
      <w:r>
        <w:rPr>
          <w:rFonts w:ascii="Arial" w:hAnsi="Arial" w:cs="Arial"/>
          <w:color w:val="auto"/>
          <w:highlight w:val="none"/>
        </w:rPr>
        <w:t>89</w:t>
      </w:r>
      <w:r>
        <w:rPr>
          <w:rFonts w:ascii="Arial" w:hAnsi="Arial" w:cs="Arial"/>
          <w:color w:val="auto"/>
          <w:highlight w:val="none"/>
        </w:rPr>
        <w:fldChar w:fldCharType="end"/>
      </w:r>
      <w:r>
        <w:rPr>
          <w:rFonts w:ascii="Arial" w:hAnsi="Arial" w:cs="Arial"/>
          <w:color w:val="auto"/>
          <w:highlight w:val="none"/>
        </w:rPr>
        <w:fldChar w:fldCharType="end"/>
      </w:r>
    </w:p>
    <w:p>
      <w:pPr>
        <w:pStyle w:val="39"/>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"_Toc101266308" </w:instrText>
      </w:r>
      <w:r>
        <w:rPr>
          <w:color w:val="auto"/>
          <w:highlight w:val="none"/>
        </w:rPr>
        <w:fldChar w:fldCharType="separate"/>
      </w:r>
      <w:r>
        <w:rPr>
          <w:rStyle w:val="62"/>
          <w:rFonts w:ascii="Arial" w:hAnsi="Arial" w:cs="Arial"/>
          <w:color w:val="auto"/>
          <w:highlight w:val="none"/>
        </w:rPr>
        <w:t>第五章  技术条件（工程建设标准）</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_Toc101266308 \h </w:instrText>
      </w:r>
      <w:r>
        <w:rPr>
          <w:rFonts w:ascii="Arial" w:hAnsi="Arial" w:cs="Arial"/>
          <w:color w:val="auto"/>
          <w:highlight w:val="none"/>
        </w:rPr>
        <w:fldChar w:fldCharType="separate"/>
      </w:r>
      <w:r>
        <w:rPr>
          <w:rFonts w:ascii="Arial" w:hAnsi="Arial" w:cs="Arial"/>
          <w:color w:val="auto"/>
          <w:highlight w:val="none"/>
        </w:rPr>
        <w:t>108</w:t>
      </w:r>
      <w:r>
        <w:rPr>
          <w:rFonts w:ascii="Arial" w:hAnsi="Arial" w:cs="Arial"/>
          <w:color w:val="auto"/>
          <w:highlight w:val="none"/>
        </w:rPr>
        <w:fldChar w:fldCharType="end"/>
      </w:r>
      <w:r>
        <w:rPr>
          <w:rFonts w:ascii="Arial" w:hAnsi="Arial" w:cs="Arial"/>
          <w:color w:val="auto"/>
          <w:highlight w:val="none"/>
        </w:rPr>
        <w:fldChar w:fldCharType="end"/>
      </w:r>
    </w:p>
    <w:p>
      <w:pPr>
        <w:pStyle w:val="39"/>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"_Toc101266309" </w:instrText>
      </w:r>
      <w:r>
        <w:rPr>
          <w:color w:val="auto"/>
          <w:highlight w:val="none"/>
        </w:rPr>
        <w:fldChar w:fldCharType="separate"/>
      </w:r>
      <w:r>
        <w:rPr>
          <w:rStyle w:val="62"/>
          <w:rFonts w:ascii="Arial" w:hAnsi="Arial" w:cs="Arial"/>
          <w:color w:val="auto"/>
          <w:highlight w:val="none"/>
        </w:rPr>
        <w:t>第六章  图纸及勘察资料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_Toc101266309 \h </w:instrText>
      </w:r>
      <w:r>
        <w:rPr>
          <w:rFonts w:ascii="Arial" w:hAnsi="Arial" w:cs="Arial"/>
          <w:color w:val="auto"/>
          <w:highlight w:val="none"/>
        </w:rPr>
        <w:fldChar w:fldCharType="separate"/>
      </w:r>
      <w:r>
        <w:rPr>
          <w:rFonts w:ascii="Arial" w:hAnsi="Arial" w:cs="Arial"/>
          <w:color w:val="auto"/>
          <w:highlight w:val="none"/>
        </w:rPr>
        <w:t>110</w:t>
      </w:r>
      <w:r>
        <w:rPr>
          <w:rFonts w:ascii="Arial" w:hAnsi="Arial" w:cs="Arial"/>
          <w:color w:val="auto"/>
          <w:highlight w:val="none"/>
        </w:rPr>
        <w:fldChar w:fldCharType="end"/>
      </w:r>
      <w:r>
        <w:rPr>
          <w:rFonts w:ascii="Arial" w:hAnsi="Arial" w:cs="Arial"/>
          <w:color w:val="auto"/>
          <w:highlight w:val="none"/>
        </w:rPr>
        <w:fldChar w:fldCharType="end"/>
      </w:r>
    </w:p>
    <w:p>
      <w:pPr>
        <w:pStyle w:val="39"/>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"_Toc101266310" </w:instrText>
      </w:r>
      <w:r>
        <w:rPr>
          <w:color w:val="auto"/>
          <w:highlight w:val="none"/>
        </w:rPr>
        <w:fldChar w:fldCharType="separate"/>
      </w:r>
      <w:r>
        <w:rPr>
          <w:rStyle w:val="62"/>
          <w:rFonts w:ascii="Arial" w:hAnsi="Arial" w:cs="Arial"/>
          <w:color w:val="auto"/>
          <w:highlight w:val="none"/>
        </w:rPr>
        <w:t>第七章  工程量清单</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_Toc101266310 \h </w:instrText>
      </w:r>
      <w:r>
        <w:rPr>
          <w:rFonts w:ascii="Arial" w:hAnsi="Arial" w:cs="Arial"/>
          <w:color w:val="auto"/>
          <w:highlight w:val="none"/>
        </w:rPr>
        <w:fldChar w:fldCharType="separate"/>
      </w:r>
      <w:r>
        <w:rPr>
          <w:rFonts w:ascii="Arial" w:hAnsi="Arial" w:cs="Arial"/>
          <w:color w:val="auto"/>
          <w:highlight w:val="none"/>
        </w:rPr>
        <w:t>111</w:t>
      </w:r>
      <w:r>
        <w:rPr>
          <w:rFonts w:ascii="Arial" w:hAnsi="Arial" w:cs="Arial"/>
          <w:color w:val="auto"/>
          <w:highlight w:val="none"/>
        </w:rPr>
        <w:fldChar w:fldCharType="end"/>
      </w:r>
      <w:r>
        <w:rPr>
          <w:rFonts w:ascii="Arial" w:hAnsi="Arial" w:cs="Arial"/>
          <w:color w:val="auto"/>
          <w:highlight w:val="none"/>
        </w:rPr>
        <w:fldChar w:fldCharType="end"/>
      </w:r>
    </w:p>
    <w:p>
      <w:pPr>
        <w:pStyle w:val="39"/>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"_Toc101266311" </w:instrText>
      </w:r>
      <w:r>
        <w:rPr>
          <w:color w:val="auto"/>
          <w:highlight w:val="none"/>
        </w:rPr>
        <w:fldChar w:fldCharType="separate"/>
      </w:r>
      <w:r>
        <w:rPr>
          <w:rStyle w:val="62"/>
          <w:rFonts w:ascii="Arial" w:hAnsi="Arial" w:cs="Arial"/>
          <w:color w:val="auto"/>
          <w:highlight w:val="none"/>
        </w:rPr>
        <w:t>第八章  最高投标限价</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_Toc101266311 \h </w:instrText>
      </w:r>
      <w:r>
        <w:rPr>
          <w:rFonts w:ascii="Arial" w:hAnsi="Arial" w:cs="Arial"/>
          <w:color w:val="auto"/>
          <w:highlight w:val="none"/>
        </w:rPr>
        <w:fldChar w:fldCharType="separate"/>
      </w:r>
      <w:r>
        <w:rPr>
          <w:rFonts w:ascii="Arial" w:hAnsi="Arial" w:cs="Arial"/>
          <w:color w:val="auto"/>
          <w:highlight w:val="none"/>
        </w:rPr>
        <w:t>112</w:t>
      </w:r>
      <w:r>
        <w:rPr>
          <w:rFonts w:ascii="Arial" w:hAnsi="Arial" w:cs="Arial"/>
          <w:color w:val="auto"/>
          <w:highlight w:val="none"/>
        </w:rPr>
        <w:fldChar w:fldCharType="end"/>
      </w:r>
      <w:r>
        <w:rPr>
          <w:rFonts w:ascii="Arial" w:hAnsi="Arial" w:cs="Arial"/>
          <w:color w:val="auto"/>
          <w:highlight w:val="none"/>
        </w:rPr>
        <w:fldChar w:fldCharType="end"/>
      </w:r>
    </w:p>
    <w:p>
      <w:pPr>
        <w:pStyle w:val="4"/>
        <w:rPr>
          <w:rFonts w:cs="Arial"/>
          <w:color w:val="auto"/>
          <w:highlight w:val="none"/>
        </w:rPr>
      </w:pPr>
      <w:r>
        <w:rPr>
          <w:rFonts w:cs="Arial"/>
          <w:color w:val="auto"/>
          <w:highlight w:val="none"/>
        </w:rPr>
        <w:fldChar w:fldCharType="end"/>
      </w:r>
      <w:bookmarkStart w:id="0" w:name="_Toc101266278"/>
      <w:bookmarkStart w:id="1" w:name="_Toc2272545"/>
      <w:r>
        <w:rPr>
          <w:rFonts w:hint="eastAsia" w:cs="Arial"/>
          <w:color w:val="auto"/>
          <w:highlight w:val="none"/>
        </w:rPr>
        <w:t>第一章</w:t>
      </w:r>
      <w:r>
        <w:rPr>
          <w:rFonts w:cs="Arial"/>
          <w:color w:val="auto"/>
          <w:highlight w:val="none"/>
        </w:rPr>
        <w:t xml:space="preserve">  </w:t>
      </w:r>
      <w:r>
        <w:rPr>
          <w:rFonts w:hint="eastAsia" w:cs="Arial"/>
          <w:color w:val="auto"/>
          <w:highlight w:val="none"/>
        </w:rPr>
        <w:t>投标须知</w:t>
      </w:r>
      <w:bookmarkEnd w:id="0"/>
      <w:bookmarkEnd w:id="1"/>
    </w:p>
    <w:p>
      <w:pPr>
        <w:pStyle w:val="6"/>
        <w:rPr>
          <w:rFonts w:cs="Arial"/>
          <w:color w:val="auto"/>
          <w:highlight w:val="none"/>
        </w:rPr>
      </w:pPr>
      <w:bookmarkStart w:id="2" w:name="_Toc2272546"/>
      <w:bookmarkStart w:id="3" w:name="_Toc101266279"/>
      <w:r>
        <w:rPr>
          <w:rFonts w:cs="Arial"/>
          <w:color w:val="auto"/>
          <w:highlight w:val="none"/>
        </w:rPr>
        <w:t>一、投标须知前附表</w:t>
      </w:r>
      <w:bookmarkEnd w:id="2"/>
      <w:bookmarkEnd w:id="3"/>
    </w:p>
    <w:p>
      <w:pPr>
        <w:pStyle w:val="7"/>
        <w:spacing w:line="360" w:lineRule="auto"/>
        <w:ind w:firstLine="0"/>
        <w:rPr>
          <w:rFonts w:ascii="Arial" w:hAnsi="Arial" w:cs="Arial"/>
          <w:b/>
          <w:color w:val="auto"/>
          <w:sz w:val="24"/>
          <w:szCs w:val="24"/>
          <w:highlight w:val="none"/>
        </w:rPr>
      </w:pPr>
      <w:r>
        <w:rPr>
          <w:rFonts w:hint="eastAsia" w:ascii="Arial" w:hAnsi="Arial" w:cs="Arial"/>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54"/>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r>
              <w:rPr>
                <w:rFonts w:hint="eastAsia" w:ascii="Arial" w:hAnsi="Arial" w:cs="Arial"/>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32"/>
              <w:ind w:firstLine="458"/>
              <w:jc w:val="center"/>
              <w:rPr>
                <w:rFonts w:ascii="Arial" w:hAnsi="Arial" w:cs="Arial"/>
                <w:color w:val="auto"/>
                <w:szCs w:val="21"/>
                <w:highlight w:val="none"/>
              </w:rPr>
            </w:pPr>
            <w:r>
              <w:rPr>
                <w:rFonts w:hint="eastAsia" w:ascii="Arial" w:hAnsi="Arial" w:cs="Arial"/>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招标人（即发包人）：</w:t>
            </w:r>
            <w:r>
              <w:rPr>
                <w:rFonts w:hint="eastAsia" w:ascii="Arial" w:hAnsi="Arial" w:cs="Arial"/>
                <w:color w:val="auto"/>
                <w:szCs w:val="21"/>
                <w:highlight w:val="none"/>
                <w:u w:val="single"/>
              </w:rPr>
              <w:t xml:space="preserve"> 中山大学附属第一医院   </w:t>
            </w:r>
          </w:p>
          <w:p>
            <w:pPr>
              <w:rPr>
                <w:rFonts w:ascii="Arial" w:hAnsi="Arial" w:cs="Arial"/>
                <w:color w:val="auto"/>
                <w:szCs w:val="21"/>
                <w:highlight w:val="none"/>
              </w:rPr>
            </w:pPr>
            <w:r>
              <w:rPr>
                <w:rFonts w:hint="eastAsia" w:ascii="Arial" w:hAnsi="Arial" w:cs="Arial"/>
                <w:color w:val="auto"/>
                <w:szCs w:val="21"/>
                <w:highlight w:val="none"/>
              </w:rPr>
              <w:t>招标代理：</w:t>
            </w:r>
            <w:r>
              <w:rPr>
                <w:rFonts w:hint="eastAsia" w:ascii="Arial" w:hAnsi="Arial" w:cs="Arial"/>
                <w:color w:val="auto"/>
                <w:szCs w:val="21"/>
                <w:highlight w:val="none"/>
                <w:u w:val="single"/>
              </w:rPr>
              <w:t xml:space="preserve">  广东省机电设备招标有限公司    </w:t>
            </w:r>
          </w:p>
          <w:p>
            <w:pPr>
              <w:rPr>
                <w:rFonts w:ascii="Arial" w:hAnsi="Arial" w:cs="Arial"/>
                <w:color w:val="auto"/>
                <w:szCs w:val="21"/>
                <w:highlight w:val="none"/>
              </w:rPr>
            </w:pPr>
            <w:r>
              <w:rPr>
                <w:rFonts w:hint="eastAsia" w:ascii="Arial" w:hAnsi="Arial" w:cs="Arial"/>
                <w:color w:val="auto"/>
                <w:szCs w:val="21"/>
                <w:highlight w:val="none"/>
              </w:rPr>
              <w:t>设计单位：</w:t>
            </w:r>
            <w:r>
              <w:rPr>
                <w:rFonts w:ascii="Arial" w:hAnsi="Arial" w:cs="Arial"/>
                <w:color w:val="auto"/>
                <w:szCs w:val="21"/>
                <w:highlight w:val="none"/>
                <w:u w:val="single"/>
              </w:rPr>
              <w:t xml:space="preserve">     </w:t>
            </w:r>
            <w:r>
              <w:rPr>
                <w:rFonts w:hint="eastAsia" w:ascii="Arial" w:hAnsi="Arial" w:cs="Arial"/>
                <w:color w:val="auto"/>
                <w:szCs w:val="21"/>
                <w:highlight w:val="none"/>
                <w:u w:val="single"/>
              </w:rPr>
              <w:t>广东华方工程设计有限公司</w:t>
            </w:r>
            <w:r>
              <w:rPr>
                <w:rFonts w:ascii="Arial" w:hAnsi="Arial" w:cs="Arial"/>
                <w:color w:val="auto"/>
                <w:szCs w:val="21"/>
                <w:highlight w:val="none"/>
                <w:u w:val="single"/>
              </w:rPr>
              <w:t xml:space="preserve">                       </w:t>
            </w:r>
          </w:p>
          <w:p>
            <w:pPr>
              <w:rPr>
                <w:rFonts w:ascii="Arial" w:hAnsi="Arial" w:cs="Arial"/>
                <w:color w:val="auto"/>
                <w:szCs w:val="21"/>
                <w:highlight w:val="none"/>
                <w:u w:val="single"/>
              </w:rPr>
            </w:pPr>
            <w:r>
              <w:rPr>
                <w:rFonts w:hint="eastAsia" w:ascii="Arial" w:hAnsi="Arial" w:cs="Arial"/>
                <w:color w:val="auto"/>
                <w:szCs w:val="21"/>
                <w:highlight w:val="none"/>
              </w:rPr>
              <w:t>监理单位：</w:t>
            </w:r>
            <w:r>
              <w:rPr>
                <w:rFonts w:ascii="Arial" w:hAnsi="Arial" w:cs="Arial"/>
                <w:color w:val="auto"/>
                <w:szCs w:val="21"/>
                <w:highlight w:val="none"/>
                <w:u w:val="single"/>
              </w:rPr>
              <w:t xml:space="preserve"> /  </w:t>
            </w:r>
          </w:p>
          <w:p>
            <w:pPr>
              <w:rPr>
                <w:rFonts w:ascii="Arial" w:hAnsi="Arial" w:cs="Arial"/>
                <w:color w:val="auto"/>
                <w:szCs w:val="21"/>
                <w:highlight w:val="none"/>
              </w:rPr>
            </w:pPr>
            <w:r>
              <w:rPr>
                <w:rFonts w:hint="eastAsia" w:ascii="Arial" w:hAnsi="Arial" w:cs="Arial"/>
                <w:color w:val="auto"/>
                <w:szCs w:val="21"/>
                <w:highlight w:val="none"/>
              </w:rPr>
              <w:t>检测机构：</w:t>
            </w:r>
            <w:r>
              <w:rPr>
                <w:rFonts w:ascii="Arial" w:hAnsi="Arial" w:cs="Arial"/>
                <w:color w:val="auto"/>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hint="eastAsia" w:ascii="Arial" w:hAnsi="Arial" w:cs="Arial"/>
                <w:color w:val="auto"/>
                <w:szCs w:val="21"/>
                <w:highlight w:val="none"/>
                <w:u w:val="single"/>
              </w:rPr>
              <w:t>中山大学附属第一医院医学综合楼地下室放射防护与热室洁净专项工程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hint="eastAsia" w:ascii="Arial" w:hAnsi="Arial" w:cs="Arial"/>
                <w:color w:val="auto"/>
                <w:szCs w:val="21"/>
                <w:highlight w:val="none"/>
                <w:u w:val="single"/>
              </w:rPr>
              <w:t>广州市越秀区中山二路58号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hint="eastAsia" w:ascii="Arial" w:hAnsi="Arial" w:cs="Arial"/>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本工程采用固定单价包干（工程量清单综合单价包干，不因施工期间人工、材料及机械价格变化、施工条件、工程规模的变化和政府造价管理部门调整各项收费等而调整）；措施项目费、预算包干费总价包干。</w:t>
            </w:r>
          </w:p>
          <w:p>
            <w:pPr>
              <w:rPr>
                <w:rFonts w:ascii="Arial" w:hAnsi="Arial" w:cs="Arial"/>
                <w:color w:val="auto"/>
                <w:szCs w:val="21"/>
                <w:highlight w:val="none"/>
              </w:rPr>
            </w:pPr>
            <w:r>
              <w:rPr>
                <w:rFonts w:hint="eastAsia" w:ascii="Arial" w:hAnsi="Arial" w:cs="Arial"/>
                <w:color w:val="auto"/>
                <w:szCs w:val="21"/>
                <w:highlight w:val="none"/>
              </w:rPr>
              <w:t>由承包人按照本合同约定范围和图纸内容实行工程施工专业承包，包括但不限于包工、包料（甲供材料设备除外）、包质量、包安全生产、包文明施工、包工期、包承包范围内工程验收通过、包移交、包结算、包创优工程的组织实施工作和资料整理、（</w:t>
            </w:r>
            <w:r>
              <w:rPr>
                <w:rFonts w:ascii="Arial" w:hAnsi="Arial" w:cs="Arial"/>
                <w:color w:val="auto"/>
                <w:szCs w:val="21"/>
                <w:highlight w:val="none"/>
              </w:rPr>
              <w:t xml:space="preserve"> </w:t>
            </w:r>
            <w:r>
              <w:rPr>
                <w:rFonts w:hint="eastAsia" w:ascii="Arial" w:hAnsi="Arial" w:cs="Arial"/>
                <w:color w:val="auto"/>
                <w:szCs w:val="21"/>
                <w:highlight w:val="none"/>
              </w:rPr>
              <w:t>包施工总承包管理和现场整体组织、包专业协调及配合、</w:t>
            </w:r>
            <w:r>
              <w:rPr>
                <w:rFonts w:ascii="Arial" w:hAnsi="Arial" w:cs="Arial"/>
                <w:color w:val="auto"/>
                <w:szCs w:val="21"/>
                <w:highlight w:val="none"/>
              </w:rPr>
              <w:t xml:space="preserve"> </w:t>
            </w:r>
            <w:r>
              <w:rPr>
                <w:rFonts w:hint="eastAsia" w:ascii="Arial" w:hAnsi="Arial" w:cs="Arial"/>
                <w:color w:val="auto"/>
                <w:szCs w:val="21"/>
                <w:highlight w:val="none"/>
              </w:rPr>
              <w:t>包服从施工总承包管理单位的施工总承包管理）、包承包人应当购买的保险、包竣工图编制（须满足规划等各专项验收要求）等，同时，招标内容和建安费同时包含施工临水和临电工程的设计、报批、施工、开通和相关水电费用。</w:t>
            </w:r>
          </w:p>
          <w:p>
            <w:pPr>
              <w:rPr>
                <w:rFonts w:ascii="Arial" w:hAnsi="Arial" w:cs="Arial"/>
                <w:color w:val="auto"/>
                <w:szCs w:val="21"/>
                <w:highlight w:val="none"/>
              </w:rPr>
            </w:pPr>
            <w:r>
              <w:rPr>
                <w:rFonts w:hint="eastAsia" w:ascii="Arial" w:hAnsi="Arial" w:cs="Arial"/>
                <w:color w:val="auto"/>
                <w:szCs w:val="21"/>
                <w:highlight w:val="none"/>
              </w:rPr>
              <w:t>各投标单位必须详细阅读本工程招标文件和其它有关文件，并充分研究招标图纸和了解技术需求文件内容、现场条件及风险等，完成上述所有工程内容。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hint="eastAsia" w:ascii="Arial" w:hAnsi="Arial" w:cs="Arial"/>
                <w:color w:val="auto"/>
                <w:szCs w:val="21"/>
                <w:highlight w:val="none"/>
                <w:u w:val="single"/>
              </w:rPr>
              <w:t>合格，满足国家和行业相关标准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hint="eastAsia" w:ascii="Arial" w:hAnsi="Arial" w:cs="Arial"/>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施工总期：</w:t>
            </w:r>
            <w:r>
              <w:rPr>
                <w:rFonts w:ascii="Arial" w:hAnsi="Arial" w:cs="Arial"/>
                <w:color w:val="auto"/>
                <w:szCs w:val="21"/>
                <w:highlight w:val="none"/>
                <w:u w:val="single"/>
              </w:rPr>
              <w:t xml:space="preserve"> 120  </w:t>
            </w:r>
            <w:r>
              <w:rPr>
                <w:rFonts w:hint="eastAsia" w:ascii="Arial" w:hAnsi="Arial" w:cs="Arial"/>
                <w:color w:val="auto"/>
                <w:szCs w:val="21"/>
                <w:highlight w:val="none"/>
              </w:rPr>
              <w:t xml:space="preserve">日历天。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hint="eastAsia" w:ascii="Arial" w:hAnsi="Arial" w:cs="Arial"/>
                <w:color w:val="auto"/>
                <w:szCs w:val="21"/>
                <w:highlight w:val="none"/>
                <w:u w:val="single"/>
              </w:rPr>
              <w:t>财政性资金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工程量清单计价，按国家、省有关计价规范执行。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ascii="Arial" w:hAnsi="Arial" w:cs="Arial"/>
                <w:color w:val="auto"/>
                <w:szCs w:val="21"/>
                <w:highlight w:val="none"/>
                <w:u w:val="single"/>
              </w:rPr>
              <w:t xml:space="preserve"> 90</w:t>
            </w:r>
            <w:r>
              <w:rPr>
                <w:rFonts w:hint="eastAsia" w:ascii="Arial" w:hAnsi="Arial" w:cs="Arial"/>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rFonts w:ascii="Arial" w:hAnsi="Arial" w:cs="Arial"/>
                <w:color w:val="auto"/>
                <w:highlight w:val="none"/>
              </w:rPr>
            </w:pPr>
            <w:r>
              <w:rPr>
                <w:rFonts w:ascii="Arial" w:hAnsi="Arial" w:cs="Arial"/>
                <w:color w:val="auto"/>
                <w:highlight w:val="none"/>
              </w:rPr>
              <w:t>15</w:t>
            </w:r>
            <w:r>
              <w:rPr>
                <w:rFonts w:hint="eastAsia" w:ascii="Arial" w:hAnsi="Arial" w:cs="Arial"/>
                <w:color w:val="auto"/>
                <w:highlight w:val="none"/>
              </w:rPr>
              <w:t>万元人民币，缴纳时间在投标文件递交截止时间之前。</w:t>
            </w:r>
          </w:p>
          <w:p>
            <w:pPr>
              <w:ind w:firstLine="420" w:firstLineChars="200"/>
              <w:rPr>
                <w:rFonts w:ascii="Arial" w:hAnsi="Arial" w:cs="Arial"/>
                <w:color w:val="auto"/>
                <w:highlight w:val="none"/>
              </w:rPr>
            </w:pPr>
            <w:r>
              <w:rPr>
                <w:rFonts w:hint="eastAsia" w:ascii="Arial" w:hAnsi="Arial" w:cs="Arial"/>
                <w:color w:val="auto"/>
                <w:highlight w:val="none"/>
              </w:rPr>
              <w:t>投标保证金可采用现金、支票、银行保函、保证保险、专业担保公司担保等形式，须在递交投标文件截止时间前完成缴纳。</w:t>
            </w:r>
          </w:p>
          <w:p>
            <w:pPr>
              <w:ind w:firstLine="420" w:firstLineChars="200"/>
              <w:rPr>
                <w:rFonts w:ascii="Arial" w:hAnsi="Arial" w:cs="Arial"/>
                <w:color w:val="auto"/>
                <w:highlight w:val="none"/>
              </w:rPr>
            </w:pPr>
            <w:r>
              <w:rPr>
                <w:rFonts w:hint="eastAsia" w:ascii="Arial" w:hAnsi="Arial" w:cs="Arial"/>
                <w:color w:val="auto"/>
                <w:highlight w:val="non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ind w:firstLine="420" w:firstLineChars="200"/>
              <w:rPr>
                <w:rFonts w:ascii="Arial" w:hAnsi="Arial" w:cs="Arial"/>
                <w:color w:val="auto"/>
                <w:highlight w:val="none"/>
              </w:rPr>
            </w:pPr>
            <w:r>
              <w:rPr>
                <w:rFonts w:hint="eastAsia" w:ascii="Arial" w:hAnsi="Arial" w:cs="Arial"/>
                <w:color w:val="auto"/>
                <w:highlight w:val="none"/>
              </w:rPr>
              <w:t>收款单位：广州公共资源交易中心，开户银行：中国建设银行广州天润路支行，银行账号：44001583404059333333；</w:t>
            </w:r>
          </w:p>
          <w:p>
            <w:pPr>
              <w:ind w:firstLine="420" w:firstLineChars="200"/>
              <w:rPr>
                <w:rFonts w:ascii="Arial" w:hAnsi="Arial" w:cs="Arial"/>
                <w:color w:val="auto"/>
                <w:highlight w:val="none"/>
              </w:rPr>
            </w:pPr>
            <w:r>
              <w:rPr>
                <w:rFonts w:hint="eastAsia" w:ascii="Arial" w:hAnsi="Arial" w:cs="Arial"/>
                <w:color w:val="auto"/>
                <w:highlight w:val="none"/>
              </w:rPr>
              <w:t>2、如采用银行保函或保证保险或专业担保公司担保的形式提交的，应是投标人为本项目提供的。投标人应在投标文件中提交投标保函或投标保证保险扫描件并加盖投标人电子印章。中标候选人在中标候选人公示前提交银行保函或保证保险或专业担保公司担保的纸质原件并在网上公示。投标保证金可采用现金、支票、投标保函、投标保证保险的形式，须在递交投标文件截止时间前完成缴纳。</w:t>
            </w:r>
          </w:p>
          <w:p>
            <w:pPr>
              <w:ind w:firstLine="420" w:firstLineChars="200"/>
              <w:rPr>
                <w:rFonts w:ascii="Arial" w:hAnsi="Arial" w:cs="Arial"/>
                <w:color w:val="auto"/>
                <w:highlight w:val="none"/>
              </w:rPr>
            </w:pPr>
            <w:r>
              <w:rPr>
                <w:rFonts w:hint="eastAsia" w:ascii="Arial" w:hAnsi="Arial" w:cs="Arial"/>
                <w:color w:val="auto"/>
                <w:highlight w:val="none"/>
              </w:rPr>
              <w:t>3、采用电子保函提交投标保证金的，具体操作要求详见广州公共资源交易中心有关指引，递交事宜请自行咨询交易中心。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32"/>
              <w:rPr>
                <w:rFonts w:ascii="Arial" w:hAnsi="Arial" w:cs="Arial"/>
                <w:color w:val="auto"/>
                <w:szCs w:val="21"/>
                <w:highlight w:val="none"/>
              </w:rPr>
            </w:pPr>
            <w:r>
              <w:rPr>
                <w:rFonts w:hint="eastAsia" w:ascii="Arial" w:hAnsi="Arial" w:cs="Arial"/>
                <w:color w:val="auto"/>
                <w:szCs w:val="21"/>
                <w:highlight w:val="none"/>
              </w:rPr>
              <w:t xml:space="preserve">招标人不集中组织，由投标人自行踏勘。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疑问提交时间：投标人在递交投标文件截止时间18天前提出；</w:t>
            </w:r>
          </w:p>
          <w:p>
            <w:pPr>
              <w:rPr>
                <w:rFonts w:ascii="Arial" w:hAnsi="Arial" w:cs="Arial"/>
                <w:color w:val="auto"/>
                <w:szCs w:val="21"/>
                <w:highlight w:val="none"/>
              </w:rPr>
            </w:pPr>
            <w:r>
              <w:rPr>
                <w:rFonts w:hint="eastAsia" w:ascii="Arial" w:hAnsi="Arial" w:cs="Arial"/>
                <w:color w:val="auto"/>
                <w:szCs w:val="21"/>
                <w:highlight w:val="none"/>
              </w:rPr>
              <w:t>形式：投标人的疑问通过广州公共资源交易中心网站提交。</w:t>
            </w:r>
          </w:p>
          <w:p>
            <w:pPr>
              <w:rPr>
                <w:rFonts w:ascii="Arial" w:hAnsi="Arial" w:cs="Arial"/>
                <w:color w:val="auto"/>
                <w:szCs w:val="21"/>
                <w:highlight w:val="none"/>
              </w:rPr>
            </w:pPr>
            <w:r>
              <w:rPr>
                <w:rFonts w:hint="eastAsia" w:ascii="Arial" w:hAnsi="Arial" w:cs="Arial"/>
                <w:color w:val="auto"/>
                <w:szCs w:val="21"/>
                <w:highlight w:val="none"/>
              </w:rPr>
              <w:t>具体要求：按照交易平台关于全流程电子化项目的相关指南进行操作，详见：【房建市政】【交易系统】【投标人】全流程电子化交易系统操作手册（http://www.gzggzy.cn/cms/wz/view/index/layout3/index.jsp?siteId=1&amp;infoId=486799&amp;channelId=942&amp;tdsourcetag=s_pcqq_aiomsg）。</w:t>
            </w:r>
          </w:p>
          <w:p>
            <w:pPr>
              <w:rPr>
                <w:rFonts w:ascii="Arial" w:hAnsi="Arial" w:cs="Arial"/>
                <w:color w:val="auto"/>
                <w:szCs w:val="21"/>
                <w:highlight w:val="none"/>
              </w:rPr>
            </w:pPr>
            <w:r>
              <w:rPr>
                <w:rFonts w:hint="eastAsia" w:ascii="Arial" w:hAnsi="Arial" w:cs="Arial"/>
                <w:color w:val="auto"/>
                <w:szCs w:val="21"/>
                <w:highlight w:val="none"/>
              </w:rPr>
              <w:t>进入到提问区域的密码为123456，提问一律不得署名。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trike/>
                <w:color w:val="auto"/>
                <w:szCs w:val="21"/>
                <w:highlight w:val="none"/>
              </w:rPr>
            </w:pPr>
            <w:r>
              <w:rPr>
                <w:rFonts w:ascii="Arial" w:hAnsi="Arial" w:cs="Arial"/>
                <w:color w:val="auto"/>
                <w:szCs w:val="21"/>
                <w:highlight w:val="none"/>
                <w:u w:val="single"/>
              </w:rPr>
              <w:t xml:space="preserve">       </w:t>
            </w:r>
            <w:r>
              <w:rPr>
                <w:rFonts w:hint="eastAsia" w:ascii="Arial" w:hAnsi="Arial" w:cs="Arial"/>
                <w:color w:val="auto"/>
                <w:szCs w:val="21"/>
                <w:highlight w:val="none"/>
              </w:rPr>
              <w:t>年</w:t>
            </w:r>
            <w:r>
              <w:rPr>
                <w:rFonts w:ascii="Arial" w:hAnsi="Arial" w:cs="Arial"/>
                <w:color w:val="auto"/>
                <w:szCs w:val="21"/>
                <w:highlight w:val="none"/>
                <w:u w:val="single"/>
              </w:rPr>
              <w:t xml:space="preserve">   </w:t>
            </w:r>
            <w:r>
              <w:rPr>
                <w:rFonts w:hint="eastAsia" w:ascii="Arial" w:hAnsi="Arial" w:cs="Arial"/>
                <w:color w:val="auto"/>
                <w:szCs w:val="21"/>
                <w:highlight w:val="none"/>
              </w:rPr>
              <w:t>月</w:t>
            </w:r>
            <w:r>
              <w:rPr>
                <w:rFonts w:ascii="Arial" w:hAnsi="Arial" w:cs="Arial"/>
                <w:color w:val="auto"/>
                <w:szCs w:val="21"/>
                <w:highlight w:val="none"/>
                <w:u w:val="single"/>
              </w:rPr>
              <w:t xml:space="preserve">    </w:t>
            </w:r>
            <w:r>
              <w:rPr>
                <w:rFonts w:hint="eastAsia" w:ascii="Arial" w:hAnsi="Arial" w:cs="Arial"/>
                <w:color w:val="auto"/>
                <w:szCs w:val="21"/>
                <w:highlight w:val="none"/>
              </w:rPr>
              <w:t>日</w:t>
            </w:r>
            <w:r>
              <w:rPr>
                <w:rFonts w:ascii="Arial" w:hAnsi="Arial" w:cs="Arial"/>
                <w:color w:val="auto"/>
                <w:szCs w:val="21"/>
                <w:highlight w:val="none"/>
                <w:u w:val="single"/>
              </w:rPr>
              <w:t xml:space="preserve">   </w:t>
            </w:r>
            <w:r>
              <w:rPr>
                <w:rFonts w:hint="eastAsia" w:ascii="Arial" w:hAnsi="Arial" w:cs="Arial"/>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（技术标和经济标同时开标）</w:t>
            </w:r>
          </w:p>
          <w:p>
            <w:pPr>
              <w:rPr>
                <w:rFonts w:ascii="Arial" w:hAnsi="Arial" w:cs="Arial"/>
                <w:color w:val="auto"/>
                <w:szCs w:val="21"/>
                <w:highlight w:val="none"/>
                <w:u w:val="single"/>
              </w:rPr>
            </w:pPr>
            <w:r>
              <w:rPr>
                <w:rFonts w:hint="eastAsia" w:ascii="Arial" w:hAnsi="Arial" w:cs="Arial"/>
                <w:color w:val="auto"/>
                <w:szCs w:val="21"/>
                <w:highlight w:val="none"/>
              </w:rPr>
              <w:t>1、开标开始时间：</w:t>
            </w:r>
            <w:r>
              <w:rPr>
                <w:rFonts w:ascii="Arial" w:hAnsi="Arial" w:cs="Arial"/>
                <w:color w:val="auto"/>
                <w:szCs w:val="21"/>
                <w:highlight w:val="none"/>
                <w:u w:val="single"/>
              </w:rPr>
              <w:t xml:space="preserve">     </w:t>
            </w:r>
            <w:r>
              <w:rPr>
                <w:rFonts w:hint="eastAsia" w:ascii="Arial" w:hAnsi="Arial" w:cs="Arial"/>
                <w:color w:val="auto"/>
                <w:szCs w:val="21"/>
                <w:highlight w:val="none"/>
              </w:rPr>
              <w:t>年</w:t>
            </w:r>
            <w:r>
              <w:rPr>
                <w:rFonts w:ascii="Arial" w:hAnsi="Arial" w:cs="Arial"/>
                <w:color w:val="auto"/>
                <w:szCs w:val="21"/>
                <w:highlight w:val="none"/>
                <w:u w:val="single"/>
              </w:rPr>
              <w:t xml:space="preserve">   </w:t>
            </w:r>
            <w:r>
              <w:rPr>
                <w:rFonts w:hint="eastAsia" w:ascii="Arial" w:hAnsi="Arial" w:cs="Arial"/>
                <w:color w:val="auto"/>
                <w:szCs w:val="21"/>
                <w:highlight w:val="none"/>
              </w:rPr>
              <w:t>月</w:t>
            </w:r>
            <w:r>
              <w:rPr>
                <w:rFonts w:ascii="Arial" w:hAnsi="Arial" w:cs="Arial"/>
                <w:color w:val="auto"/>
                <w:szCs w:val="21"/>
                <w:highlight w:val="none"/>
                <w:u w:val="single"/>
              </w:rPr>
              <w:t xml:space="preserve">   </w:t>
            </w:r>
            <w:r>
              <w:rPr>
                <w:rFonts w:hint="eastAsia" w:ascii="Arial" w:hAnsi="Arial" w:cs="Arial"/>
                <w:color w:val="auto"/>
                <w:szCs w:val="21"/>
                <w:highlight w:val="none"/>
              </w:rPr>
              <w:t>日</w:t>
            </w:r>
            <w:r>
              <w:rPr>
                <w:rFonts w:ascii="Arial" w:hAnsi="Arial" w:cs="Arial"/>
                <w:color w:val="auto"/>
                <w:szCs w:val="21"/>
                <w:highlight w:val="none"/>
                <w:u w:val="single"/>
              </w:rPr>
              <w:t xml:space="preserve">   </w:t>
            </w:r>
            <w:r>
              <w:rPr>
                <w:rFonts w:hint="eastAsia" w:ascii="Arial" w:hAnsi="Arial" w:cs="Arial"/>
                <w:color w:val="auto"/>
                <w:szCs w:val="21"/>
                <w:highlight w:val="none"/>
              </w:rPr>
              <w:t>时</w:t>
            </w:r>
            <w:r>
              <w:rPr>
                <w:rFonts w:ascii="Arial" w:hAnsi="Arial" w:cs="Arial"/>
                <w:color w:val="auto"/>
                <w:szCs w:val="21"/>
                <w:highlight w:val="none"/>
                <w:u w:val="single"/>
              </w:rPr>
              <w:t xml:space="preserve">   </w:t>
            </w:r>
            <w:r>
              <w:rPr>
                <w:rFonts w:hint="eastAsia" w:ascii="Arial" w:hAnsi="Arial" w:cs="Arial"/>
                <w:color w:val="auto"/>
                <w:szCs w:val="21"/>
                <w:highlight w:val="none"/>
              </w:rPr>
              <w:t>分（与投标截止时间为同一时间），地点：</w:t>
            </w:r>
            <w:r>
              <w:rPr>
                <w:rFonts w:hint="eastAsia" w:ascii="Arial" w:hAnsi="Arial" w:cs="Arial"/>
                <w:color w:val="auto"/>
                <w:szCs w:val="21"/>
                <w:highlight w:val="none"/>
                <w:u w:val="single"/>
              </w:rPr>
              <w:t>广州公共资源交易中心</w:t>
            </w:r>
          </w:p>
          <w:p>
            <w:pPr>
              <w:rPr>
                <w:rFonts w:ascii="Arial" w:hAnsi="Arial" w:cs="Arial"/>
                <w:color w:val="auto"/>
                <w:szCs w:val="21"/>
                <w:highlight w:val="none"/>
                <w:u w:val="single"/>
              </w:rPr>
            </w:pPr>
            <w:r>
              <w:rPr>
                <w:rFonts w:hint="eastAsia" w:ascii="Arial" w:hAnsi="Arial" w:cs="Arial"/>
                <w:color w:val="auto"/>
                <w:szCs w:val="21"/>
                <w:highlight w:val="none"/>
              </w:rPr>
              <w:t xml:space="preserve">投标人也可选择参加在线开标，具体按照交易平台相关指南进行操作。详见：http://www.gzggzy.cn/html/fwznbszy/  </w:t>
            </w:r>
          </w:p>
          <w:p>
            <w:pPr>
              <w:rPr>
                <w:rFonts w:ascii="Arial" w:hAnsi="Arial" w:cs="Arial"/>
                <w:color w:val="auto"/>
                <w:szCs w:val="21"/>
                <w:highlight w:val="none"/>
              </w:rPr>
            </w:pPr>
            <w:r>
              <w:rPr>
                <w:rFonts w:hint="eastAsia" w:ascii="Arial" w:hAnsi="Arial" w:cs="Arial"/>
                <w:color w:val="auto"/>
                <w:szCs w:val="21"/>
                <w:highlight w:val="none"/>
              </w:rPr>
              <w:t>注：投标文件解密问题。投标人只用执行一次解密，招标人执行解密次数根据招标文件开标次数确定。</w:t>
            </w:r>
          </w:p>
          <w:p>
            <w:pPr>
              <w:rPr>
                <w:rFonts w:ascii="Arial" w:hAnsi="Arial" w:cs="Arial"/>
                <w:color w:val="auto"/>
                <w:highlight w:val="none"/>
              </w:rPr>
            </w:pPr>
            <w:r>
              <w:rPr>
                <w:rFonts w:hint="eastAsia" w:ascii="Arial" w:hAnsi="Arial" w:cs="Arial"/>
                <w:color w:val="auto"/>
                <w:szCs w:val="21"/>
                <w:highlight w:val="none"/>
              </w:rPr>
              <w:t>2、递交投标文件备用光盘时间：</w:t>
            </w:r>
            <w:r>
              <w:rPr>
                <w:rFonts w:ascii="Arial" w:hAnsi="Arial" w:cs="Arial"/>
                <w:color w:val="auto"/>
                <w:szCs w:val="21"/>
                <w:highlight w:val="none"/>
                <w:u w:val="single"/>
              </w:rPr>
              <w:t xml:space="preserve">     </w:t>
            </w:r>
            <w:r>
              <w:rPr>
                <w:rFonts w:hint="eastAsia" w:ascii="Arial" w:hAnsi="Arial" w:cs="Arial"/>
                <w:color w:val="auto"/>
                <w:szCs w:val="21"/>
                <w:highlight w:val="none"/>
              </w:rPr>
              <w:t>年</w:t>
            </w:r>
            <w:r>
              <w:rPr>
                <w:rFonts w:ascii="Arial" w:hAnsi="Arial" w:cs="Arial"/>
                <w:color w:val="auto"/>
                <w:szCs w:val="21"/>
                <w:highlight w:val="none"/>
                <w:u w:val="single"/>
              </w:rPr>
              <w:t xml:space="preserve">   </w:t>
            </w:r>
            <w:r>
              <w:rPr>
                <w:rFonts w:hint="eastAsia" w:ascii="Arial" w:hAnsi="Arial" w:cs="Arial"/>
                <w:color w:val="auto"/>
                <w:szCs w:val="21"/>
                <w:highlight w:val="none"/>
              </w:rPr>
              <w:t>月</w:t>
            </w:r>
            <w:r>
              <w:rPr>
                <w:rFonts w:ascii="Arial" w:hAnsi="Arial" w:cs="Arial"/>
                <w:color w:val="auto"/>
                <w:szCs w:val="21"/>
                <w:highlight w:val="none"/>
                <w:u w:val="single"/>
              </w:rPr>
              <w:t xml:space="preserve">   </w:t>
            </w:r>
            <w:r>
              <w:rPr>
                <w:rFonts w:hint="eastAsia" w:ascii="Arial" w:hAnsi="Arial" w:cs="Arial"/>
                <w:color w:val="auto"/>
                <w:szCs w:val="21"/>
                <w:highlight w:val="none"/>
              </w:rPr>
              <w:t>日</w:t>
            </w:r>
            <w:r>
              <w:rPr>
                <w:rFonts w:ascii="Arial" w:hAnsi="Arial" w:cs="Arial"/>
                <w:color w:val="auto"/>
                <w:szCs w:val="21"/>
                <w:highlight w:val="none"/>
                <w:u w:val="single"/>
              </w:rPr>
              <w:t xml:space="preserve">   </w:t>
            </w:r>
            <w:r>
              <w:rPr>
                <w:rFonts w:hint="eastAsia" w:ascii="Arial" w:hAnsi="Arial" w:cs="Arial"/>
                <w:color w:val="auto"/>
                <w:szCs w:val="21"/>
                <w:highlight w:val="none"/>
              </w:rPr>
              <w:t>时</w:t>
            </w:r>
            <w:r>
              <w:rPr>
                <w:rFonts w:ascii="Arial" w:hAnsi="Arial" w:cs="Arial"/>
                <w:color w:val="auto"/>
                <w:szCs w:val="21"/>
                <w:highlight w:val="none"/>
                <w:u w:val="single"/>
              </w:rPr>
              <w:t xml:space="preserve">   </w:t>
            </w:r>
            <w:r>
              <w:rPr>
                <w:rFonts w:hint="eastAsia" w:ascii="Arial" w:hAnsi="Arial" w:cs="Arial"/>
                <w:color w:val="auto"/>
                <w:szCs w:val="21"/>
                <w:highlight w:val="none"/>
              </w:rPr>
              <w:t>分至</w:t>
            </w:r>
            <w:r>
              <w:rPr>
                <w:rFonts w:ascii="Arial" w:hAnsi="Arial" w:cs="Arial"/>
                <w:color w:val="auto"/>
                <w:szCs w:val="21"/>
                <w:highlight w:val="none"/>
                <w:u w:val="single"/>
              </w:rPr>
              <w:t xml:space="preserve">     </w:t>
            </w:r>
            <w:r>
              <w:rPr>
                <w:rFonts w:hint="eastAsia" w:ascii="Arial" w:hAnsi="Arial" w:cs="Arial"/>
                <w:color w:val="auto"/>
                <w:szCs w:val="21"/>
                <w:highlight w:val="none"/>
              </w:rPr>
              <w:t>年</w:t>
            </w:r>
            <w:r>
              <w:rPr>
                <w:rFonts w:ascii="Arial" w:hAnsi="Arial" w:cs="Arial"/>
                <w:color w:val="auto"/>
                <w:szCs w:val="21"/>
                <w:highlight w:val="none"/>
                <w:u w:val="single"/>
              </w:rPr>
              <w:t xml:space="preserve">   </w:t>
            </w:r>
            <w:r>
              <w:rPr>
                <w:rFonts w:hint="eastAsia" w:ascii="Arial" w:hAnsi="Arial" w:cs="Arial"/>
                <w:color w:val="auto"/>
                <w:szCs w:val="21"/>
                <w:highlight w:val="none"/>
              </w:rPr>
              <w:t>月</w:t>
            </w:r>
            <w:r>
              <w:rPr>
                <w:rFonts w:ascii="Arial" w:hAnsi="Arial" w:cs="Arial"/>
                <w:color w:val="auto"/>
                <w:szCs w:val="21"/>
                <w:highlight w:val="none"/>
                <w:u w:val="single"/>
              </w:rPr>
              <w:t xml:space="preserve">   </w:t>
            </w:r>
            <w:r>
              <w:rPr>
                <w:rFonts w:hint="eastAsia" w:ascii="Arial" w:hAnsi="Arial" w:cs="Arial"/>
                <w:color w:val="auto"/>
                <w:szCs w:val="21"/>
                <w:highlight w:val="none"/>
              </w:rPr>
              <w:t>日</w:t>
            </w:r>
            <w:r>
              <w:rPr>
                <w:rFonts w:ascii="Arial" w:hAnsi="Arial" w:cs="Arial"/>
                <w:color w:val="auto"/>
                <w:szCs w:val="21"/>
                <w:highlight w:val="none"/>
                <w:u w:val="single"/>
              </w:rPr>
              <w:t xml:space="preserve">   </w:t>
            </w:r>
            <w:r>
              <w:rPr>
                <w:rFonts w:hint="eastAsia" w:ascii="Arial" w:hAnsi="Arial" w:cs="Arial"/>
                <w:color w:val="auto"/>
                <w:szCs w:val="21"/>
                <w:highlight w:val="none"/>
              </w:rPr>
              <w:t>时</w:t>
            </w:r>
            <w:r>
              <w:rPr>
                <w:rFonts w:ascii="Arial" w:hAnsi="Arial" w:cs="Arial"/>
                <w:color w:val="auto"/>
                <w:szCs w:val="21"/>
                <w:highlight w:val="none"/>
                <w:u w:val="single"/>
              </w:rPr>
              <w:t xml:space="preserve">   </w:t>
            </w:r>
            <w:r>
              <w:rPr>
                <w:rFonts w:hint="eastAsia" w:ascii="Arial" w:hAnsi="Arial" w:cs="Arial"/>
                <w:color w:val="auto"/>
                <w:szCs w:val="21"/>
                <w:highlight w:val="none"/>
              </w:rPr>
              <w:t>分；递交地点：</w:t>
            </w:r>
            <w:r>
              <w:rPr>
                <w:rFonts w:hint="eastAsia" w:ascii="Arial" w:hAnsi="Arial" w:cs="Arial"/>
                <w:color w:val="auto"/>
                <w:highlight w:val="none"/>
                <w:u w:val="single"/>
              </w:rPr>
              <w:t xml:space="preserve">  广州公共资源交易中心</w:t>
            </w:r>
            <w:r>
              <w:rPr>
                <w:rFonts w:hint="eastAsia" w:ascii="Arial" w:hAnsi="Arial" w:cs="Arial"/>
                <w:color w:val="auto"/>
                <w:highlight w:val="none"/>
              </w:rPr>
              <w:t>。(建议安排在投标文件截止时间前15分钟至投标文件截止时间）</w:t>
            </w:r>
          </w:p>
          <w:p>
            <w:pPr>
              <w:rPr>
                <w:rFonts w:ascii="Arial" w:hAnsi="Arial" w:cs="Arial"/>
                <w:color w:val="auto"/>
                <w:szCs w:val="21"/>
                <w:highlight w:val="none"/>
              </w:rPr>
            </w:pPr>
            <w:r>
              <w:rPr>
                <w:rFonts w:hint="eastAsia" w:ascii="Arial" w:hAnsi="Arial" w:cs="Arial"/>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2"/>
              <w:ind w:firstLine="0"/>
              <w:rPr>
                <w:rFonts w:ascii="Arial" w:hAnsi="Arial" w:cs="Arial"/>
                <w:color w:val="auto"/>
                <w:szCs w:val="21"/>
                <w:highlight w:val="none"/>
              </w:rPr>
            </w:pPr>
            <w:r>
              <w:rPr>
                <w:rFonts w:hint="eastAsia" w:ascii="Arial" w:hAnsi="Arial" w:cs="Arial"/>
                <w:color w:val="auto"/>
                <w:szCs w:val="21"/>
                <w:highlight w:val="none"/>
              </w:rPr>
              <w:t>方式一：选取方法七（综合评分法四，技术标与经济标同时开启）；</w:t>
            </w:r>
          </w:p>
          <w:p>
            <w:pPr>
              <w:pStyle w:val="2"/>
              <w:ind w:firstLine="0"/>
              <w:rPr>
                <w:rFonts w:ascii="Arial" w:hAnsi="Arial" w:cs="Arial"/>
                <w:color w:val="auto"/>
                <w:szCs w:val="21"/>
                <w:highlight w:val="none"/>
              </w:rPr>
            </w:pPr>
            <w:r>
              <w:rPr>
                <w:rFonts w:hint="eastAsia" w:ascii="Arial" w:hAnsi="Arial" w:cs="Arial"/>
                <w:color w:val="auto"/>
                <w:szCs w:val="21"/>
                <w:highlight w:val="none"/>
              </w:rPr>
              <w:t>投标人总得分=技术得分（20分）＋经济得分×经济得分权重（80%）</w:t>
            </w:r>
          </w:p>
          <w:p>
            <w:pPr>
              <w:pStyle w:val="2"/>
              <w:ind w:firstLine="0"/>
              <w:rPr>
                <w:rFonts w:ascii="Arial" w:hAnsi="Arial" w:cs="Arial"/>
                <w:color w:val="auto"/>
                <w:szCs w:val="21"/>
                <w:highlight w:val="none"/>
              </w:rPr>
            </w:pPr>
            <w:r>
              <w:rPr>
                <w:rFonts w:hint="eastAsia" w:ascii="Arial" w:hAnsi="Arial" w:cs="Arial"/>
                <w:color w:val="auto"/>
                <w:szCs w:val="21"/>
                <w:highlight w:val="none"/>
              </w:rPr>
              <w:t>总得分四舍五入保留两位小数。总分相同的，以技术得分高的排前；总分与技术得分均相同，则对具有相同情况的投标人，按中标候选人数量规定，由评标委员会采用随机抽取方式，确定中标候选人的排序。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highlight w:val="none"/>
              </w:rPr>
            </w:pPr>
            <w:r>
              <w:rPr>
                <w:rFonts w:hint="eastAsia" w:ascii="Arial" w:hAnsi="Arial" w:cs="Arial"/>
                <w:color w:val="auto"/>
                <w:highlight w:val="none"/>
              </w:rPr>
              <w:t>中标人提供的履约保证金为中标价款的10%。银行保函或担保保证。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本项目最高投标限价为人民币</w:t>
            </w:r>
            <w:r>
              <w:rPr>
                <w:rFonts w:ascii="Arial" w:hAnsi="Arial" w:cs="Arial"/>
                <w:color w:val="auto"/>
                <w:szCs w:val="21"/>
                <w:highlight w:val="none"/>
              </w:rPr>
              <w:t xml:space="preserve">  7887916.43  </w:t>
            </w:r>
            <w:r>
              <w:rPr>
                <w:rFonts w:ascii="Arial" w:hAnsi="Arial" w:cs="Arial"/>
                <w:color w:val="auto"/>
                <w:szCs w:val="21"/>
                <w:highlight w:val="none"/>
                <w:u w:val="single"/>
              </w:rPr>
              <w:t xml:space="preserve">  </w:t>
            </w:r>
            <w:r>
              <w:rPr>
                <w:rFonts w:hint="eastAsia" w:ascii="Arial" w:hAnsi="Arial" w:cs="Arial"/>
                <w:color w:val="auto"/>
                <w:szCs w:val="21"/>
                <w:highlight w:val="none"/>
              </w:rPr>
              <w:t>元。（各专业工程比例为：建筑装饰装修工程4307462.29元（占54.61%）；机电设备安装工程3580454.14元（占45.39%））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本项目绿色施工安全防护措施费为</w:t>
            </w:r>
            <w:r>
              <w:rPr>
                <w:rFonts w:ascii="Arial" w:hAnsi="Arial" w:cs="Arial"/>
                <w:color w:val="auto"/>
                <w:szCs w:val="21"/>
                <w:highlight w:val="none"/>
                <w:u w:val="single"/>
              </w:rPr>
              <w:t xml:space="preserve">  259054.86</w:t>
            </w:r>
            <w:r>
              <w:rPr>
                <w:rFonts w:hint="eastAsia" w:ascii="Arial" w:hAnsi="Arial" w:cs="Arial"/>
                <w:color w:val="auto"/>
                <w:szCs w:val="21"/>
                <w:highlight w:val="none"/>
              </w:rPr>
              <w:t>元，暂列金额为</w:t>
            </w:r>
            <w:r>
              <w:rPr>
                <w:rFonts w:ascii="Arial" w:hAnsi="Arial" w:cs="Arial"/>
                <w:color w:val="auto"/>
                <w:szCs w:val="21"/>
                <w:highlight w:val="none"/>
                <w:u w:val="single"/>
              </w:rPr>
              <w:t xml:space="preserve">  602332.46 </w:t>
            </w:r>
            <w:r>
              <w:rPr>
                <w:rFonts w:hint="eastAsia" w:ascii="Arial" w:hAnsi="Arial" w:cs="Arial"/>
                <w:color w:val="auto"/>
                <w:szCs w:val="21"/>
                <w:highlight w:val="none"/>
              </w:rPr>
              <w:t>元</w:t>
            </w:r>
            <w:r>
              <w:rPr>
                <w:rFonts w:hint="eastAsia"/>
                <w:color w:val="auto"/>
                <w:highlight w:val="none"/>
              </w:rPr>
              <w:t>,暂估价为</w:t>
            </w:r>
            <w:r>
              <w:rPr>
                <w:rFonts w:ascii="Arial" w:hAnsi="Arial" w:cs="Arial"/>
                <w:color w:val="auto"/>
                <w:szCs w:val="21"/>
                <w:highlight w:val="none"/>
                <w:u w:val="single"/>
              </w:rPr>
              <w:t xml:space="preserve">120000.00 </w:t>
            </w:r>
            <w:r>
              <w:rPr>
                <w:color w:val="auto"/>
                <w:highlight w:val="none"/>
              </w:rPr>
              <w:t xml:space="preserve"> </w:t>
            </w:r>
            <w:r>
              <w:rPr>
                <w:rFonts w:hint="eastAsia"/>
                <w:color w:val="auto"/>
                <w:highlight w:val="none"/>
              </w:rPr>
              <w:t>元</w:t>
            </w:r>
            <w:r>
              <w:rPr>
                <w:rFonts w:hint="eastAsia" w:ascii="Arial" w:hAnsi="Arial" w:cs="Arial"/>
                <w:color w:val="auto"/>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2"/>
              <w:ind w:firstLine="0"/>
              <w:rPr>
                <w:rFonts w:ascii="Arial" w:hAnsi="Arial" w:cs="Arial"/>
                <w:color w:val="auto"/>
                <w:szCs w:val="21"/>
                <w:highlight w:val="none"/>
              </w:rPr>
            </w:pPr>
            <w:r>
              <w:rPr>
                <w:rFonts w:hint="eastAsia" w:ascii="Arial" w:hAnsi="Arial" w:cs="Arial"/>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工程成本警戒价为</w:t>
            </w:r>
            <w:r>
              <w:rPr>
                <w:rFonts w:ascii="Arial" w:hAnsi="Arial" w:cs="Arial"/>
                <w:color w:val="auto"/>
                <w:szCs w:val="21"/>
                <w:highlight w:val="none"/>
                <w:u w:val="single"/>
              </w:rPr>
              <w:t xml:space="preserve"> 7099124.7</w:t>
            </w:r>
            <w:r>
              <w:rPr>
                <w:rFonts w:hint="eastAsia" w:ascii="Arial" w:hAnsi="Arial" w:cs="Arial"/>
                <w:color w:val="auto"/>
                <w:szCs w:val="21"/>
                <w:highlight w:val="none"/>
                <w:u w:val="single"/>
              </w:rPr>
              <w:t>87</w:t>
            </w:r>
            <w:r>
              <w:rPr>
                <w:rFonts w:ascii="Arial" w:hAnsi="Arial" w:cs="Arial"/>
                <w:color w:val="auto"/>
                <w:szCs w:val="21"/>
                <w:highlight w:val="none"/>
                <w:u w:val="single"/>
              </w:rPr>
              <w:t xml:space="preserve"> </w:t>
            </w:r>
            <w:r>
              <w:rPr>
                <w:rFonts w:hint="eastAsia" w:ascii="Arial" w:hAnsi="Arial" w:cs="Arial"/>
                <w:color w:val="auto"/>
                <w:szCs w:val="21"/>
                <w:highlight w:val="none"/>
              </w:rPr>
              <w:t>元</w:t>
            </w:r>
            <w:r>
              <w:rPr>
                <w:rFonts w:hint="eastAsia" w:ascii="Arial" w:hAnsi="Arial" w:cs="Arial"/>
                <w:color w:val="auto"/>
                <w:szCs w:val="21"/>
                <w:highlight w:val="none"/>
                <w:u w:val="single"/>
              </w:rPr>
              <w:t>（最高投标限价的90%）</w:t>
            </w:r>
            <w:r>
              <w:rPr>
                <w:rFonts w:hint="eastAsia" w:ascii="Arial" w:hAnsi="Arial" w:cs="Arial"/>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本项目不采用企业诚信综合评价分数。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auto"/>
                <w:szCs w:val="21"/>
                <w:highlight w:val="none"/>
              </w:rPr>
            </w:pPr>
            <w:r>
              <w:rPr>
                <w:rFonts w:hint="eastAsia" w:ascii="Arial" w:hAnsi="Arial" w:cs="Arial"/>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auto"/>
                <w:szCs w:val="21"/>
                <w:highlight w:val="none"/>
              </w:rPr>
            </w:pPr>
            <w:r>
              <w:rPr>
                <w:rFonts w:hint="eastAsia" w:ascii="Arial" w:hAnsi="Arial" w:cs="Arial"/>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auto"/>
                <w:szCs w:val="21"/>
                <w:highlight w:val="none"/>
              </w:rPr>
            </w:pPr>
            <w:r>
              <w:rPr>
                <w:rFonts w:hint="eastAsia" w:ascii="Arial" w:hAnsi="Arial" w:cs="Arial"/>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13.4、13.5.2</w:t>
            </w: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auto"/>
                <w:szCs w:val="21"/>
                <w:highlight w:val="none"/>
              </w:rPr>
            </w:pPr>
            <w:r>
              <w:rPr>
                <w:rFonts w:hint="eastAsia" w:ascii="Arial" w:hAnsi="Arial" w:cs="Arial"/>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hint="eastAsia" w:ascii="Arial" w:hAnsi="Arial" w:cs="Arial"/>
                <w:color w:val="auto"/>
                <w:szCs w:val="21"/>
                <w:highlight w:val="none"/>
                <w:u w:val="single"/>
              </w:rPr>
              <w:t xml:space="preserve">按合同条款相关约定调整。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kern w:val="0"/>
                <w:szCs w:val="21"/>
                <w:highlight w:val="none"/>
                <w:lang w:val="zh-CN"/>
              </w:rPr>
            </w:pPr>
            <w:r>
              <w:rPr>
                <w:rFonts w:hint="eastAsia" w:ascii="Arial" w:hAnsi="Arial" w:cs="Arial"/>
                <w:color w:val="auto"/>
                <w:kern w:val="0"/>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kern w:val="0"/>
                <w:szCs w:val="21"/>
                <w:highlight w:val="none"/>
                <w:lang w:val="zh-CN"/>
              </w:rPr>
            </w:pPr>
            <w:r>
              <w:rPr>
                <w:rFonts w:hint="eastAsia" w:ascii="Arial" w:hAnsi="Arial" w:cs="Arial"/>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kern w:val="0"/>
                <w:szCs w:val="21"/>
                <w:highlight w:val="none"/>
                <w:lang w:val="zh-CN"/>
              </w:rPr>
            </w:pPr>
            <w:r>
              <w:rPr>
                <w:rFonts w:ascii="Arial" w:hAnsi="Arial" w:cs="Arial"/>
                <w:color w:val="auto"/>
                <w:kern w:val="0"/>
                <w:szCs w:val="21"/>
                <w:highlight w:val="none"/>
                <w:lang w:val="zh-CN"/>
              </w:rPr>
              <w:t>☑</w:t>
            </w:r>
            <w:r>
              <w:rPr>
                <w:rFonts w:hint="eastAsia" w:ascii="Arial" w:hAnsi="Arial" w:cs="Arial"/>
                <w:color w:val="auto"/>
                <w:kern w:val="0"/>
                <w:szCs w:val="21"/>
                <w:highlight w:val="none"/>
                <w:lang w:val="zh-CN"/>
              </w:rPr>
              <w:t>不允许；</w:t>
            </w:r>
          </w:p>
          <w:p>
            <w:pPr>
              <w:rPr>
                <w:rFonts w:ascii="Arial" w:hAnsi="Arial" w:cs="Arial"/>
                <w:color w:val="auto"/>
                <w:kern w:val="0"/>
                <w:szCs w:val="21"/>
                <w:highlight w:val="none"/>
                <w:lang w:val="zh-CN"/>
              </w:rPr>
            </w:pPr>
            <w:r>
              <w:rPr>
                <w:rFonts w:hint="eastAsia" w:ascii="Arial" w:hAnsi="Arial" w:cs="Arial"/>
                <w:color w:val="auto"/>
                <w:kern w:val="0"/>
                <w:szCs w:val="21"/>
                <w:highlight w:val="none"/>
                <w:lang w:val="zh-CN"/>
              </w:rPr>
              <w:t>□允许：分包内容要要求：</w:t>
            </w:r>
          </w:p>
          <w:p>
            <w:pPr>
              <w:rPr>
                <w:rFonts w:ascii="Arial" w:hAnsi="Arial" w:cs="Arial"/>
                <w:color w:val="auto"/>
                <w:kern w:val="0"/>
                <w:szCs w:val="21"/>
                <w:highlight w:val="none"/>
                <w:lang w:val="zh-CN"/>
              </w:rPr>
            </w:pPr>
            <w:r>
              <w:rPr>
                <w:rFonts w:hint="eastAsia" w:ascii="Arial" w:hAnsi="Arial" w:cs="Arial"/>
                <w:color w:val="auto"/>
                <w:kern w:val="0"/>
                <w:szCs w:val="21"/>
                <w:highlight w:val="none"/>
                <w:lang w:val="zh-CN"/>
              </w:rPr>
              <w:t xml:space="preserve">        分包金额要求：</w:t>
            </w:r>
          </w:p>
          <w:p>
            <w:pPr>
              <w:rPr>
                <w:rFonts w:ascii="Arial" w:hAnsi="Arial" w:cs="Arial"/>
                <w:color w:val="auto"/>
                <w:kern w:val="0"/>
                <w:szCs w:val="21"/>
                <w:highlight w:val="none"/>
                <w:lang w:val="zh-CN"/>
              </w:rPr>
            </w:pPr>
            <w:r>
              <w:rPr>
                <w:rFonts w:hint="eastAsia" w:ascii="Arial" w:hAnsi="Arial" w:cs="Arial"/>
                <w:color w:val="auto"/>
                <w:kern w:val="0"/>
                <w:szCs w:val="21"/>
                <w:highlight w:val="none"/>
                <w:lang w:val="zh-CN"/>
              </w:rPr>
              <w:t xml:space="preserve">        对分包人的资质要求：</w:t>
            </w:r>
          </w:p>
          <w:p>
            <w:pPr>
              <w:rPr>
                <w:rFonts w:ascii="Arial" w:hAnsi="Arial" w:cs="Arial"/>
                <w:color w:val="auto"/>
                <w:kern w:val="0"/>
                <w:szCs w:val="21"/>
                <w:highlight w:val="none"/>
                <w:lang w:val="zh-CN"/>
              </w:rPr>
            </w:pPr>
            <w:r>
              <w:rPr>
                <w:rFonts w:hint="eastAsia" w:ascii="Arial" w:hAnsi="Arial" w:cs="Arial"/>
                <w:color w:val="auto"/>
                <w:kern w:val="0"/>
                <w:szCs w:val="21"/>
                <w:highlight w:val="none"/>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hint="eastAsia" w:ascii="Arial" w:hAnsi="Arial" w:cs="Arial"/>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1、按照交易平台关于全流程电子化项目的相关指南进行操作。详见：</w:t>
            </w:r>
            <w:r>
              <w:rPr>
                <w:rFonts w:hint="eastAsia" w:ascii="Arial" w:hAnsi="Arial" w:cs="Arial"/>
                <w:color w:val="auto"/>
                <w:szCs w:val="24"/>
                <w:highlight w:val="none"/>
                <w:u w:val="single"/>
              </w:rPr>
              <w:t>【房建市政】【交易系统】【投标人】全流程电子化交易系统操作手册</w:t>
            </w:r>
            <w:r>
              <w:rPr>
                <w:rFonts w:hint="eastAsia" w:ascii="Arial" w:hAnsi="Arial" w:cs="Arial"/>
                <w:color w:val="auto"/>
                <w:szCs w:val="21"/>
                <w:highlight w:val="none"/>
              </w:rPr>
              <w:t xml:space="preserve">。  </w:t>
            </w:r>
          </w:p>
          <w:p>
            <w:pPr>
              <w:rPr>
                <w:rFonts w:ascii="Arial" w:hAnsi="Arial" w:cs="Arial"/>
                <w:color w:val="auto"/>
                <w:szCs w:val="21"/>
                <w:highlight w:val="none"/>
              </w:rPr>
            </w:pPr>
            <w:r>
              <w:rPr>
                <w:rFonts w:hint="eastAsia" w:ascii="Arial" w:hAnsi="Arial" w:cs="Arial"/>
                <w:color w:val="auto"/>
                <w:szCs w:val="21"/>
                <w:highlight w:val="none"/>
              </w:rPr>
              <w:t>2、提交投标文件光盘备用</w:t>
            </w:r>
          </w:p>
          <w:p>
            <w:pPr>
              <w:rPr>
                <w:rFonts w:ascii="Arial" w:hAnsi="Arial" w:cs="Arial"/>
                <w:color w:val="auto"/>
                <w:szCs w:val="21"/>
                <w:highlight w:val="none"/>
              </w:rPr>
            </w:pPr>
            <w:r>
              <w:rPr>
                <w:rFonts w:hint="eastAsia" w:ascii="Arial" w:hAnsi="Arial" w:cs="Arial"/>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Arial" w:hAnsi="Arial" w:cs="Arial"/>
                <w:color w:val="auto"/>
                <w:szCs w:val="21"/>
                <w:highlight w:val="none"/>
              </w:rPr>
            </w:pPr>
            <w:r>
              <w:rPr>
                <w:rFonts w:hint="eastAsia" w:ascii="Arial" w:hAnsi="Arial" w:cs="Arial"/>
                <w:color w:val="auto"/>
                <w:szCs w:val="21"/>
                <w:highlight w:val="none"/>
              </w:rPr>
              <w:t xml:space="preserve"> 3、补救方案</w:t>
            </w:r>
          </w:p>
          <w:p>
            <w:pPr>
              <w:rPr>
                <w:rFonts w:ascii="Arial" w:hAnsi="Arial" w:cs="Arial"/>
                <w:color w:val="auto"/>
                <w:szCs w:val="21"/>
                <w:highlight w:val="none"/>
              </w:rPr>
            </w:pPr>
            <w:r>
              <w:rPr>
                <w:rFonts w:hint="eastAsia" w:ascii="Arial" w:hAnsi="Arial" w:cs="Arial"/>
                <w:color w:val="auto"/>
                <w:szCs w:val="21"/>
                <w:highlight w:val="none"/>
              </w:rPr>
              <w:t>（1）投标文件解密失败的补救方案：</w:t>
            </w:r>
          </w:p>
          <w:p>
            <w:pPr>
              <w:rPr>
                <w:rFonts w:ascii="Arial" w:hAnsi="Arial" w:cs="Arial"/>
                <w:color w:val="auto"/>
                <w:szCs w:val="21"/>
                <w:highlight w:val="none"/>
              </w:rPr>
            </w:pPr>
            <w:r>
              <w:rPr>
                <w:rFonts w:hint="eastAsia" w:ascii="Arial" w:hAnsi="Arial" w:cs="Arial"/>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Arial" w:hAnsi="Arial" w:cs="Arial"/>
                <w:color w:val="auto"/>
                <w:szCs w:val="21"/>
                <w:highlight w:val="none"/>
              </w:rPr>
            </w:pPr>
            <w:r>
              <w:rPr>
                <w:rFonts w:hint="eastAsia" w:ascii="Arial" w:hAnsi="Arial" w:cs="Arial"/>
                <w:color w:val="auto"/>
                <w:szCs w:val="21"/>
                <w:highlight w:val="none"/>
              </w:rPr>
              <w:t>（2）评标时突发情况的补救方案</w:t>
            </w:r>
          </w:p>
          <w:p>
            <w:pPr>
              <w:rPr>
                <w:rFonts w:ascii="Arial" w:hAnsi="Arial" w:cs="Arial"/>
                <w:color w:val="auto"/>
                <w:szCs w:val="21"/>
                <w:highlight w:val="none"/>
              </w:rPr>
            </w:pPr>
            <w:r>
              <w:rPr>
                <w:rFonts w:hint="eastAsia" w:ascii="Arial" w:hAnsi="Arial" w:cs="Arial"/>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Arial" w:hAnsi="Arial" w:cs="Arial"/>
                <w:color w:val="auto"/>
                <w:szCs w:val="21"/>
                <w:highlight w:val="none"/>
              </w:rPr>
            </w:pPr>
            <w:r>
              <w:rPr>
                <w:rFonts w:hint="eastAsia" w:ascii="Arial" w:hAnsi="Arial" w:cs="Arial"/>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Arial" w:hAnsi="Arial" w:cs="Arial"/>
                <w:color w:val="auto"/>
                <w:szCs w:val="21"/>
                <w:highlight w:val="none"/>
              </w:rPr>
            </w:pPr>
          </w:p>
        </w:tc>
        <w:tc>
          <w:tcPr>
            <w:tcW w:w="981" w:type="dxa"/>
            <w:tcBorders>
              <w:top w:val="single" w:color="auto" w:sz="4" w:space="0"/>
              <w:left w:val="single" w:color="auto" w:sz="4" w:space="0"/>
              <w:bottom w:val="doub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w:t>
            </w:r>
          </w:p>
        </w:tc>
        <w:tc>
          <w:tcPr>
            <w:tcW w:w="1810" w:type="dxa"/>
            <w:tcBorders>
              <w:top w:val="single" w:color="auto" w:sz="4" w:space="0"/>
              <w:left w:val="single" w:color="auto" w:sz="4" w:space="0"/>
              <w:bottom w:val="doub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投标文件份数</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Arial" w:hAnsi="Arial" w:cs="Arial"/>
                <w:color w:val="auto"/>
                <w:highlight w:val="none"/>
              </w:rPr>
            </w:pPr>
            <w:r>
              <w:rPr>
                <w:rFonts w:hint="eastAsia" w:ascii="Arial" w:hAnsi="Arial" w:cs="Arial"/>
                <w:color w:val="auto"/>
                <w:highlight w:val="none"/>
              </w:rPr>
              <w:t>投标文件为含电子签章的加密电子投标文件1套。</w:t>
            </w:r>
          </w:p>
          <w:p>
            <w:pPr>
              <w:rPr>
                <w:rFonts w:ascii="Arial" w:hAnsi="Arial" w:cs="Arial"/>
                <w:color w:val="auto"/>
                <w:szCs w:val="21"/>
                <w:highlight w:val="none"/>
              </w:rPr>
            </w:pPr>
            <w:r>
              <w:rPr>
                <w:rFonts w:hint="eastAsia" w:ascii="Arial" w:hAnsi="Arial" w:cs="Arial"/>
                <w:color w:val="auto"/>
                <w:highlight w:val="none"/>
              </w:rPr>
              <w:t>项目中标后，在发出中标通知书前，中标单位必须提供投标文件纸质版2套，电子版（造价部分需提供</w:t>
            </w:r>
            <w:r>
              <w:rPr>
                <w:rFonts w:hint="eastAsia" w:ascii="Arial" w:hAnsi="Arial" w:cs="Arial"/>
                <w:b/>
                <w:color w:val="auto"/>
                <w:highlight w:val="none"/>
                <w:u w:val="single"/>
              </w:rPr>
              <w:t>广联达或斯维尔</w:t>
            </w:r>
            <w:r>
              <w:rPr>
                <w:rFonts w:hint="eastAsia" w:ascii="Arial" w:hAnsi="Arial" w:cs="Arial"/>
                <w:color w:val="auto"/>
                <w:highlight w:val="none"/>
              </w:rPr>
              <w:t>软件版本及导出清单）1套。</w:t>
            </w:r>
          </w:p>
        </w:tc>
      </w:tr>
    </w:tbl>
    <w:p>
      <w:pPr>
        <w:spacing w:line="480" w:lineRule="auto"/>
        <w:rPr>
          <w:rFonts w:ascii="Arial" w:hAnsi="Arial" w:cs="Arial"/>
          <w:strike/>
          <w:color w:val="auto"/>
          <w:sz w:val="24"/>
          <w:highlight w:val="none"/>
        </w:rPr>
      </w:pPr>
      <w:r>
        <w:rPr>
          <w:rFonts w:hint="eastAsia" w:ascii="Arial" w:hAnsi="Arial" w:cs="Arial"/>
          <w:strike/>
          <w:color w:val="auto"/>
          <w:sz w:val="24"/>
          <w:highlight w:val="none"/>
        </w:rPr>
        <w:t>注：企业综合诚信评价得分即企业综合诚信评价60日诚信分，以下同。</w:t>
      </w:r>
    </w:p>
    <w:p>
      <w:pPr>
        <w:pStyle w:val="6"/>
        <w:rPr>
          <w:rFonts w:cs="Arial"/>
          <w:color w:val="auto"/>
          <w:highlight w:val="none"/>
        </w:rPr>
      </w:pPr>
      <w:r>
        <w:rPr>
          <w:rFonts w:cs="Arial"/>
          <w:color w:val="auto"/>
          <w:highlight w:val="none"/>
        </w:rPr>
        <w:br w:type="page"/>
      </w:r>
      <w:bookmarkStart w:id="4" w:name="_Toc2272547"/>
      <w:bookmarkStart w:id="5" w:name="_Toc101266280"/>
      <w:r>
        <w:rPr>
          <w:rFonts w:cs="Arial"/>
          <w:color w:val="auto"/>
          <w:highlight w:val="none"/>
        </w:rPr>
        <w:t>二、投标须知修改表</w:t>
      </w:r>
      <w:bookmarkEnd w:id="4"/>
      <w:bookmarkEnd w:id="5"/>
    </w:p>
    <w:p>
      <w:pPr>
        <w:pStyle w:val="2"/>
        <w:spacing w:line="360" w:lineRule="auto"/>
        <w:rPr>
          <w:rFonts w:ascii="Arial" w:hAnsi="Arial" w:cs="Arial"/>
          <w:b/>
          <w:color w:val="auto"/>
          <w:szCs w:val="21"/>
          <w:highlight w:val="none"/>
        </w:rPr>
      </w:pPr>
      <w:r>
        <w:rPr>
          <w:rFonts w:hint="eastAsia" w:ascii="Arial" w:hAnsi="Arial" w:cs="Arial"/>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条款号：2.5</w:t>
      </w:r>
      <w:r>
        <w:rPr>
          <w:rFonts w:ascii="Arial" w:hAnsi="Arial" w:cs="Arial"/>
          <w:b/>
          <w:color w:val="auto"/>
          <w:szCs w:val="21"/>
          <w:highlight w:val="none"/>
        </w:rPr>
        <w:t xml:space="preserve">    </w:t>
      </w:r>
      <w:r>
        <w:rPr>
          <w:rFonts w:hint="eastAsia" w:ascii="Arial" w:hAnsi="Arial" w:cs="Arial"/>
          <w:b/>
          <w:color w:val="auto"/>
          <w:szCs w:val="21"/>
          <w:highlight w:val="none"/>
        </w:rPr>
        <w:t>修改类型：增加</w:t>
      </w:r>
    </w:p>
    <w:p>
      <w:pPr>
        <w:pBdr>
          <w:bottom w:val="single" w:color="auto" w:sz="6" w:space="1"/>
        </w:pBd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现文：</w:t>
      </w:r>
      <w:r>
        <w:rPr>
          <w:rFonts w:ascii="Arial" w:hAnsi="Arial" w:cs="Arial"/>
          <w:color w:val="auto"/>
          <w:szCs w:val="21"/>
          <w:highlight w:val="none"/>
        </w:rPr>
        <w:t xml:space="preserve">2.5 </w:t>
      </w:r>
      <w:r>
        <w:rPr>
          <w:rFonts w:hint="eastAsia" w:ascii="Arial" w:hAnsi="Arial" w:cs="Arial"/>
          <w:color w:val="auto"/>
          <w:szCs w:val="21"/>
          <w:highlight w:val="non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5620"/>
        </w:tabs>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条款号：5.1</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tabs>
          <w:tab w:val="left" w:pos="5620"/>
        </w:tabs>
        <w:spacing w:line="360" w:lineRule="auto"/>
        <w:ind w:firstLine="472" w:firstLineChars="224"/>
        <w:rPr>
          <w:rFonts w:ascii="Arial" w:hAnsi="Arial" w:cs="Arial"/>
          <w:color w:val="auto"/>
          <w:szCs w:val="21"/>
          <w:highlight w:val="none"/>
        </w:rPr>
      </w:pPr>
      <w:r>
        <w:rPr>
          <w:rFonts w:hint="eastAsia" w:ascii="Arial" w:hAnsi="Arial" w:cs="Arial"/>
          <w:b/>
          <w:color w:val="auto"/>
          <w:szCs w:val="21"/>
          <w:highlight w:val="none"/>
        </w:rPr>
        <w:t>原文：5</w:t>
      </w:r>
      <w:r>
        <w:rPr>
          <w:rFonts w:hint="eastAsia" w:ascii="Arial" w:hAnsi="Arial" w:cs="Arial"/>
          <w:color w:val="auto"/>
          <w:szCs w:val="21"/>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22" w:firstLineChars="200"/>
        <w:rPr>
          <w:rFonts w:ascii="Arial" w:hAnsi="Arial" w:cs="Arial"/>
          <w:color w:val="auto"/>
          <w:szCs w:val="21"/>
          <w:highlight w:val="none"/>
          <w:u w:val="single"/>
        </w:rPr>
      </w:pPr>
      <w:r>
        <w:rPr>
          <w:rFonts w:hint="eastAsia" w:ascii="Arial" w:hAnsi="Arial" w:cs="Arial"/>
          <w:b/>
          <w:color w:val="auto"/>
          <w:szCs w:val="21"/>
          <w:highlight w:val="none"/>
        </w:rPr>
        <w:t>现文：</w:t>
      </w:r>
      <w:r>
        <w:rPr>
          <w:rFonts w:hint="eastAsia" w:ascii="Arial" w:hAnsi="Arial" w:cs="Arial"/>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Arial" w:hAnsi="Arial" w:cs="Arial"/>
          <w:color w:val="auto"/>
          <w:szCs w:val="21"/>
          <w:highlight w:val="none"/>
          <w:u w:val="single"/>
        </w:rPr>
        <w:t>投标人不进行踏勘的，视为已孰知现场条件，自行承担相关风险。</w:t>
      </w:r>
      <w:r>
        <w:rPr>
          <w:rFonts w:hint="eastAsia" w:ascii="Arial" w:hAnsi="Arial" w:cs="Arial"/>
          <w:color w:val="auto"/>
          <w:szCs w:val="21"/>
          <w:highlight w:val="none"/>
        </w:rPr>
        <w:t>一旦中标，这种考察即被认为其结果已在中标文件中得到充分反映。考察现场的费用由投标人自己承担。</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条款号：7.1</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原文：</w:t>
      </w:r>
      <w:r>
        <w:rPr>
          <w:rFonts w:ascii="Arial" w:hAnsi="Arial" w:cs="Arial"/>
          <w:bCs/>
          <w:color w:val="auto"/>
          <w:szCs w:val="21"/>
          <w:highlight w:val="none"/>
        </w:rPr>
        <w:t>7.1</w:t>
      </w:r>
      <w:r>
        <w:rPr>
          <w:rFonts w:hint="eastAsia" w:ascii="Arial" w:hAnsi="Arial" w:cs="Arial"/>
          <w:color w:val="auto"/>
          <w:szCs w:val="21"/>
          <w:highlight w:val="none"/>
        </w:rPr>
        <w:t>本招标文件包括下列文件，以及所有按本须知第8条发出的招标答疑会会议纪要和按本须知第9条发出的澄清或修改：</w:t>
      </w:r>
    </w:p>
    <w:p>
      <w:pPr>
        <w:pStyle w:val="2"/>
        <w:spacing w:after="0" w:line="360" w:lineRule="auto"/>
        <w:ind w:left="-2" w:firstLineChars="200"/>
        <w:rPr>
          <w:rFonts w:ascii="Arial" w:hAnsi="Arial" w:cs="Arial"/>
          <w:color w:val="auto"/>
          <w:szCs w:val="21"/>
          <w:highlight w:val="none"/>
        </w:rPr>
      </w:pPr>
      <w:r>
        <w:rPr>
          <w:rFonts w:hint="eastAsia" w:ascii="Arial" w:hAnsi="Arial" w:cs="Arial"/>
          <w:bCs/>
          <w:color w:val="auto"/>
          <w:szCs w:val="21"/>
          <w:highlight w:val="none"/>
        </w:rPr>
        <w:t xml:space="preserve">第一章  </w:t>
      </w:r>
      <w:r>
        <w:rPr>
          <w:rFonts w:hint="eastAsia" w:ascii="Arial" w:hAnsi="Arial" w:cs="Arial"/>
          <w:color w:val="auto"/>
          <w:szCs w:val="21"/>
          <w:highlight w:val="none"/>
        </w:rPr>
        <w:t>投标须知</w:t>
      </w:r>
    </w:p>
    <w:p>
      <w:pPr>
        <w:pStyle w:val="2"/>
        <w:spacing w:after="0" w:line="360" w:lineRule="auto"/>
        <w:ind w:left="-2" w:firstLineChars="200"/>
        <w:rPr>
          <w:rFonts w:ascii="Arial" w:hAnsi="Arial" w:cs="Arial"/>
          <w:color w:val="auto"/>
          <w:szCs w:val="21"/>
          <w:highlight w:val="none"/>
        </w:rPr>
      </w:pPr>
      <w:r>
        <w:rPr>
          <w:rFonts w:hint="eastAsia" w:ascii="Arial" w:hAnsi="Arial" w:cs="Arial"/>
          <w:bCs/>
          <w:color w:val="auto"/>
          <w:szCs w:val="21"/>
          <w:highlight w:val="none"/>
        </w:rPr>
        <w:t xml:space="preserve">第二章  </w:t>
      </w:r>
      <w:r>
        <w:rPr>
          <w:rFonts w:hint="eastAsia" w:ascii="Arial" w:hAnsi="Arial" w:cs="Arial"/>
          <w:color w:val="auto"/>
          <w:szCs w:val="21"/>
          <w:highlight w:val="none"/>
        </w:rPr>
        <w:t>开标、评标及定标办法</w:t>
      </w:r>
    </w:p>
    <w:p>
      <w:pPr>
        <w:pStyle w:val="2"/>
        <w:spacing w:after="0" w:line="360" w:lineRule="auto"/>
        <w:ind w:left="-2" w:firstLineChars="200"/>
        <w:rPr>
          <w:rFonts w:ascii="Arial" w:hAnsi="Arial" w:cs="Arial"/>
          <w:color w:val="auto"/>
          <w:szCs w:val="21"/>
          <w:highlight w:val="none"/>
        </w:rPr>
      </w:pPr>
      <w:r>
        <w:rPr>
          <w:rFonts w:hint="eastAsia" w:ascii="Arial" w:hAnsi="Arial" w:cs="Arial"/>
          <w:color w:val="auto"/>
          <w:szCs w:val="21"/>
          <w:highlight w:val="none"/>
        </w:rPr>
        <w:t>第三章</w:t>
      </w:r>
      <w:r>
        <w:rPr>
          <w:rFonts w:ascii="Arial" w:hAnsi="Arial" w:cs="Arial"/>
          <w:color w:val="auto"/>
          <w:szCs w:val="21"/>
          <w:highlight w:val="none"/>
        </w:rPr>
        <w:t xml:space="preserve">  </w:t>
      </w:r>
      <w:r>
        <w:rPr>
          <w:rFonts w:hint="eastAsia" w:ascii="Arial" w:hAnsi="Arial" w:cs="Arial"/>
          <w:color w:val="auto"/>
          <w:szCs w:val="21"/>
          <w:highlight w:val="none"/>
        </w:rPr>
        <w:t>合同条款</w:t>
      </w:r>
    </w:p>
    <w:p>
      <w:pPr>
        <w:pStyle w:val="2"/>
        <w:spacing w:after="0" w:line="360" w:lineRule="auto"/>
        <w:ind w:firstLineChars="200"/>
        <w:rPr>
          <w:rFonts w:ascii="Arial" w:hAnsi="Arial" w:cs="Arial"/>
          <w:color w:val="auto"/>
          <w:szCs w:val="21"/>
          <w:highlight w:val="none"/>
        </w:rPr>
      </w:pPr>
      <w:r>
        <w:rPr>
          <w:rFonts w:hint="eastAsia" w:ascii="Arial" w:hAnsi="Arial" w:cs="Arial"/>
          <w:bCs/>
          <w:color w:val="auto"/>
          <w:szCs w:val="21"/>
          <w:highlight w:val="none"/>
        </w:rPr>
        <w:t xml:space="preserve">第四章  </w:t>
      </w:r>
      <w:r>
        <w:rPr>
          <w:rFonts w:hint="eastAsia" w:ascii="Arial" w:hAnsi="Arial" w:cs="Arial"/>
          <w:color w:val="auto"/>
          <w:szCs w:val="21"/>
          <w:highlight w:val="none"/>
        </w:rPr>
        <w:t>投标文件格式</w:t>
      </w:r>
    </w:p>
    <w:p>
      <w:pPr>
        <w:pStyle w:val="2"/>
        <w:spacing w:after="0" w:line="360" w:lineRule="auto"/>
        <w:ind w:left="-2" w:firstLineChars="200"/>
        <w:rPr>
          <w:rFonts w:ascii="Arial" w:hAnsi="Arial" w:cs="Arial"/>
          <w:color w:val="auto"/>
          <w:szCs w:val="21"/>
          <w:highlight w:val="none"/>
        </w:rPr>
      </w:pPr>
      <w:r>
        <w:rPr>
          <w:rFonts w:hint="eastAsia" w:ascii="Arial" w:hAnsi="Arial" w:cs="Arial"/>
          <w:bCs/>
          <w:color w:val="auto"/>
          <w:szCs w:val="21"/>
          <w:highlight w:val="none"/>
        </w:rPr>
        <w:t xml:space="preserve">第五章  </w:t>
      </w:r>
      <w:r>
        <w:rPr>
          <w:rFonts w:hint="eastAsia" w:ascii="Arial" w:hAnsi="Arial" w:cs="Arial"/>
          <w:color w:val="auto"/>
          <w:szCs w:val="21"/>
          <w:highlight w:val="none"/>
        </w:rPr>
        <w:t>技术条件（工程建设标准）（另册）</w:t>
      </w:r>
    </w:p>
    <w:p>
      <w:pPr>
        <w:pStyle w:val="2"/>
        <w:spacing w:after="0" w:line="360" w:lineRule="auto"/>
        <w:ind w:left="-2" w:firstLineChars="200"/>
        <w:rPr>
          <w:rFonts w:ascii="Arial" w:hAnsi="Arial" w:cs="Arial"/>
          <w:color w:val="auto"/>
          <w:szCs w:val="21"/>
          <w:highlight w:val="none"/>
        </w:rPr>
      </w:pPr>
      <w:r>
        <w:rPr>
          <w:rFonts w:hint="eastAsia" w:ascii="Arial" w:hAnsi="Arial" w:cs="Arial"/>
          <w:bCs/>
          <w:color w:val="auto"/>
          <w:szCs w:val="21"/>
          <w:highlight w:val="none"/>
        </w:rPr>
        <w:t xml:space="preserve">第六章  </w:t>
      </w:r>
      <w:r>
        <w:rPr>
          <w:rFonts w:hint="eastAsia" w:ascii="Arial" w:hAnsi="Arial" w:cs="Arial"/>
          <w:color w:val="auto"/>
          <w:szCs w:val="21"/>
          <w:highlight w:val="none"/>
        </w:rPr>
        <w:t>图纸及勘察资料（另册）</w:t>
      </w:r>
    </w:p>
    <w:p>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第七章</w:t>
      </w:r>
      <w:r>
        <w:rPr>
          <w:rFonts w:ascii="Arial" w:hAnsi="Arial" w:cs="Arial"/>
          <w:color w:val="auto"/>
          <w:szCs w:val="21"/>
          <w:highlight w:val="none"/>
        </w:rPr>
        <w:t xml:space="preserve">  </w:t>
      </w:r>
      <w:r>
        <w:rPr>
          <w:rFonts w:hint="eastAsia" w:ascii="Arial" w:hAnsi="Arial" w:cs="Arial"/>
          <w:color w:val="auto"/>
          <w:szCs w:val="21"/>
          <w:highlight w:val="none"/>
        </w:rPr>
        <w:t>招标工程量清单（另册）</w:t>
      </w:r>
    </w:p>
    <w:p>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第八章</w:t>
      </w:r>
      <w:r>
        <w:rPr>
          <w:rFonts w:ascii="Arial" w:hAnsi="Arial" w:cs="Arial"/>
          <w:color w:val="auto"/>
          <w:szCs w:val="21"/>
          <w:highlight w:val="none"/>
        </w:rPr>
        <w:t xml:space="preserve">  </w:t>
      </w:r>
      <w:r>
        <w:rPr>
          <w:rFonts w:hint="eastAsia" w:ascii="Arial" w:hAnsi="Arial" w:cs="Arial"/>
          <w:color w:val="auto"/>
          <w:szCs w:val="21"/>
          <w:highlight w:val="none"/>
        </w:rPr>
        <w:t>最高投标限价</w:t>
      </w:r>
    </w:p>
    <w:p>
      <w:pPr>
        <w:spacing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ascii="Arial" w:hAnsi="Arial" w:cs="Arial"/>
          <w:bCs/>
          <w:color w:val="auto"/>
          <w:szCs w:val="21"/>
          <w:highlight w:val="none"/>
        </w:rPr>
        <w:t>7.1</w:t>
      </w:r>
      <w:r>
        <w:rPr>
          <w:rFonts w:hint="eastAsia" w:ascii="Arial" w:hAnsi="Arial" w:cs="Arial"/>
          <w:color w:val="auto"/>
          <w:szCs w:val="21"/>
          <w:highlight w:val="none"/>
        </w:rPr>
        <w:t>本招标文件包括下列文件，以及所有按本须知第8条发出的招标答疑会会议纪要和按本须知第9条发出的澄清或修改：</w:t>
      </w:r>
    </w:p>
    <w:p>
      <w:pPr>
        <w:pStyle w:val="2"/>
        <w:spacing w:after="0" w:line="360" w:lineRule="auto"/>
        <w:ind w:left="-2" w:firstLineChars="200"/>
        <w:rPr>
          <w:rFonts w:ascii="Arial" w:hAnsi="Arial" w:cs="Arial"/>
          <w:color w:val="auto"/>
          <w:szCs w:val="21"/>
          <w:highlight w:val="none"/>
        </w:rPr>
      </w:pPr>
      <w:r>
        <w:rPr>
          <w:rFonts w:hint="eastAsia" w:ascii="Arial" w:hAnsi="Arial" w:cs="Arial"/>
          <w:bCs/>
          <w:color w:val="auto"/>
          <w:szCs w:val="21"/>
          <w:highlight w:val="none"/>
        </w:rPr>
        <w:t xml:space="preserve">第一章  </w:t>
      </w:r>
      <w:r>
        <w:rPr>
          <w:rFonts w:hint="eastAsia" w:ascii="Arial" w:hAnsi="Arial" w:cs="Arial"/>
          <w:color w:val="auto"/>
          <w:szCs w:val="21"/>
          <w:highlight w:val="none"/>
        </w:rPr>
        <w:t>投标须知</w:t>
      </w:r>
    </w:p>
    <w:p>
      <w:pPr>
        <w:pStyle w:val="2"/>
        <w:spacing w:after="0" w:line="360" w:lineRule="auto"/>
        <w:ind w:left="-2" w:firstLineChars="200"/>
        <w:rPr>
          <w:rFonts w:ascii="Arial" w:hAnsi="Arial" w:cs="Arial"/>
          <w:color w:val="auto"/>
          <w:szCs w:val="21"/>
          <w:highlight w:val="none"/>
        </w:rPr>
      </w:pPr>
      <w:r>
        <w:rPr>
          <w:rFonts w:hint="eastAsia" w:ascii="Arial" w:hAnsi="Arial" w:cs="Arial"/>
          <w:bCs/>
          <w:color w:val="auto"/>
          <w:szCs w:val="21"/>
          <w:highlight w:val="none"/>
        </w:rPr>
        <w:t xml:space="preserve">第二章  </w:t>
      </w:r>
      <w:r>
        <w:rPr>
          <w:rFonts w:hint="eastAsia" w:ascii="Arial" w:hAnsi="Arial" w:cs="Arial"/>
          <w:color w:val="auto"/>
          <w:szCs w:val="21"/>
          <w:highlight w:val="none"/>
        </w:rPr>
        <w:t>开标、评标及定标办法</w:t>
      </w:r>
    </w:p>
    <w:p>
      <w:pPr>
        <w:pStyle w:val="2"/>
        <w:spacing w:after="0" w:line="360" w:lineRule="auto"/>
        <w:ind w:left="-2" w:firstLineChars="200"/>
        <w:rPr>
          <w:rFonts w:ascii="Arial" w:hAnsi="Arial" w:cs="Arial"/>
          <w:color w:val="auto"/>
          <w:szCs w:val="21"/>
          <w:highlight w:val="none"/>
          <w:u w:val="single"/>
        </w:rPr>
      </w:pPr>
      <w:r>
        <w:rPr>
          <w:rFonts w:hint="eastAsia" w:ascii="Arial" w:hAnsi="Arial" w:cs="Arial"/>
          <w:color w:val="auto"/>
          <w:szCs w:val="21"/>
          <w:highlight w:val="none"/>
          <w:u w:val="single"/>
        </w:rPr>
        <w:t>第三章</w:t>
      </w:r>
      <w:r>
        <w:rPr>
          <w:rFonts w:ascii="Arial" w:hAnsi="Arial" w:cs="Arial"/>
          <w:color w:val="auto"/>
          <w:szCs w:val="21"/>
          <w:highlight w:val="none"/>
          <w:u w:val="single"/>
        </w:rPr>
        <w:t xml:space="preserve">  </w:t>
      </w:r>
      <w:r>
        <w:rPr>
          <w:rFonts w:hint="eastAsia" w:ascii="Arial" w:hAnsi="Arial" w:cs="Arial"/>
          <w:color w:val="auto"/>
          <w:szCs w:val="21"/>
          <w:highlight w:val="none"/>
          <w:u w:val="single"/>
        </w:rPr>
        <w:t>合同条款（另册）</w:t>
      </w:r>
    </w:p>
    <w:p>
      <w:pPr>
        <w:pStyle w:val="2"/>
        <w:spacing w:after="0" w:line="360" w:lineRule="auto"/>
        <w:ind w:firstLineChars="200"/>
        <w:rPr>
          <w:rFonts w:ascii="Arial" w:hAnsi="Arial" w:cs="Arial"/>
          <w:color w:val="auto"/>
          <w:szCs w:val="21"/>
          <w:highlight w:val="none"/>
        </w:rPr>
      </w:pPr>
      <w:r>
        <w:rPr>
          <w:rFonts w:hint="eastAsia" w:ascii="Arial" w:hAnsi="Arial" w:cs="Arial"/>
          <w:bCs/>
          <w:color w:val="auto"/>
          <w:szCs w:val="21"/>
          <w:highlight w:val="none"/>
        </w:rPr>
        <w:t xml:space="preserve">第四章  </w:t>
      </w:r>
      <w:r>
        <w:rPr>
          <w:rFonts w:hint="eastAsia" w:ascii="Arial" w:hAnsi="Arial" w:cs="Arial"/>
          <w:color w:val="auto"/>
          <w:szCs w:val="21"/>
          <w:highlight w:val="none"/>
        </w:rPr>
        <w:t>投标文件格式</w:t>
      </w:r>
    </w:p>
    <w:p>
      <w:pPr>
        <w:pStyle w:val="2"/>
        <w:spacing w:after="0" w:line="360" w:lineRule="auto"/>
        <w:ind w:left="-2" w:firstLineChars="200"/>
        <w:rPr>
          <w:rFonts w:ascii="Arial" w:hAnsi="Arial" w:cs="Arial"/>
          <w:color w:val="auto"/>
          <w:szCs w:val="21"/>
          <w:highlight w:val="none"/>
          <w:u w:val="single"/>
        </w:rPr>
      </w:pPr>
      <w:r>
        <w:rPr>
          <w:rFonts w:hint="eastAsia" w:ascii="Arial" w:hAnsi="Arial" w:cs="Arial"/>
          <w:bCs/>
          <w:color w:val="auto"/>
          <w:szCs w:val="21"/>
          <w:highlight w:val="none"/>
          <w:u w:val="single"/>
        </w:rPr>
        <w:t xml:space="preserve">第五章  </w:t>
      </w:r>
      <w:r>
        <w:rPr>
          <w:rFonts w:hint="eastAsia" w:ascii="Arial" w:hAnsi="Arial" w:cs="Arial"/>
          <w:color w:val="auto"/>
          <w:szCs w:val="21"/>
          <w:highlight w:val="none"/>
          <w:u w:val="single"/>
        </w:rPr>
        <w:t>技术条件（工程建设标准）（附件1技术条件）</w:t>
      </w:r>
    </w:p>
    <w:p>
      <w:pPr>
        <w:pStyle w:val="2"/>
        <w:spacing w:after="0" w:line="360" w:lineRule="auto"/>
        <w:ind w:left="-2" w:firstLineChars="200"/>
        <w:rPr>
          <w:rFonts w:ascii="Arial" w:hAnsi="Arial" w:cs="Arial"/>
          <w:color w:val="auto"/>
          <w:szCs w:val="21"/>
          <w:highlight w:val="none"/>
        </w:rPr>
      </w:pPr>
      <w:r>
        <w:rPr>
          <w:rFonts w:hint="eastAsia" w:ascii="Arial" w:hAnsi="Arial" w:cs="Arial"/>
          <w:bCs/>
          <w:color w:val="auto"/>
          <w:szCs w:val="21"/>
          <w:highlight w:val="none"/>
        </w:rPr>
        <w:t xml:space="preserve">第六章  </w:t>
      </w:r>
      <w:r>
        <w:rPr>
          <w:rFonts w:hint="eastAsia" w:ascii="Arial" w:hAnsi="Arial" w:cs="Arial"/>
          <w:color w:val="auto"/>
          <w:szCs w:val="21"/>
          <w:highlight w:val="none"/>
        </w:rPr>
        <w:t>图纸及勘察资料（另册）</w:t>
      </w:r>
    </w:p>
    <w:p>
      <w:pPr>
        <w:pStyle w:val="2"/>
        <w:spacing w:after="0" w:line="360" w:lineRule="auto"/>
        <w:ind w:left="-2" w:firstLineChars="200"/>
        <w:rPr>
          <w:rFonts w:ascii="Arial" w:hAnsi="Arial" w:cs="Arial"/>
          <w:color w:val="auto"/>
          <w:szCs w:val="21"/>
          <w:highlight w:val="none"/>
        </w:rPr>
      </w:pPr>
      <w:r>
        <w:rPr>
          <w:rFonts w:hint="eastAsia" w:ascii="Arial" w:hAnsi="Arial" w:cs="Arial"/>
          <w:bCs/>
          <w:color w:val="auto"/>
          <w:szCs w:val="21"/>
          <w:highlight w:val="none"/>
        </w:rPr>
        <w:t>第七章</w:t>
      </w:r>
      <w:r>
        <w:rPr>
          <w:rFonts w:ascii="Arial" w:hAnsi="Arial" w:cs="Arial"/>
          <w:bCs/>
          <w:color w:val="auto"/>
          <w:szCs w:val="21"/>
          <w:highlight w:val="none"/>
        </w:rPr>
        <w:t xml:space="preserve">  </w:t>
      </w:r>
      <w:r>
        <w:rPr>
          <w:rFonts w:hint="eastAsia" w:ascii="Arial" w:hAnsi="Arial" w:cs="Arial"/>
          <w:bCs/>
          <w:color w:val="auto"/>
          <w:szCs w:val="21"/>
          <w:highlight w:val="none"/>
        </w:rPr>
        <w:t>招标</w:t>
      </w:r>
      <w:r>
        <w:rPr>
          <w:rFonts w:hint="eastAsia" w:ascii="Arial" w:hAnsi="Arial" w:cs="Arial"/>
          <w:color w:val="auto"/>
          <w:szCs w:val="21"/>
          <w:highlight w:val="none"/>
        </w:rPr>
        <w:t xml:space="preserve">工程量清单（另册） </w:t>
      </w:r>
    </w:p>
    <w:p>
      <w:pPr>
        <w:pBdr>
          <w:bottom w:val="single" w:color="auto" w:sz="6" w:space="1"/>
        </w:pBdr>
        <w:spacing w:line="360" w:lineRule="auto"/>
        <w:ind w:firstLine="420" w:firstLineChars="200"/>
        <w:rPr>
          <w:rFonts w:ascii="Arial" w:hAnsi="Arial" w:cs="Arial"/>
          <w:b/>
          <w:color w:val="auto"/>
          <w:szCs w:val="21"/>
          <w:highlight w:val="none"/>
        </w:rPr>
      </w:pPr>
      <w:r>
        <w:rPr>
          <w:rFonts w:hint="eastAsia" w:ascii="Arial" w:hAnsi="Arial" w:cs="Arial"/>
          <w:color w:val="auto"/>
          <w:szCs w:val="21"/>
          <w:highlight w:val="none"/>
        </w:rPr>
        <w:t>第八章</w:t>
      </w:r>
      <w:r>
        <w:rPr>
          <w:rFonts w:ascii="Arial" w:hAnsi="Arial" w:cs="Arial"/>
          <w:color w:val="auto"/>
          <w:szCs w:val="21"/>
          <w:highlight w:val="none"/>
        </w:rPr>
        <w:t xml:space="preserve">  </w:t>
      </w:r>
      <w:r>
        <w:rPr>
          <w:rFonts w:hint="eastAsia" w:ascii="Arial" w:hAnsi="Arial" w:cs="Arial"/>
          <w:color w:val="auto"/>
          <w:szCs w:val="21"/>
          <w:highlight w:val="none"/>
        </w:rPr>
        <w:t>最高投标限价</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b/>
          <w:color w:val="auto"/>
          <w:szCs w:val="21"/>
          <w:highlight w:val="none"/>
        </w:rPr>
        <w:t xml:space="preserve"> 8.1           </w:t>
      </w:r>
      <w:r>
        <w:rPr>
          <w:rFonts w:hint="eastAsia" w:ascii="Arial" w:hAnsi="Arial" w:cs="Arial"/>
          <w:b/>
          <w:color w:val="auto"/>
          <w:szCs w:val="21"/>
          <w:highlight w:val="none"/>
        </w:rPr>
        <w:t>修改类型：修改</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原文：</w:t>
      </w:r>
      <w:r>
        <w:rPr>
          <w:rFonts w:ascii="Arial" w:hAnsi="Arial" w:cs="Arial"/>
          <w:color w:val="auto"/>
          <w:szCs w:val="21"/>
          <w:highlight w:val="none"/>
        </w:rPr>
        <w:t xml:space="preserve">8.1 </w:t>
      </w:r>
      <w:r>
        <w:rPr>
          <w:rFonts w:hint="eastAsia" w:ascii="Arial" w:hAnsi="Arial" w:cs="Arial"/>
          <w:color w:val="auto"/>
          <w:szCs w:val="21"/>
          <w:highlight w:val="none"/>
        </w:rPr>
        <w:t>投标人若对招标文件（包括招标图纸）中有疑问，可以书面形式通过</w:t>
      </w:r>
      <w:r>
        <w:rPr>
          <w:rFonts w:ascii="Arial" w:hAnsi="Arial" w:cs="Arial"/>
          <w:color w:val="auto"/>
          <w:szCs w:val="21"/>
          <w:highlight w:val="none"/>
          <w:u w:val="single"/>
        </w:rPr>
        <w:t xml:space="preserve">        </w:t>
      </w:r>
      <w:r>
        <w:rPr>
          <w:rFonts w:hint="eastAsia" w:ascii="Arial" w:hAnsi="Arial" w:cs="Arial"/>
          <w:color w:val="auto"/>
          <w:szCs w:val="21"/>
          <w:highlight w:val="none"/>
        </w:rPr>
        <w:t>交易平台提交给招标人或招标代理人，提交形式见本须知前附表第16项。</w:t>
      </w:r>
    </w:p>
    <w:p>
      <w:pPr>
        <w:pBdr>
          <w:bottom w:val="single" w:color="auto" w:sz="6" w:space="1"/>
        </w:pBdr>
        <w:spacing w:line="360" w:lineRule="auto"/>
        <w:ind w:firstLine="527" w:firstLineChars="250"/>
        <w:rPr>
          <w:rFonts w:ascii="Arial" w:hAnsi="Arial" w:cs="Arial"/>
          <w:color w:val="auto"/>
          <w:szCs w:val="21"/>
          <w:highlight w:val="none"/>
        </w:rPr>
      </w:pPr>
      <w:r>
        <w:rPr>
          <w:rFonts w:hint="eastAsia" w:ascii="Arial" w:hAnsi="Arial" w:cs="Arial"/>
          <w:b/>
          <w:color w:val="auto"/>
          <w:szCs w:val="21"/>
          <w:highlight w:val="none"/>
        </w:rPr>
        <w:t>现文：</w:t>
      </w:r>
      <w:r>
        <w:rPr>
          <w:rFonts w:ascii="Arial" w:hAnsi="Arial" w:cs="Arial"/>
          <w:color w:val="auto"/>
          <w:szCs w:val="21"/>
          <w:highlight w:val="none"/>
        </w:rPr>
        <w:t>8.1</w:t>
      </w:r>
      <w:r>
        <w:rPr>
          <w:rFonts w:hint="eastAsia" w:ascii="Arial" w:hAnsi="Arial" w:cs="Arial"/>
          <w:color w:val="auto"/>
          <w:szCs w:val="21"/>
          <w:highlight w:val="none"/>
        </w:rPr>
        <w:t>招标答疑采用网上答疑方式进行。投标人若对招标文件（包括招标图纸、工程量清单、招标控制价、合同条款）有疑问的，可在投标须知前附表16项规定的时间内通过广州公共资源交易中心交易平台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w:t>
      </w:r>
      <w:r>
        <w:rPr>
          <w:rFonts w:ascii="Arial" w:hAnsi="Arial" w:cs="Arial"/>
          <w:color w:val="auto"/>
          <w:szCs w:val="21"/>
          <w:highlight w:val="none"/>
        </w:rPr>
        <w:t xml:space="preserve"> </w:t>
      </w:r>
      <w:r>
        <w:rPr>
          <w:rFonts w:hint="eastAsia" w:ascii="Arial" w:hAnsi="Arial" w:cs="Arial"/>
          <w:color w:val="auto"/>
          <w:szCs w:val="21"/>
          <w:highlight w:val="none"/>
        </w:rPr>
        <w:t>→输入密码（密码为：123456）进入到提问区域→提出问题(提问一律不得署名)以及查看所有的问题。</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b/>
          <w:color w:val="auto"/>
          <w:szCs w:val="21"/>
          <w:highlight w:val="none"/>
        </w:rPr>
        <w:t xml:space="preserve"> 8.2           </w:t>
      </w:r>
      <w:r>
        <w:rPr>
          <w:rFonts w:hint="eastAsia" w:ascii="Arial" w:hAnsi="Arial" w:cs="Arial"/>
          <w:b/>
          <w:color w:val="auto"/>
          <w:szCs w:val="21"/>
          <w:highlight w:val="none"/>
        </w:rPr>
        <w:t>修改类型：修改</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原文：</w:t>
      </w:r>
      <w:r>
        <w:rPr>
          <w:rFonts w:hint="eastAsia" w:ascii="Arial" w:hAnsi="Arial" w:cs="Arial"/>
          <w:color w:val="auto"/>
          <w:highlight w:val="none"/>
        </w:rPr>
        <w:t>8.2招标答疑会会议纪要将在提交投标文件截止时间15日前在</w:t>
      </w:r>
      <w:r>
        <w:rPr>
          <w:rFonts w:ascii="Arial" w:hAnsi="Arial" w:cs="Arial"/>
          <w:color w:val="auto"/>
          <w:szCs w:val="24"/>
          <w:highlight w:val="none"/>
          <w:u w:val="single"/>
        </w:rPr>
        <w:t xml:space="preserve">        </w:t>
      </w:r>
      <w:r>
        <w:rPr>
          <w:rFonts w:hint="eastAsia" w:ascii="Arial" w:hAnsi="Arial" w:cs="Arial"/>
          <w:color w:val="auto"/>
          <w:szCs w:val="24"/>
          <w:highlight w:val="none"/>
        </w:rPr>
        <w:t>交易平台</w:t>
      </w:r>
      <w:r>
        <w:rPr>
          <w:rFonts w:hint="eastAsia" w:ascii="Arial" w:hAnsi="Arial" w:cs="Arial"/>
          <w:color w:val="auto"/>
          <w:highlight w:val="none"/>
        </w:rPr>
        <w:t xml:space="preserve"> “项目答疑纪要”专区公开发布。答疑纪要一经在</w:t>
      </w:r>
      <w:r>
        <w:rPr>
          <w:rFonts w:ascii="Arial" w:hAnsi="Arial" w:cs="Arial"/>
          <w:color w:val="auto"/>
          <w:szCs w:val="24"/>
          <w:highlight w:val="none"/>
          <w:u w:val="single"/>
        </w:rPr>
        <w:t xml:space="preserve">        </w:t>
      </w:r>
      <w:r>
        <w:rPr>
          <w:rFonts w:hint="eastAsia" w:ascii="Arial" w:hAnsi="Arial" w:cs="Arial"/>
          <w:color w:val="auto"/>
          <w:szCs w:val="24"/>
          <w:highlight w:val="none"/>
        </w:rPr>
        <w:t>交易平台</w:t>
      </w:r>
      <w:r>
        <w:rPr>
          <w:rFonts w:hint="eastAsia" w:ascii="Arial" w:hAnsi="Arial" w:cs="Arial"/>
          <w:color w:val="auto"/>
          <w:highlight w:val="none"/>
        </w:rPr>
        <w:t>发布，视作已发放给所有投标人。</w:t>
      </w:r>
    </w:p>
    <w:p>
      <w:pPr>
        <w:pBdr>
          <w:bottom w:val="single" w:color="auto" w:sz="6" w:space="1"/>
        </w:pBdr>
        <w:spacing w:line="360" w:lineRule="auto"/>
        <w:ind w:firstLine="527" w:firstLineChars="250"/>
        <w:rPr>
          <w:rFonts w:ascii="Arial" w:hAnsi="Arial" w:cs="Arial"/>
          <w:color w:val="auto"/>
          <w:highlight w:val="none"/>
        </w:rPr>
      </w:pPr>
      <w:r>
        <w:rPr>
          <w:rFonts w:hint="eastAsia" w:ascii="Arial" w:hAnsi="Arial" w:cs="Arial"/>
          <w:b/>
          <w:color w:val="auto"/>
          <w:szCs w:val="21"/>
          <w:highlight w:val="none"/>
        </w:rPr>
        <w:t>现文：</w:t>
      </w:r>
      <w:r>
        <w:rPr>
          <w:rFonts w:hint="eastAsia" w:ascii="Arial" w:hAnsi="Arial" w:cs="Arial"/>
          <w:color w:val="auto"/>
          <w:highlight w:val="none"/>
        </w:rPr>
        <w:t>8.2招标答疑会会议纪要将在提交投标文件截止时间15日前在</w:t>
      </w:r>
      <w:r>
        <w:rPr>
          <w:rFonts w:hint="eastAsia" w:ascii="Arial" w:hAnsi="Arial" w:cs="Arial"/>
          <w:color w:val="auto"/>
          <w:szCs w:val="21"/>
          <w:highlight w:val="none"/>
          <w:u w:val="single"/>
        </w:rPr>
        <w:t xml:space="preserve">广州公共资源交易中心 </w:t>
      </w:r>
      <w:r>
        <w:rPr>
          <w:rFonts w:ascii="Arial" w:hAnsi="Arial" w:cs="Arial"/>
          <w:color w:val="auto"/>
          <w:szCs w:val="24"/>
          <w:highlight w:val="none"/>
          <w:u w:val="single"/>
        </w:rPr>
        <w:t xml:space="preserve">  </w:t>
      </w:r>
      <w:r>
        <w:rPr>
          <w:rFonts w:hint="eastAsia" w:ascii="Arial" w:hAnsi="Arial" w:cs="Arial"/>
          <w:color w:val="auto"/>
          <w:szCs w:val="24"/>
          <w:highlight w:val="none"/>
        </w:rPr>
        <w:t>交易平台</w:t>
      </w:r>
      <w:r>
        <w:rPr>
          <w:rFonts w:hint="eastAsia" w:ascii="Arial" w:hAnsi="Arial" w:cs="Arial"/>
          <w:color w:val="auto"/>
          <w:highlight w:val="none"/>
        </w:rPr>
        <w:t xml:space="preserve"> “项目答疑纪要”专区公开发布。答疑纪要一经在</w:t>
      </w:r>
      <w:r>
        <w:rPr>
          <w:rFonts w:hint="eastAsia" w:ascii="Arial" w:hAnsi="Arial" w:cs="Arial"/>
          <w:color w:val="auto"/>
          <w:szCs w:val="21"/>
          <w:highlight w:val="none"/>
          <w:u w:val="single"/>
        </w:rPr>
        <w:t xml:space="preserve">广州公共资源交易中心 </w:t>
      </w:r>
      <w:r>
        <w:rPr>
          <w:rFonts w:ascii="Arial" w:hAnsi="Arial" w:cs="Arial"/>
          <w:color w:val="auto"/>
          <w:szCs w:val="24"/>
          <w:highlight w:val="none"/>
          <w:u w:val="single"/>
        </w:rPr>
        <w:t xml:space="preserve">  </w:t>
      </w:r>
      <w:r>
        <w:rPr>
          <w:rFonts w:hint="eastAsia" w:ascii="Arial" w:hAnsi="Arial" w:cs="Arial"/>
          <w:color w:val="auto"/>
          <w:szCs w:val="24"/>
          <w:highlight w:val="none"/>
        </w:rPr>
        <w:t>交易平台</w:t>
      </w:r>
      <w:r>
        <w:rPr>
          <w:rFonts w:hint="eastAsia" w:ascii="Arial" w:hAnsi="Arial" w:cs="Arial"/>
          <w:color w:val="auto"/>
          <w:highlight w:val="none"/>
        </w:rPr>
        <w:t>发布，视作已发放给所有投标人。</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条款号：9.2</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480" w:lineRule="auto"/>
        <w:ind w:firstLine="472" w:firstLineChars="224"/>
        <w:rPr>
          <w:rFonts w:ascii="Arial" w:hAnsi="Arial" w:cs="Arial"/>
          <w:b/>
          <w:color w:val="auto"/>
          <w:sz w:val="18"/>
          <w:szCs w:val="21"/>
          <w:highlight w:val="none"/>
        </w:rPr>
      </w:pPr>
      <w:r>
        <w:rPr>
          <w:rFonts w:hint="eastAsia" w:ascii="Arial" w:hAnsi="Arial" w:cs="Arial"/>
          <w:b/>
          <w:color w:val="auto"/>
          <w:szCs w:val="21"/>
          <w:highlight w:val="none"/>
        </w:rPr>
        <w:t>原文：</w:t>
      </w:r>
      <w:r>
        <w:rPr>
          <w:rFonts w:hint="eastAsia" w:ascii="Arial" w:hAnsi="Arial" w:cs="Arial"/>
          <w:color w:val="auto"/>
          <w:highlight w:val="none"/>
        </w:rPr>
        <w:t>9.2招标文件的澄清或修改将在</w:t>
      </w:r>
      <w:r>
        <w:rPr>
          <w:rFonts w:ascii="Arial" w:hAnsi="Arial" w:cs="Arial"/>
          <w:color w:val="auto"/>
          <w:szCs w:val="24"/>
          <w:highlight w:val="none"/>
          <w:u w:val="single"/>
        </w:rPr>
        <w:t xml:space="preserve">        </w:t>
      </w:r>
      <w:r>
        <w:rPr>
          <w:rFonts w:hint="eastAsia" w:ascii="Arial" w:hAnsi="Arial" w:cs="Arial"/>
          <w:color w:val="auto"/>
          <w:szCs w:val="24"/>
          <w:highlight w:val="none"/>
        </w:rPr>
        <w:t>交易平台</w:t>
      </w:r>
      <w:r>
        <w:rPr>
          <w:rFonts w:hint="eastAsia" w:ascii="Arial" w:hAnsi="Arial" w:cs="Arial"/>
          <w:color w:val="auto"/>
          <w:highlight w:val="none"/>
        </w:rPr>
        <w:t>“项目答疑纪要”专区公开发布。答疑纪要一经在</w:t>
      </w:r>
      <w:r>
        <w:rPr>
          <w:rFonts w:ascii="Arial" w:hAnsi="Arial" w:cs="Arial"/>
          <w:color w:val="auto"/>
          <w:szCs w:val="24"/>
          <w:highlight w:val="none"/>
          <w:u w:val="single"/>
        </w:rPr>
        <w:t xml:space="preserve">        </w:t>
      </w:r>
      <w:r>
        <w:rPr>
          <w:rFonts w:hint="eastAsia" w:ascii="Arial" w:hAnsi="Arial" w:cs="Arial"/>
          <w:color w:val="auto"/>
          <w:szCs w:val="24"/>
          <w:highlight w:val="none"/>
        </w:rPr>
        <w:t>交易平台</w:t>
      </w:r>
      <w:r>
        <w:rPr>
          <w:rFonts w:hint="eastAsia" w:ascii="Arial" w:hAnsi="Arial" w:cs="Arial"/>
          <w:color w:val="auto"/>
          <w:highlight w:val="none"/>
        </w:rPr>
        <w:t>发布，视作已发放给所有投标人，以</w:t>
      </w:r>
      <w:r>
        <w:rPr>
          <w:rFonts w:ascii="Arial" w:hAnsi="Arial" w:cs="Arial"/>
          <w:color w:val="auto"/>
          <w:szCs w:val="24"/>
          <w:highlight w:val="none"/>
          <w:u w:val="single"/>
        </w:rPr>
        <w:t xml:space="preserve">        </w:t>
      </w:r>
      <w:r>
        <w:rPr>
          <w:rFonts w:hint="eastAsia" w:ascii="Arial" w:hAnsi="Arial" w:cs="Arial"/>
          <w:color w:val="auto"/>
          <w:szCs w:val="24"/>
          <w:highlight w:val="none"/>
        </w:rPr>
        <w:t>交易平台</w:t>
      </w:r>
      <w:r>
        <w:rPr>
          <w:rFonts w:hint="eastAsia" w:ascii="Arial" w:hAnsi="Arial" w:cs="Arial"/>
          <w:color w:val="auto"/>
          <w:highlight w:val="none"/>
        </w:rPr>
        <w:t>上网发布时间作为送达时间。</w:t>
      </w:r>
    </w:p>
    <w:p>
      <w:pPr>
        <w:spacing w:line="440" w:lineRule="exact"/>
        <w:ind w:firstLine="472" w:firstLineChars="224"/>
        <w:rPr>
          <w:rFonts w:ascii="Arial" w:hAnsi="Arial" w:cs="Arial"/>
          <w:bCs/>
          <w:color w:val="auto"/>
          <w:sz w:val="24"/>
          <w:highlight w:val="none"/>
          <w:u w:val="single"/>
        </w:rPr>
      </w:pPr>
      <w:r>
        <w:rPr>
          <w:rFonts w:hint="eastAsia" w:ascii="Arial" w:hAnsi="Arial" w:cs="Arial"/>
          <w:b/>
          <w:color w:val="auto"/>
          <w:szCs w:val="21"/>
          <w:highlight w:val="none"/>
        </w:rPr>
        <w:t>现文：</w:t>
      </w:r>
      <w:r>
        <w:rPr>
          <w:rFonts w:hint="eastAsia" w:ascii="Arial" w:hAnsi="Arial" w:cs="Arial"/>
          <w:color w:val="auto"/>
          <w:highlight w:val="none"/>
        </w:rPr>
        <w:t>9.2招标文件的澄清或修改将在</w:t>
      </w:r>
      <w:r>
        <w:rPr>
          <w:rFonts w:hint="eastAsia" w:ascii="Arial" w:hAnsi="Arial" w:cs="Arial"/>
          <w:color w:val="auto"/>
          <w:szCs w:val="24"/>
          <w:highlight w:val="none"/>
          <w:u w:val="single"/>
        </w:rPr>
        <w:t xml:space="preserve"> 广州公共资源交易中心  </w:t>
      </w:r>
      <w:r>
        <w:rPr>
          <w:rFonts w:hint="eastAsia" w:ascii="Arial" w:hAnsi="Arial" w:cs="Arial"/>
          <w:color w:val="auto"/>
          <w:szCs w:val="24"/>
          <w:highlight w:val="none"/>
        </w:rPr>
        <w:t>交易平台</w:t>
      </w:r>
      <w:r>
        <w:rPr>
          <w:rFonts w:hint="eastAsia" w:ascii="Arial" w:hAnsi="Arial" w:cs="Arial"/>
          <w:color w:val="auto"/>
          <w:highlight w:val="none"/>
        </w:rPr>
        <w:t>“项目答疑纪要”专区公开发布。答疑纪要一经在</w:t>
      </w:r>
      <w:r>
        <w:rPr>
          <w:rFonts w:hint="eastAsia" w:ascii="Arial" w:hAnsi="Arial" w:cs="Arial"/>
          <w:color w:val="auto"/>
          <w:szCs w:val="24"/>
          <w:highlight w:val="none"/>
          <w:u w:val="single"/>
        </w:rPr>
        <w:t xml:space="preserve">广州公共资源交易中心   </w:t>
      </w:r>
      <w:r>
        <w:rPr>
          <w:rFonts w:hint="eastAsia" w:ascii="Arial" w:hAnsi="Arial" w:cs="Arial"/>
          <w:color w:val="auto"/>
          <w:szCs w:val="24"/>
          <w:highlight w:val="none"/>
        </w:rPr>
        <w:t>交易平台</w:t>
      </w:r>
      <w:r>
        <w:rPr>
          <w:rFonts w:hint="eastAsia" w:ascii="Arial" w:hAnsi="Arial" w:cs="Arial"/>
          <w:color w:val="auto"/>
          <w:highlight w:val="none"/>
        </w:rPr>
        <w:t>发布，视作已发放给所有投标人，以</w:t>
      </w:r>
      <w:r>
        <w:rPr>
          <w:rFonts w:hint="eastAsia" w:ascii="Arial" w:hAnsi="Arial" w:cs="Arial"/>
          <w:color w:val="auto"/>
          <w:szCs w:val="24"/>
          <w:highlight w:val="none"/>
          <w:u w:val="single"/>
        </w:rPr>
        <w:t xml:space="preserve">  广州公共资源交易中心  </w:t>
      </w:r>
      <w:r>
        <w:rPr>
          <w:rFonts w:hint="eastAsia" w:ascii="Arial" w:hAnsi="Arial" w:cs="Arial"/>
          <w:color w:val="auto"/>
          <w:szCs w:val="24"/>
          <w:highlight w:val="none"/>
        </w:rPr>
        <w:t>交易平台</w:t>
      </w:r>
      <w:r>
        <w:rPr>
          <w:rFonts w:hint="eastAsia" w:ascii="Arial" w:hAnsi="Arial" w:cs="Arial"/>
          <w:color w:val="auto"/>
          <w:highlight w:val="none"/>
        </w:rPr>
        <w:t>上网发布时间作为送达时间。</w:t>
      </w:r>
    </w:p>
    <w:p>
      <w:pPr>
        <w:pBdr>
          <w:bottom w:val="single" w:color="auto" w:sz="6" w:space="1"/>
        </w:pBdr>
        <w:spacing w:line="440" w:lineRule="exact"/>
        <w:rPr>
          <w:rFonts w:ascii="Arial" w:hAnsi="Arial" w:cs="Arial"/>
          <w:bCs/>
          <w:color w:val="auto"/>
          <w:sz w:val="24"/>
          <w:highlight w:val="none"/>
          <w:u w:val="single"/>
        </w:rPr>
      </w:pP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 xml:space="preserve">9.4             </w:t>
      </w:r>
      <w:r>
        <w:rPr>
          <w:rFonts w:hint="eastAsia" w:ascii="Arial" w:hAnsi="Arial" w:cs="Arial"/>
          <w:b/>
          <w:color w:val="auto"/>
          <w:szCs w:val="21"/>
          <w:highlight w:val="none"/>
        </w:rPr>
        <w:t>修改类型：修改</w:t>
      </w:r>
    </w:p>
    <w:p>
      <w:pPr>
        <w:pBdr>
          <w:bottom w:val="single" w:color="auto" w:sz="6" w:space="1"/>
        </w:pBdr>
        <w:spacing w:line="360" w:lineRule="auto"/>
        <w:ind w:firstLine="527" w:firstLineChars="250"/>
        <w:rPr>
          <w:rFonts w:ascii="Arial" w:hAnsi="Arial" w:cs="Arial"/>
          <w:color w:val="auto"/>
          <w:szCs w:val="21"/>
          <w:highlight w:val="none"/>
        </w:rPr>
      </w:pPr>
      <w:r>
        <w:rPr>
          <w:rFonts w:hint="eastAsia" w:ascii="Arial" w:hAnsi="Arial" w:cs="Arial"/>
          <w:b/>
          <w:color w:val="auto"/>
          <w:szCs w:val="21"/>
          <w:highlight w:val="none"/>
        </w:rPr>
        <w:t>原文：</w:t>
      </w:r>
      <w:r>
        <w:rPr>
          <w:rFonts w:hint="eastAsia" w:ascii="Arial" w:hAnsi="Arial" w:cs="Arial"/>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9.4招标文件的澄清或修改均</w:t>
      </w:r>
      <w:r>
        <w:rPr>
          <w:rFonts w:hint="eastAsia" w:ascii="Arial" w:hAnsi="Arial" w:cs="Arial"/>
          <w:color w:val="auto"/>
          <w:szCs w:val="21"/>
          <w:highlight w:val="none"/>
          <w:u w:val="single"/>
        </w:rPr>
        <w:t>在广州公共资源交易中心网站“网上答疑”专区公开发布。</w:t>
      </w:r>
      <w:r>
        <w:rPr>
          <w:rFonts w:hint="eastAsia" w:ascii="Arial" w:hAnsi="Arial" w:cs="Arial"/>
          <w:color w:val="auto"/>
          <w:szCs w:val="21"/>
          <w:highlight w:val="none"/>
        </w:rPr>
        <w:t>当招标文件的澄清、修改、补充等在同一内容的表述不一致时，以最后发出的文件为准。</w:t>
      </w:r>
    </w:p>
    <w:p>
      <w:pPr>
        <w:spacing w:line="440" w:lineRule="exact"/>
        <w:ind w:firstLine="472" w:firstLineChars="224"/>
        <w:rPr>
          <w:rFonts w:ascii="Arial" w:hAnsi="Arial" w:cs="Arial"/>
          <w:b/>
          <w:color w:val="auto"/>
          <w:highlight w:val="none"/>
        </w:rPr>
      </w:pPr>
      <w:r>
        <w:rPr>
          <w:rFonts w:hint="eastAsia" w:ascii="Arial" w:hAnsi="Arial" w:cs="Arial"/>
          <w:b/>
          <w:color w:val="auto"/>
          <w:highlight w:val="none"/>
        </w:rPr>
        <w:t>条款号：11.2.2</w:t>
      </w:r>
      <w:r>
        <w:rPr>
          <w:rFonts w:ascii="Arial" w:hAnsi="Arial" w:cs="Arial"/>
          <w:b/>
          <w:color w:val="auto"/>
          <w:highlight w:val="none"/>
        </w:rPr>
        <w:t xml:space="preserve">            </w:t>
      </w:r>
      <w:r>
        <w:rPr>
          <w:rFonts w:hint="eastAsia" w:ascii="Arial" w:hAnsi="Arial" w:cs="Arial"/>
          <w:b/>
          <w:color w:val="auto"/>
          <w:highlight w:val="none"/>
        </w:rPr>
        <w:t>修改类型：修改</w:t>
      </w:r>
    </w:p>
    <w:p>
      <w:pPr>
        <w:spacing w:line="440" w:lineRule="exact"/>
        <w:ind w:firstLine="422" w:firstLineChars="200"/>
        <w:rPr>
          <w:rFonts w:ascii="Arial" w:hAnsi="Arial" w:cs="Arial"/>
          <w:bCs/>
          <w:color w:val="auto"/>
          <w:highlight w:val="none"/>
        </w:rPr>
      </w:pPr>
      <w:r>
        <w:rPr>
          <w:rFonts w:hint="eastAsia" w:ascii="Arial" w:hAnsi="Arial" w:cs="Arial"/>
          <w:b/>
          <w:color w:val="auto"/>
          <w:highlight w:val="none"/>
        </w:rPr>
        <w:t>原文：</w:t>
      </w:r>
      <w:r>
        <w:rPr>
          <w:rFonts w:hint="eastAsia" w:ascii="Arial" w:hAnsi="Arial" w:cs="Arial"/>
          <w:bCs/>
          <w:color w:val="auto"/>
          <w:highlight w:val="none"/>
        </w:rPr>
        <w:t>资格审查文件：</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 xml:space="preserve">（1）投标人声明； </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（2）法定代表人证明书、法定代表人签字或盖章的本投标文件授权委托证明书；</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（3）企业营业执照（取自平台内上传件）；</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（4）企业资质证书（取自平台内上传件）；</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（5）建筑施工企业安全生产许可证（取自平台内上传件）；</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（6）项目负责人（按网上投标登记时选择拟投标的项目负责人）</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（7）专职安全员（按网上投标登记时选择拟投标的专职安全员）</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（8）拟委托技术负责人的相关证书、资料（具体要求由招标人明确）</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 xml:space="preserve">（9）拟委派项目负责人的建造师注册证书（取自平台内上传件）； </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（10）项目负责人安全生产考核合格证明或在有效期内的安全生产</w:t>
      </w:r>
      <w:r>
        <w:rPr>
          <w:rFonts w:ascii="Arial" w:hAnsi="Arial" w:cs="Arial"/>
          <w:bCs/>
          <w:color w:val="auto"/>
          <w:highlight w:val="none"/>
        </w:rPr>
        <w:t>考核</w:t>
      </w:r>
      <w:r>
        <w:rPr>
          <w:rFonts w:hint="eastAsia" w:ascii="Arial" w:hAnsi="Arial" w:cs="Arial"/>
          <w:bCs/>
          <w:color w:val="auto"/>
          <w:highlight w:val="none"/>
        </w:rPr>
        <w:t>合格证书（B类）或建筑施工企业项目负责人安全生产考核合格证书（取自平台内上传件）；</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（11）专职安全员须具有在有效期内的安全考核合格证书（C类）或建筑施工企业专职安全生产管理人员安全生产考核合格证书（取自平台内上传件）；</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（12）用于资格审查的业绩（设置业绩要求时选择此项，投标人须提供类似工程业绩的项目名称及项目编号，具体格式由招标人自定）；</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（13）资格审查前，投标人须在广州市住房和城乡建设局建立企业信用档案，拟担任本工程项目负责人、专职安全员须是本企业信用档案中的在册人员。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Arial" w:hAnsi="Arial" w:cs="Arial"/>
          <w:bCs/>
          <w:color w:val="auto"/>
          <w:highlight w:val="none"/>
        </w:rPr>
      </w:pPr>
      <w:r>
        <w:rPr>
          <w:rFonts w:hint="eastAsia" w:ascii="Arial" w:hAnsi="Arial" w:cs="Arial"/>
          <w:bCs/>
          <w:color w:val="auto"/>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40" w:lineRule="exact"/>
        <w:ind w:firstLine="420" w:firstLineChars="200"/>
        <w:rPr>
          <w:rFonts w:ascii="Arial" w:hAnsi="Arial" w:cs="Arial"/>
          <w:color w:val="auto"/>
          <w:highlight w:val="none"/>
        </w:rPr>
      </w:pPr>
      <w:r>
        <w:rPr>
          <w:rFonts w:hint="eastAsia" w:ascii="Arial" w:hAnsi="Arial" w:cs="Arial"/>
          <w:bCs/>
          <w:color w:val="auto"/>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40" w:lineRule="exact"/>
        <w:ind w:firstLine="422" w:firstLineChars="200"/>
        <w:rPr>
          <w:rFonts w:ascii="Arial" w:hAnsi="Arial" w:cs="Arial"/>
          <w:bCs/>
          <w:color w:val="auto"/>
          <w:highlight w:val="none"/>
        </w:rPr>
      </w:pPr>
      <w:r>
        <w:rPr>
          <w:rFonts w:hint="eastAsia" w:ascii="Arial" w:hAnsi="Arial" w:cs="Arial"/>
          <w:b/>
          <w:color w:val="auto"/>
          <w:highlight w:val="none"/>
        </w:rPr>
        <w:t>现文：</w:t>
      </w:r>
      <w:r>
        <w:rPr>
          <w:rFonts w:hint="eastAsia" w:ascii="Arial" w:hAnsi="Arial" w:cs="Arial"/>
          <w:bCs/>
          <w:color w:val="auto"/>
          <w:highlight w:val="none"/>
        </w:rPr>
        <w:t>资格审查文件：</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（1）投标人声明</w:t>
      </w:r>
      <w:r>
        <w:rPr>
          <w:rFonts w:hint="eastAsia" w:ascii="宋体" w:hAnsi="宋体" w:cs="宋体"/>
          <w:b/>
          <w:bCs/>
          <w:color w:val="auto"/>
          <w:szCs w:val="21"/>
          <w:highlight w:val="none"/>
          <w:shd w:val="clear" w:color="auto" w:fill="FFFFFF"/>
        </w:rPr>
        <w:t>（须按本招标公告附件，联合体投标的，由联合体主办方出具）</w:t>
      </w:r>
      <w:r>
        <w:rPr>
          <w:rFonts w:hint="eastAsia"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（2）法定代表人证明书、法定代表人签字或盖章的本投标文件授权委托证明书</w:t>
      </w:r>
      <w:r>
        <w:rPr>
          <w:rFonts w:hint="eastAsia" w:ascii="宋体" w:hAnsi="宋体" w:cs="宋体"/>
          <w:b/>
          <w:bCs/>
          <w:color w:val="auto"/>
          <w:szCs w:val="21"/>
          <w:highlight w:val="none"/>
          <w:shd w:val="clear" w:color="auto" w:fill="FFFFFF"/>
        </w:rPr>
        <w:t>（联合体投标的，由联合体主办方出具）</w:t>
      </w:r>
      <w:r>
        <w:rPr>
          <w:rFonts w:hint="eastAsia"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（3）企业营业执照（取自平台内上传件）；</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（4）企业资质证书（取自平台内上传件）；</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（5）建筑施工企业安全生产许可证（取自平台内上传件）；</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（6）项目负责人（按网上投标登记时选择拟投标的项目负责人）</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（7）专职安全员（按网上投标登记时选择拟投标的专职安全员）</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（8）拟委托技术负责人的相关证书、资料（具体要求由招标人明确）</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（9）</w:t>
      </w:r>
      <w:r>
        <w:rPr>
          <w:rFonts w:hint="eastAsia" w:ascii="Arial" w:hAnsi="Arial" w:cs="Arial"/>
          <w:bCs/>
          <w:color w:val="auto"/>
          <w:highlight w:val="none"/>
          <w:u w:val="single"/>
        </w:rPr>
        <w:t>拟委派项目负责人的建造师注册证书</w:t>
      </w:r>
      <w:r>
        <w:rPr>
          <w:rFonts w:hint="eastAsia" w:ascii="Arial" w:hAnsi="Arial" w:cs="Arial"/>
          <w:bCs/>
          <w:color w:val="auto"/>
          <w:highlight w:val="none"/>
        </w:rPr>
        <w:t xml:space="preserve">（取自平台内上传件）； </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（10）项目负责人安全生产考核合格证明或在有效期内的安全生产考核合格证书（B类）或建筑施工企业项目负责人安全生产考核合格证书（取自平台内上传件）；</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（11）专职安全员须具有在有效期内的安全考核合格证书（C类）或建筑施工企业专职安全生产管理人员安全生产考核合格证书（取自平台内上传件）；</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（12）资格审查前，投标人须在广州市住房和城乡建设局建立企业信用档案，拟担任本工程项目负责人、专职安全员须是本企业信用档案中的在册人员。</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（13）</w:t>
      </w:r>
      <w:r>
        <w:rPr>
          <w:rFonts w:hint="eastAsia" w:ascii="Arial" w:hAnsi="Arial" w:cs="Arial"/>
          <w:color w:val="auto"/>
          <w:szCs w:val="21"/>
          <w:highlight w:val="none"/>
        </w:rPr>
        <w:t>投标函</w:t>
      </w:r>
      <w:r>
        <w:rPr>
          <w:rFonts w:hint="eastAsia"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（14）</w:t>
      </w:r>
      <w:r>
        <w:rPr>
          <w:rFonts w:hint="eastAsia" w:ascii="宋体" w:hAnsi="宋体" w:cs="宋体"/>
          <w:b/>
          <w:bCs/>
          <w:color w:val="auto"/>
          <w:szCs w:val="21"/>
          <w:highlight w:val="none"/>
          <w:shd w:val="clear" w:color="auto" w:fill="FFFFFF"/>
        </w:rPr>
        <w:t>列明主办单位的联合体工作协议（采用联合体投标时需递交，联合体工作协议应明确约定各方拟承担的工作和责任）。</w:t>
      </w:r>
    </w:p>
    <w:p>
      <w:pPr>
        <w:spacing w:line="440" w:lineRule="exact"/>
        <w:ind w:firstLine="472" w:firstLineChars="224"/>
        <w:rPr>
          <w:rFonts w:ascii="Arial" w:hAnsi="Arial" w:cs="Arial"/>
          <w:b/>
          <w:color w:val="auto"/>
          <w:highlight w:val="none"/>
        </w:rPr>
      </w:pPr>
      <w:r>
        <w:rPr>
          <w:rFonts w:hint="eastAsia" w:ascii="Arial" w:hAnsi="Arial" w:cs="Arial"/>
          <w:b/>
          <w:color w:val="auto"/>
          <w:highlight w:val="none"/>
        </w:rPr>
        <w:t>条款号：11.2.3</w:t>
      </w:r>
      <w:r>
        <w:rPr>
          <w:rFonts w:ascii="Arial" w:hAnsi="Arial" w:cs="Arial"/>
          <w:b/>
          <w:color w:val="auto"/>
          <w:highlight w:val="none"/>
        </w:rPr>
        <w:t xml:space="preserve">            </w:t>
      </w:r>
      <w:r>
        <w:rPr>
          <w:rFonts w:hint="eastAsia" w:ascii="Arial" w:hAnsi="Arial" w:cs="Arial"/>
          <w:b/>
          <w:color w:val="auto"/>
          <w:highlight w:val="none"/>
        </w:rPr>
        <w:t>修改类型：修改</w:t>
      </w:r>
    </w:p>
    <w:p>
      <w:pPr>
        <w:spacing w:line="360" w:lineRule="auto"/>
        <w:ind w:firstLine="422" w:firstLineChars="200"/>
        <w:rPr>
          <w:rFonts w:ascii="Arial" w:hAnsi="Arial" w:cs="Arial"/>
          <w:color w:val="auto"/>
          <w:highlight w:val="none"/>
        </w:rPr>
      </w:pPr>
      <w:r>
        <w:rPr>
          <w:rFonts w:hint="eastAsia" w:ascii="Arial" w:hAnsi="Arial" w:cs="Arial"/>
          <w:b/>
          <w:color w:val="auto"/>
          <w:highlight w:val="none"/>
        </w:rPr>
        <w:t>原文：</w:t>
      </w:r>
      <w:r>
        <w:rPr>
          <w:rFonts w:hint="eastAsia" w:ascii="Arial" w:hAnsi="Arial" w:cs="Arial"/>
          <w:color w:val="auto"/>
          <w:highlight w:val="none"/>
        </w:rPr>
        <w:t>11.2.3项目管理机构配备。</w:t>
      </w:r>
    </w:p>
    <w:p>
      <w:pPr>
        <w:spacing w:line="360" w:lineRule="auto"/>
        <w:ind w:firstLine="420" w:firstLineChars="200"/>
        <w:rPr>
          <w:rFonts w:ascii="Arial" w:hAnsi="Arial" w:cs="Arial"/>
          <w:color w:val="auto"/>
          <w:highlight w:val="none"/>
        </w:rPr>
      </w:pPr>
      <w:r>
        <w:rPr>
          <w:rFonts w:hint="eastAsia" w:ascii="Arial" w:hAnsi="Arial" w:cs="Arial"/>
          <w:color w:val="auto"/>
          <w:highlight w:val="none"/>
        </w:rPr>
        <w:t>（1）投标人应列出该项目工程的施工组织机构构成和画出机构框架图及其负责人；</w:t>
      </w:r>
    </w:p>
    <w:p>
      <w:pPr>
        <w:spacing w:line="360" w:lineRule="auto"/>
        <w:ind w:firstLine="420" w:firstLineChars="200"/>
        <w:rPr>
          <w:rFonts w:ascii="Arial" w:hAnsi="Arial" w:cs="Arial"/>
          <w:color w:val="auto"/>
          <w:highlight w:val="none"/>
        </w:rPr>
      </w:pPr>
      <w:r>
        <w:rPr>
          <w:rFonts w:hint="eastAsia" w:ascii="Arial" w:hAnsi="Arial" w:cs="Arial"/>
          <w:color w:val="auto"/>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Arial" w:hAnsi="Arial" w:cs="Arial"/>
          <w:color w:val="auto"/>
          <w:highlight w:val="none"/>
        </w:rPr>
      </w:pPr>
      <w:r>
        <w:rPr>
          <w:rFonts w:hint="eastAsia" w:ascii="Arial" w:hAnsi="Arial" w:cs="Arial"/>
          <w:color w:val="auto"/>
          <w:highlight w:val="none"/>
        </w:rPr>
        <w:t>（3）其他辅助说明资料。</w:t>
      </w:r>
    </w:p>
    <w:p>
      <w:pPr>
        <w:spacing w:line="360" w:lineRule="auto"/>
        <w:ind w:firstLine="422" w:firstLineChars="200"/>
        <w:rPr>
          <w:rFonts w:ascii="Arial" w:hAnsi="Arial" w:cs="Arial"/>
          <w:color w:val="auto"/>
          <w:highlight w:val="none"/>
        </w:rPr>
      </w:pPr>
      <w:r>
        <w:rPr>
          <w:rFonts w:hint="eastAsia" w:ascii="Arial" w:hAnsi="Arial" w:cs="Arial"/>
          <w:b/>
          <w:color w:val="auto"/>
          <w:highlight w:val="none"/>
        </w:rPr>
        <w:t>现文：</w:t>
      </w:r>
      <w:r>
        <w:rPr>
          <w:rFonts w:hint="eastAsia" w:ascii="Arial" w:hAnsi="Arial" w:cs="Arial"/>
          <w:color w:val="auto"/>
          <w:highlight w:val="none"/>
        </w:rPr>
        <w:t>11.2.3项目管理机构配备。</w:t>
      </w:r>
    </w:p>
    <w:p>
      <w:pPr>
        <w:pBdr>
          <w:bottom w:val="single" w:color="auto" w:sz="6" w:space="1"/>
        </w:pBdr>
        <w:spacing w:line="440" w:lineRule="exact"/>
        <w:ind w:firstLine="470" w:firstLineChars="224"/>
        <w:rPr>
          <w:rFonts w:ascii="Arial" w:hAnsi="Arial" w:cs="Arial"/>
          <w:color w:val="auto"/>
          <w:highlight w:val="none"/>
        </w:rPr>
      </w:pPr>
      <w:r>
        <w:rPr>
          <w:rFonts w:hint="eastAsia" w:ascii="Arial" w:hAnsi="Arial" w:cs="Arial"/>
          <w:color w:val="auto"/>
          <w:highlight w:val="none"/>
        </w:rPr>
        <w:t>（1）投标人应列出该项目工程的施工组织机构构成和画出机构框架图及其负责人；</w:t>
      </w:r>
    </w:p>
    <w:p>
      <w:pPr>
        <w:pBdr>
          <w:bottom w:val="single" w:color="auto" w:sz="6" w:space="1"/>
        </w:pBdr>
        <w:spacing w:line="440" w:lineRule="exact"/>
        <w:ind w:firstLine="470" w:firstLineChars="224"/>
        <w:rPr>
          <w:rFonts w:ascii="Arial" w:hAnsi="Arial" w:cs="Arial"/>
          <w:color w:val="auto"/>
          <w:highlight w:val="none"/>
        </w:rPr>
      </w:pPr>
      <w:r>
        <w:rPr>
          <w:rFonts w:hint="eastAsia" w:ascii="Arial" w:hAnsi="Arial" w:cs="Arial"/>
          <w:color w:val="auto"/>
          <w:highlight w:val="none"/>
        </w:rPr>
        <w:t>（2）投标人应详细列出该施工组织机构中主要成员的名单、简历资料、职务职称和在本项目中拟担任的职务等资料，并附上有关证明材料扫描件并加盖投标人电子签章；</w:t>
      </w:r>
    </w:p>
    <w:p>
      <w:pPr>
        <w:pBdr>
          <w:bottom w:val="single" w:color="auto" w:sz="6" w:space="1"/>
        </w:pBdr>
        <w:spacing w:line="440" w:lineRule="exact"/>
        <w:ind w:firstLine="470" w:firstLineChars="224"/>
        <w:rPr>
          <w:rFonts w:ascii="Arial" w:hAnsi="Arial" w:cs="Arial"/>
          <w:color w:val="auto"/>
          <w:highlight w:val="none"/>
        </w:rPr>
      </w:pPr>
      <w:r>
        <w:rPr>
          <w:rFonts w:hint="eastAsia" w:ascii="Arial" w:hAnsi="Arial" w:cs="Arial"/>
          <w:color w:val="auto"/>
          <w:highlight w:val="none"/>
        </w:rPr>
        <w:t>（3）其他辅助说明资料：按《技术标详细审查评分表》要求提交。</w:t>
      </w:r>
    </w:p>
    <w:p>
      <w:pPr>
        <w:snapToGrid w:val="0"/>
        <w:spacing w:line="360" w:lineRule="auto"/>
        <w:ind w:firstLine="472" w:firstLineChars="224"/>
        <w:rPr>
          <w:rFonts w:ascii="Arial" w:hAnsi="Arial" w:cs="Arial"/>
          <w:b/>
          <w:color w:val="auto"/>
          <w:highlight w:val="none"/>
        </w:rPr>
      </w:pPr>
      <w:r>
        <w:rPr>
          <w:rFonts w:hint="eastAsia" w:ascii="Arial" w:hAnsi="Arial" w:cs="Arial"/>
          <w:b/>
          <w:color w:val="auto"/>
          <w:highlight w:val="none"/>
        </w:rPr>
        <w:t>条款号：11.3</w:t>
      </w:r>
      <w:r>
        <w:rPr>
          <w:rFonts w:ascii="Arial" w:hAnsi="Arial" w:cs="Arial"/>
          <w:b/>
          <w:color w:val="auto"/>
          <w:highlight w:val="none"/>
        </w:rPr>
        <w:t xml:space="preserve">            </w:t>
      </w:r>
      <w:r>
        <w:rPr>
          <w:rFonts w:hint="eastAsia" w:ascii="Arial" w:hAnsi="Arial" w:cs="Arial"/>
          <w:b/>
          <w:color w:val="auto"/>
          <w:highlight w:val="none"/>
        </w:rPr>
        <w:t>修改类型：修改</w:t>
      </w:r>
    </w:p>
    <w:p>
      <w:pPr>
        <w:pStyle w:val="30"/>
        <w:snapToGrid w:val="0"/>
        <w:spacing w:line="360" w:lineRule="auto"/>
        <w:ind w:firstLine="422" w:firstLineChars="200"/>
        <w:rPr>
          <w:rFonts w:ascii="Arial" w:hAnsi="Arial" w:cs="Arial"/>
          <w:color w:val="auto"/>
          <w:highlight w:val="none"/>
        </w:rPr>
      </w:pPr>
      <w:r>
        <w:rPr>
          <w:rFonts w:hint="eastAsia" w:ascii="Arial" w:hAnsi="Arial" w:cs="Arial"/>
          <w:b/>
          <w:color w:val="auto"/>
          <w:highlight w:val="none"/>
        </w:rPr>
        <w:t>原文：</w:t>
      </w:r>
      <w:r>
        <w:rPr>
          <w:rFonts w:ascii="Arial" w:hAnsi="Arial" w:cs="Arial"/>
          <w:color w:val="auto"/>
          <w:highlight w:val="none"/>
        </w:rPr>
        <w:t xml:space="preserve">11.3 </w:t>
      </w:r>
      <w:r>
        <w:rPr>
          <w:rFonts w:hint="eastAsia" w:ascii="Arial" w:hAnsi="Arial" w:cs="Arial"/>
          <w:color w:val="auto"/>
          <w:highlight w:val="none"/>
        </w:rPr>
        <w:t>经济部分投标文件主要包括下列内容：</w:t>
      </w:r>
    </w:p>
    <w:p>
      <w:pPr>
        <w:pStyle w:val="30"/>
        <w:snapToGrid w:val="0"/>
        <w:spacing w:line="360" w:lineRule="auto"/>
        <w:ind w:firstLine="420" w:firstLineChars="200"/>
        <w:rPr>
          <w:rFonts w:ascii="Arial" w:hAnsi="Arial" w:cs="Arial"/>
          <w:color w:val="auto"/>
          <w:highlight w:val="none"/>
        </w:rPr>
      </w:pPr>
      <w:r>
        <w:rPr>
          <w:rFonts w:ascii="Arial" w:hAnsi="Arial" w:cs="Arial"/>
          <w:color w:val="auto"/>
          <w:highlight w:val="none"/>
        </w:rPr>
        <w:t xml:space="preserve">11.3.1 </w:t>
      </w:r>
      <w:r>
        <w:rPr>
          <w:rFonts w:hint="eastAsia" w:ascii="Arial" w:hAnsi="Arial" w:cs="Arial"/>
          <w:color w:val="auto"/>
          <w:highlight w:val="none"/>
        </w:rPr>
        <w:t>经济投标文件(按招标文件的要求填写)。</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（1）投标总价封面、扉页；</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（2）总说明</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（3）工程项目投标报价汇总表；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（4）单项工程投标报价汇总表；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（5）单位工程投标报价汇总表；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（6）分部分项工程清单与计价表；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（7）单价措施项目清单与计价表；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（8）总价措施项目清单与计价表；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（9）综合单价分析表；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（10）其他项目清单与计价汇总表；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（11）暂列金额明细表；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（12）材料（工程设备）暂估价明细表；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（13）专业工程暂估价明细表；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（14）计日工表；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（15）总承包服务计价表；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（16）规费和税金项目计价表；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 xml:space="preserve"> （17）人工、主要材料和设备一览表</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11.3.3按照招标文件要求填写的《参与编制经济标投标文件人员名单》。</w:t>
      </w:r>
    </w:p>
    <w:p>
      <w:pPr>
        <w:pStyle w:val="30"/>
        <w:snapToGrid w:val="0"/>
        <w:spacing w:line="360" w:lineRule="auto"/>
        <w:ind w:firstLine="420" w:firstLineChars="200"/>
        <w:rPr>
          <w:rFonts w:ascii="Arial" w:hAnsi="Arial" w:cs="Arial"/>
          <w:color w:val="auto"/>
          <w:highlight w:val="none"/>
        </w:rPr>
      </w:pPr>
      <w:r>
        <w:rPr>
          <w:rFonts w:hint="eastAsia" w:ascii="Arial" w:hAnsi="Arial" w:cs="Arial"/>
          <w:color w:val="auto"/>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napToGrid w:val="0"/>
        <w:spacing w:line="360" w:lineRule="auto"/>
        <w:ind w:firstLine="472" w:firstLineChars="224"/>
        <w:rPr>
          <w:rFonts w:ascii="Arial" w:hAnsi="Arial" w:cs="Arial"/>
          <w:color w:val="auto"/>
          <w:highlight w:val="none"/>
        </w:rPr>
      </w:pPr>
      <w:r>
        <w:rPr>
          <w:rFonts w:hint="eastAsia" w:ascii="Arial" w:hAnsi="Arial" w:cs="Arial"/>
          <w:b/>
          <w:color w:val="auto"/>
          <w:highlight w:val="none"/>
        </w:rPr>
        <w:t>现文：</w:t>
      </w:r>
      <w:r>
        <w:rPr>
          <w:rFonts w:ascii="Arial" w:hAnsi="Arial" w:cs="Arial"/>
          <w:color w:val="auto"/>
          <w:highlight w:val="none"/>
        </w:rPr>
        <w:t xml:space="preserve">11.3 </w:t>
      </w:r>
      <w:r>
        <w:rPr>
          <w:rFonts w:hint="eastAsia" w:ascii="Arial" w:hAnsi="Arial" w:cs="Arial"/>
          <w:color w:val="auto"/>
          <w:highlight w:val="none"/>
        </w:rPr>
        <w:t>经济部分投标文件主要包括下列内容：</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 xml:space="preserve">11.3.1 </w:t>
      </w:r>
      <w:r>
        <w:rPr>
          <w:rFonts w:hint="eastAsia" w:ascii="Arial" w:hAnsi="Arial" w:cs="Arial"/>
          <w:color w:val="auto"/>
          <w:highlight w:val="none"/>
        </w:rPr>
        <w:t>广州建设工程施工招标投标书(按招标文件附件二的要求填写)。</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 xml:space="preserve">11.3.2 </w:t>
      </w:r>
      <w:r>
        <w:rPr>
          <w:rFonts w:hint="eastAsia" w:ascii="Arial" w:hAnsi="Arial" w:cs="Arial"/>
          <w:color w:val="auto"/>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广州公共资源交易中心的投标文件管理软件自动生成）</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 xml:space="preserve">11.3.3 </w:t>
      </w:r>
      <w:r>
        <w:rPr>
          <w:rFonts w:hint="eastAsia" w:ascii="Arial" w:hAnsi="Arial" w:cs="Arial"/>
          <w:color w:val="auto"/>
          <w:highlight w:val="none"/>
        </w:rPr>
        <w:t>按照招标文件要求填写的《参与编制经济标投标文件人员名单》。</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 xml:space="preserve">11.3.4 </w:t>
      </w:r>
      <w:r>
        <w:rPr>
          <w:rFonts w:hint="eastAsia" w:ascii="Arial" w:hAnsi="Arial" w:cs="Arial"/>
          <w:color w:val="auto"/>
          <w:highlight w:val="none"/>
        </w:rPr>
        <w:t>《对投标文件编制的承诺》(按招标文件附件四的要求填写)。</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 xml:space="preserve">11.3.5 </w:t>
      </w:r>
      <w:r>
        <w:rPr>
          <w:rFonts w:hint="eastAsia" w:ascii="Arial" w:hAnsi="Arial" w:cs="Arial"/>
          <w:color w:val="auto"/>
          <w:highlight w:val="none"/>
        </w:rPr>
        <w:t>若投标人的投标报价低于工程成本警戒价的，投标人还须提供详细的施工组织设计、单价、措施性费用、单价分析表、主要材料价格表、投标人成本分析供评标委员会评审。</w:t>
      </w:r>
    </w:p>
    <w:p>
      <w:pPr>
        <w:snapToGrid w:val="0"/>
        <w:spacing w:line="360" w:lineRule="auto"/>
        <w:ind w:firstLine="495" w:firstLineChars="224"/>
        <w:rPr>
          <w:rFonts w:ascii="Arial" w:hAnsi="Arial" w:cs="Arial"/>
          <w:b/>
          <w:color w:val="auto"/>
          <w:sz w:val="22"/>
          <w:highlight w:val="none"/>
        </w:rPr>
      </w:pPr>
      <w:r>
        <w:rPr>
          <w:rFonts w:hint="eastAsia" w:ascii="Arial" w:hAnsi="Arial" w:cs="Arial"/>
          <w:b/>
          <w:color w:val="auto"/>
          <w:sz w:val="22"/>
          <w:highlight w:val="none"/>
        </w:rPr>
        <w:t>条款号：12.2、12.3</w:t>
      </w:r>
      <w:r>
        <w:rPr>
          <w:rFonts w:ascii="Arial" w:hAnsi="Arial" w:cs="Arial"/>
          <w:b/>
          <w:color w:val="auto"/>
          <w:sz w:val="22"/>
          <w:highlight w:val="none"/>
        </w:rPr>
        <w:t xml:space="preserve">          </w:t>
      </w:r>
      <w:r>
        <w:rPr>
          <w:rFonts w:hint="eastAsia" w:ascii="Arial" w:hAnsi="Arial" w:cs="Arial"/>
          <w:b/>
          <w:color w:val="auto"/>
          <w:sz w:val="22"/>
          <w:highlight w:val="none"/>
        </w:rPr>
        <w:t>修改类型：修改</w:t>
      </w:r>
    </w:p>
    <w:p>
      <w:pPr>
        <w:snapToGrid w:val="0"/>
        <w:spacing w:line="360" w:lineRule="auto"/>
        <w:ind w:firstLine="472" w:firstLineChars="224"/>
        <w:rPr>
          <w:rFonts w:ascii="Arial" w:hAnsi="Arial" w:cs="Arial"/>
          <w:color w:val="auto"/>
          <w:szCs w:val="21"/>
          <w:highlight w:val="none"/>
        </w:rPr>
      </w:pPr>
      <w:r>
        <w:rPr>
          <w:rFonts w:hint="eastAsia" w:ascii="Arial" w:hAnsi="Arial" w:cs="Arial"/>
          <w:b/>
          <w:color w:val="auto"/>
          <w:szCs w:val="21"/>
          <w:highlight w:val="none"/>
        </w:rPr>
        <w:t>原文：</w:t>
      </w:r>
      <w:r>
        <w:rPr>
          <w:rFonts w:hint="eastAsia" w:ascii="Arial" w:hAnsi="Arial" w:cs="Arial"/>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Arial" w:hAnsi="Arial" w:cs="Arial"/>
          <w:color w:val="auto"/>
          <w:szCs w:val="21"/>
          <w:highlight w:val="none"/>
          <w:u w:val="single"/>
        </w:rPr>
        <w:t xml:space="preserve">            </w:t>
      </w:r>
      <w:r>
        <w:rPr>
          <w:rFonts w:hint="eastAsia" w:ascii="Arial" w:hAnsi="Arial" w:cs="Arial"/>
          <w:color w:val="auto"/>
          <w:szCs w:val="21"/>
          <w:highlight w:val="none"/>
        </w:rPr>
        <w:t xml:space="preserve"> 。</w:t>
      </w:r>
    </w:p>
    <w:p>
      <w:pPr>
        <w:snapToGrid w:val="0"/>
        <w:spacing w:line="360" w:lineRule="auto"/>
        <w:ind w:firstLine="470" w:firstLineChars="224"/>
        <w:rPr>
          <w:rFonts w:ascii="Arial" w:hAnsi="Arial" w:cs="Arial"/>
          <w:color w:val="auto"/>
          <w:highlight w:val="none"/>
        </w:rPr>
      </w:pPr>
      <w:r>
        <w:rPr>
          <w:rFonts w:ascii="Arial" w:hAnsi="Arial" w:cs="Arial"/>
          <w:color w:val="auto"/>
          <w:highlight w:val="none"/>
        </w:rPr>
        <w:t xml:space="preserve">12.3 </w:t>
      </w:r>
      <w:r>
        <w:rPr>
          <w:rFonts w:hint="eastAsia" w:ascii="Arial" w:hAnsi="Arial" w:cs="Arial"/>
          <w:color w:val="auto"/>
          <w:highlight w:val="none"/>
        </w:rPr>
        <w:t>投标文件应按照交易平台关于全流程电子化项目的相关指南进行编制，详见：</w:t>
      </w:r>
      <w:r>
        <w:rPr>
          <w:rFonts w:ascii="Arial" w:hAnsi="Arial" w:cs="Arial"/>
          <w:color w:val="auto"/>
          <w:highlight w:val="none"/>
          <w:u w:val="single"/>
        </w:rPr>
        <w:t xml:space="preserve">            </w:t>
      </w:r>
      <w:r>
        <w:rPr>
          <w:rFonts w:hint="eastAsia" w:ascii="Arial" w:hAnsi="Arial" w:cs="Arial"/>
          <w:color w:val="auto"/>
          <w:highlight w:val="none"/>
        </w:rPr>
        <w:t>。</w:t>
      </w:r>
    </w:p>
    <w:p>
      <w:pPr>
        <w:pBdr>
          <w:bottom w:val="single" w:color="auto" w:sz="6" w:space="1"/>
        </w:pBdr>
        <w:snapToGrid w:val="0"/>
        <w:spacing w:line="360" w:lineRule="auto"/>
        <w:ind w:firstLine="472" w:firstLineChars="224"/>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Arial" w:hAnsi="Arial" w:cs="Arial"/>
          <w:color w:val="auto"/>
          <w:szCs w:val="21"/>
          <w:highlight w:val="none"/>
          <w:u w:val="single"/>
        </w:rPr>
        <w:t>广州公共资源交易中心网站</w:t>
      </w:r>
      <w:r>
        <w:rPr>
          <w:rFonts w:hint="eastAsia" w:ascii="Arial" w:hAnsi="Arial" w:cs="Arial"/>
          <w:color w:val="auto"/>
          <w:szCs w:val="21"/>
          <w:highlight w:val="none"/>
        </w:rPr>
        <w:t xml:space="preserve"> 。</w:t>
      </w:r>
    </w:p>
    <w:p>
      <w:pPr>
        <w:pBdr>
          <w:bottom w:val="single" w:color="auto" w:sz="6" w:space="1"/>
        </w:pBdr>
        <w:snapToGrid w:val="0"/>
        <w:spacing w:line="360" w:lineRule="auto"/>
        <w:ind w:firstLine="470" w:firstLineChars="224"/>
        <w:rPr>
          <w:rFonts w:ascii="Arial" w:hAnsi="Arial" w:cs="Arial"/>
          <w:color w:val="auto"/>
          <w:szCs w:val="21"/>
          <w:highlight w:val="none"/>
        </w:rPr>
      </w:pPr>
      <w:r>
        <w:rPr>
          <w:rFonts w:ascii="Arial" w:hAnsi="Arial" w:cs="Arial"/>
          <w:color w:val="auto"/>
          <w:szCs w:val="21"/>
          <w:highlight w:val="none"/>
        </w:rPr>
        <w:t>12.3</w:t>
      </w:r>
      <w:r>
        <w:rPr>
          <w:rFonts w:ascii="Arial" w:hAnsi="Arial" w:cs="Arial"/>
          <w:color w:val="auto"/>
          <w:sz w:val="24"/>
          <w:highlight w:val="none"/>
        </w:rPr>
        <w:t xml:space="preserve"> </w:t>
      </w:r>
      <w:r>
        <w:rPr>
          <w:rFonts w:hint="eastAsia" w:ascii="Arial" w:hAnsi="Arial" w:cs="Arial"/>
          <w:bCs/>
          <w:color w:val="auto"/>
          <w:szCs w:val="21"/>
          <w:highlight w:val="none"/>
        </w:rPr>
        <w:t>投标文件应按</w:t>
      </w:r>
      <w:r>
        <w:rPr>
          <w:rFonts w:hint="eastAsia" w:ascii="Arial" w:hAnsi="Arial" w:cs="Arial"/>
          <w:color w:val="auto"/>
          <w:szCs w:val="21"/>
          <w:highlight w:val="none"/>
        </w:rPr>
        <w:t>照交易平台关于全流程电子化项目的相关指南进行编制，详见：</w:t>
      </w:r>
      <w:r>
        <w:rPr>
          <w:rFonts w:hint="eastAsia" w:ascii="Arial" w:hAnsi="Arial" w:cs="Arial"/>
          <w:color w:val="auto"/>
          <w:szCs w:val="21"/>
          <w:highlight w:val="none"/>
          <w:u w:val="single"/>
        </w:rPr>
        <w:t xml:space="preserve">  广州公共资源交易中心网站</w:t>
      </w:r>
      <w:r>
        <w:rPr>
          <w:rFonts w:hint="eastAsia" w:ascii="Arial" w:hAnsi="Arial" w:cs="Arial"/>
          <w:color w:val="auto"/>
          <w:szCs w:val="21"/>
          <w:highlight w:val="none"/>
        </w:rPr>
        <w:t>。</w:t>
      </w:r>
    </w:p>
    <w:p>
      <w:pPr>
        <w:pStyle w:val="30"/>
        <w:ind w:firstLine="422" w:firstLineChars="200"/>
        <w:rPr>
          <w:rFonts w:ascii="Arial" w:hAnsi="Arial" w:cs="Arial"/>
          <w:b/>
          <w:color w:val="auto"/>
          <w:szCs w:val="21"/>
          <w:highlight w:val="none"/>
        </w:rPr>
      </w:pPr>
      <w:r>
        <w:rPr>
          <w:rFonts w:hint="eastAsia" w:ascii="Arial" w:hAnsi="Arial" w:cs="Arial"/>
          <w:b/>
          <w:bCs/>
          <w:color w:val="auto"/>
          <w:szCs w:val="21"/>
          <w:highlight w:val="none"/>
        </w:rPr>
        <w:t xml:space="preserve">条款号：12.4 </w:t>
      </w:r>
      <w:r>
        <w:rPr>
          <w:rFonts w:ascii="Arial" w:hAnsi="Arial" w:cs="Arial"/>
          <w:color w:val="auto"/>
          <w:szCs w:val="21"/>
          <w:highlight w:val="none"/>
        </w:rPr>
        <w:t xml:space="preserve">                </w:t>
      </w:r>
      <w:r>
        <w:rPr>
          <w:rFonts w:hint="eastAsia" w:ascii="Arial" w:hAnsi="Arial" w:cs="Arial"/>
          <w:b/>
          <w:color w:val="auto"/>
          <w:szCs w:val="21"/>
          <w:highlight w:val="none"/>
        </w:rPr>
        <w:t xml:space="preserve"> 修改类型：新增</w:t>
      </w:r>
    </w:p>
    <w:p>
      <w:pPr>
        <w:pStyle w:val="30"/>
        <w:ind w:firstLine="422" w:firstLineChars="200"/>
        <w:rPr>
          <w:rFonts w:ascii="Arial" w:hAnsi="Arial" w:cs="Arial"/>
          <w:color w:val="auto"/>
          <w:szCs w:val="21"/>
          <w:highlight w:val="none"/>
        </w:rPr>
      </w:pPr>
      <w:r>
        <w:rPr>
          <w:rFonts w:hint="eastAsia" w:hAnsi="宋体" w:cs="宋体"/>
          <w:b/>
          <w:bCs/>
          <w:color w:val="auto"/>
          <w:szCs w:val="21"/>
          <w:highlight w:val="none"/>
          <w:shd w:val="clear" w:color="auto" w:fill="FFFFFF"/>
        </w:rPr>
        <w:t>现文：</w:t>
      </w:r>
      <w:r>
        <w:rPr>
          <w:rFonts w:hAnsi="宋体" w:cs="宋体"/>
          <w:color w:val="auto"/>
          <w:szCs w:val="21"/>
          <w:highlight w:val="none"/>
          <w:shd w:val="clear" w:color="auto" w:fill="FFFFFF"/>
        </w:rPr>
        <w:t>12.4联合体投标的，除《联合体工作协议》 中需联合体各方签字盖章外，投标文件封面及其他内容及落款中的 “投标人”、“投标人名称”、“承诺企业”、“投标单位”、“单位名称”、“投标单位名称”应填写联合体各方的单位全称【格式表示为：(主)XXX(成)XXX】，由联合体主办方签字盖章即可。</w:t>
      </w:r>
    </w:p>
    <w:p>
      <w:pPr>
        <w:pBdr>
          <w:top w:val="single" w:color="auto" w:sz="4" w:space="0"/>
        </w:pBdr>
        <w:spacing w:line="440" w:lineRule="exact"/>
        <w:ind w:firstLine="472" w:firstLineChars="224"/>
        <w:rPr>
          <w:rFonts w:ascii="Arial" w:hAnsi="Arial" w:cs="Arial"/>
          <w:b/>
          <w:color w:val="auto"/>
          <w:szCs w:val="21"/>
          <w:highlight w:val="none"/>
        </w:rPr>
      </w:pPr>
      <w:r>
        <w:rPr>
          <w:rFonts w:hint="eastAsia" w:ascii="Arial" w:hAnsi="Arial" w:cs="Arial"/>
          <w:b/>
          <w:color w:val="auto"/>
          <w:szCs w:val="21"/>
          <w:highlight w:val="none"/>
        </w:rPr>
        <w:t>条款号：13.1</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440" w:lineRule="exact"/>
        <w:ind w:firstLine="472" w:firstLineChars="224"/>
        <w:rPr>
          <w:rFonts w:ascii="Arial" w:hAnsi="Arial" w:cs="Arial"/>
          <w:color w:val="auto"/>
          <w:sz w:val="18"/>
          <w:highlight w:val="none"/>
        </w:rPr>
      </w:pPr>
      <w:r>
        <w:rPr>
          <w:rFonts w:hint="eastAsia" w:ascii="Arial" w:hAnsi="Arial" w:cs="Arial"/>
          <w:b/>
          <w:color w:val="auto"/>
          <w:highlight w:val="none"/>
        </w:rPr>
        <w:t>原文：</w:t>
      </w:r>
      <w:r>
        <w:rPr>
          <w:rFonts w:ascii="Arial" w:hAnsi="Arial" w:cs="Arial"/>
          <w:color w:val="auto"/>
          <w:highlight w:val="none"/>
        </w:rPr>
        <w:t xml:space="preserve">13.1 </w:t>
      </w:r>
      <w:r>
        <w:rPr>
          <w:rFonts w:hint="eastAsia" w:ascii="Arial" w:hAnsi="Arial" w:cs="Arial"/>
          <w:color w:val="auto"/>
          <w:highlight w:val="none"/>
        </w:rPr>
        <w:t>本工程的投标报价采用投标须知前附表第12项所规定的方式。投标报价（含单价及总价）精确到“分”。</w:t>
      </w:r>
    </w:p>
    <w:p>
      <w:pPr>
        <w:pBdr>
          <w:bottom w:val="single" w:color="auto" w:sz="6" w:space="1"/>
        </w:pBdr>
        <w:spacing w:line="440" w:lineRule="exact"/>
        <w:ind w:firstLine="472" w:firstLineChars="224"/>
        <w:rPr>
          <w:rFonts w:ascii="Arial" w:hAnsi="Arial" w:cs="Arial"/>
          <w:color w:val="auto"/>
          <w:szCs w:val="21"/>
          <w:highlight w:val="none"/>
        </w:rPr>
      </w:pPr>
      <w:r>
        <w:rPr>
          <w:rFonts w:hint="eastAsia" w:ascii="Arial" w:hAnsi="Arial" w:cs="Arial"/>
          <w:b/>
          <w:color w:val="auto"/>
          <w:szCs w:val="21"/>
          <w:highlight w:val="none"/>
        </w:rPr>
        <w:t>现文：</w:t>
      </w:r>
      <w:r>
        <w:rPr>
          <w:rFonts w:ascii="Arial" w:hAnsi="Arial" w:cs="Arial"/>
          <w:color w:val="auto"/>
          <w:highlight w:val="none"/>
        </w:rPr>
        <w:t xml:space="preserve">13.1 </w:t>
      </w:r>
      <w:r>
        <w:rPr>
          <w:rFonts w:hint="eastAsia" w:ascii="Arial" w:hAnsi="Arial" w:cs="Arial"/>
          <w:color w:val="auto"/>
          <w:highlight w:val="none"/>
        </w:rPr>
        <w:t>本工程的投标报价采用投标须知前附表第12项所规定的方式。</w:t>
      </w:r>
      <w:r>
        <w:rPr>
          <w:rFonts w:hint="eastAsia" w:ascii="Arial" w:hAnsi="Arial" w:cs="Arial"/>
          <w:color w:val="auto"/>
          <w:szCs w:val="21"/>
          <w:highlight w:val="none"/>
          <w:u w:val="single"/>
        </w:rPr>
        <w:t>投标文件中的大写金额和小写金额不一致的，以大写金额为准，</w:t>
      </w:r>
      <w:r>
        <w:rPr>
          <w:rFonts w:hint="eastAsia" w:ascii="Arial" w:hAnsi="Arial" w:cs="Arial"/>
          <w:color w:val="auto"/>
          <w:highlight w:val="none"/>
        </w:rPr>
        <w:t>投标报价（含单价及总价）精确到“分”。</w:t>
      </w:r>
    </w:p>
    <w:p>
      <w:pPr>
        <w:spacing w:line="440" w:lineRule="exact"/>
        <w:ind w:firstLine="472" w:firstLineChars="224"/>
        <w:rPr>
          <w:rFonts w:ascii="Arial" w:hAnsi="Arial" w:cs="Arial"/>
          <w:b/>
          <w:color w:val="auto"/>
          <w:szCs w:val="21"/>
          <w:highlight w:val="none"/>
        </w:rPr>
      </w:pPr>
      <w:r>
        <w:rPr>
          <w:rFonts w:hint="eastAsia" w:ascii="Arial" w:hAnsi="Arial" w:cs="Arial"/>
          <w:b/>
          <w:color w:val="auto"/>
          <w:szCs w:val="21"/>
          <w:highlight w:val="none"/>
        </w:rPr>
        <w:t xml:space="preserve">条款号： </w:t>
      </w:r>
      <w:r>
        <w:rPr>
          <w:rFonts w:ascii="Arial" w:hAnsi="Arial" w:cs="Arial"/>
          <w:color w:val="auto"/>
          <w:szCs w:val="21"/>
          <w:highlight w:val="none"/>
        </w:rPr>
        <w:t>13.3</w:t>
      </w:r>
      <w:r>
        <w:rPr>
          <w:rFonts w:hint="eastAsia" w:ascii="Arial" w:hAnsi="Arial" w:cs="Arial"/>
          <w:b/>
          <w:color w:val="auto"/>
          <w:szCs w:val="21"/>
          <w:highlight w:val="none"/>
        </w:rPr>
        <w:t xml:space="preserve">            修改类型：修改</w:t>
      </w:r>
    </w:p>
    <w:p>
      <w:pPr>
        <w:spacing w:line="440" w:lineRule="exact"/>
        <w:ind w:firstLine="472" w:firstLineChars="224"/>
        <w:rPr>
          <w:rFonts w:ascii="Arial" w:hAnsi="Arial" w:cs="Arial"/>
          <w:b/>
          <w:color w:val="auto"/>
          <w:szCs w:val="21"/>
          <w:highlight w:val="none"/>
        </w:rPr>
      </w:pPr>
      <w:r>
        <w:rPr>
          <w:rFonts w:hint="eastAsia" w:ascii="Arial" w:hAnsi="Arial" w:cs="Arial"/>
          <w:b/>
          <w:color w:val="auto"/>
          <w:szCs w:val="21"/>
          <w:highlight w:val="none"/>
        </w:rPr>
        <w:t>原文：</w:t>
      </w:r>
      <w:r>
        <w:rPr>
          <w:rFonts w:ascii="Arial" w:hAnsi="Arial" w:cs="Arial"/>
          <w:color w:val="auto"/>
          <w:szCs w:val="21"/>
          <w:highlight w:val="none"/>
        </w:rPr>
        <w:t>13.3</w:t>
      </w:r>
      <w:r>
        <w:rPr>
          <w:rFonts w:hint="eastAsia" w:ascii="Arial" w:hAnsi="Arial" w:cs="Arial"/>
          <w:bCs/>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440" w:lineRule="exact"/>
        <w:ind w:firstLine="527" w:firstLineChars="25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bCs/>
          <w:color w:val="auto"/>
          <w:szCs w:val="21"/>
          <w:highlight w:val="none"/>
        </w:rPr>
        <w:t>13.3投标人的投标报价，应是按照投标须知前附表第8项的工期要求，在投标须知前附表第3项的建设地点，完成投标须知前附表第7项的招标范围内已由招标人提供的招标图纸、关于本项目招标的相关资料及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绿色施工安全防护措施费等非竞争性项目明列了单价或合价的金额的，投标人应按照明列的单价或合价的金额报价，未按照规定金额报价的，由评标委员会按照招标文件规定的金额进行修正。</w:t>
      </w:r>
    </w:p>
    <w:p>
      <w:pPr>
        <w:spacing w:line="440" w:lineRule="exact"/>
        <w:ind w:firstLine="472" w:firstLineChars="224"/>
        <w:rPr>
          <w:rFonts w:ascii="Arial" w:hAnsi="Arial" w:cs="Arial"/>
          <w:b/>
          <w:color w:val="auto"/>
          <w:szCs w:val="21"/>
          <w:highlight w:val="none"/>
        </w:rPr>
      </w:pPr>
      <w:r>
        <w:rPr>
          <w:rFonts w:hint="eastAsia" w:ascii="Arial" w:hAnsi="Arial" w:cs="Arial"/>
          <w:b/>
          <w:color w:val="auto"/>
          <w:szCs w:val="21"/>
          <w:highlight w:val="none"/>
        </w:rPr>
        <w:t xml:space="preserve">条款号： </w:t>
      </w:r>
      <w:r>
        <w:rPr>
          <w:rFonts w:ascii="Arial" w:hAnsi="Arial" w:cs="Arial"/>
          <w:color w:val="auto"/>
          <w:szCs w:val="21"/>
          <w:highlight w:val="none"/>
        </w:rPr>
        <w:t>13.4</w:t>
      </w:r>
      <w:r>
        <w:rPr>
          <w:rFonts w:hint="eastAsia" w:ascii="Arial" w:hAnsi="Arial" w:cs="Arial"/>
          <w:b/>
          <w:color w:val="auto"/>
          <w:szCs w:val="21"/>
          <w:highlight w:val="none"/>
        </w:rPr>
        <w:t xml:space="preserve">            修改类型：修改</w:t>
      </w:r>
    </w:p>
    <w:p>
      <w:pPr>
        <w:spacing w:line="440" w:lineRule="exact"/>
        <w:ind w:firstLine="472" w:firstLineChars="224"/>
        <w:rPr>
          <w:rFonts w:ascii="Arial" w:hAnsi="Arial" w:cs="Arial"/>
          <w:b/>
          <w:color w:val="auto"/>
          <w:szCs w:val="21"/>
          <w:highlight w:val="none"/>
        </w:rPr>
      </w:pPr>
      <w:r>
        <w:rPr>
          <w:rFonts w:hint="eastAsia" w:ascii="Arial" w:hAnsi="Arial" w:cs="Arial"/>
          <w:b/>
          <w:color w:val="auto"/>
          <w:szCs w:val="21"/>
          <w:highlight w:val="none"/>
        </w:rPr>
        <w:t>原文：13.4</w:t>
      </w:r>
      <w:r>
        <w:rPr>
          <w:rFonts w:hint="eastAsia" w:ascii="Arial" w:hAnsi="Arial" w:cs="Arial"/>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440" w:lineRule="exact"/>
        <w:ind w:firstLine="527" w:firstLineChars="250"/>
        <w:rPr>
          <w:rFonts w:ascii="Arial" w:hAnsi="Arial" w:cs="Arial"/>
          <w:color w:val="auto"/>
          <w:szCs w:val="21"/>
          <w:highlight w:val="none"/>
        </w:rPr>
      </w:pPr>
      <w:r>
        <w:rPr>
          <w:rFonts w:hint="eastAsia" w:ascii="Arial" w:hAnsi="Arial" w:cs="Arial"/>
          <w:b/>
          <w:color w:val="auto"/>
          <w:szCs w:val="21"/>
          <w:highlight w:val="none"/>
        </w:rPr>
        <w:t>现文：13.4</w:t>
      </w:r>
      <w:r>
        <w:rPr>
          <w:rFonts w:hint="eastAsia" w:ascii="Arial" w:hAnsi="Arial" w:cs="Arial"/>
          <w:color w:val="auto"/>
          <w:szCs w:val="21"/>
          <w:highlight w:val="none"/>
          <w:u w:val="single"/>
        </w:rPr>
        <w:t>该约定内容按本招标文件第七章《工程量清单》相关要求及本工程施工合同专用条款约定执行。</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13.5</w:t>
      </w:r>
      <w:r>
        <w:rPr>
          <w:rFonts w:ascii="Arial" w:hAnsi="Arial" w:cs="Arial"/>
          <w:b/>
          <w:color w:val="auto"/>
          <w:szCs w:val="21"/>
          <w:highlight w:val="none"/>
        </w:rPr>
        <w:t xml:space="preserve">  </w:t>
      </w:r>
      <w:r>
        <w:rPr>
          <w:rFonts w:ascii="Arial" w:hAnsi="Arial" w:cs="Arial"/>
          <w:color w:val="auto"/>
          <w:szCs w:val="21"/>
          <w:highlight w:val="none"/>
        </w:rPr>
        <w:t>13.5.1</w:t>
      </w:r>
      <w:r>
        <w:rPr>
          <w:rFonts w:ascii="Arial" w:hAnsi="Arial" w:cs="Arial"/>
          <w:b/>
          <w:color w:val="auto"/>
          <w:szCs w:val="21"/>
          <w:highlight w:val="none"/>
        </w:rPr>
        <w:t xml:space="preserve">  </w:t>
      </w:r>
      <w:r>
        <w:rPr>
          <w:rFonts w:ascii="Arial" w:hAnsi="Arial" w:cs="Arial"/>
          <w:color w:val="auto"/>
          <w:szCs w:val="21"/>
          <w:highlight w:val="none"/>
        </w:rPr>
        <w:t>13.5.2</w:t>
      </w:r>
      <w:r>
        <w:rPr>
          <w:rFonts w:ascii="Arial" w:hAnsi="Arial" w:cs="Arial"/>
          <w:b/>
          <w:color w:val="auto"/>
          <w:szCs w:val="21"/>
          <w:highlight w:val="none"/>
        </w:rPr>
        <w:t xml:space="preserve">  </w:t>
      </w:r>
      <w:r>
        <w:rPr>
          <w:rFonts w:ascii="Arial" w:hAnsi="Arial" w:cs="Arial"/>
          <w:color w:val="auto"/>
          <w:szCs w:val="21"/>
          <w:highlight w:val="none"/>
        </w:rPr>
        <w:t>13.5.3</w:t>
      </w:r>
      <w:r>
        <w:rPr>
          <w:rFonts w:ascii="Arial" w:hAnsi="Arial" w:cs="Arial"/>
          <w:b/>
          <w:color w:val="auto"/>
          <w:szCs w:val="21"/>
          <w:highlight w:val="none"/>
        </w:rPr>
        <w:t xml:space="preserve">  </w:t>
      </w:r>
      <w:r>
        <w:rPr>
          <w:rFonts w:ascii="Arial" w:hAnsi="Arial" w:cs="Arial"/>
          <w:color w:val="auto"/>
          <w:szCs w:val="21"/>
          <w:highlight w:val="none"/>
        </w:rPr>
        <w:t>13.5.4</w:t>
      </w:r>
      <w:r>
        <w:rPr>
          <w:rFonts w:hint="eastAsia" w:ascii="Arial" w:hAnsi="Arial" w:cs="Arial"/>
          <w:b/>
          <w:color w:val="auto"/>
          <w:szCs w:val="21"/>
          <w:highlight w:val="none"/>
        </w:rPr>
        <w:t xml:space="preserve">          修改类型：修改</w:t>
      </w:r>
    </w:p>
    <w:p>
      <w:pPr>
        <w:pStyle w:val="2"/>
        <w:pBdr>
          <w:bottom w:val="single" w:color="auto" w:sz="6" w:space="1"/>
        </w:pBdr>
        <w:spacing w:after="0"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原文：</w:t>
      </w:r>
      <w:r>
        <w:rPr>
          <w:rFonts w:hint="eastAsia" w:ascii="Arial" w:hAnsi="Arial" w:cs="Arial"/>
          <w:color w:val="auto"/>
          <w:szCs w:val="21"/>
          <w:highlight w:val="none"/>
        </w:rPr>
        <w:t>13.5工程项目实施期间……，中标后双方协商约定。</w:t>
      </w:r>
    </w:p>
    <w:p>
      <w:pPr>
        <w:pStyle w:val="2"/>
        <w:pBdr>
          <w:bottom w:val="single" w:color="auto" w:sz="6" w:space="1"/>
        </w:pBdr>
        <w:spacing w:after="0"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ascii="Arial" w:hAnsi="Arial" w:cs="Arial"/>
          <w:color w:val="auto"/>
          <w:szCs w:val="21"/>
          <w:highlight w:val="none"/>
        </w:rPr>
        <w:t>13.5</w:t>
      </w:r>
      <w:r>
        <w:rPr>
          <w:rFonts w:hint="eastAsia" w:ascii="Arial" w:hAnsi="Arial" w:cs="Arial"/>
          <w:color w:val="auto"/>
          <w:szCs w:val="21"/>
          <w:highlight w:val="none"/>
          <w:u w:val="single"/>
        </w:rPr>
        <w:t>变更结算方式按招标文件及施工合同相关规定执行。</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13.6</w:t>
      </w:r>
      <w:r>
        <w:rPr>
          <w:rFonts w:hint="eastAsia" w:ascii="Arial" w:hAnsi="Arial" w:cs="Arial"/>
          <w:b/>
          <w:color w:val="auto"/>
          <w:szCs w:val="21"/>
          <w:highlight w:val="none"/>
        </w:rPr>
        <w:t xml:space="preserve">              修改类型：修改</w:t>
      </w:r>
    </w:p>
    <w:p>
      <w:pPr>
        <w:pStyle w:val="2"/>
        <w:pBdr>
          <w:bottom w:val="single" w:color="auto" w:sz="6" w:space="1"/>
        </w:pBdr>
        <w:spacing w:after="0"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原文：</w:t>
      </w:r>
      <w:r>
        <w:rPr>
          <w:rFonts w:ascii="Arial" w:hAnsi="Arial" w:cs="Arial"/>
          <w:color w:val="auto"/>
          <w:szCs w:val="21"/>
          <w:highlight w:val="none"/>
        </w:rPr>
        <w:t xml:space="preserve">13.6 </w:t>
      </w:r>
      <w:r>
        <w:rPr>
          <w:rFonts w:hint="eastAsia" w:ascii="Arial" w:hAnsi="Arial" w:cs="Arial"/>
          <w:color w:val="auto"/>
          <w:szCs w:val="21"/>
          <w:highlight w:val="none"/>
        </w:rPr>
        <w:t>暂列金额、暂估价</w:t>
      </w:r>
    </w:p>
    <w:p>
      <w:pPr>
        <w:pStyle w:val="2"/>
        <w:pBdr>
          <w:bottom w:val="single" w:color="auto" w:sz="6" w:space="1"/>
        </w:pBdr>
        <w:spacing w:after="0"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ascii="Arial" w:hAnsi="Arial" w:cs="Arial"/>
          <w:color w:val="auto"/>
          <w:szCs w:val="21"/>
          <w:highlight w:val="none"/>
        </w:rPr>
        <w:t>13.6</w:t>
      </w:r>
      <w:r>
        <w:rPr>
          <w:rFonts w:hint="eastAsia" w:ascii="Arial" w:hAnsi="Arial" w:cs="Arial"/>
          <w:color w:val="auto"/>
          <w:szCs w:val="21"/>
          <w:highlight w:val="none"/>
          <w:u w:val="single"/>
        </w:rPr>
        <w:t>暂列金额、暂估价按施工合同相关规定执行。</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13.7.1</w:t>
      </w:r>
      <w:r>
        <w:rPr>
          <w:rFonts w:hint="eastAsia" w:ascii="Arial" w:hAnsi="Arial" w:cs="Arial"/>
          <w:b/>
          <w:color w:val="auto"/>
          <w:szCs w:val="21"/>
          <w:highlight w:val="none"/>
        </w:rPr>
        <w:t xml:space="preserve">          修改类型：增加</w:t>
      </w:r>
    </w:p>
    <w:p>
      <w:pPr>
        <w:pStyle w:val="2"/>
        <w:pBdr>
          <w:bottom w:val="single" w:color="auto" w:sz="6" w:space="1"/>
        </w:pBdr>
        <w:spacing w:after="0"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13.7.1投标文件应考虑周边居民、商铺出行的影响的临时措施，并按相关规范设置，相关费用由投标人综合考虑，由此发生的费用不再另行计价与签证</w:t>
      </w:r>
      <w:r>
        <w:rPr>
          <w:rFonts w:hint="eastAsia" w:ascii="Arial" w:hAnsi="Arial" w:cs="Arial"/>
          <w:color w:val="auto"/>
          <w:szCs w:val="21"/>
          <w:highlight w:val="none"/>
          <w:u w:val="single"/>
        </w:rPr>
        <w:t>。</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16.4</w:t>
      </w:r>
      <w:r>
        <w:rPr>
          <w:rFonts w:hint="eastAsia" w:ascii="Arial" w:hAnsi="Arial" w:cs="Arial"/>
          <w:b/>
          <w:color w:val="auto"/>
          <w:szCs w:val="21"/>
          <w:highlight w:val="none"/>
        </w:rPr>
        <w:t xml:space="preserve">          修改类型：修改</w:t>
      </w:r>
    </w:p>
    <w:p>
      <w:pPr>
        <w:pStyle w:val="2"/>
        <w:pBdr>
          <w:bottom w:val="single" w:color="auto" w:sz="6" w:space="1"/>
        </w:pBd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原文：16.4如有下列情况之一的，招标人可以不予退还投标保证金（是否退还投标保证金由招标人在招标文件中规定）：</w:t>
      </w:r>
    </w:p>
    <w:p>
      <w:pPr>
        <w:pStyle w:val="2"/>
        <w:pBdr>
          <w:bottom w:val="single" w:color="auto" w:sz="6" w:space="1"/>
        </w:pBd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16.4.1因投标人原因造成投标文件未解密的；</w:t>
      </w:r>
    </w:p>
    <w:p>
      <w:pPr>
        <w:pStyle w:val="2"/>
        <w:pBdr>
          <w:bottom w:val="single" w:color="auto" w:sz="6" w:space="1"/>
        </w:pBd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16.4.2投标人在投标有效期内撤销投标文件；</w:t>
      </w:r>
    </w:p>
    <w:p>
      <w:pPr>
        <w:pStyle w:val="2"/>
        <w:pBdr>
          <w:bottom w:val="single" w:color="auto" w:sz="6" w:space="1"/>
        </w:pBd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16.4.3中标人未能在规定期限内按要求提交履约担保；</w:t>
      </w:r>
    </w:p>
    <w:p>
      <w:pPr>
        <w:pStyle w:val="2"/>
        <w:pBdr>
          <w:bottom w:val="single" w:color="auto" w:sz="6" w:space="1"/>
        </w:pBdr>
        <w:spacing w:after="0"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16.4.4中标人未能在规定期限内签署合同协议。</w:t>
      </w:r>
    </w:p>
    <w:p>
      <w:pPr>
        <w:pStyle w:val="2"/>
        <w:pBdr>
          <w:bottom w:val="single" w:color="auto" w:sz="6" w:space="1"/>
        </w:pBdr>
        <w:spacing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16.4如有下列情况之一的，招标人不予退还投标保证金：</w:t>
      </w:r>
    </w:p>
    <w:p>
      <w:pPr>
        <w:pStyle w:val="2"/>
        <w:pBdr>
          <w:bottom w:val="single" w:color="auto" w:sz="6" w:space="1"/>
        </w:pBdr>
        <w:spacing w:line="360" w:lineRule="auto"/>
        <w:ind w:firstLineChars="200"/>
        <w:rPr>
          <w:rFonts w:ascii="Arial" w:hAnsi="Arial" w:cs="Arial"/>
          <w:color w:val="auto"/>
          <w:szCs w:val="21"/>
          <w:highlight w:val="none"/>
        </w:rPr>
      </w:pPr>
      <w:r>
        <w:rPr>
          <w:rFonts w:hint="eastAsia" w:ascii="Arial" w:hAnsi="Arial" w:cs="Arial"/>
          <w:color w:val="auto"/>
          <w:szCs w:val="21"/>
          <w:highlight w:val="none"/>
        </w:rPr>
        <w:t>16.4.1投标人在投标有效期内撤销投标文件；</w:t>
      </w:r>
    </w:p>
    <w:p>
      <w:pPr>
        <w:pStyle w:val="2"/>
        <w:pBdr>
          <w:bottom w:val="single" w:color="auto" w:sz="6" w:space="1"/>
        </w:pBdr>
        <w:spacing w:line="360" w:lineRule="auto"/>
        <w:ind w:firstLineChars="200"/>
        <w:rPr>
          <w:rFonts w:ascii="Arial" w:hAnsi="Arial" w:cs="Arial"/>
          <w:color w:val="auto"/>
          <w:szCs w:val="21"/>
          <w:highlight w:val="none"/>
        </w:rPr>
      </w:pPr>
      <w:r>
        <w:rPr>
          <w:rFonts w:hint="eastAsia" w:ascii="Arial" w:hAnsi="Arial" w:cs="Arial"/>
          <w:color w:val="auto"/>
          <w:szCs w:val="21"/>
          <w:highlight w:val="none"/>
        </w:rPr>
        <w:t>16.4.2中标人未能在规定期限内按要求提交履约担保；</w:t>
      </w:r>
    </w:p>
    <w:p>
      <w:pPr>
        <w:pStyle w:val="2"/>
        <w:pBdr>
          <w:bottom w:val="single" w:color="auto" w:sz="6" w:space="1"/>
        </w:pBdr>
        <w:spacing w:after="0" w:line="360" w:lineRule="auto"/>
        <w:ind w:firstLineChars="200"/>
        <w:rPr>
          <w:rFonts w:ascii="Arial" w:hAnsi="Arial" w:cs="Arial"/>
          <w:color w:val="auto"/>
          <w:szCs w:val="21"/>
          <w:highlight w:val="none"/>
        </w:rPr>
      </w:pPr>
      <w:r>
        <w:rPr>
          <w:rFonts w:hint="eastAsia" w:ascii="Arial" w:hAnsi="Arial" w:cs="Arial"/>
          <w:color w:val="auto"/>
          <w:szCs w:val="21"/>
          <w:highlight w:val="none"/>
        </w:rPr>
        <w:t>16.4.3中标人未能在规定期限内签署合同协议。</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16.5</w:t>
      </w:r>
      <w:r>
        <w:rPr>
          <w:rFonts w:hint="eastAsia" w:ascii="Arial" w:hAnsi="Arial" w:cs="Arial"/>
          <w:b/>
          <w:color w:val="auto"/>
          <w:szCs w:val="21"/>
          <w:highlight w:val="none"/>
        </w:rPr>
        <w:t xml:space="preserve">          修改类型：修改</w:t>
      </w:r>
    </w:p>
    <w:p>
      <w:pPr>
        <w:spacing w:line="360" w:lineRule="auto"/>
        <w:ind w:firstLine="470" w:firstLineChars="224"/>
        <w:rPr>
          <w:rFonts w:ascii="Arial" w:hAnsi="Arial" w:cs="Arial"/>
          <w:color w:val="auto"/>
          <w:highlight w:val="none"/>
        </w:rPr>
      </w:pPr>
      <w:r>
        <w:rPr>
          <w:rFonts w:hint="eastAsia" w:ascii="Arial" w:hAnsi="Arial" w:cs="Arial"/>
          <w:color w:val="auto"/>
          <w:highlight w:val="none"/>
        </w:rPr>
        <w:t>原文：16.5投标人如存在下列情况之一的，将被拒绝在一定时期内参与招标人后续工程投标（拒绝时限需在招标文件中明确）：</w:t>
      </w:r>
    </w:p>
    <w:p>
      <w:pPr>
        <w:spacing w:line="360" w:lineRule="auto"/>
        <w:ind w:firstLine="470" w:firstLineChars="224"/>
        <w:rPr>
          <w:rFonts w:ascii="Arial" w:hAnsi="Arial" w:cs="Arial"/>
          <w:color w:val="auto"/>
          <w:highlight w:val="none"/>
        </w:rPr>
      </w:pPr>
      <w:r>
        <w:rPr>
          <w:rFonts w:hint="eastAsia" w:ascii="Arial" w:hAnsi="Arial" w:cs="Arial"/>
          <w:color w:val="auto"/>
          <w:highlight w:val="none"/>
        </w:rPr>
        <w:t>16.5.1投标人存在16.4条款所列情形且投标人提交的保函、担保或保证保险无法兑付的；</w:t>
      </w:r>
    </w:p>
    <w:p>
      <w:pPr>
        <w:spacing w:line="360" w:lineRule="auto"/>
        <w:ind w:firstLine="470" w:firstLineChars="224"/>
        <w:rPr>
          <w:rFonts w:ascii="Arial" w:hAnsi="Arial" w:cs="Arial"/>
          <w:color w:val="auto"/>
          <w:highlight w:val="none"/>
        </w:rPr>
      </w:pPr>
      <w:r>
        <w:rPr>
          <w:rFonts w:hint="eastAsia" w:ascii="Arial" w:hAnsi="Arial" w:cs="Arial"/>
          <w:color w:val="auto"/>
          <w:highlight w:val="none"/>
        </w:rPr>
        <w:t>16.5.2采用非电子形式提交投标保证金的投标人存在16.4条款所列情形，且未按招标人要求补交银行保函、专业工程担保公司担保或保证保险原件的；</w:t>
      </w:r>
    </w:p>
    <w:p>
      <w:pPr>
        <w:spacing w:line="360" w:lineRule="auto"/>
        <w:ind w:firstLine="470" w:firstLineChars="224"/>
        <w:rPr>
          <w:rFonts w:ascii="Arial" w:hAnsi="Arial" w:cs="Arial"/>
          <w:color w:val="auto"/>
          <w:highlight w:val="none"/>
        </w:rPr>
      </w:pPr>
      <w:r>
        <w:rPr>
          <w:rFonts w:hint="eastAsia" w:ascii="Arial" w:hAnsi="Arial" w:cs="Arial"/>
          <w:color w:val="auto"/>
          <w:highlight w:val="none"/>
        </w:rPr>
        <w:t>16.5.3按招标文件要求免于提供投标保证金的投标人存在16.4条款所列情形，且未按招标人要求补交投标保证金的；</w:t>
      </w:r>
    </w:p>
    <w:p>
      <w:pPr>
        <w:spacing w:line="360" w:lineRule="auto"/>
        <w:ind w:firstLine="470" w:firstLineChars="224"/>
        <w:rPr>
          <w:rFonts w:ascii="Arial" w:hAnsi="Arial" w:cs="Arial"/>
          <w:color w:val="auto"/>
          <w:highlight w:val="none"/>
        </w:rPr>
      </w:pPr>
      <w:r>
        <w:rPr>
          <w:rFonts w:hint="eastAsia" w:ascii="Arial" w:hAnsi="Arial" w:cs="Arial"/>
          <w:color w:val="auto"/>
          <w:highlight w:val="none"/>
        </w:rPr>
        <w:t>16.5.3按招标文件要求免于提供投标保证金的投标人存在16.4条款所列情形的。</w:t>
      </w:r>
    </w:p>
    <w:p>
      <w:pPr>
        <w:spacing w:line="360" w:lineRule="auto"/>
        <w:ind w:firstLine="470" w:firstLineChars="224"/>
        <w:rPr>
          <w:rFonts w:ascii="Arial" w:hAnsi="Arial" w:cs="Arial"/>
          <w:color w:val="auto"/>
          <w:highlight w:val="none"/>
        </w:rPr>
      </w:pPr>
      <w:r>
        <w:rPr>
          <w:rFonts w:hint="eastAsia" w:ascii="Arial" w:hAnsi="Arial" w:cs="Arial"/>
          <w:color w:val="auto"/>
          <w:highlight w:val="none"/>
        </w:rPr>
        <w:t>注：16.5.3款由招标人二选一，需在招标文件中明确。</w:t>
      </w:r>
    </w:p>
    <w:p>
      <w:pPr>
        <w:pStyle w:val="2"/>
        <w:pBdr>
          <w:bottom w:val="single" w:color="auto" w:sz="6" w:space="1"/>
        </w:pBdr>
        <w:spacing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16.5投标人如存在下列情况之一的，将被拒绝在一定时期内参与招标人后续工程投标（拒绝时限为180天）：</w:t>
      </w:r>
    </w:p>
    <w:p>
      <w:pPr>
        <w:pStyle w:val="2"/>
        <w:pBdr>
          <w:bottom w:val="single" w:color="auto" w:sz="6" w:space="1"/>
        </w:pBdr>
        <w:spacing w:line="360" w:lineRule="auto"/>
        <w:ind w:firstLineChars="200"/>
        <w:rPr>
          <w:rFonts w:ascii="Arial" w:hAnsi="Arial" w:cs="Arial"/>
          <w:color w:val="auto"/>
          <w:szCs w:val="21"/>
          <w:highlight w:val="none"/>
        </w:rPr>
      </w:pPr>
      <w:r>
        <w:rPr>
          <w:rFonts w:hint="eastAsia" w:ascii="Arial" w:hAnsi="Arial" w:cs="Arial"/>
          <w:color w:val="auto"/>
          <w:szCs w:val="21"/>
          <w:highlight w:val="none"/>
        </w:rPr>
        <w:t>16.5.1投标人存在16.4条款所列情形且投标人提交的保函、担保或保证保险无法兑付的；</w:t>
      </w:r>
    </w:p>
    <w:p>
      <w:pPr>
        <w:pStyle w:val="2"/>
        <w:pBdr>
          <w:bottom w:val="single" w:color="auto" w:sz="6" w:space="1"/>
        </w:pBdr>
        <w:spacing w:line="360" w:lineRule="auto"/>
        <w:ind w:firstLineChars="200"/>
        <w:rPr>
          <w:rFonts w:ascii="Arial" w:hAnsi="Arial" w:cs="Arial"/>
          <w:color w:val="auto"/>
          <w:szCs w:val="21"/>
          <w:highlight w:val="none"/>
        </w:rPr>
      </w:pPr>
      <w:r>
        <w:rPr>
          <w:rFonts w:hint="eastAsia" w:ascii="Arial" w:hAnsi="Arial" w:cs="Arial"/>
          <w:color w:val="auto"/>
          <w:szCs w:val="21"/>
          <w:highlight w:val="none"/>
        </w:rPr>
        <w:t>16.5.2采用非电子形式提交投标保证金的投标人存在16.4条款所列情形，且未按招标人要求补交银行保函、专业工程担保公司担保或保证保险原件的；</w:t>
      </w:r>
    </w:p>
    <w:p>
      <w:pPr>
        <w:pStyle w:val="2"/>
        <w:pBdr>
          <w:bottom w:val="single" w:color="auto" w:sz="6" w:space="1"/>
        </w:pBdr>
        <w:spacing w:line="360" w:lineRule="auto"/>
        <w:ind w:firstLineChars="200"/>
        <w:rPr>
          <w:rFonts w:ascii="Arial" w:hAnsi="Arial" w:cs="Arial"/>
          <w:color w:val="auto"/>
          <w:szCs w:val="21"/>
          <w:highlight w:val="none"/>
        </w:rPr>
      </w:pPr>
      <w:r>
        <w:rPr>
          <w:rFonts w:hint="eastAsia" w:ascii="Arial" w:hAnsi="Arial" w:cs="Arial"/>
          <w:color w:val="auto"/>
          <w:szCs w:val="21"/>
          <w:highlight w:val="none"/>
        </w:rPr>
        <w:t>16.5.3按招标文件要求免于提供投标保证金的投标人存在16.4条款所列情形，且未按招标人要求补交投标保证金的。</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17.1</w:t>
      </w:r>
      <w:r>
        <w:rPr>
          <w:rFonts w:hint="eastAsia"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Cs w:val="21"/>
          <w:highlight w:val="none"/>
        </w:rPr>
      </w:pPr>
      <w:r>
        <w:rPr>
          <w:rFonts w:hint="eastAsia" w:ascii="Arial" w:hAnsi="Arial" w:cs="Arial"/>
          <w:b/>
          <w:color w:val="auto"/>
          <w:highlight w:val="none"/>
        </w:rPr>
        <w:t>原文：</w:t>
      </w:r>
      <w:r>
        <w:rPr>
          <w:rFonts w:hint="eastAsia" w:ascii="Arial" w:hAnsi="Arial" w:cs="Arial"/>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Arial" w:hAnsi="Arial" w:cs="Arial"/>
          <w:color w:val="auto"/>
          <w:szCs w:val="21"/>
          <w:highlight w:val="none"/>
          <w:u w:val="single"/>
        </w:rPr>
        <w:t xml:space="preserve">            </w:t>
      </w:r>
      <w:r>
        <w:rPr>
          <w:rFonts w:hint="eastAsia" w:ascii="Arial" w:hAnsi="Arial" w:cs="Arial"/>
          <w:color w:val="auto"/>
          <w:szCs w:val="21"/>
          <w:highlight w:val="none"/>
        </w:rPr>
        <w:t xml:space="preserve"> 。</w:t>
      </w:r>
    </w:p>
    <w:p>
      <w:pPr>
        <w:pStyle w:val="2"/>
        <w:pBdr>
          <w:bottom w:val="single" w:color="auto" w:sz="6" w:space="1"/>
        </w:pBdr>
        <w:spacing w:after="0"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Arial" w:hAnsi="Arial" w:cs="Arial"/>
          <w:color w:val="auto"/>
          <w:szCs w:val="21"/>
          <w:highlight w:val="none"/>
          <w:u w:val="single"/>
        </w:rPr>
        <w:t xml:space="preserve"> 广州公共资源交易中心网站 </w:t>
      </w:r>
      <w:r>
        <w:rPr>
          <w:rFonts w:ascii="Arial" w:hAnsi="Arial" w:cs="Arial"/>
          <w:color w:val="auto"/>
          <w:szCs w:val="21"/>
          <w:highlight w:val="none"/>
        </w:rPr>
        <w:t xml:space="preserve"> </w:t>
      </w:r>
      <w:r>
        <w:rPr>
          <w:rFonts w:hint="eastAsia" w:ascii="Arial" w:hAnsi="Arial" w:cs="Arial"/>
          <w:color w:val="auto"/>
          <w:szCs w:val="21"/>
          <w:highlight w:val="none"/>
          <w:u w:val="single"/>
        </w:rPr>
        <w:t>。</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hint="eastAsia" w:ascii="Arial" w:hAnsi="Arial" w:cs="Arial"/>
          <w:color w:val="auto"/>
          <w:szCs w:val="21"/>
          <w:highlight w:val="none"/>
        </w:rPr>
        <w:t>18、19</w:t>
      </w:r>
      <w:r>
        <w:rPr>
          <w:rFonts w:hint="eastAsia" w:ascii="Arial" w:hAnsi="Arial" w:cs="Arial"/>
          <w:b/>
          <w:color w:val="auto"/>
          <w:szCs w:val="21"/>
          <w:highlight w:val="none"/>
        </w:rPr>
        <w:t xml:space="preserve">          修改类型：修改</w:t>
      </w:r>
    </w:p>
    <w:p>
      <w:pPr>
        <w:pStyle w:val="2"/>
        <w:spacing w:after="0" w:line="360" w:lineRule="auto"/>
        <w:ind w:firstLine="422" w:firstLineChars="200"/>
        <w:rPr>
          <w:rFonts w:ascii="Arial" w:hAnsi="Arial" w:cs="Arial"/>
          <w:b/>
          <w:bCs/>
          <w:color w:val="auto"/>
          <w:szCs w:val="21"/>
          <w:highlight w:val="none"/>
        </w:rPr>
      </w:pPr>
      <w:r>
        <w:rPr>
          <w:rFonts w:hint="eastAsia" w:ascii="Arial" w:hAnsi="Arial" w:cs="Arial"/>
          <w:b/>
          <w:color w:val="auto"/>
          <w:highlight w:val="none"/>
        </w:rPr>
        <w:t>原文：</w:t>
      </w:r>
      <w:r>
        <w:rPr>
          <w:rFonts w:hint="eastAsia" w:ascii="Arial" w:hAnsi="Arial" w:cs="Arial"/>
          <w:b/>
          <w:bCs/>
          <w:color w:val="auto"/>
          <w:szCs w:val="21"/>
          <w:highlight w:val="none"/>
        </w:rPr>
        <w:t>18．</w:t>
      </w:r>
      <w:r>
        <w:rPr>
          <w:rFonts w:hint="eastAsia" w:ascii="Arial" w:hAnsi="Arial" w:cs="Arial"/>
          <w:b/>
          <w:color w:val="auto"/>
          <w:szCs w:val="21"/>
          <w:highlight w:val="none"/>
        </w:rPr>
        <w:t>投标文件的密封和标记</w:t>
      </w:r>
    </w:p>
    <w:p>
      <w:pPr>
        <w:spacing w:line="360" w:lineRule="auto"/>
        <w:ind w:firstLine="420" w:firstLineChars="200"/>
        <w:rPr>
          <w:rFonts w:ascii="Arial" w:hAnsi="Arial" w:cs="Arial"/>
          <w:bCs/>
          <w:color w:val="auto"/>
          <w:szCs w:val="21"/>
          <w:highlight w:val="none"/>
        </w:rPr>
      </w:pPr>
      <w:r>
        <w:rPr>
          <w:rFonts w:hint="eastAsia" w:ascii="Arial" w:hAnsi="Arial" w:cs="Arial"/>
          <w:bCs/>
          <w:color w:val="auto"/>
          <w:szCs w:val="21"/>
          <w:highlight w:val="none"/>
        </w:rPr>
        <w:t>18.1递交的电子投标文件（不含备用光盘）必须进行加密。按照交易平台关于</w:t>
      </w:r>
      <w:r>
        <w:rPr>
          <w:rFonts w:hint="eastAsia" w:ascii="Arial" w:hAnsi="Arial" w:cs="Arial"/>
          <w:color w:val="auto"/>
          <w:szCs w:val="21"/>
          <w:highlight w:val="none"/>
        </w:rPr>
        <w:t>全流程电子化项目的相关指南进行操作。详见：</w:t>
      </w:r>
      <w:r>
        <w:rPr>
          <w:rFonts w:ascii="Arial" w:hAnsi="Arial" w:cs="Arial"/>
          <w:color w:val="auto"/>
          <w:szCs w:val="21"/>
          <w:highlight w:val="none"/>
          <w:u w:val="single"/>
        </w:rPr>
        <w:t xml:space="preserve">           </w:t>
      </w:r>
      <w:r>
        <w:rPr>
          <w:rFonts w:hint="eastAsia" w:ascii="Arial" w:hAnsi="Arial" w:cs="Arial"/>
          <w:color w:val="auto"/>
          <w:szCs w:val="21"/>
          <w:highlight w:val="none"/>
        </w:rPr>
        <w:t xml:space="preserve"> 。</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 xml:space="preserve">18.2 </w:t>
      </w:r>
      <w:r>
        <w:rPr>
          <w:rFonts w:hint="eastAsia" w:ascii="Arial" w:hAnsi="Arial" w:cs="Arial"/>
          <w:bCs/>
          <w:color w:val="auto"/>
          <w:szCs w:val="21"/>
          <w:highlight w:val="none"/>
        </w:rPr>
        <w:t>未按要求加密的投标文件，</w:t>
      </w:r>
      <w:r>
        <w:rPr>
          <w:rFonts w:ascii="Arial" w:hAnsi="Arial" w:cs="Arial"/>
          <w:color w:val="auto"/>
          <w:szCs w:val="21"/>
          <w:highlight w:val="none"/>
          <w:u w:val="single"/>
        </w:rPr>
        <w:t xml:space="preserve">        </w:t>
      </w:r>
      <w:r>
        <w:rPr>
          <w:rFonts w:hint="eastAsia" w:ascii="Arial" w:hAnsi="Arial" w:cs="Arial"/>
          <w:color w:val="auto"/>
          <w:szCs w:val="21"/>
          <w:highlight w:val="none"/>
        </w:rPr>
        <w:t>交易平台</w:t>
      </w:r>
      <w:r>
        <w:rPr>
          <w:rFonts w:hint="eastAsia" w:ascii="Arial" w:hAnsi="Arial" w:cs="Arial"/>
          <w:bCs/>
          <w:color w:val="auto"/>
          <w:szCs w:val="21"/>
          <w:highlight w:val="none"/>
        </w:rPr>
        <w:t>将予以拒收。</w:t>
      </w:r>
    </w:p>
    <w:p>
      <w:pPr>
        <w:spacing w:line="360" w:lineRule="auto"/>
        <w:ind w:firstLine="422" w:firstLineChars="200"/>
        <w:rPr>
          <w:rFonts w:ascii="Arial" w:hAnsi="Arial" w:cs="Arial"/>
          <w:b/>
          <w:bCs/>
          <w:color w:val="auto"/>
          <w:szCs w:val="21"/>
          <w:highlight w:val="none"/>
        </w:rPr>
      </w:pPr>
      <w:r>
        <w:rPr>
          <w:rFonts w:hint="eastAsia" w:ascii="Arial" w:hAnsi="Arial" w:cs="Arial"/>
          <w:b/>
          <w:bCs/>
          <w:color w:val="auto"/>
          <w:szCs w:val="21"/>
          <w:highlight w:val="none"/>
        </w:rPr>
        <w:t>19．投标文件的递交和接收</w:t>
      </w:r>
    </w:p>
    <w:p>
      <w:pPr>
        <w:spacing w:line="360" w:lineRule="auto"/>
        <w:ind w:firstLine="420" w:firstLineChars="200"/>
        <w:rPr>
          <w:rFonts w:ascii="Arial" w:hAnsi="Arial" w:cs="Arial"/>
          <w:bCs/>
          <w:color w:val="auto"/>
          <w:szCs w:val="21"/>
          <w:highlight w:val="none"/>
        </w:rPr>
      </w:pPr>
      <w:r>
        <w:rPr>
          <w:rFonts w:hint="eastAsia" w:ascii="Arial" w:hAnsi="Arial" w:cs="Arial"/>
          <w:bCs/>
          <w:color w:val="auto"/>
          <w:szCs w:val="21"/>
          <w:highlight w:val="none"/>
        </w:rPr>
        <w:t>19.1投标人通过</w:t>
      </w:r>
      <w:r>
        <w:rPr>
          <w:rFonts w:ascii="Arial" w:hAnsi="Arial" w:cs="Arial"/>
          <w:color w:val="auto"/>
          <w:szCs w:val="21"/>
          <w:highlight w:val="none"/>
          <w:u w:val="single"/>
        </w:rPr>
        <w:t xml:space="preserve">        </w:t>
      </w:r>
      <w:r>
        <w:rPr>
          <w:rFonts w:hint="eastAsia" w:ascii="Arial" w:hAnsi="Arial" w:cs="Arial"/>
          <w:color w:val="auto"/>
          <w:szCs w:val="21"/>
          <w:highlight w:val="none"/>
        </w:rPr>
        <w:t>交易平台递交电子投标文件。</w:t>
      </w:r>
    </w:p>
    <w:p>
      <w:pPr>
        <w:spacing w:line="360" w:lineRule="auto"/>
        <w:ind w:firstLine="420" w:firstLineChars="200"/>
        <w:rPr>
          <w:rFonts w:ascii="Arial" w:hAnsi="Arial" w:cs="Arial"/>
          <w:bCs/>
          <w:color w:val="auto"/>
          <w:szCs w:val="21"/>
          <w:highlight w:val="none"/>
        </w:rPr>
      </w:pPr>
      <w:r>
        <w:rPr>
          <w:rFonts w:hint="eastAsia" w:ascii="Arial" w:hAnsi="Arial" w:cs="Arial"/>
          <w:bCs/>
          <w:color w:val="auto"/>
          <w:szCs w:val="21"/>
          <w:highlight w:val="none"/>
        </w:rPr>
        <w:t>19.2投标人完成电子</w:t>
      </w:r>
      <w:r>
        <w:rPr>
          <w:rFonts w:hint="eastAsia" w:ascii="Arial" w:hAnsi="Arial" w:cs="Arial"/>
          <w:color w:val="auto"/>
          <w:szCs w:val="21"/>
          <w:highlight w:val="none"/>
        </w:rPr>
        <w:t>投标文件</w:t>
      </w:r>
      <w:r>
        <w:rPr>
          <w:rFonts w:hint="eastAsia" w:ascii="Arial" w:hAnsi="Arial" w:cs="Arial"/>
          <w:bCs/>
          <w:color w:val="auto"/>
          <w:szCs w:val="21"/>
          <w:highlight w:val="none"/>
        </w:rPr>
        <w:t>上传后，</w:t>
      </w:r>
      <w:r>
        <w:rPr>
          <w:rFonts w:ascii="Arial" w:hAnsi="Arial" w:cs="Arial"/>
          <w:color w:val="auto"/>
          <w:szCs w:val="21"/>
          <w:highlight w:val="none"/>
          <w:u w:val="single"/>
        </w:rPr>
        <w:t xml:space="preserve">        </w:t>
      </w:r>
      <w:r>
        <w:rPr>
          <w:rFonts w:hint="eastAsia" w:ascii="Arial" w:hAnsi="Arial" w:cs="Arial"/>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Arial" w:hAnsi="Arial" w:cs="Arial"/>
          <w:color w:val="auto"/>
          <w:szCs w:val="21"/>
          <w:highlight w:val="none"/>
        </w:rPr>
      </w:pPr>
      <w:r>
        <w:rPr>
          <w:rFonts w:hint="eastAsia" w:ascii="Arial" w:hAnsi="Arial" w:cs="Arial"/>
          <w:bCs/>
          <w:color w:val="auto"/>
          <w:szCs w:val="21"/>
          <w:highlight w:val="none"/>
        </w:rPr>
        <w:t>19.3逾期送达的电子投标文件，</w:t>
      </w:r>
      <w:r>
        <w:rPr>
          <w:rFonts w:ascii="Arial" w:hAnsi="Arial" w:cs="Arial"/>
          <w:color w:val="auto"/>
          <w:szCs w:val="21"/>
          <w:highlight w:val="none"/>
          <w:u w:val="single"/>
        </w:rPr>
        <w:t xml:space="preserve">        </w:t>
      </w:r>
      <w:r>
        <w:rPr>
          <w:rFonts w:hint="eastAsia" w:ascii="Arial" w:hAnsi="Arial" w:cs="Arial"/>
          <w:color w:val="auto"/>
          <w:szCs w:val="21"/>
          <w:highlight w:val="none"/>
        </w:rPr>
        <w:t>交易平台将予以拒收。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19.4 </w:t>
      </w:r>
      <w:r>
        <w:rPr>
          <w:rFonts w:hint="eastAsia" w:ascii="Arial" w:hAnsi="Arial" w:cs="Arial"/>
          <w:color w:val="auto"/>
          <w:szCs w:val="21"/>
          <w:highlight w:val="none"/>
        </w:rPr>
        <w:t>投标截止前，招标人拒绝接收符合条件的投标文件，投标人可向招标投标监督机构投诉。</w:t>
      </w:r>
    </w:p>
    <w:p>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19.5如技术标和经济标先后分别开启，</w:t>
      </w:r>
      <w:r>
        <w:rPr>
          <w:rFonts w:ascii="Arial" w:hAnsi="Arial" w:cs="Arial"/>
          <w:color w:val="auto"/>
          <w:szCs w:val="21"/>
          <w:highlight w:val="none"/>
          <w:u w:val="single"/>
        </w:rPr>
        <w:t xml:space="preserve">        </w:t>
      </w:r>
      <w:r>
        <w:rPr>
          <w:rFonts w:hint="eastAsia" w:ascii="Arial" w:hAnsi="Arial" w:cs="Arial"/>
          <w:color w:val="auto"/>
          <w:szCs w:val="21"/>
          <w:highlight w:val="none"/>
        </w:rPr>
        <w:t>交易平台将按招标文件规定的时间分别开启技术标和经济标。</w:t>
      </w:r>
    </w:p>
    <w:p>
      <w:pPr>
        <w:pStyle w:val="2"/>
        <w:spacing w:after="0" w:line="360" w:lineRule="auto"/>
        <w:ind w:firstLine="422" w:firstLineChars="200"/>
        <w:rPr>
          <w:rFonts w:ascii="Arial" w:hAnsi="Arial" w:cs="Arial"/>
          <w:b/>
          <w:bCs/>
          <w:color w:val="auto"/>
          <w:szCs w:val="21"/>
          <w:highlight w:val="none"/>
        </w:rPr>
      </w:pPr>
      <w:r>
        <w:rPr>
          <w:rFonts w:hint="eastAsia" w:ascii="Arial" w:hAnsi="Arial" w:cs="Arial"/>
          <w:b/>
          <w:color w:val="auto"/>
          <w:szCs w:val="21"/>
          <w:highlight w:val="none"/>
        </w:rPr>
        <w:t>现文：</w:t>
      </w:r>
      <w:r>
        <w:rPr>
          <w:rFonts w:hint="eastAsia" w:ascii="Arial" w:hAnsi="Arial" w:cs="Arial"/>
          <w:b/>
          <w:bCs/>
          <w:color w:val="auto"/>
          <w:szCs w:val="21"/>
          <w:highlight w:val="none"/>
        </w:rPr>
        <w:t>18．</w:t>
      </w:r>
      <w:r>
        <w:rPr>
          <w:rFonts w:hint="eastAsia" w:ascii="Arial" w:hAnsi="Arial" w:cs="Arial"/>
          <w:b/>
          <w:color w:val="auto"/>
          <w:szCs w:val="21"/>
          <w:highlight w:val="none"/>
        </w:rPr>
        <w:t>投标文件的密封和标记</w:t>
      </w:r>
    </w:p>
    <w:p>
      <w:pPr>
        <w:spacing w:line="360" w:lineRule="auto"/>
        <w:ind w:firstLine="420" w:firstLineChars="200"/>
        <w:rPr>
          <w:rFonts w:ascii="Arial" w:hAnsi="Arial" w:cs="Arial"/>
          <w:bCs/>
          <w:color w:val="auto"/>
          <w:szCs w:val="21"/>
          <w:highlight w:val="none"/>
        </w:rPr>
      </w:pPr>
      <w:r>
        <w:rPr>
          <w:rFonts w:hint="eastAsia" w:ascii="Arial" w:hAnsi="Arial" w:cs="Arial"/>
          <w:bCs/>
          <w:color w:val="auto"/>
          <w:szCs w:val="21"/>
          <w:highlight w:val="none"/>
        </w:rPr>
        <w:t>18.1递交的电子投标文件（不含备用光盘）必须进行加密。按照交易平台关于</w:t>
      </w:r>
      <w:r>
        <w:rPr>
          <w:rFonts w:hint="eastAsia" w:ascii="Arial" w:hAnsi="Arial" w:cs="Arial"/>
          <w:color w:val="auto"/>
          <w:szCs w:val="21"/>
          <w:highlight w:val="none"/>
        </w:rPr>
        <w:t>全流程电子化项目的相关指南进行操作。详见：</w:t>
      </w:r>
      <w:r>
        <w:rPr>
          <w:rFonts w:hint="eastAsia" w:ascii="Arial" w:hAnsi="Arial" w:cs="Arial"/>
          <w:color w:val="auto"/>
          <w:szCs w:val="21"/>
          <w:highlight w:val="none"/>
          <w:u w:val="single"/>
        </w:rPr>
        <w:t xml:space="preserve">  广州公共资源交易中心网站  </w:t>
      </w:r>
      <w:r>
        <w:rPr>
          <w:rFonts w:hint="eastAsia" w:ascii="Arial" w:hAnsi="Arial" w:cs="Arial"/>
          <w:color w:val="auto"/>
          <w:szCs w:val="21"/>
          <w:highlight w:val="none"/>
        </w:rPr>
        <w:t xml:space="preserve"> 。</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 xml:space="preserve">18.2 </w:t>
      </w:r>
      <w:r>
        <w:rPr>
          <w:rFonts w:hint="eastAsia" w:ascii="Arial" w:hAnsi="Arial" w:cs="Arial"/>
          <w:bCs/>
          <w:color w:val="auto"/>
          <w:szCs w:val="21"/>
          <w:highlight w:val="none"/>
        </w:rPr>
        <w:t>未按要求加密的投标文件，</w:t>
      </w:r>
      <w:r>
        <w:rPr>
          <w:rFonts w:hint="eastAsia" w:ascii="Arial" w:hAnsi="Arial" w:cs="Arial"/>
          <w:color w:val="auto"/>
          <w:szCs w:val="21"/>
          <w:highlight w:val="none"/>
          <w:u w:val="single"/>
        </w:rPr>
        <w:t>广州公共资源交易中心</w:t>
      </w:r>
      <w:r>
        <w:rPr>
          <w:rFonts w:hint="eastAsia" w:ascii="Arial" w:hAnsi="Arial" w:cs="Arial"/>
          <w:color w:val="auto"/>
          <w:szCs w:val="21"/>
          <w:highlight w:val="none"/>
        </w:rPr>
        <w:t>交易平台</w:t>
      </w:r>
      <w:r>
        <w:rPr>
          <w:rFonts w:hint="eastAsia" w:ascii="Arial" w:hAnsi="Arial" w:cs="Arial"/>
          <w:bCs/>
          <w:color w:val="auto"/>
          <w:szCs w:val="21"/>
          <w:highlight w:val="none"/>
        </w:rPr>
        <w:t>将予以拒收。</w:t>
      </w:r>
    </w:p>
    <w:p>
      <w:pPr>
        <w:spacing w:line="360" w:lineRule="auto"/>
        <w:ind w:firstLine="422" w:firstLineChars="200"/>
        <w:rPr>
          <w:rFonts w:ascii="Arial" w:hAnsi="Arial" w:cs="Arial"/>
          <w:b/>
          <w:bCs/>
          <w:color w:val="auto"/>
          <w:szCs w:val="21"/>
          <w:highlight w:val="none"/>
        </w:rPr>
      </w:pPr>
      <w:r>
        <w:rPr>
          <w:rFonts w:hint="eastAsia" w:ascii="Arial" w:hAnsi="Arial" w:cs="Arial"/>
          <w:b/>
          <w:bCs/>
          <w:color w:val="auto"/>
          <w:szCs w:val="21"/>
          <w:highlight w:val="none"/>
        </w:rPr>
        <w:t>19．投标文件的递交和接收</w:t>
      </w:r>
    </w:p>
    <w:p>
      <w:pPr>
        <w:spacing w:line="360" w:lineRule="auto"/>
        <w:ind w:firstLine="420" w:firstLineChars="200"/>
        <w:rPr>
          <w:rFonts w:ascii="Arial" w:hAnsi="Arial" w:cs="Arial"/>
          <w:bCs/>
          <w:color w:val="auto"/>
          <w:szCs w:val="21"/>
          <w:highlight w:val="none"/>
        </w:rPr>
      </w:pPr>
      <w:r>
        <w:rPr>
          <w:rFonts w:hint="eastAsia" w:ascii="Arial" w:hAnsi="Arial" w:cs="Arial"/>
          <w:bCs/>
          <w:color w:val="auto"/>
          <w:szCs w:val="21"/>
          <w:highlight w:val="none"/>
        </w:rPr>
        <w:t>19.1投标人通过</w:t>
      </w:r>
      <w:r>
        <w:rPr>
          <w:rFonts w:hint="eastAsia" w:ascii="Arial" w:hAnsi="Arial" w:cs="Arial"/>
          <w:color w:val="auto"/>
          <w:szCs w:val="21"/>
          <w:highlight w:val="none"/>
          <w:u w:val="single"/>
        </w:rPr>
        <w:t xml:space="preserve">广州公共资源交易中心  </w:t>
      </w:r>
      <w:r>
        <w:rPr>
          <w:rFonts w:hint="eastAsia" w:ascii="Arial" w:hAnsi="Arial" w:cs="Arial"/>
          <w:color w:val="auto"/>
          <w:szCs w:val="21"/>
          <w:highlight w:val="none"/>
        </w:rPr>
        <w:t>交易平台递交电子投标文件。</w:t>
      </w:r>
    </w:p>
    <w:p>
      <w:pPr>
        <w:spacing w:line="360" w:lineRule="auto"/>
        <w:ind w:firstLine="420" w:firstLineChars="200"/>
        <w:rPr>
          <w:rFonts w:ascii="Arial" w:hAnsi="Arial" w:cs="Arial"/>
          <w:bCs/>
          <w:color w:val="auto"/>
          <w:szCs w:val="21"/>
          <w:highlight w:val="none"/>
        </w:rPr>
      </w:pPr>
      <w:r>
        <w:rPr>
          <w:rFonts w:hint="eastAsia" w:ascii="Arial" w:hAnsi="Arial" w:cs="Arial"/>
          <w:bCs/>
          <w:color w:val="auto"/>
          <w:szCs w:val="21"/>
          <w:highlight w:val="none"/>
        </w:rPr>
        <w:t>19.2投标人完成电子</w:t>
      </w:r>
      <w:r>
        <w:rPr>
          <w:rFonts w:hint="eastAsia" w:ascii="Arial" w:hAnsi="Arial" w:cs="Arial"/>
          <w:color w:val="auto"/>
          <w:szCs w:val="21"/>
          <w:highlight w:val="none"/>
        </w:rPr>
        <w:t>投标文件</w:t>
      </w:r>
      <w:r>
        <w:rPr>
          <w:rFonts w:hint="eastAsia" w:ascii="Arial" w:hAnsi="Arial" w:cs="Arial"/>
          <w:bCs/>
          <w:color w:val="auto"/>
          <w:szCs w:val="21"/>
          <w:highlight w:val="none"/>
        </w:rPr>
        <w:t>上传后，</w:t>
      </w:r>
      <w:r>
        <w:rPr>
          <w:rFonts w:hint="eastAsia" w:ascii="Arial" w:hAnsi="Arial" w:cs="Arial"/>
          <w:color w:val="auto"/>
          <w:szCs w:val="21"/>
          <w:highlight w:val="none"/>
          <w:u w:val="single"/>
        </w:rPr>
        <w:t xml:space="preserve">广州公共资源交易中心  </w:t>
      </w:r>
      <w:r>
        <w:rPr>
          <w:rFonts w:hint="eastAsia" w:ascii="Arial" w:hAnsi="Arial" w:cs="Arial"/>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Arial" w:hAnsi="Arial" w:cs="Arial"/>
          <w:color w:val="auto"/>
          <w:szCs w:val="21"/>
          <w:highlight w:val="none"/>
        </w:rPr>
      </w:pPr>
      <w:r>
        <w:rPr>
          <w:rFonts w:hint="eastAsia" w:ascii="Arial" w:hAnsi="Arial" w:cs="Arial"/>
          <w:bCs/>
          <w:color w:val="auto"/>
          <w:szCs w:val="21"/>
          <w:highlight w:val="none"/>
        </w:rPr>
        <w:t>19.3逾期送达的电子投标文件，</w:t>
      </w:r>
      <w:r>
        <w:rPr>
          <w:rFonts w:hint="eastAsia" w:ascii="Arial" w:hAnsi="Arial" w:cs="Arial"/>
          <w:color w:val="auto"/>
          <w:szCs w:val="21"/>
          <w:highlight w:val="none"/>
          <w:u w:val="single"/>
        </w:rPr>
        <w:t xml:space="preserve">广州公共资源交易中心  </w:t>
      </w:r>
      <w:r>
        <w:rPr>
          <w:rFonts w:hint="eastAsia" w:ascii="Arial" w:hAnsi="Arial" w:cs="Arial"/>
          <w:color w:val="auto"/>
          <w:szCs w:val="21"/>
          <w:highlight w:val="none"/>
        </w:rPr>
        <w:t>交易平台将予以拒收。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19.4 </w:t>
      </w:r>
      <w:r>
        <w:rPr>
          <w:rFonts w:hint="eastAsia" w:ascii="Arial" w:hAnsi="Arial" w:cs="Arial"/>
          <w:color w:val="auto"/>
          <w:szCs w:val="21"/>
          <w:highlight w:val="none"/>
        </w:rPr>
        <w:t>投标截止前，招标人拒绝接收符合条件的投标文件，投标人可向招标投标监督机构投诉。</w:t>
      </w:r>
    </w:p>
    <w:p>
      <w:pPr>
        <w:pStyle w:val="2"/>
        <w:pBdr>
          <w:bottom w:val="single" w:color="auto" w:sz="6" w:space="1"/>
        </w:pBdr>
        <w:spacing w:after="0" w:line="360" w:lineRule="auto"/>
        <w:ind w:firstLineChars="200"/>
        <w:rPr>
          <w:rFonts w:ascii="Arial" w:hAnsi="Arial" w:cs="Arial"/>
          <w:color w:val="auto"/>
          <w:szCs w:val="21"/>
          <w:highlight w:val="none"/>
        </w:rPr>
      </w:pPr>
      <w:r>
        <w:rPr>
          <w:rFonts w:hint="eastAsia" w:ascii="Arial" w:hAnsi="Arial" w:cs="Arial"/>
          <w:color w:val="auto"/>
          <w:szCs w:val="21"/>
          <w:highlight w:val="none"/>
        </w:rPr>
        <w:t>19.5技术标和经济标同时开启，广州公共资源交易中心交易平台将按招标文件规定的时间同时开启技术标和经济标。</w:t>
      </w:r>
    </w:p>
    <w:p>
      <w:pPr>
        <w:adjustRightInd w:val="0"/>
        <w:spacing w:line="360" w:lineRule="auto"/>
        <w:ind w:firstLine="470" w:firstLineChars="223"/>
        <w:rPr>
          <w:rFonts w:ascii="Arial" w:hAnsi="Arial" w:cs="Arial"/>
          <w:b/>
          <w:color w:val="auto"/>
          <w:szCs w:val="21"/>
          <w:highlight w:val="none"/>
          <w:lang w:bidi="ar"/>
        </w:rPr>
      </w:pPr>
      <w:r>
        <w:rPr>
          <w:rFonts w:hint="eastAsia" w:ascii="Arial" w:hAnsi="Arial" w:cs="Arial"/>
          <w:b/>
          <w:color w:val="auto"/>
          <w:szCs w:val="21"/>
          <w:highlight w:val="none"/>
          <w:lang w:bidi="ar"/>
        </w:rPr>
        <w:t>条款号：20.3</w:t>
      </w:r>
      <w:r>
        <w:rPr>
          <w:rFonts w:ascii="Arial" w:hAnsi="Arial" w:cs="Arial"/>
          <w:b/>
          <w:color w:val="auto"/>
          <w:szCs w:val="21"/>
          <w:highlight w:val="none"/>
          <w:lang w:bidi="ar"/>
        </w:rPr>
        <w:t xml:space="preserve">             </w:t>
      </w:r>
      <w:r>
        <w:rPr>
          <w:rFonts w:hint="eastAsia" w:ascii="Arial" w:hAnsi="Arial" w:cs="Arial"/>
          <w:b/>
          <w:color w:val="auto"/>
          <w:szCs w:val="21"/>
          <w:highlight w:val="none"/>
          <w:lang w:bidi="ar"/>
        </w:rPr>
        <w:t>修改类型：修改</w:t>
      </w:r>
    </w:p>
    <w:p>
      <w:pPr>
        <w:adjustRightInd w:val="0"/>
        <w:spacing w:line="360" w:lineRule="auto"/>
        <w:ind w:firstLine="472" w:firstLineChars="224"/>
        <w:rPr>
          <w:rFonts w:ascii="Arial" w:hAnsi="Arial" w:cs="Arial"/>
          <w:b/>
          <w:color w:val="auto"/>
          <w:szCs w:val="21"/>
          <w:highlight w:val="none"/>
        </w:rPr>
      </w:pPr>
      <w:r>
        <w:rPr>
          <w:rFonts w:hint="eastAsia" w:ascii="Arial" w:hAnsi="Arial" w:cs="Arial"/>
          <w:b/>
          <w:bCs/>
          <w:color w:val="auto"/>
          <w:szCs w:val="21"/>
          <w:highlight w:val="none"/>
        </w:rPr>
        <w:t>原文：</w:t>
      </w:r>
      <w:r>
        <w:rPr>
          <w:rFonts w:ascii="Arial" w:hAnsi="Arial" w:cs="Arial"/>
          <w:color w:val="auto"/>
          <w:szCs w:val="21"/>
          <w:highlight w:val="none"/>
        </w:rPr>
        <w:t xml:space="preserve">20.3 </w:t>
      </w:r>
      <w:r>
        <w:rPr>
          <w:rFonts w:hint="eastAsia" w:ascii="Arial" w:hAnsi="Arial" w:cs="Arial"/>
          <w:color w:val="auto"/>
          <w:szCs w:val="21"/>
          <w:highlight w:val="none"/>
        </w:rPr>
        <w:t>到投标截止时间止，招标人收到的投标文件少于3家的，招标人将重新组织招标（当N个标段同时招标且不允许兼中时，若有效投标单位不足N+4家，则重新组织招标）。</w:t>
      </w:r>
    </w:p>
    <w:p>
      <w:pPr>
        <w:pBdr>
          <w:bottom w:val="single" w:color="auto" w:sz="6" w:space="1"/>
        </w:pBdr>
        <w:adjustRightInd w:val="0"/>
        <w:spacing w:line="360" w:lineRule="auto"/>
        <w:ind w:firstLine="527" w:firstLineChars="250"/>
        <w:rPr>
          <w:rFonts w:ascii="Arial" w:hAnsi="Arial" w:cs="Arial"/>
          <w:b/>
          <w:color w:val="auto"/>
          <w:szCs w:val="21"/>
          <w:highlight w:val="none"/>
        </w:rPr>
      </w:pPr>
      <w:r>
        <w:rPr>
          <w:rFonts w:hint="eastAsia" w:ascii="Arial" w:hAnsi="Arial" w:cs="Arial"/>
          <w:b/>
          <w:bCs/>
          <w:color w:val="auto"/>
          <w:szCs w:val="21"/>
          <w:highlight w:val="none"/>
        </w:rPr>
        <w:t>现文：</w:t>
      </w:r>
      <w:r>
        <w:rPr>
          <w:rFonts w:ascii="Arial" w:hAnsi="Arial" w:cs="Arial"/>
          <w:color w:val="auto"/>
          <w:szCs w:val="21"/>
          <w:highlight w:val="none"/>
        </w:rPr>
        <w:t xml:space="preserve">20.3 </w:t>
      </w:r>
      <w:r>
        <w:rPr>
          <w:rFonts w:hint="eastAsia" w:ascii="Arial" w:hAnsi="Arial" w:cs="Arial"/>
          <w:color w:val="auto"/>
          <w:szCs w:val="21"/>
          <w:highlight w:val="none"/>
        </w:rPr>
        <w:t>到投标截止时间止，招标人收到的投标文件少于</w:t>
      </w:r>
      <w:r>
        <w:rPr>
          <w:rFonts w:hint="eastAsia" w:ascii="Arial" w:hAnsi="Arial" w:cs="Arial"/>
          <w:color w:val="auto"/>
          <w:szCs w:val="21"/>
          <w:highlight w:val="none"/>
          <w:u w:val="single"/>
        </w:rPr>
        <w:t>3家</w:t>
      </w:r>
      <w:r>
        <w:rPr>
          <w:rFonts w:hint="eastAsia" w:ascii="Arial" w:hAnsi="Arial" w:cs="Arial"/>
          <w:color w:val="auto"/>
          <w:szCs w:val="21"/>
          <w:highlight w:val="none"/>
        </w:rPr>
        <w:t>的，招标人将重新组织招标。</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21.1</w:t>
      </w:r>
      <w:r>
        <w:rPr>
          <w:rFonts w:hint="eastAsia"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Cs w:val="21"/>
          <w:highlight w:val="none"/>
        </w:rPr>
      </w:pPr>
      <w:r>
        <w:rPr>
          <w:rFonts w:hint="eastAsia" w:ascii="Arial" w:hAnsi="Arial" w:cs="Arial"/>
          <w:b/>
          <w:color w:val="auto"/>
          <w:highlight w:val="none"/>
        </w:rPr>
        <w:t>原文：</w:t>
      </w:r>
      <w:r>
        <w:rPr>
          <w:rFonts w:ascii="Arial" w:hAnsi="Arial" w:cs="Arial"/>
          <w:color w:val="auto"/>
          <w:szCs w:val="21"/>
          <w:highlight w:val="none"/>
        </w:rPr>
        <w:t xml:space="preserve">21.1 </w:t>
      </w:r>
      <w:r>
        <w:rPr>
          <w:rFonts w:hint="eastAsia" w:ascii="Arial" w:hAnsi="Arial" w:cs="Arial"/>
          <w:color w:val="auto"/>
          <w:szCs w:val="21"/>
          <w:highlight w:val="none"/>
        </w:rPr>
        <w:t>本须知前附表第17项规定的投标截止时间后送达的电子投标文件，</w:t>
      </w:r>
      <w:r>
        <w:rPr>
          <w:rFonts w:ascii="Arial" w:hAnsi="Arial" w:cs="Arial"/>
          <w:color w:val="auto"/>
          <w:szCs w:val="21"/>
          <w:highlight w:val="none"/>
          <w:u w:val="single"/>
        </w:rPr>
        <w:t xml:space="preserve">       </w:t>
      </w:r>
      <w:r>
        <w:rPr>
          <w:rFonts w:hint="eastAsia" w:ascii="Arial" w:hAnsi="Arial" w:cs="Arial"/>
          <w:color w:val="auto"/>
          <w:szCs w:val="21"/>
          <w:highlight w:val="none"/>
        </w:rPr>
        <w:t>交易平台将予以拒收。</w:t>
      </w:r>
    </w:p>
    <w:p>
      <w:pPr>
        <w:pStyle w:val="2"/>
        <w:pBdr>
          <w:bottom w:val="single" w:color="auto" w:sz="6" w:space="1"/>
        </w:pBdr>
        <w:spacing w:after="0"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ascii="Arial" w:hAnsi="Arial" w:cs="Arial"/>
          <w:color w:val="auto"/>
          <w:szCs w:val="21"/>
          <w:highlight w:val="none"/>
        </w:rPr>
        <w:t xml:space="preserve">21.1 </w:t>
      </w:r>
      <w:r>
        <w:rPr>
          <w:rFonts w:hint="eastAsia" w:ascii="Arial" w:hAnsi="Arial" w:cs="Arial"/>
          <w:color w:val="auto"/>
          <w:szCs w:val="21"/>
          <w:highlight w:val="none"/>
        </w:rPr>
        <w:t>本须知前附表第17项规定的投标截止时间后送达的电子投标文件，</w:t>
      </w:r>
      <w:r>
        <w:rPr>
          <w:rFonts w:hint="eastAsia" w:ascii="Arial" w:hAnsi="Arial" w:cs="Arial"/>
          <w:color w:val="auto"/>
          <w:szCs w:val="21"/>
          <w:highlight w:val="none"/>
          <w:u w:val="single"/>
        </w:rPr>
        <w:t xml:space="preserve"> 广州公共资源交易中心</w:t>
      </w:r>
      <w:r>
        <w:rPr>
          <w:rFonts w:hint="eastAsia" w:ascii="Arial" w:hAnsi="Arial" w:cs="Arial"/>
          <w:color w:val="auto"/>
          <w:szCs w:val="21"/>
          <w:highlight w:val="none"/>
        </w:rPr>
        <w:t xml:space="preserve"> 交易平台将予以拒收。</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27.1</w:t>
      </w:r>
      <w:r>
        <w:rPr>
          <w:rFonts w:hint="eastAsia"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Cs w:val="21"/>
          <w:highlight w:val="none"/>
        </w:rPr>
      </w:pPr>
      <w:r>
        <w:rPr>
          <w:rFonts w:hint="eastAsia" w:ascii="Arial" w:hAnsi="Arial" w:cs="Arial"/>
          <w:b/>
          <w:color w:val="auto"/>
          <w:highlight w:val="none"/>
        </w:rPr>
        <w:t>原文：27.1</w:t>
      </w:r>
      <w:r>
        <w:rPr>
          <w:rFonts w:hint="eastAsia" w:ascii="Arial" w:hAnsi="Arial" w:cs="Arial"/>
          <w:color w:val="auto"/>
          <w:szCs w:val="21"/>
          <w:highlight w:val="none"/>
        </w:rPr>
        <w:t>招标人将在</w:t>
      </w:r>
      <w:r>
        <w:rPr>
          <w:rFonts w:ascii="Arial" w:hAnsi="Arial" w:cs="Arial"/>
          <w:color w:val="auto"/>
          <w:szCs w:val="21"/>
          <w:highlight w:val="none"/>
          <w:u w:val="single"/>
        </w:rPr>
        <w:t xml:space="preserve">        </w:t>
      </w:r>
      <w:r>
        <w:rPr>
          <w:rFonts w:hint="eastAsia" w:ascii="Arial" w:hAnsi="Arial" w:cs="Arial"/>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2"/>
        <w:pBdr>
          <w:bottom w:val="single" w:color="auto" w:sz="6" w:space="1"/>
        </w:pBdr>
        <w:spacing w:after="0"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ascii="Arial" w:hAnsi="Arial" w:cs="Arial"/>
          <w:b/>
          <w:color w:val="auto"/>
          <w:highlight w:val="none"/>
        </w:rPr>
        <w:t>27.1</w:t>
      </w:r>
      <w:r>
        <w:rPr>
          <w:rFonts w:hint="eastAsia" w:ascii="Arial" w:hAnsi="Arial" w:cs="Arial"/>
          <w:color w:val="auto"/>
          <w:szCs w:val="21"/>
          <w:highlight w:val="none"/>
        </w:rPr>
        <w:t>招标人将在</w:t>
      </w:r>
      <w:r>
        <w:rPr>
          <w:rFonts w:hint="eastAsia" w:ascii="Arial" w:hAnsi="Arial" w:cs="Arial"/>
          <w:color w:val="auto"/>
          <w:szCs w:val="21"/>
          <w:highlight w:val="none"/>
          <w:u w:val="single"/>
        </w:rPr>
        <w:t xml:space="preserve">广州公共资源交易中心 </w:t>
      </w:r>
      <w:r>
        <w:rPr>
          <w:rFonts w:hint="eastAsia" w:ascii="Arial" w:hAnsi="Arial" w:cs="Arial"/>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27.4</w:t>
      </w:r>
      <w:r>
        <w:rPr>
          <w:rFonts w:hint="eastAsia"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 w:val="18"/>
          <w:szCs w:val="21"/>
          <w:highlight w:val="none"/>
        </w:rPr>
      </w:pPr>
      <w:r>
        <w:rPr>
          <w:rFonts w:hint="eastAsia" w:ascii="Arial" w:hAnsi="Arial" w:cs="Arial"/>
          <w:b/>
          <w:color w:val="auto"/>
          <w:highlight w:val="none"/>
        </w:rPr>
        <w:t>原文：</w:t>
      </w:r>
      <w:r>
        <w:rPr>
          <w:rFonts w:hint="eastAsia" w:ascii="Arial" w:hAnsi="Arial" w:cs="Arial"/>
          <w:color w:val="auto"/>
          <w:highlight w:val="none"/>
        </w:rPr>
        <w:t>27.4在产生中标候选人后，招标人将中标候选人的投标文件商务部分文件的所有内容（包括人员、业绩、奖项等资料）在</w:t>
      </w:r>
      <w:r>
        <w:rPr>
          <w:rFonts w:ascii="Arial" w:hAnsi="Arial" w:cs="Arial"/>
          <w:color w:val="auto"/>
          <w:szCs w:val="24"/>
          <w:highlight w:val="none"/>
          <w:u w:val="single"/>
        </w:rPr>
        <w:t xml:space="preserve">        </w:t>
      </w:r>
      <w:r>
        <w:rPr>
          <w:rFonts w:hint="eastAsia" w:ascii="Arial" w:hAnsi="Arial" w:cs="Arial"/>
          <w:color w:val="auto"/>
          <w:szCs w:val="24"/>
          <w:highlight w:val="none"/>
        </w:rPr>
        <w:t>交易平台和广东省招标投标监管网</w:t>
      </w:r>
      <w:r>
        <w:rPr>
          <w:rFonts w:hint="eastAsia" w:ascii="Arial" w:hAnsi="Arial" w:cs="Arial"/>
          <w:color w:val="auto"/>
          <w:highlight w:val="none"/>
        </w:rPr>
        <w:t>公开。</w:t>
      </w:r>
    </w:p>
    <w:p>
      <w:pPr>
        <w:pStyle w:val="2"/>
        <w:pBdr>
          <w:bottom w:val="single" w:color="auto" w:sz="6" w:space="1"/>
        </w:pBdr>
        <w:spacing w:after="0" w:line="360" w:lineRule="auto"/>
        <w:ind w:firstLine="422" w:firstLineChars="200"/>
        <w:rPr>
          <w:rFonts w:ascii="Arial" w:hAnsi="Arial" w:cs="Arial"/>
          <w:color w:val="auto"/>
          <w:sz w:val="18"/>
          <w:szCs w:val="21"/>
          <w:highlight w:val="none"/>
        </w:rPr>
      </w:pPr>
      <w:r>
        <w:rPr>
          <w:rFonts w:hint="eastAsia" w:ascii="Arial" w:hAnsi="Arial" w:cs="Arial"/>
          <w:b/>
          <w:color w:val="auto"/>
          <w:szCs w:val="21"/>
          <w:highlight w:val="none"/>
        </w:rPr>
        <w:t>现文：</w:t>
      </w:r>
      <w:r>
        <w:rPr>
          <w:rFonts w:hint="eastAsia" w:ascii="Arial" w:hAnsi="Arial" w:cs="Arial"/>
          <w:color w:val="auto"/>
          <w:highlight w:val="none"/>
        </w:rPr>
        <w:t>27.4</w:t>
      </w:r>
      <w:r>
        <w:rPr>
          <w:rFonts w:hint="eastAsia" w:ascii="Arial" w:hAnsi="Arial" w:cs="Arial"/>
          <w:color w:val="auto"/>
          <w:szCs w:val="22"/>
          <w:highlight w:val="none"/>
        </w:rPr>
        <w:t>在产生中标候选人后，招标人将中标候选人的投标文件商务部分文件的所有内容（包括人员、业绩、奖项等资料）</w:t>
      </w:r>
      <w:r>
        <w:rPr>
          <w:rFonts w:hint="eastAsia" w:ascii="Arial" w:hAnsi="Arial" w:cs="Arial"/>
          <w:color w:val="auto"/>
          <w:highlight w:val="none"/>
        </w:rPr>
        <w:t>在广州公共资源交易中心交易平台和广东省招标投标监管网公开。</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 xml:space="preserve">29    </w:t>
      </w:r>
      <w:r>
        <w:rPr>
          <w:rFonts w:hint="eastAsia" w:ascii="Arial" w:hAnsi="Arial" w:cs="Arial"/>
          <w:b/>
          <w:color w:val="auto"/>
          <w:szCs w:val="21"/>
          <w:highlight w:val="none"/>
        </w:rPr>
        <w:t xml:space="preserve">          修改类型：修改</w:t>
      </w:r>
    </w:p>
    <w:p>
      <w:pPr>
        <w:spacing w:line="360" w:lineRule="auto"/>
        <w:ind w:firstLine="472" w:firstLineChars="224"/>
        <w:rPr>
          <w:rFonts w:ascii="Arial" w:hAnsi="Arial" w:cs="Arial"/>
          <w:color w:val="auto"/>
          <w:highlight w:val="none"/>
        </w:rPr>
      </w:pPr>
      <w:r>
        <w:rPr>
          <w:rFonts w:hint="eastAsia" w:ascii="Arial" w:hAnsi="Arial" w:cs="Arial"/>
          <w:b/>
          <w:color w:val="auto"/>
          <w:highlight w:val="none"/>
        </w:rPr>
        <w:t>原文：</w:t>
      </w:r>
      <w:r>
        <w:rPr>
          <w:rFonts w:hint="eastAsia" w:ascii="Arial" w:hAnsi="Arial" w:cs="Arial"/>
          <w:color w:val="auto"/>
          <w:highlight w:val="none"/>
        </w:rPr>
        <w:t>29．履约担保</w:t>
      </w:r>
    </w:p>
    <w:p>
      <w:pPr>
        <w:spacing w:line="360" w:lineRule="auto"/>
        <w:ind w:firstLine="470" w:firstLineChars="224"/>
        <w:rPr>
          <w:rFonts w:ascii="Arial" w:hAnsi="Arial" w:cs="Arial"/>
          <w:color w:val="auto"/>
          <w:highlight w:val="none"/>
        </w:rPr>
      </w:pPr>
      <w:r>
        <w:rPr>
          <w:rFonts w:ascii="Arial" w:hAnsi="Arial" w:cs="Arial"/>
          <w:color w:val="auto"/>
          <w:highlight w:val="none"/>
        </w:rPr>
        <w:t xml:space="preserve">29.1 </w:t>
      </w:r>
      <w:r>
        <w:rPr>
          <w:rFonts w:hint="eastAsia" w:ascii="Arial" w:hAnsi="Arial" w:cs="Arial"/>
          <w:color w:val="auto"/>
          <w:highlight w:val="none"/>
        </w:rPr>
        <w:t>在收到中标通知书后的15日内，中标人应按本须知前附表第20项的规定向招标人提交履约担保。</w:t>
      </w:r>
    </w:p>
    <w:p>
      <w:pPr>
        <w:spacing w:line="360" w:lineRule="auto"/>
        <w:ind w:firstLine="470" w:firstLineChars="224"/>
        <w:rPr>
          <w:rFonts w:ascii="Arial" w:hAnsi="Arial" w:cs="Arial"/>
          <w:b/>
          <w:color w:val="auto"/>
          <w:sz w:val="18"/>
          <w:szCs w:val="21"/>
          <w:highlight w:val="none"/>
        </w:rPr>
      </w:pPr>
      <w:r>
        <w:rPr>
          <w:rFonts w:hint="eastAsia" w:ascii="Arial" w:hAnsi="Arial" w:cs="Arial"/>
          <w:color w:val="auto"/>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2"/>
        <w:pBdr>
          <w:bottom w:val="single" w:color="auto" w:sz="6" w:space="1"/>
        </w:pBdr>
        <w:spacing w:after="0" w:line="360" w:lineRule="auto"/>
        <w:ind w:firstLine="422" w:firstLineChars="200"/>
        <w:rPr>
          <w:rFonts w:ascii="Arial" w:hAnsi="Arial" w:cs="Arial"/>
          <w:color w:val="auto"/>
          <w:highlight w:val="none"/>
        </w:rPr>
      </w:pPr>
      <w:r>
        <w:rPr>
          <w:rFonts w:hint="eastAsia" w:ascii="Arial" w:hAnsi="Arial" w:cs="Arial"/>
          <w:b/>
          <w:color w:val="auto"/>
          <w:szCs w:val="21"/>
          <w:highlight w:val="none"/>
        </w:rPr>
        <w:t>现文：</w:t>
      </w:r>
      <w:r>
        <w:rPr>
          <w:rFonts w:hint="eastAsia" w:ascii="Arial" w:hAnsi="Arial" w:cs="Arial"/>
          <w:color w:val="auto"/>
          <w:highlight w:val="none"/>
        </w:rPr>
        <w:t>29．履约担保</w:t>
      </w:r>
    </w:p>
    <w:p>
      <w:pPr>
        <w:pStyle w:val="2"/>
        <w:pBdr>
          <w:bottom w:val="single" w:color="auto" w:sz="6" w:space="1"/>
        </w:pBdr>
        <w:spacing w:after="0" w:line="360" w:lineRule="auto"/>
        <w:ind w:firstLineChars="200"/>
        <w:rPr>
          <w:rFonts w:ascii="Arial" w:hAnsi="Arial" w:cs="Arial"/>
          <w:color w:val="auto"/>
          <w:highlight w:val="none"/>
        </w:rPr>
      </w:pPr>
      <w:r>
        <w:rPr>
          <w:rFonts w:hint="eastAsia" w:ascii="Arial" w:hAnsi="Arial" w:cs="Arial"/>
          <w:color w:val="auto"/>
          <w:highlight w:val="none"/>
        </w:rPr>
        <w:t>29.1在签订合同后10个工作日内，中标人应按本须知前附表第20项的规定向招标人提交履约担保；</w:t>
      </w:r>
    </w:p>
    <w:p>
      <w:pPr>
        <w:pStyle w:val="2"/>
        <w:pBdr>
          <w:bottom w:val="single" w:color="auto" w:sz="6" w:space="1"/>
        </w:pBdr>
        <w:spacing w:after="0" w:line="360" w:lineRule="auto"/>
        <w:ind w:firstLineChars="200"/>
        <w:rPr>
          <w:rFonts w:ascii="Arial" w:hAnsi="Arial" w:cs="Arial"/>
          <w:color w:val="auto"/>
          <w:sz w:val="18"/>
          <w:szCs w:val="21"/>
          <w:highlight w:val="none"/>
        </w:rPr>
      </w:pPr>
      <w:r>
        <w:rPr>
          <w:rFonts w:hint="eastAsia" w:ascii="Arial" w:hAnsi="Arial" w:cs="Arial"/>
          <w:color w:val="auto"/>
          <w:highlight w:val="none"/>
        </w:rPr>
        <w:t>29.2中标人未按上款的规定提交履约担保，招标人有权解除合同并拒绝支付相应工程款项，且中标人依法承担相应法律责任。原中标人给招标人造成损失的，还应当予以赔偿。原中标人有异议的，按合同纠纷条款执行。</w:t>
      </w:r>
    </w:p>
    <w:p>
      <w:pPr>
        <w:spacing w:line="360" w:lineRule="auto"/>
        <w:ind w:firstLine="211" w:firstLineChars="100"/>
        <w:rPr>
          <w:rFonts w:ascii="Arial" w:hAnsi="Arial" w:cs="Arial"/>
          <w:b/>
          <w:color w:val="auto"/>
          <w:szCs w:val="21"/>
          <w:highlight w:val="none"/>
        </w:rPr>
      </w:pPr>
      <w:r>
        <w:rPr>
          <w:rFonts w:hint="eastAsia" w:ascii="Arial" w:hAnsi="Arial" w:cs="Arial"/>
          <w:b/>
          <w:color w:val="auto"/>
          <w:szCs w:val="21"/>
          <w:highlight w:val="none"/>
        </w:rPr>
        <w:t>条款号：31.1</w:t>
      </w:r>
      <w:r>
        <w:rPr>
          <w:rFonts w:ascii="Arial" w:hAnsi="Arial" w:cs="Arial"/>
          <w:b/>
          <w:color w:val="auto"/>
          <w:szCs w:val="21"/>
          <w:highlight w:val="none"/>
        </w:rPr>
        <w:t xml:space="preserve">       </w:t>
      </w:r>
      <w:r>
        <w:rPr>
          <w:rFonts w:hint="eastAsia" w:ascii="Arial" w:hAnsi="Arial" w:cs="Arial"/>
          <w:b/>
          <w:color w:val="auto"/>
          <w:szCs w:val="21"/>
          <w:highlight w:val="none"/>
        </w:rPr>
        <w:t>修改类型：增加</w:t>
      </w:r>
    </w:p>
    <w:p>
      <w:pPr>
        <w:pBdr>
          <w:bottom w:val="single" w:color="auto" w:sz="6" w:space="1"/>
        </w:pBdr>
        <w:spacing w:line="360" w:lineRule="auto"/>
        <w:ind w:firstLine="527" w:firstLineChars="250"/>
        <w:rPr>
          <w:rFonts w:ascii="Arial" w:hAnsi="Arial" w:cs="Arial"/>
          <w:color w:val="auto"/>
          <w:szCs w:val="21"/>
          <w:highlight w:val="none"/>
          <w:u w:val="single"/>
        </w:rPr>
      </w:pPr>
      <w:r>
        <w:rPr>
          <w:rFonts w:hint="eastAsia" w:ascii="Arial" w:hAnsi="Arial" w:cs="Arial"/>
          <w:b/>
          <w:color w:val="auto"/>
          <w:szCs w:val="21"/>
          <w:highlight w:val="none"/>
        </w:rPr>
        <w:t>现文：31.1</w:t>
      </w:r>
      <w:r>
        <w:rPr>
          <w:rFonts w:hint="eastAsia" w:ascii="Arial" w:hAnsi="Arial" w:cs="Arial"/>
          <w:color w:val="auto"/>
          <w:szCs w:val="21"/>
          <w:highlight w:val="none"/>
        </w:rPr>
        <w:t>中标人代缴公共资源交易服务费，其费用包含在中标人投标报价中，交易中心向中标人开具增值税发票。</w:t>
      </w:r>
    </w:p>
    <w:p>
      <w:pPr>
        <w:pBdr>
          <w:top w:val="single" w:color="auto" w:sz="4" w:space="0"/>
        </w:pBd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条款号：33</w:t>
      </w:r>
      <w:r>
        <w:rPr>
          <w:rFonts w:ascii="Arial" w:hAnsi="Arial" w:cs="Arial"/>
          <w:b/>
          <w:color w:val="auto"/>
          <w:szCs w:val="21"/>
          <w:highlight w:val="none"/>
        </w:rPr>
        <w:t xml:space="preserve">       </w:t>
      </w:r>
      <w:r>
        <w:rPr>
          <w:rFonts w:hint="eastAsia" w:ascii="Arial" w:hAnsi="Arial" w:cs="Arial"/>
          <w:b/>
          <w:color w:val="auto"/>
          <w:szCs w:val="21"/>
          <w:highlight w:val="none"/>
        </w:rPr>
        <w:t>修改类型：增加</w:t>
      </w:r>
    </w:p>
    <w:p>
      <w:pPr>
        <w:pBdr>
          <w:bottom w:val="single" w:color="auto" w:sz="6" w:space="1"/>
        </w:pBdr>
        <w:spacing w:line="360" w:lineRule="auto"/>
        <w:ind w:firstLine="527" w:firstLineChars="250"/>
        <w:rPr>
          <w:rFonts w:ascii="Arial" w:hAnsi="Arial" w:cs="Arial"/>
          <w:color w:val="auto"/>
          <w:szCs w:val="21"/>
          <w:highlight w:val="none"/>
        </w:rPr>
      </w:pPr>
      <w:r>
        <w:rPr>
          <w:rFonts w:hint="eastAsia" w:ascii="Arial" w:hAnsi="Arial" w:cs="Arial"/>
          <w:b/>
          <w:color w:val="auto"/>
          <w:szCs w:val="21"/>
          <w:highlight w:val="none"/>
        </w:rPr>
        <w:t>现文：33</w:t>
      </w:r>
      <w:r>
        <w:rPr>
          <w:rFonts w:hint="eastAsia" w:ascii="Arial" w:hAnsi="Arial" w:cs="Arial"/>
          <w:color w:val="auto"/>
          <w:szCs w:val="21"/>
          <w:highlight w:val="none"/>
        </w:rPr>
        <w:t>投标人中标后，不得随意更换项目负责人。投标人须按投标文件中承诺的项目经理和施工技术管理人员派驻现场，项目负责人和技术负责人须常驻现场，并不得随意更换，如确需更换，所更换的人员的资格不低于招标文件要求，并需提前7天向招标人提出申请，经招标人核实书面同意后按相关规定办理方可替换，向招标人支付1万元/人违约金；如果未经得招标人书面同意私自进行更换的，向招标人支付10万元/人违约金，项目经理于本工程施工工期内，必须全程驻场，每缺席一天应向发包人支付违约1000元。</w:t>
      </w:r>
    </w:p>
    <w:p>
      <w:pPr>
        <w:pBdr>
          <w:bottom w:val="single" w:color="auto" w:sz="6" w:space="1"/>
        </w:pBdr>
        <w:spacing w:line="360" w:lineRule="auto"/>
        <w:ind w:firstLine="525" w:firstLineChars="250"/>
        <w:rPr>
          <w:rFonts w:ascii="Arial" w:hAnsi="Arial" w:cs="Arial"/>
          <w:color w:val="auto"/>
          <w:szCs w:val="21"/>
          <w:highlight w:val="none"/>
          <w:u w:val="single"/>
        </w:rPr>
      </w:pPr>
      <w:r>
        <w:rPr>
          <w:rFonts w:hint="eastAsia" w:ascii="Arial" w:hAnsi="Arial" w:cs="Arial"/>
          <w:color w:val="auto"/>
          <w:szCs w:val="21"/>
          <w:highlight w:val="none"/>
        </w:rPr>
        <w:t>投标人在投标人时需提供《项目经理不更换承诺书》，格式自拟。</w:t>
      </w:r>
    </w:p>
    <w:p>
      <w:pPr>
        <w:pStyle w:val="30"/>
        <w:rPr>
          <w:rFonts w:ascii="Arial" w:hAnsi="Arial" w:cs="Arial"/>
          <w:color w:val="auto"/>
          <w:highlight w:val="none"/>
        </w:rPr>
      </w:pPr>
    </w:p>
    <w:p>
      <w:pPr>
        <w:pStyle w:val="30"/>
        <w:rPr>
          <w:rFonts w:ascii="Arial" w:hAnsi="Arial" w:cs="Arial"/>
          <w:color w:val="auto"/>
          <w:highlight w:val="none"/>
        </w:rPr>
      </w:pPr>
    </w:p>
    <w:p>
      <w:pPr>
        <w:spacing w:line="360" w:lineRule="auto"/>
        <w:ind w:firstLine="211" w:firstLineChars="100"/>
        <w:rPr>
          <w:rFonts w:ascii="Arial" w:hAnsi="Arial" w:cs="Arial"/>
          <w:b/>
          <w:color w:val="auto"/>
          <w:szCs w:val="21"/>
          <w:highlight w:val="none"/>
        </w:rPr>
      </w:pPr>
      <w:r>
        <w:rPr>
          <w:rFonts w:hint="eastAsia" w:ascii="Arial" w:hAnsi="Arial" w:cs="Arial"/>
          <w:b/>
          <w:color w:val="auto"/>
          <w:szCs w:val="21"/>
          <w:highlight w:val="none"/>
        </w:rPr>
        <w:t>注：以上修改，仅限于本范本中有可供选择条款的情形。</w:t>
      </w:r>
    </w:p>
    <w:p>
      <w:pPr>
        <w:spacing w:line="360" w:lineRule="auto"/>
        <w:rPr>
          <w:rFonts w:ascii="Arial" w:hAnsi="Arial" w:cs="Arial"/>
          <w:color w:val="auto"/>
          <w:highlight w:val="none"/>
        </w:rPr>
      </w:pPr>
      <w:r>
        <w:rPr>
          <w:rFonts w:hint="eastAsia" w:ascii="Arial" w:hAnsi="Arial" w:cs="Arial"/>
          <w:b/>
          <w:color w:val="auto"/>
          <w:szCs w:val="21"/>
          <w:highlight w:val="none"/>
        </w:rPr>
        <w:t>（以下无正文）</w:t>
      </w:r>
    </w:p>
    <w:p>
      <w:pPr>
        <w:pStyle w:val="6"/>
        <w:rPr>
          <w:rFonts w:cs="Arial"/>
          <w:color w:val="auto"/>
          <w:highlight w:val="none"/>
        </w:rPr>
      </w:pPr>
      <w:r>
        <w:rPr>
          <w:rFonts w:cs="Arial"/>
          <w:color w:val="auto"/>
          <w:highlight w:val="none"/>
        </w:rPr>
        <w:br w:type="page"/>
      </w:r>
      <w:bookmarkStart w:id="6" w:name="_Toc101266281"/>
      <w:bookmarkStart w:id="7" w:name="_Toc2272548"/>
      <w:r>
        <w:rPr>
          <w:rFonts w:cs="Arial"/>
          <w:color w:val="auto"/>
          <w:highlight w:val="none"/>
        </w:rPr>
        <w:t>三、投标须知通用条款</w:t>
      </w:r>
      <w:bookmarkEnd w:id="6"/>
      <w:bookmarkEnd w:id="7"/>
    </w:p>
    <w:p>
      <w:pPr>
        <w:pStyle w:val="8"/>
        <w:spacing w:before="156" w:after="156"/>
        <w:rPr>
          <w:rFonts w:ascii="Arial" w:hAnsi="Arial" w:cs="Arial"/>
          <w:color w:val="auto"/>
          <w:highlight w:val="none"/>
        </w:rPr>
      </w:pPr>
      <w:bookmarkStart w:id="8" w:name="_Toc2272549"/>
      <w:bookmarkStart w:id="9" w:name="_Toc101266282"/>
      <w:r>
        <w:rPr>
          <w:rFonts w:hint="eastAsia" w:ascii="Arial" w:hAnsi="Arial" w:cs="Arial"/>
          <w:color w:val="auto"/>
          <w:highlight w:val="none"/>
        </w:rPr>
        <w:t>（一）总则</w:t>
      </w:r>
      <w:bookmarkEnd w:id="8"/>
      <w:bookmarkEnd w:id="9"/>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1、定义</w:t>
      </w:r>
    </w:p>
    <w:p>
      <w:pPr>
        <w:pStyle w:val="2"/>
        <w:spacing w:after="0" w:line="360" w:lineRule="auto"/>
        <w:ind w:firstLine="480" w:firstLineChars="200"/>
        <w:rPr>
          <w:rFonts w:ascii="Arial" w:hAnsi="Arial" w:cs="Arial"/>
          <w:b/>
          <w:bCs/>
          <w:color w:val="auto"/>
          <w:sz w:val="24"/>
          <w:highlight w:val="none"/>
        </w:rPr>
      </w:pPr>
      <w:r>
        <w:rPr>
          <w:rFonts w:hint="eastAsia" w:ascii="Arial" w:hAnsi="Arial" w:cs="Arial"/>
          <w:color w:val="auto"/>
          <w:sz w:val="24"/>
          <w:highlight w:val="none"/>
        </w:rPr>
        <w:t>本招标文件使用的下列词语具有如下规定的意义：</w:t>
      </w:r>
    </w:p>
    <w:p>
      <w:pPr>
        <w:pStyle w:val="2"/>
        <w:spacing w:after="0" w:line="360" w:lineRule="auto"/>
        <w:ind w:firstLine="480" w:firstLineChars="200"/>
        <w:rPr>
          <w:rFonts w:ascii="Arial" w:hAnsi="Arial" w:cs="Arial"/>
          <w:b/>
          <w:bCs/>
          <w:color w:val="auto"/>
          <w:sz w:val="24"/>
          <w:highlight w:val="none"/>
          <w:u w:val="single"/>
        </w:rPr>
      </w:pPr>
      <w:r>
        <w:rPr>
          <w:rFonts w:hint="eastAsia" w:ascii="Arial" w:hAnsi="Arial" w:cs="Arial"/>
          <w:color w:val="auto"/>
          <w:sz w:val="24"/>
          <w:highlight w:val="none"/>
        </w:rPr>
        <w:t>（1）“招标人”（即发包人）、“项目建设管理单位”（或称“项目代建单位”）、“招标代理”、“设计单位”、“监理单位”均已在投标须知前附表中列明。</w:t>
      </w:r>
    </w:p>
    <w:p>
      <w:pPr>
        <w:pStyle w:val="2"/>
        <w:spacing w:after="0" w:line="360" w:lineRule="auto"/>
        <w:ind w:firstLine="480" w:firstLineChars="200"/>
        <w:rPr>
          <w:rFonts w:ascii="Arial" w:hAnsi="Arial" w:cs="Arial"/>
          <w:color w:val="auto"/>
          <w:sz w:val="24"/>
          <w:highlight w:val="none"/>
          <w:u w:val="single"/>
        </w:rPr>
      </w:pPr>
      <w:r>
        <w:rPr>
          <w:rFonts w:hint="eastAsia" w:ascii="Arial" w:hAnsi="Arial" w:cs="Arial"/>
          <w:color w:val="auto"/>
          <w:sz w:val="24"/>
          <w:highlight w:val="none"/>
        </w:rPr>
        <w:t xml:space="preserve">（2）“投标人”指向招标人提交投标文件的当事人。   </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（3）“承包人”指其投标被招标人接受并与其签订承包合同的当事人。</w:t>
      </w:r>
    </w:p>
    <w:p>
      <w:pPr>
        <w:pStyle w:val="2"/>
        <w:spacing w:after="0" w:line="360" w:lineRule="auto"/>
        <w:ind w:firstLine="480" w:firstLineChars="200"/>
        <w:rPr>
          <w:rFonts w:ascii="Arial" w:hAnsi="Arial" w:cs="Arial"/>
          <w:color w:val="auto"/>
          <w:sz w:val="24"/>
          <w:highlight w:val="none"/>
          <w:u w:val="single"/>
        </w:rPr>
      </w:pPr>
      <w:r>
        <w:rPr>
          <w:rFonts w:hint="eastAsia" w:ascii="Arial" w:hAnsi="Arial" w:cs="Arial"/>
          <w:color w:val="auto"/>
          <w:sz w:val="24"/>
          <w:highlight w:val="none"/>
        </w:rPr>
        <w:t>（4）“招标文件”指由招标代理发出的本文件（包括全部章节、附件）及招标答疑会会议纪要和</w:t>
      </w:r>
      <w:r>
        <w:rPr>
          <w:rFonts w:hint="eastAsia" w:ascii="Arial" w:hAnsi="Arial" w:cs="Arial"/>
          <w:bCs/>
          <w:color w:val="auto"/>
          <w:sz w:val="24"/>
          <w:highlight w:val="none"/>
        </w:rPr>
        <w:t>招标文件的澄清与修改</w:t>
      </w:r>
      <w:r>
        <w:rPr>
          <w:rFonts w:hint="eastAsia" w:ascii="Arial" w:hAnsi="Arial" w:cs="Arial"/>
          <w:color w:val="auto"/>
          <w:sz w:val="24"/>
          <w:highlight w:val="none"/>
        </w:rPr>
        <w:t>文件。</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（5）“投标文件”指投标人根据本项目招标文件向招标人提交的全部文件。</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（6）“书面形式”指打字或印刷的文件和数据电文（包括电报、电传、传真、电子数据交换和电子邮件）。</w:t>
      </w:r>
    </w:p>
    <w:p>
      <w:pPr>
        <w:spacing w:line="360" w:lineRule="auto"/>
        <w:ind w:firstLine="482" w:firstLineChars="200"/>
        <w:rPr>
          <w:rFonts w:ascii="Arial" w:hAnsi="Arial" w:cs="Arial"/>
          <w:b/>
          <w:color w:val="auto"/>
          <w:sz w:val="24"/>
          <w:highlight w:val="none"/>
        </w:rPr>
      </w:pPr>
      <w:r>
        <w:rPr>
          <w:rFonts w:hint="eastAsia" w:ascii="Arial" w:hAnsi="Arial" w:cs="Arial"/>
          <w:b/>
          <w:color w:val="auto"/>
          <w:sz w:val="24"/>
          <w:highlight w:val="none"/>
        </w:rPr>
        <w:t>2、招标说明</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2.3设计说明：详见招标图纸。</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2.4工程施工特点：详见招标图纸。</w:t>
      </w:r>
    </w:p>
    <w:p>
      <w:pPr>
        <w:tabs>
          <w:tab w:val="left" w:pos="105"/>
        </w:tabs>
        <w:spacing w:line="360" w:lineRule="auto"/>
        <w:ind w:firstLine="482" w:firstLineChars="200"/>
        <w:rPr>
          <w:rFonts w:ascii="Arial" w:hAnsi="Arial" w:cs="Arial"/>
          <w:b/>
          <w:color w:val="auto"/>
          <w:sz w:val="24"/>
          <w:highlight w:val="none"/>
        </w:rPr>
      </w:pPr>
      <w:r>
        <w:rPr>
          <w:rFonts w:hint="eastAsia" w:ascii="Arial" w:hAnsi="Arial" w:cs="Arial"/>
          <w:b/>
          <w:color w:val="auto"/>
          <w:sz w:val="24"/>
          <w:highlight w:val="none"/>
        </w:rPr>
        <w:t>3．资金来源</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3.1本招标工程项目资金来源见投标须知前附表第9项</w:t>
      </w:r>
    </w:p>
    <w:p>
      <w:pPr>
        <w:tabs>
          <w:tab w:val="left" w:pos="105"/>
        </w:tabs>
        <w:spacing w:line="360" w:lineRule="auto"/>
        <w:ind w:firstLine="482" w:firstLineChars="200"/>
        <w:rPr>
          <w:rFonts w:ascii="Arial" w:hAnsi="Arial" w:cs="Arial"/>
          <w:b/>
          <w:color w:val="auto"/>
          <w:sz w:val="24"/>
          <w:highlight w:val="none"/>
        </w:rPr>
      </w:pPr>
      <w:r>
        <w:rPr>
          <w:rFonts w:hint="eastAsia" w:ascii="Arial" w:hAnsi="Arial" w:cs="Arial"/>
          <w:b/>
          <w:color w:val="auto"/>
          <w:sz w:val="24"/>
          <w:highlight w:val="none"/>
        </w:rPr>
        <w:t>4．合格投标人的条件</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4.1详见本项目招标公告</w:t>
      </w:r>
    </w:p>
    <w:p>
      <w:pPr>
        <w:tabs>
          <w:tab w:val="left" w:pos="105"/>
        </w:tabs>
        <w:spacing w:line="360" w:lineRule="auto"/>
        <w:ind w:firstLine="482" w:firstLineChars="200"/>
        <w:rPr>
          <w:rFonts w:ascii="Arial" w:hAnsi="Arial" w:cs="Arial"/>
          <w:b/>
          <w:color w:val="auto"/>
          <w:sz w:val="24"/>
          <w:highlight w:val="none"/>
        </w:rPr>
      </w:pPr>
      <w:r>
        <w:rPr>
          <w:rFonts w:hint="eastAsia" w:ascii="Arial" w:hAnsi="Arial" w:cs="Arial"/>
          <w:b/>
          <w:color w:val="auto"/>
          <w:sz w:val="24"/>
          <w:highlight w:val="none"/>
        </w:rPr>
        <w:t>5．踏勘现场</w:t>
      </w:r>
    </w:p>
    <w:p>
      <w:pPr>
        <w:spacing w:line="360" w:lineRule="auto"/>
        <w:ind w:firstLine="480" w:firstLineChars="200"/>
        <w:rPr>
          <w:rFonts w:ascii="Arial" w:hAnsi="Arial" w:cs="Arial"/>
          <w:bCs/>
          <w:color w:val="auto"/>
          <w:sz w:val="24"/>
          <w:highlight w:val="none"/>
          <w:u w:val="single"/>
        </w:rPr>
      </w:pPr>
      <w:r>
        <w:rPr>
          <w:rFonts w:ascii="Arial" w:hAnsi="Arial" w:cs="Arial"/>
          <w:bCs/>
          <w:color w:val="auto"/>
          <w:sz w:val="24"/>
          <w:highlight w:val="none"/>
        </w:rPr>
        <w:t xml:space="preserve">5.1 </w:t>
      </w:r>
      <w:r>
        <w:rPr>
          <w:rFonts w:hint="eastAsia" w:ascii="Arial" w:hAnsi="Arial" w:cs="Arial"/>
          <w:bCs/>
          <w:color w:val="auto"/>
          <w:sz w:val="24"/>
          <w:highlight w:val="none"/>
        </w:rPr>
        <w:t>投标人应按本投标须知前附表第15项所述时间和要求对工程现场及周围环境进行踏勘，</w:t>
      </w:r>
      <w:r>
        <w:rPr>
          <w:rFonts w:hint="eastAsia" w:ascii="Arial" w:hAnsi="Arial" w:cs="Arial"/>
          <w:color w:val="auto"/>
          <w:sz w:val="24"/>
          <w:highlight w:val="none"/>
        </w:rPr>
        <w:t>投标人应充分重视和仔细地进行这种考察，</w:t>
      </w:r>
      <w:r>
        <w:rPr>
          <w:rFonts w:hint="eastAsia" w:ascii="Arial" w:hAnsi="Arial" w:cs="Arial"/>
          <w:bCs/>
          <w:color w:val="auto"/>
          <w:sz w:val="24"/>
          <w:highlight w:val="none"/>
        </w:rPr>
        <w:t>以便投标人获取</w:t>
      </w:r>
      <w:r>
        <w:rPr>
          <w:rFonts w:hint="eastAsia" w:ascii="Arial" w:hAnsi="Arial" w:cs="Arial"/>
          <w:color w:val="auto"/>
          <w:sz w:val="24"/>
          <w:highlight w:val="none"/>
        </w:rPr>
        <w:t>那些须投标人自己负责的</w:t>
      </w:r>
      <w:r>
        <w:rPr>
          <w:rFonts w:hint="eastAsia" w:ascii="Arial" w:hAnsi="Arial" w:cs="Arial"/>
          <w:bCs/>
          <w:color w:val="auto"/>
          <w:sz w:val="24"/>
          <w:highlight w:val="none"/>
        </w:rPr>
        <w:t>有关编制投标文件和签署合同所涉及现场所有的资料。</w:t>
      </w:r>
      <w:r>
        <w:rPr>
          <w:rFonts w:hint="eastAsia" w:ascii="Arial" w:hAnsi="Arial" w:cs="Arial"/>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 xml:space="preserve">5.2 </w:t>
      </w:r>
      <w:r>
        <w:rPr>
          <w:rFonts w:hint="eastAsia" w:ascii="Arial" w:hAnsi="Arial" w:cs="Arial"/>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 xml:space="preserve">5.3 </w:t>
      </w:r>
      <w:r>
        <w:rPr>
          <w:rFonts w:hint="eastAsia" w:ascii="Arial" w:hAnsi="Arial" w:cs="Arial"/>
          <w:bCs/>
          <w:color w:val="auto"/>
          <w:sz w:val="24"/>
          <w:highlight w:val="none"/>
        </w:rPr>
        <w:t>经招标人允许，投标人可为踏勘目的进入招标人的项目现场。</w:t>
      </w:r>
      <w:r>
        <w:rPr>
          <w:rFonts w:hint="eastAsia" w:ascii="Arial" w:hAnsi="Arial" w:cs="Arial"/>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Arial" w:hAnsi="Arial" w:cs="Arial"/>
          <w:bCs/>
          <w:color w:val="auto"/>
          <w:sz w:val="24"/>
          <w:highlight w:val="none"/>
        </w:rPr>
        <w:t>投标人不得因此使招标人承担有关的责任和蒙受损失。</w:t>
      </w:r>
    </w:p>
    <w:p>
      <w:pPr>
        <w:tabs>
          <w:tab w:val="left" w:pos="105"/>
        </w:tabs>
        <w:spacing w:line="360" w:lineRule="auto"/>
        <w:ind w:firstLine="482" w:firstLineChars="200"/>
        <w:rPr>
          <w:rFonts w:ascii="Arial" w:hAnsi="Arial" w:cs="Arial"/>
          <w:b/>
          <w:color w:val="auto"/>
          <w:sz w:val="24"/>
          <w:highlight w:val="none"/>
        </w:rPr>
      </w:pPr>
      <w:r>
        <w:rPr>
          <w:rFonts w:hint="eastAsia" w:ascii="Arial" w:hAnsi="Arial" w:cs="Arial"/>
          <w:b/>
          <w:color w:val="auto"/>
          <w:sz w:val="24"/>
          <w:highlight w:val="none"/>
        </w:rPr>
        <w:t>6．投标费用</w:t>
      </w:r>
    </w:p>
    <w:p>
      <w:pPr>
        <w:tabs>
          <w:tab w:val="left" w:pos="105"/>
        </w:tabs>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6.1</w:t>
      </w:r>
      <w:r>
        <w:rPr>
          <w:rFonts w:hint="eastAsia" w:ascii="Arial" w:hAnsi="Arial" w:cs="Arial"/>
          <w:color w:val="auto"/>
          <w:sz w:val="24"/>
          <w:highlight w:val="none"/>
        </w:rPr>
        <w:t>不论投标结果如何，投标人应承担</w:t>
      </w:r>
      <w:r>
        <w:rPr>
          <w:rFonts w:hint="eastAsia" w:ascii="Arial" w:hAnsi="Arial" w:cs="Arial"/>
          <w:bCs/>
          <w:color w:val="auto"/>
          <w:sz w:val="24"/>
          <w:highlight w:val="none"/>
        </w:rPr>
        <w:t>自身</w:t>
      </w:r>
      <w:r>
        <w:rPr>
          <w:rFonts w:hint="eastAsia" w:ascii="Arial" w:hAnsi="Arial" w:cs="Arial"/>
          <w:color w:val="auto"/>
          <w:sz w:val="24"/>
          <w:highlight w:val="none"/>
        </w:rPr>
        <w:t>因投标文件编制、递交及其他</w:t>
      </w:r>
      <w:r>
        <w:rPr>
          <w:rFonts w:hint="eastAsia" w:ascii="Arial" w:hAnsi="Arial" w:cs="Arial"/>
          <w:bCs/>
          <w:color w:val="auto"/>
          <w:sz w:val="24"/>
          <w:highlight w:val="none"/>
        </w:rPr>
        <w:t>参加本招标活动</w:t>
      </w:r>
      <w:r>
        <w:rPr>
          <w:rFonts w:hint="eastAsia" w:ascii="Arial" w:hAnsi="Arial" w:cs="Arial"/>
          <w:color w:val="auto"/>
          <w:sz w:val="24"/>
          <w:highlight w:val="none"/>
        </w:rPr>
        <w:t>所涉及的一切费用，招标人对上述费用不负任何责任。</w:t>
      </w:r>
    </w:p>
    <w:p>
      <w:pPr>
        <w:pStyle w:val="8"/>
        <w:spacing w:before="156" w:after="156"/>
        <w:rPr>
          <w:rFonts w:ascii="Arial" w:hAnsi="Arial" w:cs="Arial"/>
          <w:color w:val="auto"/>
          <w:highlight w:val="none"/>
        </w:rPr>
      </w:pPr>
      <w:bookmarkStart w:id="10" w:name="_Toc101266283"/>
      <w:bookmarkStart w:id="11" w:name="_Toc2272550"/>
      <w:r>
        <w:rPr>
          <w:rFonts w:hint="eastAsia" w:ascii="Arial" w:hAnsi="Arial" w:cs="Arial"/>
          <w:color w:val="auto"/>
          <w:highlight w:val="none"/>
        </w:rPr>
        <w:t>（二）招标文件</w:t>
      </w:r>
      <w:bookmarkEnd w:id="10"/>
      <w:bookmarkEnd w:id="11"/>
    </w:p>
    <w:p>
      <w:pPr>
        <w:tabs>
          <w:tab w:val="left" w:pos="105"/>
        </w:tabs>
        <w:spacing w:line="360" w:lineRule="auto"/>
        <w:ind w:firstLine="482" w:firstLineChars="200"/>
        <w:rPr>
          <w:rFonts w:ascii="Arial" w:hAnsi="Arial" w:cs="Arial"/>
          <w:b/>
          <w:color w:val="auto"/>
          <w:sz w:val="24"/>
          <w:highlight w:val="none"/>
        </w:rPr>
      </w:pPr>
      <w:r>
        <w:rPr>
          <w:rFonts w:hint="eastAsia" w:ascii="Arial" w:hAnsi="Arial" w:cs="Arial"/>
          <w:b/>
          <w:color w:val="auto"/>
          <w:sz w:val="24"/>
          <w:highlight w:val="none"/>
        </w:rPr>
        <w:t>7.招标文件的组成</w:t>
      </w:r>
    </w:p>
    <w:p>
      <w:pPr>
        <w:spacing w:line="360" w:lineRule="auto"/>
        <w:ind w:firstLine="480" w:firstLineChars="200"/>
        <w:rPr>
          <w:rFonts w:ascii="Arial" w:hAnsi="Arial" w:cs="Arial"/>
          <w:color w:val="auto"/>
          <w:sz w:val="24"/>
          <w:highlight w:val="none"/>
        </w:rPr>
      </w:pPr>
      <w:r>
        <w:rPr>
          <w:rFonts w:ascii="Arial" w:hAnsi="Arial" w:cs="Arial"/>
          <w:bCs/>
          <w:color w:val="auto"/>
          <w:sz w:val="24"/>
          <w:highlight w:val="none"/>
        </w:rPr>
        <w:t>7.1</w:t>
      </w:r>
      <w:r>
        <w:rPr>
          <w:rFonts w:hint="eastAsia" w:ascii="Arial" w:hAnsi="Arial" w:cs="Arial"/>
          <w:color w:val="auto"/>
          <w:sz w:val="24"/>
          <w:highlight w:val="none"/>
        </w:rPr>
        <w:t>本招标文件包括下列文件，以及所有按本须知第8条发出的招标答疑会会议纪要和按本须知第9条发出的澄清或修改：</w:t>
      </w:r>
    </w:p>
    <w:p>
      <w:pPr>
        <w:pStyle w:val="2"/>
        <w:spacing w:after="0" w:line="360" w:lineRule="auto"/>
        <w:ind w:left="-2" w:firstLine="480" w:firstLineChars="200"/>
        <w:rPr>
          <w:rFonts w:ascii="Arial" w:hAnsi="Arial" w:cs="Arial"/>
          <w:color w:val="auto"/>
          <w:sz w:val="24"/>
          <w:highlight w:val="none"/>
        </w:rPr>
      </w:pPr>
      <w:r>
        <w:rPr>
          <w:rFonts w:hint="eastAsia" w:ascii="Arial" w:hAnsi="Arial" w:cs="Arial"/>
          <w:bCs/>
          <w:color w:val="auto"/>
          <w:sz w:val="24"/>
          <w:highlight w:val="none"/>
        </w:rPr>
        <w:t xml:space="preserve">第一章  </w:t>
      </w:r>
      <w:r>
        <w:rPr>
          <w:rFonts w:hint="eastAsia" w:ascii="Arial" w:hAnsi="Arial" w:cs="Arial"/>
          <w:color w:val="auto"/>
          <w:sz w:val="24"/>
          <w:highlight w:val="none"/>
        </w:rPr>
        <w:t>投标须知</w:t>
      </w:r>
    </w:p>
    <w:p>
      <w:pPr>
        <w:pStyle w:val="2"/>
        <w:spacing w:after="0" w:line="360" w:lineRule="auto"/>
        <w:ind w:left="-2" w:firstLine="480" w:firstLineChars="200"/>
        <w:rPr>
          <w:rFonts w:ascii="Arial" w:hAnsi="Arial" w:cs="Arial"/>
          <w:color w:val="auto"/>
          <w:sz w:val="24"/>
          <w:highlight w:val="none"/>
        </w:rPr>
      </w:pPr>
      <w:r>
        <w:rPr>
          <w:rFonts w:hint="eastAsia" w:ascii="Arial" w:hAnsi="Arial" w:cs="Arial"/>
          <w:bCs/>
          <w:color w:val="auto"/>
          <w:sz w:val="24"/>
          <w:highlight w:val="none"/>
        </w:rPr>
        <w:t xml:space="preserve">第二章  </w:t>
      </w:r>
      <w:r>
        <w:rPr>
          <w:rFonts w:hint="eastAsia" w:ascii="Arial" w:hAnsi="Arial" w:cs="Arial"/>
          <w:color w:val="auto"/>
          <w:sz w:val="24"/>
          <w:highlight w:val="none"/>
        </w:rPr>
        <w:t>开标、评标及定标办法</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第三章</w:t>
      </w:r>
      <w:r>
        <w:rPr>
          <w:rFonts w:ascii="Arial" w:hAnsi="Arial" w:cs="Arial"/>
          <w:color w:val="auto"/>
          <w:sz w:val="24"/>
          <w:highlight w:val="none"/>
        </w:rPr>
        <w:t xml:space="preserve">  </w:t>
      </w:r>
      <w:r>
        <w:rPr>
          <w:rFonts w:hint="eastAsia" w:ascii="Arial" w:hAnsi="Arial" w:cs="Arial"/>
          <w:color w:val="auto"/>
          <w:sz w:val="24"/>
          <w:highlight w:val="none"/>
        </w:rPr>
        <w:t>合同条款</w:t>
      </w:r>
    </w:p>
    <w:p>
      <w:pPr>
        <w:pStyle w:val="2"/>
        <w:spacing w:after="0" w:line="360" w:lineRule="auto"/>
        <w:ind w:firstLine="480" w:firstLineChars="200"/>
        <w:rPr>
          <w:rFonts w:ascii="Arial" w:hAnsi="Arial" w:cs="Arial"/>
          <w:color w:val="auto"/>
          <w:sz w:val="24"/>
          <w:highlight w:val="none"/>
        </w:rPr>
      </w:pPr>
      <w:r>
        <w:rPr>
          <w:rFonts w:hint="eastAsia" w:ascii="Arial" w:hAnsi="Arial" w:cs="Arial"/>
          <w:bCs/>
          <w:color w:val="auto"/>
          <w:sz w:val="24"/>
          <w:highlight w:val="none"/>
        </w:rPr>
        <w:t xml:space="preserve">第四章  </w:t>
      </w:r>
      <w:r>
        <w:rPr>
          <w:rFonts w:hint="eastAsia" w:ascii="Arial" w:hAnsi="Arial" w:cs="Arial"/>
          <w:color w:val="auto"/>
          <w:sz w:val="24"/>
          <w:highlight w:val="none"/>
        </w:rPr>
        <w:t>投标文件格式</w:t>
      </w:r>
    </w:p>
    <w:p>
      <w:pPr>
        <w:pStyle w:val="2"/>
        <w:spacing w:after="0" w:line="360" w:lineRule="auto"/>
        <w:ind w:left="-2" w:firstLine="480" w:firstLineChars="200"/>
        <w:rPr>
          <w:rFonts w:ascii="Arial" w:hAnsi="Arial" w:cs="Arial"/>
          <w:color w:val="auto"/>
          <w:sz w:val="24"/>
          <w:highlight w:val="none"/>
        </w:rPr>
      </w:pPr>
      <w:r>
        <w:rPr>
          <w:rFonts w:hint="eastAsia" w:ascii="Arial" w:hAnsi="Arial" w:cs="Arial"/>
          <w:bCs/>
          <w:color w:val="auto"/>
          <w:sz w:val="24"/>
          <w:highlight w:val="none"/>
        </w:rPr>
        <w:t xml:space="preserve">第五章  </w:t>
      </w:r>
      <w:r>
        <w:rPr>
          <w:rFonts w:hint="eastAsia" w:ascii="Arial" w:hAnsi="Arial" w:cs="Arial"/>
          <w:color w:val="auto"/>
          <w:sz w:val="24"/>
          <w:highlight w:val="none"/>
        </w:rPr>
        <w:t>技术条件（工程建设标准）（另册）</w:t>
      </w:r>
    </w:p>
    <w:p>
      <w:pPr>
        <w:pStyle w:val="2"/>
        <w:spacing w:after="0" w:line="360" w:lineRule="auto"/>
        <w:ind w:left="-2" w:firstLine="480" w:firstLineChars="200"/>
        <w:rPr>
          <w:rFonts w:ascii="Arial" w:hAnsi="Arial" w:cs="Arial"/>
          <w:color w:val="auto"/>
          <w:sz w:val="24"/>
          <w:highlight w:val="none"/>
        </w:rPr>
      </w:pPr>
      <w:r>
        <w:rPr>
          <w:rFonts w:hint="eastAsia" w:ascii="Arial" w:hAnsi="Arial" w:cs="Arial"/>
          <w:bCs/>
          <w:color w:val="auto"/>
          <w:sz w:val="24"/>
          <w:highlight w:val="none"/>
        </w:rPr>
        <w:t xml:space="preserve">第六章  </w:t>
      </w:r>
      <w:r>
        <w:rPr>
          <w:rFonts w:hint="eastAsia" w:ascii="Arial" w:hAnsi="Arial" w:cs="Arial"/>
          <w:color w:val="auto"/>
          <w:sz w:val="24"/>
          <w:highlight w:val="none"/>
        </w:rPr>
        <w:t>图纸及勘察资料（另册）</w:t>
      </w:r>
    </w:p>
    <w:p>
      <w:pPr>
        <w:pStyle w:val="2"/>
        <w:spacing w:after="0" w:line="360" w:lineRule="auto"/>
        <w:ind w:left="-2" w:firstLine="480" w:firstLineChars="200"/>
        <w:rPr>
          <w:rFonts w:ascii="Arial" w:hAnsi="Arial" w:cs="Arial"/>
          <w:color w:val="auto"/>
          <w:sz w:val="24"/>
          <w:highlight w:val="none"/>
        </w:rPr>
      </w:pPr>
      <w:r>
        <w:rPr>
          <w:rFonts w:hint="eastAsia" w:ascii="Arial" w:hAnsi="Arial" w:cs="Arial"/>
          <w:bCs/>
          <w:color w:val="auto"/>
          <w:sz w:val="24"/>
          <w:highlight w:val="none"/>
        </w:rPr>
        <w:t>第七章</w:t>
      </w:r>
      <w:r>
        <w:rPr>
          <w:rFonts w:ascii="Arial" w:hAnsi="Arial" w:cs="Arial"/>
          <w:bCs/>
          <w:color w:val="auto"/>
          <w:sz w:val="24"/>
          <w:highlight w:val="none"/>
        </w:rPr>
        <w:t xml:space="preserve">  </w:t>
      </w:r>
      <w:r>
        <w:rPr>
          <w:rFonts w:hint="eastAsia" w:ascii="Arial" w:hAnsi="Arial" w:cs="Arial"/>
          <w:bCs/>
          <w:color w:val="auto"/>
          <w:sz w:val="24"/>
          <w:highlight w:val="none"/>
        </w:rPr>
        <w:t>招标</w:t>
      </w:r>
      <w:r>
        <w:rPr>
          <w:rFonts w:hint="eastAsia" w:ascii="Arial" w:hAnsi="Arial" w:cs="Arial"/>
          <w:color w:val="auto"/>
          <w:sz w:val="24"/>
          <w:highlight w:val="none"/>
        </w:rPr>
        <w:t>工程量清单（另册）</w:t>
      </w:r>
    </w:p>
    <w:p>
      <w:pPr>
        <w:pStyle w:val="2"/>
        <w:spacing w:after="0" w:line="360" w:lineRule="auto"/>
        <w:ind w:left="-2" w:firstLine="480" w:firstLineChars="200"/>
        <w:rPr>
          <w:rFonts w:ascii="Arial" w:hAnsi="Arial" w:cs="Arial"/>
          <w:color w:val="auto"/>
          <w:sz w:val="24"/>
          <w:highlight w:val="none"/>
        </w:rPr>
      </w:pPr>
      <w:r>
        <w:rPr>
          <w:rFonts w:hint="eastAsia" w:ascii="Arial" w:hAnsi="Arial" w:cs="Arial"/>
          <w:color w:val="auto"/>
          <w:sz w:val="24"/>
          <w:highlight w:val="none"/>
        </w:rPr>
        <w:t>第八章</w:t>
      </w:r>
      <w:r>
        <w:rPr>
          <w:rFonts w:ascii="Arial" w:hAnsi="Arial" w:cs="Arial"/>
          <w:color w:val="auto"/>
          <w:sz w:val="24"/>
          <w:highlight w:val="none"/>
        </w:rPr>
        <w:t xml:space="preserve">  </w:t>
      </w:r>
      <w:r>
        <w:rPr>
          <w:rFonts w:hint="eastAsia" w:ascii="Arial" w:hAnsi="Arial" w:cs="Arial"/>
          <w:color w:val="auto"/>
          <w:sz w:val="24"/>
          <w:highlight w:val="none"/>
        </w:rPr>
        <w:t>最高投标限价</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7.2 </w:t>
      </w:r>
      <w:r>
        <w:rPr>
          <w:rFonts w:hint="eastAsia" w:ascii="Arial" w:hAnsi="Arial" w:cs="Arial"/>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7.3 </w:t>
      </w:r>
      <w:r>
        <w:rPr>
          <w:rFonts w:hint="eastAsia" w:ascii="Arial" w:hAnsi="Arial" w:cs="Arial"/>
          <w:color w:val="auto"/>
          <w:sz w:val="24"/>
          <w:highlight w:val="none"/>
        </w:rPr>
        <w:t>投标人一旦中标，招标文件的内容对招标人和中标人双方均有约束力。</w:t>
      </w:r>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8．招标答疑</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8.1 </w:t>
      </w:r>
      <w:r>
        <w:rPr>
          <w:rFonts w:hint="eastAsia" w:ascii="Arial" w:hAnsi="Arial" w:cs="Arial"/>
          <w:color w:val="auto"/>
          <w:sz w:val="24"/>
          <w:highlight w:val="none"/>
        </w:rPr>
        <w:t>投标人若对招标文件（包括招标图纸）中有疑问，可以书面形式</w:t>
      </w:r>
      <w:r>
        <w:rPr>
          <w:rFonts w:hint="eastAsia" w:ascii="Arial" w:hAnsi="Arial" w:cs="Arial"/>
          <w:color w:val="auto"/>
          <w:sz w:val="24"/>
          <w:szCs w:val="24"/>
          <w:highlight w:val="none"/>
        </w:rPr>
        <w:t>通过</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交易平台提交</w:t>
      </w:r>
      <w:r>
        <w:rPr>
          <w:rFonts w:hint="eastAsia" w:ascii="Arial" w:hAnsi="Arial" w:cs="Arial"/>
          <w:color w:val="auto"/>
          <w:sz w:val="24"/>
          <w:highlight w:val="none"/>
        </w:rPr>
        <w:t>给招标人或招标代理人，提交形式见本须知前附表第16项。</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8.2招标答疑会会议纪要将在提交投标文件截止时间15日前在</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 xml:space="preserve"> “项目答疑纪要”专区公开发布。答疑纪要一经在</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发布，视作已发放给所有投标人。</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8.3答疑会会议纪要为招标文件的一部分。</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8.4若招标答疑会会议纪要与招标文件有矛盾，以答疑会议纪要最后发出的书面形式的文件为准。</w:t>
      </w:r>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9.招标文件的澄清与修改</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9.1招标文件发出后,在提交投标文件截止时间15日前，招标人可对招标文件进行必要的澄清或修改。</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9.2招标文件的澄清或修改将在</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“项目答疑纪要”专区公开发布。答疑纪要一经在</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发布，视作已发放给所有投标人，以</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上网发布时间作为送达时间。</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9.3招标文件的修改内容为招标文件的组成部分。</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9.4招标文件的澄清或修改均以书面形式明确的内容为准。当招标文件的澄清、修改、补充等在同一内容的表述不一致时，以最后发出的书面形式的文件为准。</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rFonts w:ascii="Arial" w:hAnsi="Arial" w:cs="Arial"/>
          <w:color w:val="auto"/>
          <w:highlight w:val="none"/>
        </w:rPr>
      </w:pPr>
      <w:bookmarkStart w:id="12" w:name="_Toc101266284"/>
      <w:bookmarkStart w:id="13" w:name="_Toc2272551"/>
      <w:r>
        <w:rPr>
          <w:rFonts w:hint="eastAsia" w:ascii="Arial" w:hAnsi="Arial" w:cs="Arial"/>
          <w:color w:val="auto"/>
          <w:highlight w:val="none"/>
        </w:rPr>
        <w:t>（三）投标文件的编制</w:t>
      </w:r>
      <w:bookmarkEnd w:id="12"/>
      <w:bookmarkEnd w:id="13"/>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10．投标文件的语言及度量衡单位</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10.1 </w:t>
      </w:r>
      <w:r>
        <w:rPr>
          <w:rFonts w:hint="eastAsia" w:ascii="Arial" w:hAnsi="Arial" w:cs="Arial"/>
          <w:color w:val="auto"/>
          <w:sz w:val="24"/>
          <w:highlight w:val="none"/>
        </w:rPr>
        <w:t>投标文件和与投标有关的所有文件均应使用中文。</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10.2 </w:t>
      </w:r>
      <w:r>
        <w:rPr>
          <w:rFonts w:hint="eastAsia" w:ascii="Arial" w:hAnsi="Arial" w:cs="Arial"/>
          <w:color w:val="auto"/>
          <w:sz w:val="24"/>
          <w:highlight w:val="none"/>
        </w:rPr>
        <w:t>除工程规范另有规定外，投标文件使用的度量衡单位，均采用中华人民共和国法定计量单位。</w:t>
      </w:r>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11．投标文件的组成</w:t>
      </w:r>
    </w:p>
    <w:p>
      <w:pPr>
        <w:pStyle w:val="2"/>
        <w:spacing w:after="0" w:line="360" w:lineRule="auto"/>
        <w:ind w:firstLine="480" w:firstLineChars="200"/>
        <w:rPr>
          <w:rFonts w:ascii="Arial" w:hAnsi="Arial" w:cs="Arial"/>
          <w:b/>
          <w:color w:val="auto"/>
          <w:sz w:val="24"/>
          <w:highlight w:val="none"/>
        </w:rPr>
      </w:pPr>
      <w:r>
        <w:rPr>
          <w:rFonts w:ascii="Arial" w:hAnsi="Arial" w:cs="Arial"/>
          <w:color w:val="auto"/>
          <w:sz w:val="24"/>
          <w:highlight w:val="none"/>
        </w:rPr>
        <w:t xml:space="preserve">11.1 </w:t>
      </w:r>
      <w:r>
        <w:rPr>
          <w:rFonts w:hint="eastAsia" w:ascii="Arial" w:hAnsi="Arial" w:cs="Arial"/>
          <w:color w:val="auto"/>
          <w:sz w:val="24"/>
          <w:highlight w:val="none"/>
        </w:rPr>
        <w:t>投标文件由技术部分（含资格审查文件）和经济部分二部分投标文件组成</w:t>
      </w:r>
      <w:r>
        <w:rPr>
          <w:rFonts w:hint="eastAsia" w:ascii="Arial" w:hAnsi="Arial" w:cs="Arial"/>
          <w:b/>
          <w:color w:val="auto"/>
          <w:sz w:val="24"/>
          <w:highlight w:val="none"/>
        </w:rPr>
        <w:t>。</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11.2投标文件技术标部分主要包括下列内容:</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 xml:space="preserve">11.2.1 </w:t>
      </w:r>
      <w:r>
        <w:rPr>
          <w:rFonts w:hint="eastAsia" w:ascii="Arial" w:hAnsi="Arial" w:cs="Arial"/>
          <w:bCs/>
          <w:color w:val="auto"/>
          <w:sz w:val="24"/>
          <w:highlight w:val="none"/>
        </w:rPr>
        <w:t>技术投标文件</w:t>
      </w:r>
      <w:r>
        <w:rPr>
          <w:rFonts w:hint="eastAsia" w:ascii="Arial" w:hAnsi="Arial" w:cs="Arial"/>
          <w:color w:val="auto"/>
          <w:sz w:val="24"/>
          <w:highlight w:val="none"/>
        </w:rPr>
        <w:t>(按招标文件的要求填写)</w:t>
      </w:r>
      <w:r>
        <w:rPr>
          <w:rFonts w:hint="eastAsia" w:ascii="Arial" w:hAnsi="Arial" w:cs="Arial"/>
          <w:bCs/>
          <w:color w:val="auto"/>
          <w:sz w:val="24"/>
          <w:highlight w:val="none"/>
        </w:rPr>
        <w:t>；</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 xml:space="preserve">11.2.2 </w:t>
      </w:r>
      <w:r>
        <w:rPr>
          <w:rFonts w:hint="eastAsia" w:ascii="Arial" w:hAnsi="Arial" w:cs="Arial"/>
          <w:bCs/>
          <w:color w:val="auto"/>
          <w:sz w:val="24"/>
          <w:highlight w:val="none"/>
        </w:rPr>
        <w:t>资格审查文件：</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 xml:space="preserve">（1）投标人声明； </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（2）法定代表人证明书、法定代表人签字或盖章的本投标文件授权委托证明书；</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（3）企业营业执照（取自平台内上传件）；</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（4）企业资质证书（取自平台内上传件）；</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（5）建筑施工企业安全生产许可证（取自平台内上传件）；</w:t>
      </w:r>
    </w:p>
    <w:p>
      <w:pPr>
        <w:spacing w:line="360" w:lineRule="auto"/>
        <w:ind w:firstLine="480" w:firstLineChars="200"/>
        <w:rPr>
          <w:rFonts w:ascii="Arial" w:hAnsi="Arial" w:cs="Arial"/>
          <w:bCs/>
          <w:color w:val="auto"/>
          <w:sz w:val="24"/>
          <w:szCs w:val="24"/>
          <w:highlight w:val="none"/>
        </w:rPr>
      </w:pPr>
      <w:r>
        <w:rPr>
          <w:rFonts w:hint="eastAsia" w:ascii="Arial" w:hAnsi="Arial" w:cs="Arial"/>
          <w:bCs/>
          <w:color w:val="auto"/>
          <w:sz w:val="24"/>
          <w:highlight w:val="none"/>
        </w:rPr>
        <w:t>（6）</w:t>
      </w:r>
      <w:r>
        <w:rPr>
          <w:rFonts w:hint="eastAsia" w:ascii="Arial" w:hAnsi="Arial" w:cs="Arial"/>
          <w:bCs/>
          <w:color w:val="auto"/>
          <w:sz w:val="24"/>
          <w:szCs w:val="24"/>
          <w:highlight w:val="none"/>
        </w:rPr>
        <w:t>项目负责人（按网上投标登记时选择拟投标的项目负责人）</w:t>
      </w:r>
    </w:p>
    <w:p>
      <w:pPr>
        <w:spacing w:line="360" w:lineRule="auto"/>
        <w:ind w:firstLine="480" w:firstLineChars="200"/>
        <w:rPr>
          <w:rFonts w:ascii="Arial" w:hAnsi="Arial" w:cs="Arial"/>
          <w:bCs/>
          <w:color w:val="auto"/>
          <w:sz w:val="24"/>
          <w:szCs w:val="24"/>
          <w:highlight w:val="none"/>
        </w:rPr>
      </w:pPr>
      <w:r>
        <w:rPr>
          <w:rFonts w:hint="eastAsia" w:ascii="Arial" w:hAnsi="Arial" w:cs="Arial"/>
          <w:bCs/>
          <w:color w:val="auto"/>
          <w:sz w:val="24"/>
          <w:szCs w:val="24"/>
          <w:highlight w:val="none"/>
        </w:rPr>
        <w:t>（7）专职安全员（按网上投标登记时选择拟投标的专职安全员）</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（8）拟委托技术负责人的相关证书、资料（具体要求由招标人明确）</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（10）项目负责人安全生产考核合格证明或在有效期内的安全生产考核合格证书（B类）或建筑施工企业项目负责人安全生产考核合格证书（取自平台内上传件）</w:t>
      </w:r>
      <w:r>
        <w:rPr>
          <w:rFonts w:hint="eastAsia" w:ascii="Arial" w:hAnsi="Arial" w:cs="Arial"/>
          <w:bCs/>
          <w:color w:val="auto"/>
          <w:sz w:val="24"/>
          <w:szCs w:val="24"/>
          <w:highlight w:val="none"/>
        </w:rPr>
        <w:t>；</w:t>
      </w:r>
    </w:p>
    <w:p>
      <w:pPr>
        <w:spacing w:line="360" w:lineRule="auto"/>
        <w:ind w:firstLine="480" w:firstLineChars="200"/>
        <w:rPr>
          <w:rFonts w:ascii="Arial" w:hAnsi="Arial" w:cs="Arial"/>
          <w:bCs/>
          <w:color w:val="auto"/>
          <w:sz w:val="24"/>
          <w:szCs w:val="24"/>
          <w:highlight w:val="none"/>
        </w:rPr>
      </w:pPr>
      <w:r>
        <w:rPr>
          <w:rFonts w:hint="eastAsia" w:ascii="Arial" w:hAnsi="Arial" w:cs="Arial"/>
          <w:bCs/>
          <w:color w:val="auto"/>
          <w:sz w:val="24"/>
          <w:highlight w:val="none"/>
        </w:rPr>
        <w:t>（11）专职安全员须具有在有效期内的安全考核合格证书（C类）或建筑施工企业专职安全生产管理人员安全生产考核合格证书</w:t>
      </w:r>
      <w:r>
        <w:rPr>
          <w:rFonts w:hint="eastAsia" w:ascii="Arial" w:hAnsi="Arial" w:cs="Arial"/>
          <w:bCs/>
          <w:color w:val="auto"/>
          <w:sz w:val="24"/>
          <w:szCs w:val="24"/>
          <w:highlight w:val="none"/>
        </w:rPr>
        <w:t>（取自平台内上传件）；</w:t>
      </w:r>
    </w:p>
    <w:p>
      <w:pPr>
        <w:spacing w:line="360" w:lineRule="auto"/>
        <w:ind w:firstLine="480" w:firstLineChars="200"/>
        <w:rPr>
          <w:rFonts w:ascii="Arial" w:hAnsi="Arial" w:cs="Arial"/>
          <w:bCs/>
          <w:color w:val="auto"/>
          <w:sz w:val="24"/>
          <w:szCs w:val="24"/>
          <w:highlight w:val="none"/>
        </w:rPr>
      </w:pPr>
      <w:r>
        <w:rPr>
          <w:rFonts w:hint="eastAsia" w:ascii="Arial" w:hAnsi="Arial" w:cs="Arial"/>
          <w:bCs/>
          <w:color w:val="auto"/>
          <w:sz w:val="24"/>
          <w:szCs w:val="24"/>
          <w:highlight w:val="none"/>
        </w:rPr>
        <w:t>（12）用于资格审查的业绩（设置业绩要求时选择此项，投标人</w:t>
      </w:r>
      <w:r>
        <w:rPr>
          <w:rFonts w:hint="eastAsia" w:ascii="Arial" w:hAnsi="Arial" w:cs="Arial"/>
          <w:color w:val="auto"/>
          <w:sz w:val="24"/>
          <w:highlight w:val="none"/>
        </w:rPr>
        <w:t>须提供类似工程业绩的项目名称及项目编号，具体格式由招标人自定</w:t>
      </w:r>
      <w:r>
        <w:rPr>
          <w:rFonts w:hint="eastAsia" w:ascii="Arial" w:hAnsi="Arial" w:cs="Arial"/>
          <w:bCs/>
          <w:color w:val="auto"/>
          <w:sz w:val="24"/>
          <w:szCs w:val="24"/>
          <w:highlight w:val="none"/>
        </w:rPr>
        <w:t>）；</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Arial" w:hAnsi="Arial" w:cs="Arial"/>
          <w:bCs/>
          <w:color w:val="auto"/>
          <w:sz w:val="24"/>
          <w:szCs w:val="24"/>
          <w:highlight w:val="none"/>
        </w:rPr>
      </w:pPr>
      <w:r>
        <w:rPr>
          <w:rFonts w:hint="eastAsia" w:ascii="Arial" w:hAnsi="Arial" w:cs="Arial"/>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Arial" w:hAnsi="Arial" w:cs="Arial"/>
          <w:color w:val="auto"/>
          <w:sz w:val="24"/>
          <w:szCs w:val="24"/>
          <w:highlight w:val="none"/>
        </w:rPr>
        <w:t>联合体工作协议应明确约定各方拟承担的工作和责任</w:t>
      </w:r>
      <w:r>
        <w:rPr>
          <w:rFonts w:hint="eastAsia" w:ascii="Arial" w:hAnsi="Arial" w:cs="Arial"/>
          <w:bCs/>
          <w:color w:val="auto"/>
          <w:sz w:val="24"/>
          <w:szCs w:val="24"/>
          <w:highlight w:val="none"/>
        </w:rPr>
        <w:t xml:space="preserve">）； </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szCs w:val="24"/>
          <w:highlight w:val="none"/>
        </w:rPr>
        <w:t>（15）</w:t>
      </w:r>
      <w:r>
        <w:rPr>
          <w:rFonts w:hint="eastAsia" w:ascii="Arial" w:hAnsi="Arial" w:cs="Arial"/>
          <w:color w:val="auto"/>
          <w:sz w:val="24"/>
          <w:szCs w:val="24"/>
          <w:highlight w:val="none"/>
        </w:rPr>
        <w:t>投标人具有在广州地区可使用适合本工程的机械设备的证明文件（</w:t>
      </w:r>
      <w:r>
        <w:rPr>
          <w:rFonts w:hint="eastAsia" w:ascii="Arial" w:hAnsi="Arial" w:cs="Arial"/>
          <w:color w:val="auto"/>
          <w:sz w:val="24"/>
          <w:highlight w:val="none"/>
        </w:rPr>
        <w:t>提供沥青摊铺机自有发票或权属证明及设备现场全貌彩照（彩照须能反映其规格型号）</w:t>
      </w:r>
      <w:r>
        <w:rPr>
          <w:rFonts w:hint="eastAsia" w:ascii="Arial" w:hAnsi="Arial" w:cs="Arial"/>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11.2.3项目管理机构配备。</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（1）投标人应列出该项目工程的施工组织机构构成和画出机构框架图及其负责人；</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（3）其他辅助说明资料。</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11.2.5施工组织设计或施工方案。</w:t>
      </w:r>
    </w:p>
    <w:p>
      <w:pPr>
        <w:tabs>
          <w:tab w:val="left" w:pos="1125"/>
        </w:tabs>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11.2.6按照</w:t>
      </w:r>
      <w:r>
        <w:rPr>
          <w:rFonts w:hint="eastAsia" w:ascii="Arial" w:hAnsi="Arial" w:cs="Arial"/>
          <w:bCs/>
          <w:color w:val="auto"/>
          <w:sz w:val="24"/>
          <w:highlight w:val="none"/>
        </w:rPr>
        <w:t>招标文件要求</w:t>
      </w:r>
      <w:r>
        <w:rPr>
          <w:rFonts w:hint="eastAsia" w:ascii="Arial" w:hAnsi="Arial" w:cs="Arial"/>
          <w:color w:val="auto"/>
          <w:sz w:val="24"/>
          <w:highlight w:val="none"/>
        </w:rPr>
        <w:t>填写的《参与编制技术标投标文件人员名单》。</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 xml:space="preserve">11.3 </w:t>
      </w:r>
      <w:r>
        <w:rPr>
          <w:rFonts w:hint="eastAsia" w:ascii="Arial" w:hAnsi="Arial" w:cs="Arial"/>
          <w:bCs/>
          <w:color w:val="auto"/>
          <w:sz w:val="24"/>
          <w:highlight w:val="none"/>
        </w:rPr>
        <w:t>经济部分投标文件主要包括下列内容：</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11.3.1 </w:t>
      </w:r>
      <w:r>
        <w:rPr>
          <w:rFonts w:hint="eastAsia" w:ascii="Arial" w:hAnsi="Arial" w:cs="Arial"/>
          <w:color w:val="auto"/>
          <w:sz w:val="24"/>
          <w:highlight w:val="none"/>
        </w:rPr>
        <w:t>经济投标文件(按招标文件的要求填写)。</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Arial" w:hAnsi="Arial" w:cs="Arial"/>
          <w:color w:val="auto"/>
          <w:sz w:val="24"/>
          <w:szCs w:val="24"/>
          <w:highlight w:val="none"/>
        </w:rPr>
        <w:t>其中包括如下：</w:t>
      </w:r>
      <w:r>
        <w:rPr>
          <w:rFonts w:ascii="Arial" w:hAnsi="Arial" w:cs="Arial"/>
          <w:color w:val="auto"/>
          <w:sz w:val="24"/>
          <w:highlight w:val="none"/>
        </w:rPr>
        <w:t xml:space="preserve"> </w:t>
      </w:r>
    </w:p>
    <w:p>
      <w:pPr>
        <w:spacing w:line="360" w:lineRule="auto"/>
        <w:ind w:firstLine="566" w:firstLineChars="236"/>
        <w:rPr>
          <w:rFonts w:ascii="Arial" w:hAnsi="Arial" w:cs="Arial"/>
          <w:color w:val="auto"/>
          <w:sz w:val="24"/>
          <w:highlight w:val="none"/>
        </w:rPr>
      </w:pPr>
      <w:r>
        <w:rPr>
          <w:rFonts w:hint="eastAsia" w:ascii="Arial" w:hAnsi="Arial" w:cs="Arial"/>
          <w:color w:val="auto"/>
          <w:sz w:val="24"/>
          <w:highlight w:val="none"/>
        </w:rPr>
        <w:t>（1）投标总价封面、扉页；</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（2）总说明</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（3）工程项目投标报价汇总表；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（4）单项工程投标报价汇总表；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（5）单位工程投标报价汇总表；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（6）分部分项工程清单与计价表；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（7）单价措施项目清单与计价表；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（8）总价措施项目清单与计价表；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（9）综合单价分析表；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（10）其他项目清单与计价汇总表；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（11）暂列金额明细表；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（12）材料（工程设备）暂估价明细表；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（13）专业工程暂估价明细表；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（14）计日工表；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（15）总承包服务计价表；</w:t>
      </w:r>
    </w:p>
    <w:p>
      <w:pPr>
        <w:spacing w:line="360" w:lineRule="auto"/>
        <w:ind w:firstLine="566" w:firstLineChars="236"/>
        <w:rPr>
          <w:rFonts w:ascii="Arial" w:hAnsi="Arial" w:cs="Arial"/>
          <w:color w:val="auto"/>
          <w:sz w:val="24"/>
          <w:szCs w:val="24"/>
          <w:highlight w:val="none"/>
        </w:rPr>
      </w:pPr>
      <w:r>
        <w:rPr>
          <w:rFonts w:hint="eastAsia" w:ascii="Arial" w:hAnsi="Arial" w:cs="Arial"/>
          <w:color w:val="auto"/>
          <w:sz w:val="24"/>
          <w:szCs w:val="24"/>
          <w:highlight w:val="none"/>
        </w:rPr>
        <w:t>（16）规费和税金项目计价表；</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szCs w:val="24"/>
          <w:highlight w:val="none"/>
        </w:rPr>
        <w:t xml:space="preserve"> （17）人工、主要材料和设备一览表</w:t>
      </w:r>
    </w:p>
    <w:p>
      <w:pPr>
        <w:tabs>
          <w:tab w:val="left" w:pos="1125"/>
        </w:tabs>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11.3.3按照</w:t>
      </w:r>
      <w:r>
        <w:rPr>
          <w:rFonts w:hint="eastAsia" w:ascii="Arial" w:hAnsi="Arial" w:cs="Arial"/>
          <w:bCs/>
          <w:color w:val="auto"/>
          <w:sz w:val="24"/>
          <w:highlight w:val="none"/>
        </w:rPr>
        <w:t>招标文件要求</w:t>
      </w:r>
      <w:r>
        <w:rPr>
          <w:rFonts w:hint="eastAsia" w:ascii="Arial" w:hAnsi="Arial" w:cs="Arial"/>
          <w:color w:val="auto"/>
          <w:sz w:val="24"/>
          <w:highlight w:val="none"/>
        </w:rPr>
        <w:t>填写的《参与编制经济标投标文件人员名单》。</w:t>
      </w:r>
    </w:p>
    <w:p>
      <w:pPr>
        <w:tabs>
          <w:tab w:val="left" w:pos="1125"/>
        </w:tabs>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12．投标文件格式</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12.1 </w:t>
      </w:r>
      <w:r>
        <w:rPr>
          <w:rFonts w:hint="eastAsia" w:ascii="Arial" w:hAnsi="Arial" w:cs="Arial"/>
          <w:color w:val="auto"/>
          <w:sz w:val="24"/>
          <w:highlight w:val="none"/>
        </w:rPr>
        <w:t>投标文件包括本须知第11条中规定的内容，投标人提交的投标文件应当使用招标文件所提供的投标文件全部格式（表格可以按同样格式扩展）。</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12.2 </w:t>
      </w:r>
      <w:r>
        <w:rPr>
          <w:rFonts w:hint="eastAsia" w:ascii="Arial" w:hAnsi="Arial" w:cs="Arial"/>
          <w:color w:val="auto"/>
          <w:sz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Arial" w:hAnsi="Arial" w:cs="Arial"/>
          <w:color w:val="auto"/>
          <w:sz w:val="24"/>
          <w:szCs w:val="24"/>
          <w:highlight w:val="none"/>
        </w:rPr>
        <w:t>全流程电子化项目的相关指南进行操作。详见：</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 xml:space="preserve"> 。</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12.3 </w:t>
      </w:r>
      <w:r>
        <w:rPr>
          <w:rFonts w:hint="eastAsia" w:ascii="Arial" w:hAnsi="Arial" w:cs="Arial"/>
          <w:bCs/>
          <w:color w:val="auto"/>
          <w:sz w:val="24"/>
          <w:szCs w:val="24"/>
          <w:highlight w:val="none"/>
        </w:rPr>
        <w:t>投标文件应按</w:t>
      </w:r>
      <w:r>
        <w:rPr>
          <w:rFonts w:hint="eastAsia" w:ascii="Arial" w:hAnsi="Arial" w:cs="Arial"/>
          <w:color w:val="auto"/>
          <w:sz w:val="24"/>
          <w:highlight w:val="none"/>
        </w:rPr>
        <w:t>照交易平台关于全流程电子化项目的相关指南进行编制，详见：</w:t>
      </w:r>
      <w:r>
        <w:rPr>
          <w:rFonts w:ascii="Arial" w:hAnsi="Arial" w:cs="Arial"/>
          <w:color w:val="auto"/>
          <w:sz w:val="24"/>
          <w:szCs w:val="24"/>
          <w:highlight w:val="none"/>
          <w:u w:val="single"/>
        </w:rPr>
        <w:t xml:space="preserve">            </w:t>
      </w:r>
      <w:r>
        <w:rPr>
          <w:rFonts w:hint="eastAsia" w:ascii="Arial" w:hAnsi="Arial" w:cs="Arial"/>
          <w:color w:val="auto"/>
          <w:sz w:val="24"/>
          <w:highlight w:val="none"/>
        </w:rPr>
        <w:t xml:space="preserve">。               </w:t>
      </w:r>
    </w:p>
    <w:p>
      <w:pPr>
        <w:pStyle w:val="2"/>
        <w:spacing w:after="0" w:line="360" w:lineRule="auto"/>
        <w:ind w:firstLine="0"/>
        <w:rPr>
          <w:rFonts w:ascii="Arial" w:hAnsi="Arial" w:cs="Arial"/>
          <w:color w:val="auto"/>
          <w:sz w:val="24"/>
          <w:highlight w:val="none"/>
        </w:rPr>
      </w:pPr>
      <w:r>
        <w:rPr>
          <w:rFonts w:hint="eastAsia" w:ascii="Arial" w:hAnsi="Arial" w:cs="Arial"/>
          <w:bCs/>
          <w:color w:val="auto"/>
          <w:sz w:val="24"/>
          <w:szCs w:val="24"/>
          <w:highlight w:val="none"/>
        </w:rPr>
        <w:t>如不按上述要求编制引起系统无法检索、读取相关信息的，其后果由投标人承担。</w:t>
      </w:r>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13．投标报价及造价承包和变更结算方式</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13.1 </w:t>
      </w:r>
      <w:r>
        <w:rPr>
          <w:rFonts w:hint="eastAsia" w:ascii="Arial" w:hAnsi="Arial" w:cs="Arial"/>
          <w:color w:val="auto"/>
          <w:sz w:val="24"/>
          <w:highlight w:val="none"/>
        </w:rPr>
        <w:t>本工程的投标报价采用投标须知前附表第12项所规定的方式。投标报价（含单价及总价）精确到“分”。</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Arial" w:hAnsi="Arial" w:cs="Arial"/>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13.5.1中标的投标文件工程量清单中已有相同项目的适用综合单价，则沿用；</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13.5.3 </w:t>
      </w:r>
      <w:r>
        <w:rPr>
          <w:rFonts w:hint="eastAsia" w:ascii="Arial" w:hAnsi="Arial" w:cs="Arial"/>
          <w:color w:val="auto"/>
          <w:sz w:val="24"/>
          <w:highlight w:val="none"/>
        </w:rPr>
        <w:t>中标的投标文件工程量清单中没有相同项目或类似项目的，如可套取相关定额，则以相关定额为基数下浮计算单价,下浮率为中标价</w:t>
      </w:r>
      <w:r>
        <w:rPr>
          <w:rFonts w:hint="eastAsia" w:ascii="Arial" w:hAnsi="Arial" w:cs="Arial"/>
          <w:color w:val="auto"/>
          <w:sz w:val="24"/>
          <w:szCs w:val="24"/>
          <w:highlight w:val="none"/>
        </w:rPr>
        <w:t>相对于最高投标限价的下</w:t>
      </w:r>
      <w:r>
        <w:rPr>
          <w:rFonts w:hint="eastAsia" w:ascii="Arial" w:hAnsi="Arial" w:cs="Arial"/>
          <w:color w:val="auto"/>
          <w:sz w:val="24"/>
          <w:highlight w:val="none"/>
        </w:rPr>
        <w:t>浮率（下浮率=(</w:t>
      </w:r>
      <w:r>
        <w:rPr>
          <w:rFonts w:hint="eastAsia" w:ascii="Arial" w:hAnsi="Arial" w:cs="Arial"/>
          <w:color w:val="auto"/>
          <w:sz w:val="24"/>
          <w:szCs w:val="24"/>
          <w:highlight w:val="none"/>
        </w:rPr>
        <w:t>最高投标限价</w:t>
      </w:r>
      <w:r>
        <w:rPr>
          <w:rFonts w:hint="eastAsia" w:ascii="Arial" w:hAnsi="Arial" w:cs="Arial"/>
          <w:color w:val="auto"/>
          <w:sz w:val="24"/>
          <w:highlight w:val="none"/>
        </w:rPr>
        <w:t>-中标价)/</w:t>
      </w:r>
      <w:r>
        <w:rPr>
          <w:rFonts w:hint="eastAsia" w:ascii="Arial" w:hAnsi="Arial" w:cs="Arial"/>
          <w:color w:val="auto"/>
          <w:sz w:val="24"/>
          <w:szCs w:val="24"/>
          <w:highlight w:val="none"/>
        </w:rPr>
        <w:t xml:space="preserve"> 最高投标限价</w:t>
      </w:r>
      <w:r>
        <w:rPr>
          <w:rFonts w:hint="eastAsia" w:ascii="Arial" w:hAnsi="Arial" w:cs="Arial"/>
          <w:color w:val="auto"/>
          <w:sz w:val="24"/>
          <w:highlight w:val="none"/>
        </w:rPr>
        <w:t>）。</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13.5.4 </w:t>
      </w:r>
      <w:r>
        <w:rPr>
          <w:rFonts w:hint="eastAsia" w:ascii="Arial" w:hAnsi="Arial" w:cs="Arial"/>
          <w:color w:val="auto"/>
          <w:sz w:val="24"/>
          <w:highlight w:val="none"/>
        </w:rPr>
        <w:t>如相关定额没有相应子目的，其计价方式由招标人在本招标文件第三章中另行规定。未规定的，中标后双方协商约定。</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13.6暂列金额、暂估价</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暂估价是指招标人在工程量清单中提供的用于支付必然发生但暂时不能确定价格的材料的单价以及专业工程的金额。</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13.6.6 </w:t>
      </w:r>
      <w:r>
        <w:rPr>
          <w:rFonts w:hint="eastAsia" w:ascii="Arial" w:hAnsi="Arial" w:cs="Arial"/>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2"/>
        <w:spacing w:after="0" w:line="360" w:lineRule="auto"/>
        <w:ind w:firstLine="480" w:firstLineChars="200"/>
        <w:rPr>
          <w:rFonts w:ascii="Arial" w:hAnsi="Arial" w:cs="Arial"/>
          <w:color w:val="auto"/>
          <w:sz w:val="24"/>
          <w:szCs w:val="24"/>
          <w:highlight w:val="none"/>
        </w:rPr>
      </w:pPr>
      <w:r>
        <w:rPr>
          <w:rFonts w:ascii="Arial" w:hAnsi="Arial" w:cs="Arial"/>
          <w:color w:val="auto"/>
          <w:sz w:val="24"/>
          <w:highlight w:val="none"/>
        </w:rPr>
        <w:t>13.9</w:t>
      </w:r>
      <w:r>
        <w:rPr>
          <w:rFonts w:hint="eastAsia" w:ascii="Arial" w:hAnsi="Arial" w:cs="Arial"/>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14．投标货币</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14.1 </w:t>
      </w:r>
      <w:r>
        <w:rPr>
          <w:rFonts w:hint="eastAsia" w:ascii="Arial" w:hAnsi="Arial" w:cs="Arial"/>
          <w:color w:val="auto"/>
          <w:sz w:val="24"/>
          <w:highlight w:val="none"/>
        </w:rPr>
        <w:t>本工程投标报价采用的币种为人民币。</w:t>
      </w:r>
    </w:p>
    <w:p>
      <w:pPr>
        <w:pStyle w:val="2"/>
        <w:spacing w:after="0" w:line="360" w:lineRule="auto"/>
        <w:ind w:firstLine="482" w:firstLineChars="200"/>
        <w:rPr>
          <w:rFonts w:ascii="Arial" w:hAnsi="Arial" w:cs="Arial"/>
          <w:color w:val="auto"/>
          <w:sz w:val="24"/>
          <w:highlight w:val="none"/>
        </w:rPr>
      </w:pPr>
      <w:r>
        <w:rPr>
          <w:rFonts w:hint="eastAsia" w:ascii="Arial" w:hAnsi="Arial" w:cs="Arial"/>
          <w:b/>
          <w:bCs/>
          <w:color w:val="auto"/>
          <w:sz w:val="24"/>
          <w:highlight w:val="none"/>
        </w:rPr>
        <w:t>15．投标有效期</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15.1 </w:t>
      </w:r>
      <w:r>
        <w:rPr>
          <w:rFonts w:hint="eastAsia" w:ascii="Arial" w:hAnsi="Arial" w:cs="Arial"/>
          <w:color w:val="auto"/>
          <w:sz w:val="24"/>
          <w:highlight w:val="none"/>
        </w:rPr>
        <w:t>投标有效期见投标须知前附表第13项所规定的期限，在此期限内，凡符合本招标文件要求的投标文件均保持有效。</w:t>
      </w:r>
    </w:p>
    <w:p>
      <w:pPr>
        <w:pStyle w:val="2"/>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15.2 </w:t>
      </w:r>
      <w:r>
        <w:rPr>
          <w:rFonts w:hint="eastAsia" w:ascii="Arial" w:hAnsi="Arial" w:cs="Arial"/>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16．投标保证金</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16.1投标人应按投标须知前附表第14项所述金额和时间递交</w:t>
      </w:r>
      <w:r>
        <w:rPr>
          <w:rFonts w:hint="eastAsia" w:ascii="Arial" w:hAnsi="Arial" w:cs="Arial"/>
          <w:bCs/>
          <w:color w:val="auto"/>
          <w:sz w:val="24"/>
          <w:highlight w:val="none"/>
        </w:rPr>
        <w:t>投标保证金</w:t>
      </w:r>
      <w:r>
        <w:rPr>
          <w:rFonts w:hint="eastAsia" w:ascii="Arial" w:hAnsi="Arial" w:cs="Arial"/>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16.1.1 </w:t>
      </w:r>
      <w:r>
        <w:rPr>
          <w:rFonts w:hint="eastAsia" w:ascii="Arial" w:hAnsi="Arial" w:cs="Arial"/>
          <w:color w:val="auto"/>
          <w:sz w:val="24"/>
          <w:highlight w:val="none"/>
        </w:rPr>
        <w:t>采用现金或者支票形式提交的，投标保证金须从投标人的银行基本账户转出。</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16.1.2 </w:t>
      </w:r>
      <w:r>
        <w:rPr>
          <w:rFonts w:hint="eastAsia" w:ascii="Arial" w:hAnsi="Arial" w:cs="Arial"/>
          <w:color w:val="auto"/>
          <w:sz w:val="24"/>
          <w:highlight w:val="none"/>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16.1.3 </w:t>
      </w:r>
      <w:r>
        <w:rPr>
          <w:rFonts w:hint="eastAsia" w:ascii="Arial" w:hAnsi="Arial" w:cs="Arial"/>
          <w:color w:val="auto"/>
          <w:sz w:val="24"/>
          <w:highlight w:val="none"/>
        </w:rPr>
        <w:t>采用电子形式的保函、担保或保证保险提交投标保证金的，应在招标文件中明确电子递交途径。</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16.3投标保证金应依据法律法规的相关规定退还。</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16.4.1因投标人原因造成投标文件未解密的；</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16.4.2投标人在投标有效期内撤销投标文件；</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16.4.3中标人未能在规定期限内按要求提交履约担保；</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16.4.4中标人未能在规定期限内签署合同协议。</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16.5.1投标人存在16.4条款所列情形且投标人提交的保函、担保或保证保险无法兑付的；</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16.5.3按招标文件要求免于提供投标保证金的投标人存在16.4条款所列情形的。</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注：16.5.3款由招标人二选一，需在招标文件中明确。</w:t>
      </w:r>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17．投标文件的签署</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Arial" w:hAnsi="Arial" w:cs="Arial"/>
          <w:color w:val="auto"/>
          <w:sz w:val="24"/>
          <w:highlight w:val="none"/>
          <w:u w:val="single"/>
        </w:rPr>
        <w:t xml:space="preserve">            </w:t>
      </w:r>
      <w:r>
        <w:rPr>
          <w:rFonts w:hint="eastAsia" w:ascii="Arial" w:hAnsi="Arial" w:cs="Arial"/>
          <w:color w:val="auto"/>
          <w:sz w:val="24"/>
          <w:highlight w:val="none"/>
        </w:rPr>
        <w:t xml:space="preserve"> 。</w:t>
      </w:r>
    </w:p>
    <w:p>
      <w:pPr>
        <w:pStyle w:val="8"/>
        <w:spacing w:before="156" w:after="156"/>
        <w:rPr>
          <w:rFonts w:ascii="Arial" w:hAnsi="Arial" w:cs="Arial"/>
          <w:color w:val="auto"/>
          <w:highlight w:val="none"/>
        </w:rPr>
      </w:pPr>
      <w:bookmarkStart w:id="14" w:name="_Toc2272552"/>
      <w:bookmarkStart w:id="15" w:name="_Toc101266285"/>
      <w:r>
        <w:rPr>
          <w:rFonts w:hint="eastAsia" w:ascii="Arial" w:hAnsi="Arial" w:cs="Arial"/>
          <w:color w:val="auto"/>
          <w:highlight w:val="none"/>
        </w:rPr>
        <w:t>（四）投标文件的提交</w:t>
      </w:r>
      <w:bookmarkEnd w:id="14"/>
      <w:bookmarkEnd w:id="15"/>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18．</w:t>
      </w:r>
      <w:r>
        <w:rPr>
          <w:rFonts w:hint="eastAsia" w:ascii="Arial" w:hAnsi="Arial" w:cs="Arial"/>
          <w:b/>
          <w:color w:val="auto"/>
          <w:sz w:val="24"/>
          <w:szCs w:val="24"/>
          <w:highlight w:val="none"/>
        </w:rPr>
        <w:t>投标文件的密封和标记</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18.1递交的电子投标文件（不含备用光盘）必须进行加密。按照交易平台关于</w:t>
      </w:r>
      <w:r>
        <w:rPr>
          <w:rFonts w:hint="eastAsia" w:ascii="Arial" w:hAnsi="Arial" w:cs="Arial"/>
          <w:color w:val="auto"/>
          <w:sz w:val="24"/>
          <w:szCs w:val="24"/>
          <w:highlight w:val="none"/>
        </w:rPr>
        <w:t>全流程电子化项目的相关指南进行操作。详见：</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 xml:space="preserve"> 。</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 xml:space="preserve">18.2 </w:t>
      </w:r>
      <w:r>
        <w:rPr>
          <w:rFonts w:hint="eastAsia" w:ascii="Arial" w:hAnsi="Arial" w:cs="Arial"/>
          <w:bCs/>
          <w:color w:val="auto"/>
          <w:sz w:val="24"/>
          <w:highlight w:val="none"/>
        </w:rPr>
        <w:t>未按要求加密的投标文件，</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bCs/>
          <w:color w:val="auto"/>
          <w:sz w:val="24"/>
          <w:highlight w:val="none"/>
        </w:rPr>
        <w:t>将予以拒收。</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19．投标文件的递交和接收</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19.1投标人通过</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递交电子投标文件。</w:t>
      </w:r>
    </w:p>
    <w:p>
      <w:pPr>
        <w:spacing w:line="360" w:lineRule="auto"/>
        <w:ind w:firstLine="480" w:firstLineChars="200"/>
        <w:rPr>
          <w:rFonts w:ascii="Arial" w:hAnsi="Arial" w:cs="Arial"/>
          <w:bCs/>
          <w:color w:val="auto"/>
          <w:sz w:val="24"/>
          <w:highlight w:val="none"/>
        </w:rPr>
      </w:pPr>
      <w:r>
        <w:rPr>
          <w:rFonts w:hint="eastAsia" w:ascii="Arial" w:hAnsi="Arial" w:cs="Arial"/>
          <w:bCs/>
          <w:color w:val="auto"/>
          <w:sz w:val="24"/>
          <w:highlight w:val="none"/>
        </w:rPr>
        <w:t>19.2投标人完成电子</w:t>
      </w:r>
      <w:r>
        <w:rPr>
          <w:rFonts w:hint="eastAsia" w:ascii="Arial" w:hAnsi="Arial" w:cs="Arial"/>
          <w:color w:val="auto"/>
          <w:sz w:val="24"/>
          <w:highlight w:val="none"/>
        </w:rPr>
        <w:t>投标文件</w:t>
      </w:r>
      <w:r>
        <w:rPr>
          <w:rFonts w:hint="eastAsia" w:ascii="Arial" w:hAnsi="Arial" w:cs="Arial"/>
          <w:bCs/>
          <w:color w:val="auto"/>
          <w:sz w:val="24"/>
          <w:highlight w:val="none"/>
        </w:rPr>
        <w:t>上传后，</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即时向投标人发出递交回执通知。递交时间以递交回执通知载明的传输完成时间为准。</w:t>
      </w:r>
    </w:p>
    <w:p>
      <w:pPr>
        <w:spacing w:line="360" w:lineRule="auto"/>
        <w:ind w:firstLine="480" w:firstLineChars="200"/>
        <w:rPr>
          <w:rFonts w:ascii="Arial" w:hAnsi="Arial" w:cs="Arial"/>
          <w:color w:val="auto"/>
          <w:sz w:val="24"/>
          <w:highlight w:val="none"/>
        </w:rPr>
      </w:pPr>
      <w:r>
        <w:rPr>
          <w:rFonts w:ascii="Arial" w:hAnsi="Arial" w:cs="Arial"/>
          <w:bCs/>
          <w:color w:val="auto"/>
          <w:sz w:val="24"/>
          <w:highlight w:val="none"/>
        </w:rPr>
        <w:t>19.3</w:t>
      </w:r>
      <w:r>
        <w:rPr>
          <w:rFonts w:hint="eastAsia" w:ascii="Arial" w:hAnsi="Arial" w:cs="Arial"/>
          <w:bCs/>
          <w:color w:val="auto"/>
          <w:sz w:val="24"/>
          <w:szCs w:val="24"/>
          <w:highlight w:val="none"/>
        </w:rPr>
        <w:t>逾期送达的</w:t>
      </w:r>
      <w:r>
        <w:rPr>
          <w:rFonts w:hint="eastAsia" w:ascii="Arial" w:hAnsi="Arial" w:cs="Arial"/>
          <w:bCs/>
          <w:color w:val="auto"/>
          <w:sz w:val="24"/>
          <w:highlight w:val="none"/>
        </w:rPr>
        <w:t>电子投标文件，</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将予以拒收。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19.4 </w:t>
      </w:r>
      <w:r>
        <w:rPr>
          <w:rFonts w:hint="eastAsia" w:ascii="Arial" w:hAnsi="Arial" w:cs="Arial"/>
          <w:color w:val="auto"/>
          <w:sz w:val="24"/>
          <w:szCs w:val="24"/>
          <w:highlight w:val="none"/>
        </w:rPr>
        <w:t>投标截止前，招标人拒绝接收符合条件的投标文件，投标人可向招标投标监督机构投诉。</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19.5如技术标和经济标先后分别开启，</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将按招标文件规定的时间分别开启技术标和经济标。</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20．投标文件提交的截止时间</w:t>
      </w:r>
    </w:p>
    <w:p>
      <w:pPr>
        <w:spacing w:line="360" w:lineRule="auto"/>
        <w:ind w:firstLine="480" w:firstLineChars="200"/>
        <w:rPr>
          <w:rFonts w:ascii="Arial" w:hAnsi="Arial" w:cs="Arial"/>
          <w:b/>
          <w:bCs/>
          <w:color w:val="auto"/>
          <w:sz w:val="24"/>
          <w:highlight w:val="none"/>
        </w:rPr>
      </w:pPr>
      <w:r>
        <w:rPr>
          <w:rFonts w:hint="eastAsia" w:ascii="Arial" w:hAnsi="Arial" w:cs="Arial"/>
          <w:color w:val="auto"/>
          <w:sz w:val="24"/>
          <w:highlight w:val="none"/>
        </w:rPr>
        <w:t>20.1投标人应在投标须知前附表第17项所述的时间前提交投标文件。</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20.3 </w:t>
      </w:r>
      <w:r>
        <w:rPr>
          <w:rFonts w:hint="eastAsia" w:ascii="Arial" w:hAnsi="Arial" w:cs="Arial"/>
          <w:color w:val="auto"/>
          <w:sz w:val="24"/>
          <w:highlight w:val="none"/>
        </w:rPr>
        <w:t>到投标截止时间止，招标人收到的投标文件少于3家的，招标人将重新组织招标</w:t>
      </w:r>
      <w:r>
        <w:rPr>
          <w:rFonts w:hint="eastAsia" w:ascii="Arial" w:hAnsi="Arial" w:cs="Arial"/>
          <w:color w:val="auto"/>
          <w:sz w:val="24"/>
          <w:szCs w:val="24"/>
          <w:highlight w:val="none"/>
        </w:rPr>
        <w:t>（当N个标段同时招标且不允许兼中时，若有效投标人不足N+2家，则重新组织招标）</w:t>
      </w:r>
      <w:r>
        <w:rPr>
          <w:rFonts w:hint="eastAsia" w:ascii="Arial" w:hAnsi="Arial" w:cs="Arial"/>
          <w:color w:val="auto"/>
          <w:sz w:val="24"/>
          <w:highlight w:val="none"/>
        </w:rPr>
        <w:t>。</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21．迟交的投标文件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21.1 </w:t>
      </w:r>
      <w:r>
        <w:rPr>
          <w:rFonts w:hint="eastAsia" w:ascii="Arial" w:hAnsi="Arial" w:cs="Arial"/>
          <w:color w:val="auto"/>
          <w:sz w:val="24"/>
          <w:highlight w:val="none"/>
        </w:rPr>
        <w:t>本须知前附表第17项规定的投标截止时间</w:t>
      </w:r>
      <w:r>
        <w:rPr>
          <w:rFonts w:hint="eastAsia" w:ascii="Arial" w:hAnsi="Arial" w:cs="Arial"/>
          <w:bCs/>
          <w:color w:val="auto"/>
          <w:sz w:val="24"/>
          <w:szCs w:val="24"/>
          <w:highlight w:val="none"/>
        </w:rPr>
        <w:t>后送达的</w:t>
      </w:r>
      <w:r>
        <w:rPr>
          <w:rFonts w:hint="eastAsia" w:ascii="Arial" w:hAnsi="Arial" w:cs="Arial"/>
          <w:bCs/>
          <w:color w:val="auto"/>
          <w:sz w:val="24"/>
          <w:highlight w:val="none"/>
        </w:rPr>
        <w:t>电子投标文件，</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将予以拒收。</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22．投标文件的修改与撤回</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22.2投标人修改或撤回已递交的投标文件，需在</w:t>
      </w:r>
      <w:r>
        <w:rPr>
          <w:rFonts w:hint="eastAsia" w:ascii="Arial" w:hAnsi="Arial" w:cs="Arial"/>
          <w:color w:val="auto"/>
          <w:sz w:val="24"/>
          <w:highlight w:val="none"/>
        </w:rPr>
        <w:t>交易平台发出修改或撤回</w:t>
      </w:r>
      <w:r>
        <w:rPr>
          <w:rFonts w:hint="eastAsia" w:ascii="Arial" w:hAnsi="Arial" w:cs="Arial"/>
          <w:color w:val="auto"/>
          <w:sz w:val="24"/>
          <w:szCs w:val="24"/>
          <w:highlight w:val="none"/>
        </w:rPr>
        <w:t>通知，并按要求加盖电子印章。</w:t>
      </w:r>
      <w:r>
        <w:rPr>
          <w:rFonts w:hint="eastAsia" w:ascii="Arial" w:hAnsi="Arial" w:cs="Arial"/>
          <w:bCs/>
          <w:iCs/>
          <w:color w:val="auto"/>
          <w:sz w:val="24"/>
          <w:szCs w:val="24"/>
          <w:highlight w:val="none"/>
        </w:rPr>
        <w:t>电子招标投标交易平台收到通知后，</w:t>
      </w:r>
      <w:r>
        <w:rPr>
          <w:rFonts w:hint="eastAsia" w:ascii="Arial" w:hAnsi="Arial" w:cs="Arial"/>
          <w:color w:val="auto"/>
          <w:sz w:val="24"/>
          <w:szCs w:val="24"/>
          <w:highlight w:val="none"/>
        </w:rPr>
        <w:t>即时向投标人发出确认回执通知。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22.3修改后再次递交的，按19点的规定执行。</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22.4 </w:t>
      </w:r>
      <w:r>
        <w:rPr>
          <w:rFonts w:hint="eastAsia" w:ascii="Arial" w:hAnsi="Arial" w:cs="Arial"/>
          <w:color w:val="auto"/>
          <w:sz w:val="24"/>
          <w:highlight w:val="none"/>
        </w:rPr>
        <w:t>在投标截止时间之后，投标人不得补充、修改和更换投标文件。</w:t>
      </w:r>
    </w:p>
    <w:p>
      <w:pPr>
        <w:pStyle w:val="8"/>
        <w:spacing w:before="156" w:after="156"/>
        <w:rPr>
          <w:rFonts w:ascii="Arial" w:hAnsi="Arial" w:cs="Arial"/>
          <w:color w:val="auto"/>
          <w:highlight w:val="none"/>
        </w:rPr>
      </w:pPr>
      <w:bookmarkStart w:id="16" w:name="_Toc2272553"/>
      <w:bookmarkStart w:id="17" w:name="_Toc101266286"/>
      <w:r>
        <w:rPr>
          <w:rFonts w:hint="eastAsia" w:ascii="Arial" w:hAnsi="Arial" w:cs="Arial"/>
          <w:color w:val="auto"/>
          <w:highlight w:val="none"/>
        </w:rPr>
        <w:t>（五）开标、评标、定标及合同签定</w:t>
      </w:r>
      <w:bookmarkEnd w:id="16"/>
      <w:bookmarkEnd w:id="17"/>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23、开标。</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详见第二章开标、评标及定标办法</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24．评标过程的保密</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24.1 </w:t>
      </w:r>
      <w:r>
        <w:rPr>
          <w:rFonts w:hint="eastAsia" w:ascii="Arial" w:hAnsi="Arial" w:cs="Arial"/>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24.2 </w:t>
      </w:r>
      <w:r>
        <w:rPr>
          <w:rFonts w:hint="eastAsia" w:ascii="Arial" w:hAnsi="Arial" w:cs="Arial"/>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25．投标文件的澄清，计算错误的修正</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详见招标文件第二章开标、评标及定标办法</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26．投标文件的评审、比较和否决</w:t>
      </w:r>
    </w:p>
    <w:p>
      <w:pPr>
        <w:spacing w:line="360" w:lineRule="auto"/>
        <w:ind w:firstLine="480" w:firstLineChars="200"/>
        <w:rPr>
          <w:rFonts w:ascii="Arial" w:hAnsi="Arial" w:cs="Arial"/>
          <w:bCs/>
          <w:color w:val="auto"/>
          <w:sz w:val="24"/>
          <w:szCs w:val="24"/>
          <w:highlight w:val="none"/>
        </w:rPr>
      </w:pPr>
      <w:r>
        <w:rPr>
          <w:rFonts w:hint="eastAsia" w:ascii="Arial" w:hAnsi="Arial" w:cs="Arial"/>
          <w:color w:val="auto"/>
          <w:sz w:val="24"/>
          <w:highlight w:val="none"/>
        </w:rPr>
        <w:t>详见招标文件第二章开标、评标及定标办法。</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27．中标通知书</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27.1招标人将在</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27.3中标人必须在收到中标通知书后24小时之内以书面形式回复招标人，确认收到。</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27.4在产生中标候选人后，招标人将中标候选人的投标文件商务部分文件的所有内容（包括人员、业绩、奖项等资料）在</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交易平台和广东省招标投标监管网</w:t>
      </w:r>
      <w:r>
        <w:rPr>
          <w:rFonts w:hint="eastAsia" w:ascii="Arial" w:hAnsi="Arial" w:cs="Arial"/>
          <w:color w:val="auto"/>
          <w:sz w:val="24"/>
          <w:highlight w:val="none"/>
        </w:rPr>
        <w:t>公开。</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28．合同协议书的签订</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28.1 </w:t>
      </w:r>
      <w:r>
        <w:rPr>
          <w:rFonts w:hint="eastAsia" w:ascii="Arial" w:hAnsi="Arial" w:cs="Arial"/>
          <w:color w:val="auto"/>
          <w:sz w:val="24"/>
          <w:highlight w:val="none"/>
        </w:rPr>
        <w:t>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28.4招标人支付工程款时，中标人应按规定开具发票。</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29．履约担保</w:t>
      </w:r>
    </w:p>
    <w:p>
      <w:pPr>
        <w:snapToGrid w:val="0"/>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29.1 </w:t>
      </w:r>
      <w:r>
        <w:rPr>
          <w:rFonts w:hint="eastAsia" w:ascii="Arial" w:hAnsi="Arial" w:cs="Arial"/>
          <w:color w:val="auto"/>
          <w:sz w:val="24"/>
          <w:highlight w:val="none"/>
        </w:rPr>
        <w:t>在收到中标通知书后的</w:t>
      </w:r>
      <w:r>
        <w:rPr>
          <w:rFonts w:hint="eastAsia" w:ascii="Arial" w:hAnsi="Arial" w:cs="Arial"/>
          <w:b/>
          <w:color w:val="auto"/>
          <w:sz w:val="24"/>
          <w:highlight w:val="none"/>
        </w:rPr>
        <w:t>15日</w:t>
      </w:r>
      <w:r>
        <w:rPr>
          <w:rFonts w:hint="eastAsia" w:ascii="Arial" w:hAnsi="Arial" w:cs="Arial"/>
          <w:color w:val="auto"/>
          <w:sz w:val="24"/>
          <w:highlight w:val="none"/>
        </w:rPr>
        <w:t>内，中标人应按本须知前附表第20项的规定向招标人提交履约担保。</w:t>
      </w:r>
    </w:p>
    <w:p>
      <w:pPr>
        <w:snapToGrid w:val="0"/>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30．合同生效</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30.1在合同双方全权代表在合同协议书上签字，并分别加盖双方单位的公章后，合同正式生效。</w:t>
      </w:r>
    </w:p>
    <w:p>
      <w:pPr>
        <w:spacing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31．其它费用</w:t>
      </w:r>
    </w:p>
    <w:p>
      <w:pPr>
        <w:pStyle w:val="2"/>
        <w:spacing w:after="0" w:line="360" w:lineRule="auto"/>
        <w:ind w:firstLine="482" w:firstLineChars="200"/>
        <w:rPr>
          <w:rFonts w:ascii="Arial" w:hAnsi="Arial" w:cs="Arial"/>
          <w:b/>
          <w:bCs/>
          <w:color w:val="auto"/>
          <w:sz w:val="24"/>
          <w:highlight w:val="none"/>
        </w:rPr>
      </w:pPr>
      <w:r>
        <w:rPr>
          <w:rFonts w:hint="eastAsia" w:ascii="Arial" w:hAnsi="Arial" w:cs="Arial"/>
          <w:b/>
          <w:bCs/>
          <w:color w:val="auto"/>
          <w:sz w:val="24"/>
          <w:highlight w:val="none"/>
        </w:rPr>
        <w:t>32．腐败与欺诈行为</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在招标和合同实施期间，招标人要求投标人和承包人遵守最高的道德标准。</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32．1对本条款的规定，特定义如下词汇：</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1）、“腐败行为”是指在招标或合同执行期间，通过提供、给予、接受或索要任何有价值的东西，从而影响招标人有关人员工作的行为；</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32．2如果投标人被认定在本招标的竞争中有腐败或欺诈行为，则会被取消投标资格。</w:t>
      </w:r>
    </w:p>
    <w:p>
      <w:pPr>
        <w:pStyle w:val="2"/>
        <w:spacing w:after="0"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4"/>
        <w:rPr>
          <w:rFonts w:cs="Arial"/>
          <w:color w:val="auto"/>
          <w:highlight w:val="none"/>
        </w:rPr>
      </w:pPr>
      <w:r>
        <w:rPr>
          <w:rFonts w:cs="Arial"/>
          <w:color w:val="auto"/>
          <w:sz w:val="24"/>
          <w:highlight w:val="none"/>
        </w:rPr>
        <w:br w:type="page"/>
      </w:r>
      <w:bookmarkStart w:id="18" w:name="_Toc101266287"/>
      <w:bookmarkStart w:id="19" w:name="_Toc2272554"/>
      <w:r>
        <w:rPr>
          <w:rFonts w:hint="eastAsia" w:cs="Arial"/>
          <w:color w:val="auto"/>
          <w:highlight w:val="none"/>
        </w:rPr>
        <w:t>第二章</w:t>
      </w:r>
      <w:r>
        <w:rPr>
          <w:rFonts w:cs="Arial"/>
          <w:color w:val="auto"/>
          <w:highlight w:val="none"/>
        </w:rPr>
        <w:t xml:space="preserve">  </w:t>
      </w:r>
      <w:r>
        <w:rPr>
          <w:rFonts w:hint="eastAsia" w:cs="Arial"/>
          <w:color w:val="auto"/>
          <w:highlight w:val="none"/>
        </w:rPr>
        <w:t>开标、评标及定标办法</w:t>
      </w:r>
      <w:bookmarkEnd w:id="18"/>
      <w:bookmarkEnd w:id="19"/>
    </w:p>
    <w:p>
      <w:pPr>
        <w:pStyle w:val="6"/>
        <w:rPr>
          <w:rFonts w:cs="Arial"/>
          <w:color w:val="auto"/>
          <w:highlight w:val="none"/>
        </w:rPr>
      </w:pPr>
      <w:bookmarkStart w:id="20" w:name="_Toc101266288"/>
      <w:bookmarkStart w:id="21" w:name="_Toc2272555"/>
      <w:r>
        <w:rPr>
          <w:rFonts w:cs="Arial"/>
          <w:color w:val="auto"/>
          <w:sz w:val="28"/>
          <w:szCs w:val="28"/>
          <w:highlight w:val="none"/>
        </w:rPr>
        <w:t>一、</w:t>
      </w:r>
      <w:r>
        <w:rPr>
          <w:rFonts w:cs="Arial"/>
          <w:color w:val="auto"/>
          <w:highlight w:val="none"/>
        </w:rPr>
        <w:t>开标、评标及定标办法修改表</w:t>
      </w:r>
      <w:bookmarkEnd w:id="20"/>
      <w:bookmarkEnd w:id="21"/>
    </w:p>
    <w:p>
      <w:pPr>
        <w:pStyle w:val="2"/>
        <w:spacing w:after="0" w:line="360" w:lineRule="auto"/>
        <w:rPr>
          <w:rFonts w:ascii="Arial" w:hAnsi="Arial" w:cs="Arial"/>
          <w:b/>
          <w:color w:val="auto"/>
          <w:szCs w:val="21"/>
          <w:highlight w:val="none"/>
        </w:rPr>
      </w:pPr>
      <w:r>
        <w:rPr>
          <w:rFonts w:hint="eastAsia" w:ascii="Arial" w:hAnsi="Arial" w:cs="Arial"/>
          <w:b/>
          <w:color w:val="auto"/>
          <w:szCs w:val="21"/>
          <w:highlight w:val="none"/>
        </w:rPr>
        <w:t>声明：本</w:t>
      </w:r>
      <w:r>
        <w:rPr>
          <w:rFonts w:hint="eastAsia" w:ascii="Arial" w:hAnsi="Arial" w:cs="Arial"/>
          <w:b/>
          <w:color w:val="auto"/>
          <w:highlight w:val="none"/>
        </w:rPr>
        <w:t>开标、评标及定标办法使用GZZB2018-3招标文件范本的开标、评标及定标办法通用条款，与该通用条款不同之处，均在本表中列明，并以现文为准，原</w:t>
      </w:r>
      <w:r>
        <w:rPr>
          <w:rFonts w:hint="eastAsia" w:ascii="Arial" w:hAnsi="Arial" w:cs="Arial"/>
          <w:b/>
          <w:color w:val="auto"/>
          <w:szCs w:val="21"/>
          <w:highlight w:val="none"/>
        </w:rPr>
        <w:t>文不再有效。本招标文件中不再转录</w:t>
      </w:r>
      <w:r>
        <w:rPr>
          <w:rFonts w:hint="eastAsia" w:ascii="Arial" w:hAnsi="Arial" w:cs="Arial"/>
          <w:b/>
          <w:color w:val="auto"/>
          <w:highlight w:val="none"/>
        </w:rPr>
        <w:t>开标、评标及定标办法</w:t>
      </w:r>
      <w:r>
        <w:rPr>
          <w:rFonts w:hint="eastAsia" w:ascii="Arial" w:hAnsi="Arial" w:cs="Arial"/>
          <w:b/>
          <w:color w:val="auto"/>
          <w:szCs w:val="21"/>
          <w:highlight w:val="none"/>
        </w:rPr>
        <w:t>通用条款，请投标人自行到广州市住房和城乡建设局网站（网址：</w:t>
      </w:r>
      <w:r>
        <w:rPr>
          <w:color w:val="auto"/>
          <w:highlight w:val="none"/>
        </w:rPr>
        <w:fldChar w:fldCharType="begin"/>
      </w:r>
      <w:r>
        <w:rPr>
          <w:rFonts w:hint="eastAsia"/>
          <w:color w:val="auto"/>
          <w:highlight w:val="none"/>
        </w:rPr>
        <w:instrText xml:space="preserve">HYPERLINK "http://www.gzcc.gov.cn/）下载GZZB2018-3"</w:instrText>
      </w:r>
      <w:r>
        <w:rPr>
          <w:rStyle w:val="56"/>
          <w:color w:val="auto"/>
          <w:highlight w:val="none"/>
        </w:rPr>
        <w:fldChar w:fldCharType="separate"/>
      </w:r>
      <w:r>
        <w:rPr>
          <w:rStyle w:val="62"/>
          <w:rFonts w:ascii="Arial" w:hAnsi="Arial" w:cs="Arial"/>
          <w:b/>
          <w:color w:val="auto"/>
          <w:szCs w:val="21"/>
          <w:highlight w:val="none"/>
        </w:rPr>
        <w:t>http://www.gzcc.gov.cn/）下载GZZB2018-3</w:t>
      </w:r>
      <w:r>
        <w:rPr>
          <w:rStyle w:val="62"/>
          <w:rFonts w:ascii="Arial" w:hAnsi="Arial" w:cs="Arial"/>
          <w:b/>
          <w:color w:val="auto"/>
          <w:szCs w:val="21"/>
          <w:highlight w:val="none"/>
        </w:rPr>
        <w:fldChar w:fldCharType="end"/>
      </w:r>
      <w:r>
        <w:rPr>
          <w:rFonts w:hint="eastAsia" w:ascii="Arial" w:hAnsi="Arial" w:cs="Arial"/>
          <w:b/>
          <w:color w:val="auto"/>
          <w:szCs w:val="21"/>
          <w:highlight w:val="none"/>
        </w:rPr>
        <w:t>范本查阅。</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条款号：36.1</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原文：</w:t>
      </w:r>
      <w:r>
        <w:rPr>
          <w:rFonts w:hint="eastAsia" w:ascii="Arial" w:hAnsi="Arial" w:cs="Arial"/>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rFonts w:ascii="Arial" w:hAnsi="Arial" w:cs="Arial"/>
          <w:b/>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ascii="Arial" w:hAnsi="Arial" w:cs="Arial"/>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条款号：36.3</w:t>
      </w:r>
      <w:r>
        <w:rPr>
          <w:rFonts w:ascii="Arial" w:hAnsi="Arial" w:cs="Arial"/>
          <w:b/>
          <w:color w:val="auto"/>
          <w:szCs w:val="21"/>
          <w:highlight w:val="none"/>
        </w:rPr>
        <w:t xml:space="preserve">             </w:t>
      </w:r>
      <w:r>
        <w:rPr>
          <w:rFonts w:hint="eastAsia" w:ascii="Arial" w:hAnsi="Arial" w:cs="Arial"/>
          <w:b/>
          <w:color w:val="auto"/>
          <w:szCs w:val="21"/>
          <w:highlight w:val="none"/>
        </w:rPr>
        <w:t>修改类型：删除</w:t>
      </w:r>
    </w:p>
    <w:p>
      <w:pPr>
        <w:pBdr>
          <w:bottom w:val="single" w:color="auto" w:sz="6" w:space="1"/>
        </w:pBdr>
        <w:spacing w:line="480" w:lineRule="auto"/>
        <w:ind w:firstLine="472" w:firstLineChars="224"/>
        <w:rPr>
          <w:rFonts w:ascii="Arial" w:hAnsi="Arial" w:cs="Arial"/>
          <w:color w:val="auto"/>
          <w:szCs w:val="21"/>
          <w:highlight w:val="none"/>
        </w:rPr>
      </w:pPr>
      <w:r>
        <w:rPr>
          <w:rFonts w:hint="eastAsia" w:ascii="Arial" w:hAnsi="Arial" w:cs="Arial"/>
          <w:b/>
          <w:color w:val="auto"/>
          <w:szCs w:val="21"/>
          <w:highlight w:val="none"/>
        </w:rPr>
        <w:t>原文：</w:t>
      </w:r>
      <w:r>
        <w:rPr>
          <w:rFonts w:hint="eastAsia" w:ascii="Arial" w:hAnsi="Arial" w:cs="Arial"/>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条款号：36.4</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pBdr>
          <w:bottom w:val="single" w:color="auto" w:sz="6" w:space="1"/>
        </w:pBdr>
        <w:spacing w:line="480" w:lineRule="auto"/>
        <w:ind w:firstLine="472" w:firstLineChars="224"/>
        <w:rPr>
          <w:rFonts w:ascii="Arial" w:hAnsi="Arial" w:cs="Arial"/>
          <w:color w:val="auto"/>
          <w:szCs w:val="21"/>
          <w:highlight w:val="none"/>
        </w:rPr>
      </w:pPr>
      <w:r>
        <w:rPr>
          <w:rFonts w:hint="eastAsia" w:ascii="Arial" w:hAnsi="Arial" w:cs="Arial"/>
          <w:b/>
          <w:color w:val="auto"/>
          <w:szCs w:val="21"/>
          <w:highlight w:val="none"/>
        </w:rPr>
        <w:t>原文：</w:t>
      </w:r>
      <w:r>
        <w:rPr>
          <w:rFonts w:hint="eastAsia" w:ascii="Arial" w:hAnsi="Arial" w:cs="Arial"/>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480" w:lineRule="auto"/>
        <w:ind w:firstLine="472" w:firstLineChars="224"/>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bCs/>
          <w:color w:val="auto"/>
          <w:szCs w:val="21"/>
          <w:highlight w:val="none"/>
        </w:rPr>
        <w:t>36.4若递交投标文件的投标人不足3家，则重新组织招标。</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条款号：36.5.1</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480" w:lineRule="auto"/>
        <w:ind w:firstLine="472" w:firstLineChars="224"/>
        <w:rPr>
          <w:rFonts w:ascii="Arial" w:hAnsi="Arial" w:cs="Arial"/>
          <w:color w:val="auto"/>
          <w:szCs w:val="21"/>
          <w:highlight w:val="none"/>
        </w:rPr>
      </w:pPr>
      <w:r>
        <w:rPr>
          <w:rFonts w:hint="eastAsia" w:ascii="Arial" w:hAnsi="Arial" w:cs="Arial"/>
          <w:b/>
          <w:color w:val="auto"/>
          <w:szCs w:val="21"/>
          <w:highlight w:val="none"/>
        </w:rPr>
        <w:t>原文：</w:t>
      </w:r>
      <w:r>
        <w:rPr>
          <w:rFonts w:hint="eastAsia" w:ascii="Arial" w:hAnsi="Arial" w:cs="Arial"/>
          <w:color w:val="auto"/>
          <w:szCs w:val="21"/>
          <w:highlight w:val="none"/>
        </w:rPr>
        <w:t>36.5.1在投标截止时间后半小时内，投标人通过</w:t>
      </w:r>
      <w:r>
        <w:rPr>
          <w:rFonts w:ascii="Arial" w:hAnsi="Arial" w:cs="Arial"/>
          <w:color w:val="auto"/>
          <w:szCs w:val="21"/>
          <w:highlight w:val="none"/>
          <w:u w:val="single"/>
        </w:rPr>
        <w:t xml:space="preserve">        </w:t>
      </w:r>
      <w:r>
        <w:rPr>
          <w:rFonts w:hint="eastAsia" w:ascii="Arial" w:hAnsi="Arial" w:cs="Arial"/>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Arial" w:hAnsi="Arial" w:cs="Arial"/>
          <w:color w:val="auto"/>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36.5.1在投标截止时间后半小时内，投标人通过</w:t>
      </w:r>
      <w:r>
        <w:rPr>
          <w:rFonts w:hint="eastAsia" w:ascii="Arial" w:hAnsi="Arial" w:cs="Arial"/>
          <w:color w:val="auto"/>
          <w:szCs w:val="21"/>
          <w:highlight w:val="none"/>
          <w:u w:val="single"/>
        </w:rPr>
        <w:t xml:space="preserve"> 广州公共资源交易中心   </w:t>
      </w:r>
      <w:r>
        <w:rPr>
          <w:rFonts w:hint="eastAsia" w:ascii="Arial" w:hAnsi="Arial" w:cs="Arial"/>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条款号：36.5.3</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原文：</w:t>
      </w:r>
      <w:r>
        <w:rPr>
          <w:rFonts w:hint="eastAsia" w:ascii="Arial" w:hAnsi="Arial" w:cs="Arial"/>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527" w:firstLineChars="250"/>
        <w:rPr>
          <w:rFonts w:ascii="Arial" w:hAnsi="Arial" w:cs="Arial"/>
          <w:color w:val="auto"/>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36.5.3投标人代表、招标人代表、监标人、记录人等有关人员在开标记录上签字确认；若有关人员不签字的，不影响开标程序；</w:t>
      </w:r>
      <w:r>
        <w:rPr>
          <w:rFonts w:hint="eastAsia" w:ascii="Arial" w:hAnsi="Arial" w:cs="Arial"/>
          <w:color w:val="auto"/>
          <w:szCs w:val="21"/>
          <w:highlight w:val="none"/>
          <w:u w:val="single"/>
        </w:rPr>
        <w:t>若投标人不参加开标会的，或不签字确认的，视同该投标人认可开标结果。</w:t>
      </w:r>
    </w:p>
    <w:p>
      <w:pPr>
        <w:ind w:firstLine="472" w:firstLineChars="224"/>
        <w:rPr>
          <w:rFonts w:ascii="Arial" w:hAnsi="Arial" w:cs="Arial"/>
          <w:b/>
          <w:color w:val="auto"/>
          <w:szCs w:val="21"/>
          <w:highlight w:val="none"/>
        </w:rPr>
      </w:pPr>
      <w:r>
        <w:rPr>
          <w:rFonts w:hint="eastAsia" w:ascii="Arial" w:hAnsi="Arial" w:cs="Arial"/>
          <w:b/>
          <w:color w:val="auto"/>
          <w:szCs w:val="21"/>
          <w:highlight w:val="none"/>
        </w:rPr>
        <w:t>条款号：38.1</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pStyle w:val="50"/>
        <w:spacing w:line="360" w:lineRule="auto"/>
        <w:ind w:firstLine="422" w:firstLineChars="200"/>
        <w:rPr>
          <w:rFonts w:ascii="Arial" w:hAnsi="Arial" w:cs="Arial"/>
          <w:bCs/>
          <w:color w:val="auto"/>
          <w:sz w:val="21"/>
          <w:szCs w:val="21"/>
          <w:highlight w:val="none"/>
          <w:shd w:val="clear" w:color="auto" w:fill="FFFFFF"/>
        </w:rPr>
      </w:pPr>
      <w:r>
        <w:rPr>
          <w:rFonts w:hint="eastAsia" w:ascii="Arial" w:hAnsi="Arial" w:cs="Arial"/>
          <w:b/>
          <w:bCs/>
          <w:color w:val="auto"/>
          <w:sz w:val="21"/>
          <w:szCs w:val="21"/>
          <w:highlight w:val="none"/>
          <w:shd w:val="clear" w:color="auto" w:fill="FFFFFF"/>
        </w:rPr>
        <w:t>原文：</w:t>
      </w:r>
      <w:r>
        <w:rPr>
          <w:rFonts w:hint="eastAsia" w:ascii="Arial" w:hAnsi="Arial" w:cs="Arial"/>
          <w:bCs/>
          <w:color w:val="auto"/>
          <w:sz w:val="21"/>
          <w:szCs w:val="21"/>
          <w:highlight w:val="none"/>
          <w:shd w:val="clear" w:color="auto" w:fill="FFFFFF"/>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ascii="Arial" w:hAnsi="Arial" w:cs="Arial"/>
          <w:b/>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Arial" w:hAnsi="Arial" w:cs="Arial"/>
          <w:color w:val="auto"/>
          <w:szCs w:val="21"/>
          <w:highlight w:val="none"/>
          <w:u w:val="single"/>
        </w:rPr>
        <w:t>对投标文件含义不明确、对同类问题表述不一致、有明显文字和计算错误的内容以及细微偏差的</w:t>
      </w:r>
      <w:r>
        <w:rPr>
          <w:rFonts w:hint="eastAsia" w:ascii="Arial" w:hAnsi="Arial" w:cs="Arial"/>
          <w:color w:val="auto"/>
          <w:szCs w:val="21"/>
          <w:highlight w:val="none"/>
        </w:rPr>
        <w:t>内容作出澄清。</w:t>
      </w:r>
    </w:p>
    <w:p>
      <w:pPr>
        <w:pStyle w:val="50"/>
        <w:widowControl/>
        <w:spacing w:line="360" w:lineRule="auto"/>
        <w:ind w:firstLine="422" w:firstLineChars="200"/>
        <w:rPr>
          <w:rFonts w:ascii="Arial" w:hAnsi="Arial" w:cs="Arial"/>
          <w:b/>
          <w:bCs/>
          <w:color w:val="auto"/>
          <w:sz w:val="21"/>
          <w:szCs w:val="21"/>
          <w:highlight w:val="none"/>
          <w:shd w:val="clear" w:color="auto" w:fill="FFFFFF"/>
        </w:rPr>
      </w:pPr>
      <w:r>
        <w:rPr>
          <w:rFonts w:hint="eastAsia" w:ascii="Arial" w:hAnsi="Arial" w:cs="Arial"/>
          <w:b/>
          <w:bCs/>
          <w:color w:val="auto"/>
          <w:sz w:val="21"/>
          <w:szCs w:val="21"/>
          <w:highlight w:val="none"/>
          <w:shd w:val="clear" w:color="auto" w:fill="FFFFFF"/>
        </w:rPr>
        <w:t>条款号：39.3</w:t>
      </w:r>
      <w:r>
        <w:rPr>
          <w:rFonts w:ascii="Arial" w:hAnsi="Arial" w:cs="Arial"/>
          <w:b/>
          <w:bCs/>
          <w:color w:val="auto"/>
          <w:sz w:val="21"/>
          <w:szCs w:val="21"/>
          <w:highlight w:val="none"/>
          <w:shd w:val="clear" w:color="auto" w:fill="FFFFFF"/>
        </w:rPr>
        <w:t xml:space="preserve"> </w:t>
      </w:r>
      <w:r>
        <w:rPr>
          <w:rFonts w:hint="eastAsia" w:ascii="Arial" w:hAnsi="Arial" w:cs="Arial"/>
          <w:b/>
          <w:bCs/>
          <w:color w:val="auto"/>
          <w:sz w:val="21"/>
          <w:szCs w:val="21"/>
          <w:highlight w:val="none"/>
          <w:shd w:val="clear" w:color="auto" w:fill="FFFFFF"/>
        </w:rPr>
        <w:t>修改类型：修改</w:t>
      </w:r>
    </w:p>
    <w:p>
      <w:pPr>
        <w:widowControl/>
        <w:spacing w:line="360" w:lineRule="auto"/>
        <w:ind w:firstLine="413" w:firstLineChars="196"/>
        <w:jc w:val="left"/>
        <w:rPr>
          <w:rFonts w:ascii="Arial" w:hAnsi="Arial" w:cs="Arial"/>
          <w:color w:val="auto"/>
          <w:szCs w:val="21"/>
          <w:highlight w:val="none"/>
          <w:shd w:val="clear" w:color="auto" w:fill="FFFFFF"/>
        </w:rPr>
      </w:pPr>
      <w:r>
        <w:rPr>
          <w:rFonts w:hint="eastAsia" w:ascii="Arial" w:hAnsi="Arial" w:cs="Arial"/>
          <w:b/>
          <w:color w:val="auto"/>
          <w:kern w:val="0"/>
          <w:szCs w:val="21"/>
          <w:highlight w:val="none"/>
          <w:shd w:val="clear" w:color="auto" w:fill="FFFFFF"/>
        </w:rPr>
        <w:t>原文：</w:t>
      </w:r>
      <w:r>
        <w:rPr>
          <w:rFonts w:ascii="Arial" w:hAnsi="Arial" w:cs="Arial"/>
          <w:color w:val="auto"/>
          <w:kern w:val="0"/>
          <w:szCs w:val="21"/>
          <w:highlight w:val="none"/>
          <w:shd w:val="clear" w:color="auto" w:fill="FFFFFF"/>
        </w:rPr>
        <w:t>39.3</w:t>
      </w:r>
      <w:r>
        <w:rPr>
          <w:rFonts w:hint="eastAsia" w:ascii="Arial" w:hAnsi="Arial" w:cs="Arial"/>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shd w:val="clear" w:color="auto" w:fill="FFFFFF"/>
        </w:rPr>
        <w:t>现文：</w:t>
      </w:r>
      <w:r>
        <w:rPr>
          <w:rFonts w:ascii="Arial" w:hAnsi="Arial" w:cs="Arial"/>
          <w:color w:val="auto"/>
          <w:szCs w:val="21"/>
          <w:highlight w:val="none"/>
          <w:shd w:val="clear" w:color="auto" w:fill="FFFFFF"/>
        </w:rPr>
        <w:t>39.3</w:t>
      </w:r>
      <w:r>
        <w:rPr>
          <w:rFonts w:hint="eastAsia" w:ascii="Arial" w:hAnsi="Arial" w:cs="Arial"/>
          <w:color w:val="auto"/>
          <w:szCs w:val="21"/>
          <w:highlight w:val="none"/>
        </w:rPr>
        <w:t>排名第一的中标候选人放弃中标、或因不可抗力提出不能履行合同，或者招标文件规定应当提交履约担保而在规定的期限内未能提交的，</w:t>
      </w:r>
      <w:r>
        <w:rPr>
          <w:rFonts w:hint="eastAsia" w:ascii="Arial" w:hAnsi="Arial" w:cs="Arial"/>
          <w:b/>
          <w:bCs/>
          <w:color w:val="auto"/>
          <w:szCs w:val="21"/>
          <w:highlight w:val="none"/>
          <w:u w:val="single"/>
          <w:shd w:val="clear" w:color="auto" w:fill="FFFFFF"/>
        </w:rPr>
        <w:t>或经核查发现委派的项目负责人已在其他在建项目中任职的，</w:t>
      </w:r>
      <w:r>
        <w:rPr>
          <w:rFonts w:hint="eastAsia" w:ascii="Arial" w:hAnsi="Arial" w:cs="Arial"/>
          <w:color w:val="auto"/>
          <w:szCs w:val="21"/>
          <w:highlight w:val="none"/>
          <w:u w:val="single"/>
        </w:rPr>
        <w:t>招标人可以确定排名第二的中标候选人为中标人。</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b/>
          <w:color w:val="auto"/>
          <w:szCs w:val="21"/>
          <w:highlight w:val="none"/>
        </w:rPr>
        <w:t xml:space="preserve"> </w:t>
      </w:r>
      <w:r>
        <w:rPr>
          <w:rFonts w:hint="eastAsia" w:ascii="Arial" w:hAnsi="Arial" w:cs="Arial"/>
          <w:b/>
          <w:color w:val="auto"/>
          <w:szCs w:val="21"/>
          <w:highlight w:val="none"/>
        </w:rPr>
        <w:t>评标办法</w:t>
      </w:r>
      <w:r>
        <w:rPr>
          <w:rFonts w:ascii="Arial" w:hAnsi="Arial" w:cs="Arial"/>
          <w:b/>
          <w:color w:val="auto"/>
          <w:szCs w:val="21"/>
          <w:highlight w:val="none"/>
        </w:rPr>
        <w:t xml:space="preserve">        </w:t>
      </w:r>
      <w:r>
        <w:rPr>
          <w:rFonts w:hint="eastAsia" w:ascii="Arial" w:hAnsi="Arial" w:cs="Arial"/>
          <w:b/>
          <w:color w:val="auto"/>
          <w:szCs w:val="21"/>
          <w:highlight w:val="none"/>
        </w:rPr>
        <w:t>修改类型：删除</w:t>
      </w:r>
    </w:p>
    <w:p>
      <w:pPr>
        <w:pBdr>
          <w:bottom w:val="single" w:color="auto" w:sz="6" w:space="1"/>
        </w:pBdr>
        <w:spacing w:line="360" w:lineRule="auto"/>
        <w:ind w:firstLine="527" w:firstLineChars="250"/>
        <w:rPr>
          <w:rStyle w:val="62"/>
          <w:rFonts w:ascii="Arial" w:hAnsi="Arial" w:cs="Arial"/>
          <w:color w:val="auto"/>
          <w:szCs w:val="21"/>
          <w:highlight w:val="none"/>
        </w:rPr>
      </w:pPr>
      <w:r>
        <w:rPr>
          <w:rFonts w:hint="eastAsia" w:ascii="Arial" w:hAnsi="Arial" w:cs="Arial"/>
          <w:b/>
          <w:color w:val="auto"/>
          <w:szCs w:val="21"/>
          <w:highlight w:val="none"/>
        </w:rPr>
        <w:t>原文：</w:t>
      </w:r>
      <w:r>
        <w:rPr>
          <w:rStyle w:val="62"/>
          <w:rFonts w:ascii="Arial" w:hAnsi="Arial" w:cs="Arial"/>
          <w:color w:val="auto"/>
          <w:szCs w:val="21"/>
          <w:highlight w:val="none"/>
        </w:rPr>
        <w:t>可选</w:t>
      </w:r>
      <w:r>
        <w:rPr>
          <w:rFonts w:hint="eastAsia" w:ascii="Arial" w:hAnsi="Arial" w:cs="Arial"/>
          <w:color w:val="auto"/>
          <w:szCs w:val="21"/>
          <w:highlight w:val="none"/>
        </w:rPr>
        <w:t>办法</w:t>
      </w:r>
      <w:r>
        <w:rPr>
          <w:rStyle w:val="62"/>
          <w:rFonts w:ascii="Arial" w:hAnsi="Arial" w:cs="Arial"/>
          <w:color w:val="auto"/>
          <w:szCs w:val="21"/>
          <w:highlight w:val="none"/>
        </w:rPr>
        <w:t>一（适合</w:t>
      </w:r>
      <w:r>
        <w:rPr>
          <w:rStyle w:val="62"/>
          <w:rFonts w:ascii="Arial" w:hAnsi="Arial" w:cs="Arial"/>
          <w:color w:val="auto"/>
          <w:kern w:val="0"/>
          <w:szCs w:val="21"/>
          <w:highlight w:val="none"/>
        </w:rPr>
        <w:t>综合评分法一</w:t>
      </w:r>
      <w:r>
        <w:rPr>
          <w:rStyle w:val="62"/>
          <w:rFonts w:ascii="Arial" w:hAnsi="Arial" w:cs="Arial"/>
          <w:color w:val="auto"/>
          <w:szCs w:val="21"/>
          <w:highlight w:val="none"/>
        </w:rPr>
        <w:t>，技术标与经济标先后分别开启）</w:t>
      </w:r>
    </w:p>
    <w:p>
      <w:pPr>
        <w:pBdr>
          <w:bottom w:val="single" w:color="auto" w:sz="6" w:space="1"/>
        </w:pBdr>
        <w:spacing w:line="360" w:lineRule="auto"/>
        <w:ind w:firstLine="1155" w:firstLineChars="550"/>
        <w:rPr>
          <w:rStyle w:val="62"/>
          <w:rFonts w:ascii="Arial" w:hAnsi="Arial" w:cs="Arial"/>
          <w:color w:val="auto"/>
          <w:szCs w:val="21"/>
          <w:highlight w:val="none"/>
        </w:rPr>
      </w:pPr>
      <w:r>
        <w:rPr>
          <w:rStyle w:val="62"/>
          <w:rFonts w:ascii="Arial" w:hAnsi="Arial" w:cs="Arial"/>
          <w:color w:val="auto"/>
          <w:szCs w:val="21"/>
          <w:highlight w:val="none"/>
        </w:rPr>
        <w:t>可选</w:t>
      </w:r>
      <w:r>
        <w:rPr>
          <w:rFonts w:hint="eastAsia" w:ascii="Arial" w:hAnsi="Arial" w:cs="Arial"/>
          <w:color w:val="auto"/>
          <w:szCs w:val="21"/>
          <w:highlight w:val="none"/>
        </w:rPr>
        <w:t>办法</w:t>
      </w:r>
      <w:r>
        <w:rPr>
          <w:rStyle w:val="62"/>
          <w:rFonts w:ascii="Arial" w:hAnsi="Arial" w:cs="Arial"/>
          <w:color w:val="auto"/>
          <w:szCs w:val="21"/>
          <w:highlight w:val="none"/>
        </w:rPr>
        <w:t>二（适合综合评分法一，技术标与经济标同时开启）</w:t>
      </w:r>
    </w:p>
    <w:p>
      <w:pPr>
        <w:pBdr>
          <w:bottom w:val="single" w:color="auto" w:sz="6" w:space="1"/>
        </w:pBdr>
        <w:spacing w:line="360" w:lineRule="auto"/>
        <w:ind w:firstLine="1155" w:firstLineChars="550"/>
        <w:rPr>
          <w:rStyle w:val="62"/>
          <w:rFonts w:ascii="Arial" w:hAnsi="Arial" w:cs="Arial"/>
          <w:color w:val="auto"/>
          <w:szCs w:val="21"/>
          <w:highlight w:val="none"/>
        </w:rPr>
      </w:pPr>
      <w:r>
        <w:rPr>
          <w:rStyle w:val="62"/>
          <w:rFonts w:ascii="Arial" w:hAnsi="Arial" w:cs="Arial"/>
          <w:color w:val="auto"/>
          <w:szCs w:val="21"/>
          <w:highlight w:val="none"/>
        </w:rPr>
        <w:t>可选办法三（适合综合评分法二，技术标与经济标先后分别开启）</w:t>
      </w:r>
    </w:p>
    <w:p>
      <w:pPr>
        <w:pBdr>
          <w:bottom w:val="single" w:color="auto" w:sz="6" w:space="1"/>
        </w:pBdr>
        <w:spacing w:line="360" w:lineRule="auto"/>
        <w:ind w:firstLine="1155" w:firstLineChars="550"/>
        <w:rPr>
          <w:rStyle w:val="62"/>
          <w:rFonts w:ascii="Arial" w:hAnsi="Arial" w:cs="Arial"/>
          <w:color w:val="auto"/>
          <w:szCs w:val="21"/>
          <w:highlight w:val="none"/>
        </w:rPr>
      </w:pPr>
      <w:r>
        <w:rPr>
          <w:rStyle w:val="62"/>
          <w:rFonts w:ascii="Arial" w:hAnsi="Arial" w:cs="Arial"/>
          <w:color w:val="auto"/>
          <w:szCs w:val="21"/>
          <w:highlight w:val="none"/>
        </w:rPr>
        <w:t>可选办法四（适合综合评分法二，技术标与经济标同时开启）</w:t>
      </w:r>
    </w:p>
    <w:p>
      <w:pPr>
        <w:pBdr>
          <w:bottom w:val="single" w:color="auto" w:sz="6" w:space="1"/>
        </w:pBdr>
        <w:spacing w:line="360" w:lineRule="auto"/>
        <w:ind w:firstLine="1155" w:firstLineChars="550"/>
        <w:rPr>
          <w:rStyle w:val="62"/>
          <w:rFonts w:ascii="Arial" w:hAnsi="Arial" w:cs="Arial"/>
          <w:color w:val="auto"/>
          <w:szCs w:val="21"/>
          <w:highlight w:val="none"/>
        </w:rPr>
      </w:pPr>
      <w:r>
        <w:rPr>
          <w:rStyle w:val="62"/>
          <w:rFonts w:ascii="Arial" w:hAnsi="Arial" w:cs="Arial"/>
          <w:color w:val="auto"/>
          <w:szCs w:val="21"/>
          <w:highlight w:val="none"/>
        </w:rPr>
        <w:t>可选办法五（适合综合评分法三，技术标与经济标先后分别开启）</w:t>
      </w:r>
    </w:p>
    <w:p>
      <w:pPr>
        <w:pBdr>
          <w:bottom w:val="single" w:color="auto" w:sz="6" w:space="1"/>
        </w:pBdr>
        <w:spacing w:line="360" w:lineRule="auto"/>
        <w:ind w:firstLine="1155" w:firstLineChars="550"/>
        <w:rPr>
          <w:rStyle w:val="62"/>
          <w:rFonts w:ascii="Arial" w:hAnsi="Arial" w:cs="Arial"/>
          <w:color w:val="auto"/>
          <w:szCs w:val="21"/>
          <w:highlight w:val="none"/>
        </w:rPr>
      </w:pPr>
      <w:r>
        <w:rPr>
          <w:rStyle w:val="62"/>
          <w:rFonts w:ascii="Arial" w:hAnsi="Arial" w:cs="Arial"/>
          <w:color w:val="auto"/>
          <w:szCs w:val="21"/>
          <w:highlight w:val="none"/>
        </w:rPr>
        <w:t>可选办法六（适合综合评分法三，技术标与经济标同时开启）</w:t>
      </w:r>
    </w:p>
    <w:p>
      <w:pPr>
        <w:pBdr>
          <w:bottom w:val="single" w:color="auto" w:sz="6" w:space="1"/>
        </w:pBdr>
        <w:spacing w:line="360" w:lineRule="auto"/>
        <w:ind w:firstLine="1155" w:firstLineChars="550"/>
        <w:rPr>
          <w:rFonts w:ascii="Arial" w:hAnsi="Arial" w:cs="Arial"/>
          <w:b/>
          <w:color w:val="auto"/>
          <w:szCs w:val="21"/>
          <w:highlight w:val="none"/>
        </w:rPr>
      </w:pPr>
      <w:r>
        <w:rPr>
          <w:rStyle w:val="62"/>
          <w:rFonts w:ascii="Arial" w:hAnsi="Arial" w:cs="Arial"/>
          <w:color w:val="auto"/>
          <w:szCs w:val="21"/>
          <w:highlight w:val="none"/>
        </w:rPr>
        <w:t>可选办法八（适合经评审的最低投标价法，技术标与经济标同时开启）</w:t>
      </w:r>
    </w:p>
    <w:p>
      <w:pPr>
        <w:pStyle w:val="50"/>
        <w:widowControl/>
        <w:spacing w:line="360" w:lineRule="auto"/>
        <w:ind w:firstLine="422" w:firstLineChars="200"/>
        <w:rPr>
          <w:rFonts w:ascii="Arial" w:hAnsi="Arial" w:cs="Arial"/>
          <w:b/>
          <w:bCs/>
          <w:color w:val="auto"/>
          <w:sz w:val="21"/>
          <w:szCs w:val="21"/>
          <w:highlight w:val="none"/>
          <w:shd w:val="clear" w:color="auto" w:fill="FFFFFF"/>
        </w:rPr>
      </w:pPr>
      <w:r>
        <w:rPr>
          <w:rFonts w:hint="eastAsia" w:ascii="Arial" w:hAnsi="Arial" w:cs="Arial"/>
          <w:b/>
          <w:bCs/>
          <w:color w:val="auto"/>
          <w:sz w:val="21"/>
          <w:szCs w:val="21"/>
          <w:highlight w:val="none"/>
          <w:shd w:val="clear" w:color="auto" w:fill="FFFFFF"/>
        </w:rPr>
        <w:t xml:space="preserve">条款号：（二）开标评标办法程序和细则      修改类型：修改 </w:t>
      </w:r>
    </w:p>
    <w:p>
      <w:pPr>
        <w:pStyle w:val="50"/>
        <w:widowControl/>
        <w:spacing w:line="360" w:lineRule="auto"/>
        <w:ind w:firstLine="422" w:firstLineChars="200"/>
        <w:rPr>
          <w:rFonts w:ascii="Arial" w:hAnsi="Arial" w:cs="Arial"/>
          <w:b/>
          <w:bCs/>
          <w:color w:val="auto"/>
          <w:sz w:val="21"/>
          <w:szCs w:val="21"/>
          <w:highlight w:val="none"/>
          <w:shd w:val="clear" w:color="auto" w:fill="FFFFFF"/>
        </w:rPr>
      </w:pPr>
      <w:r>
        <w:rPr>
          <w:rFonts w:hint="eastAsia" w:ascii="Arial" w:hAnsi="Arial" w:cs="Arial"/>
          <w:b/>
          <w:bCs/>
          <w:color w:val="auto"/>
          <w:sz w:val="21"/>
          <w:szCs w:val="21"/>
          <w:highlight w:val="none"/>
          <w:shd w:val="clear" w:color="auto" w:fill="FFFFFF"/>
        </w:rPr>
        <w:t>原文：</w:t>
      </w:r>
      <w:r>
        <w:rPr>
          <w:rFonts w:hint="eastAsia" w:ascii="Arial" w:hAnsi="Arial" w:cs="Arial"/>
          <w:color w:val="auto"/>
          <w:sz w:val="21"/>
          <w:szCs w:val="21"/>
          <w:highlight w:val="none"/>
          <w:shd w:val="clear" w:color="auto" w:fill="FFFFFF"/>
        </w:rPr>
        <w:t>注：以下八种评标办法所述企业综合诚信评价分数即投标截止当日广州市住房和城乡建设局网站上公布的企业综合诚信评价60日诚信分。</w:t>
      </w:r>
    </w:p>
    <w:p>
      <w:pPr>
        <w:pBdr>
          <w:bottom w:val="single" w:color="auto" w:sz="6" w:space="1"/>
        </w:pBdr>
        <w:spacing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本项目不适用</w:t>
      </w:r>
    </w:p>
    <w:p>
      <w:pPr>
        <w:adjustRightInd w:val="0"/>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条款号：41.1</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adjustRightInd w:val="0"/>
        <w:spacing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原文：</w:t>
      </w:r>
      <w:r>
        <w:rPr>
          <w:rFonts w:ascii="Arial" w:hAnsi="Arial" w:cs="Arial"/>
          <w:color w:val="auto"/>
          <w:szCs w:val="21"/>
          <w:highlight w:val="none"/>
        </w:rPr>
        <w:t xml:space="preserve">41.1 </w:t>
      </w:r>
      <w:r>
        <w:rPr>
          <w:rFonts w:hint="eastAsia" w:ascii="Arial" w:hAnsi="Arial" w:cs="Arial"/>
          <w:color w:val="auto"/>
          <w:szCs w:val="21"/>
          <w:highlight w:val="none"/>
        </w:rPr>
        <w:t>开标由招标人主持；</w:t>
      </w:r>
    </w:p>
    <w:p>
      <w:pPr>
        <w:pBdr>
          <w:bottom w:val="single" w:color="auto" w:sz="6" w:space="1"/>
        </w:pBdr>
        <w:adjustRightInd w:val="0"/>
        <w:spacing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ascii="Arial" w:hAnsi="Arial" w:cs="Arial"/>
          <w:color w:val="auto"/>
          <w:szCs w:val="21"/>
          <w:highlight w:val="none"/>
        </w:rPr>
        <w:t xml:space="preserve">41.1 </w:t>
      </w:r>
      <w:r>
        <w:rPr>
          <w:rFonts w:hint="eastAsia" w:ascii="Arial" w:hAnsi="Arial" w:cs="Arial"/>
          <w:color w:val="auto"/>
          <w:szCs w:val="21"/>
          <w:highlight w:val="none"/>
        </w:rPr>
        <w:t>开标由招标人</w:t>
      </w:r>
      <w:r>
        <w:rPr>
          <w:rFonts w:hint="eastAsia" w:ascii="Arial" w:hAnsi="Arial" w:cs="Arial"/>
          <w:color w:val="auto"/>
          <w:szCs w:val="21"/>
          <w:highlight w:val="none"/>
          <w:u w:val="single"/>
        </w:rPr>
        <w:t>或招标代理</w:t>
      </w:r>
      <w:r>
        <w:rPr>
          <w:rFonts w:hint="eastAsia" w:ascii="Arial" w:hAnsi="Arial" w:cs="Arial"/>
          <w:color w:val="auto"/>
          <w:szCs w:val="21"/>
          <w:highlight w:val="none"/>
        </w:rPr>
        <w:t>主持；</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条款号：41.2.1</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原文：41.2.1</w:t>
      </w:r>
      <w:r>
        <w:rPr>
          <w:rFonts w:hint="eastAsia" w:ascii="Arial" w:hAnsi="Arial" w:cs="Arial"/>
          <w:color w:val="auto"/>
          <w:szCs w:val="21"/>
          <w:highlight w:val="none"/>
        </w:rPr>
        <w:t>投标截止期前，各投标人递交投标文件（包括技术标投标文件、经济标投标文件）至</w:t>
      </w:r>
      <w:r>
        <w:rPr>
          <w:rFonts w:ascii="Arial" w:hAnsi="Arial" w:cs="Arial"/>
          <w:color w:val="auto"/>
          <w:szCs w:val="21"/>
          <w:highlight w:val="none"/>
          <w:u w:val="single"/>
        </w:rPr>
        <w:t xml:space="preserve">        </w:t>
      </w:r>
      <w:r>
        <w:rPr>
          <w:rFonts w:hint="eastAsia" w:ascii="Arial" w:hAnsi="Arial" w:cs="Arial"/>
          <w:color w:val="auto"/>
          <w:szCs w:val="21"/>
          <w:highlight w:val="none"/>
        </w:rPr>
        <w:t>交易平台。有关投标文件提交的事项详见第一章投标须知。</w:t>
      </w:r>
    </w:p>
    <w:p>
      <w:pPr>
        <w:pBdr>
          <w:bottom w:val="single" w:color="auto" w:sz="6" w:space="1"/>
        </w:pBdr>
        <w:spacing w:line="360" w:lineRule="auto"/>
        <w:ind w:firstLine="527" w:firstLineChars="250"/>
        <w:rPr>
          <w:rFonts w:ascii="Arial" w:hAnsi="Arial" w:cs="Arial"/>
          <w:color w:val="auto"/>
          <w:szCs w:val="21"/>
          <w:highlight w:val="none"/>
        </w:rPr>
      </w:pPr>
      <w:r>
        <w:rPr>
          <w:rFonts w:hint="eastAsia" w:ascii="Arial" w:hAnsi="Arial" w:cs="Arial"/>
          <w:b/>
          <w:color w:val="auto"/>
          <w:szCs w:val="21"/>
          <w:highlight w:val="none"/>
        </w:rPr>
        <w:t>现文：41.2.1</w:t>
      </w:r>
      <w:r>
        <w:rPr>
          <w:rFonts w:hint="eastAsia" w:ascii="Arial" w:hAnsi="Arial" w:cs="Arial"/>
          <w:color w:val="auto"/>
          <w:szCs w:val="21"/>
          <w:highlight w:val="none"/>
        </w:rPr>
        <w:t>投标截止期前，各投标人递交投标文件（包括技术标投标文件、经济标投标文件）至</w:t>
      </w:r>
      <w:r>
        <w:rPr>
          <w:rFonts w:hint="eastAsia" w:ascii="Arial" w:hAnsi="Arial" w:cs="Arial"/>
          <w:color w:val="auto"/>
          <w:szCs w:val="21"/>
          <w:highlight w:val="none"/>
          <w:u w:val="single"/>
        </w:rPr>
        <w:t>广州公共资源交易中心</w:t>
      </w:r>
      <w:r>
        <w:rPr>
          <w:rFonts w:hint="eastAsia" w:ascii="Arial" w:hAnsi="Arial" w:cs="Arial"/>
          <w:color w:val="auto"/>
          <w:szCs w:val="21"/>
          <w:highlight w:val="none"/>
        </w:rPr>
        <w:t>交易平台。有关投标文件提交的事项详见第一章投标须知。</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hint="eastAsia" w:ascii="Arial" w:hAnsi="Arial" w:cs="Arial"/>
          <w:color w:val="auto"/>
          <w:szCs w:val="21"/>
          <w:highlight w:val="none"/>
        </w:rPr>
        <w:t xml:space="preserve">41.2.2、41.2.3          </w:t>
      </w:r>
      <w:r>
        <w:rPr>
          <w:rFonts w:hint="eastAsia" w:ascii="Arial" w:hAnsi="Arial" w:cs="Arial"/>
          <w:b/>
          <w:color w:val="auto"/>
          <w:szCs w:val="21"/>
          <w:highlight w:val="none"/>
        </w:rPr>
        <w:t>修改类型：删除</w:t>
      </w:r>
    </w:p>
    <w:p>
      <w:pPr>
        <w:pBdr>
          <w:bottom w:val="single" w:color="auto" w:sz="6" w:space="1"/>
        </w:pBdr>
        <w:spacing w:line="360" w:lineRule="auto"/>
        <w:ind w:firstLine="422" w:firstLineChars="200"/>
        <w:rPr>
          <w:rFonts w:ascii="Arial" w:hAnsi="Arial" w:cs="Arial"/>
          <w:color w:val="auto"/>
          <w:szCs w:val="21"/>
          <w:highlight w:val="none"/>
        </w:rPr>
      </w:pPr>
      <w:r>
        <w:rPr>
          <w:rFonts w:hint="eastAsia" w:ascii="Arial" w:hAnsi="Arial" w:cs="Arial"/>
          <w:b/>
          <w:bCs/>
          <w:color w:val="auto"/>
          <w:szCs w:val="21"/>
          <w:highlight w:val="none"/>
        </w:rPr>
        <w:t>原文：</w:t>
      </w:r>
      <w:r>
        <w:rPr>
          <w:rFonts w:hint="eastAsia" w:ascii="Arial" w:hAnsi="Arial" w:cs="Arial"/>
          <w:color w:val="auto"/>
          <w:szCs w:val="21"/>
          <w:highlight w:val="none"/>
        </w:rPr>
        <w:t>41.2.2开标前，首先由招标人随机抽取确定该工程计算评标参考价的等分点值X。</w:t>
      </w:r>
    </w:p>
    <w:p>
      <w:pPr>
        <w:pBdr>
          <w:bottom w:val="single" w:color="auto" w:sz="6" w:space="1"/>
        </w:pBd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41.2.3对通过技术标有效性审查的投标人开启其经济标投标文件；</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w:t>
      </w:r>
      <w:r>
        <w:rPr>
          <w:rFonts w:ascii="Arial" w:hAnsi="Arial" w:cs="Arial"/>
          <w:color w:val="auto"/>
          <w:szCs w:val="21"/>
          <w:highlight w:val="none"/>
        </w:rPr>
        <w:t xml:space="preserve">41.3          </w:t>
      </w:r>
      <w:r>
        <w:rPr>
          <w:rFonts w:hint="eastAsia" w:ascii="Arial" w:hAnsi="Arial" w:cs="Arial"/>
          <w:b/>
          <w:color w:val="auto"/>
          <w:szCs w:val="21"/>
          <w:highlight w:val="none"/>
        </w:rPr>
        <w:t>修改类型：修改</w:t>
      </w:r>
    </w:p>
    <w:p>
      <w:pPr>
        <w:pBdr>
          <w:bottom w:val="single" w:color="auto" w:sz="6" w:space="1"/>
        </w:pBdr>
        <w:spacing w:line="360" w:lineRule="auto"/>
        <w:ind w:firstLine="422" w:firstLineChars="200"/>
        <w:rPr>
          <w:rFonts w:ascii="Arial" w:hAnsi="Arial" w:cs="Arial"/>
          <w:color w:val="auto"/>
          <w:szCs w:val="21"/>
          <w:highlight w:val="none"/>
        </w:rPr>
      </w:pPr>
      <w:r>
        <w:rPr>
          <w:rFonts w:hint="eastAsia" w:ascii="Arial" w:hAnsi="Arial" w:cs="Arial"/>
          <w:b/>
          <w:bCs/>
          <w:color w:val="auto"/>
          <w:szCs w:val="21"/>
          <w:highlight w:val="none"/>
        </w:rPr>
        <w:t>原文：</w:t>
      </w:r>
      <w:r>
        <w:rPr>
          <w:rFonts w:hint="eastAsia" w:ascii="Arial" w:hAnsi="Arial" w:cs="Arial"/>
          <w:color w:val="auto"/>
          <w:szCs w:val="21"/>
          <w:highlight w:val="none"/>
        </w:rPr>
        <w:t>41.3招标人对开标过程进行记录，并存档备查，投标人在技术标开标记录上签字。</w:t>
      </w:r>
    </w:p>
    <w:p>
      <w:pPr>
        <w:pBdr>
          <w:bottom w:val="single" w:color="auto" w:sz="6" w:space="1"/>
        </w:pBd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现文：41.3招标人或招标代理机构对开标过程进行记录，并存档备查，</w:t>
      </w:r>
      <w:r>
        <w:rPr>
          <w:rFonts w:hint="eastAsia" w:ascii="宋体" w:hAnsi="宋体" w:cs="宋体"/>
          <w:color w:val="auto"/>
          <w:szCs w:val="21"/>
          <w:highlight w:val="none"/>
          <w:u w:val="single"/>
        </w:rPr>
        <w:t>参加开标会议的</w:t>
      </w:r>
      <w:r>
        <w:rPr>
          <w:rFonts w:hint="eastAsia" w:ascii="Arial" w:hAnsi="Arial" w:cs="Arial"/>
          <w:color w:val="auto"/>
          <w:szCs w:val="21"/>
          <w:highlight w:val="none"/>
        </w:rPr>
        <w:t>投标人在技术标开标记录上签字。</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条款号：42.2</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pStyle w:val="2"/>
        <w:tabs>
          <w:tab w:val="left" w:pos="7380"/>
        </w:tabs>
        <w:snapToGrid w:val="0"/>
        <w:spacing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原文：</w:t>
      </w:r>
      <w:r>
        <w:rPr>
          <w:rFonts w:hint="eastAsia" w:ascii="Arial" w:hAnsi="Arial" w:cs="Arial"/>
          <w:color w:val="auto"/>
          <w:szCs w:val="21"/>
          <w:highlight w:val="none"/>
        </w:rPr>
        <w:t>42.2评标委员会的组成：方式</w:t>
      </w:r>
      <w:r>
        <w:rPr>
          <w:rFonts w:ascii="Arial" w:hAnsi="Arial" w:cs="Arial"/>
          <w:color w:val="auto"/>
          <w:szCs w:val="21"/>
          <w:highlight w:val="none"/>
          <w:u w:val="single"/>
        </w:rPr>
        <w:t xml:space="preserve">      </w:t>
      </w:r>
      <w:r>
        <w:rPr>
          <w:rFonts w:hint="eastAsia" w:ascii="Arial" w:hAnsi="Arial" w:cs="Arial"/>
          <w:color w:val="auto"/>
          <w:szCs w:val="21"/>
          <w:highlight w:val="none"/>
        </w:rPr>
        <w:t>。</w:t>
      </w:r>
    </w:p>
    <w:p>
      <w:pPr>
        <w:pStyle w:val="2"/>
        <w:tabs>
          <w:tab w:val="left" w:pos="7380"/>
        </w:tabs>
        <w:snapToGrid w:val="0"/>
        <w:spacing w:line="360" w:lineRule="auto"/>
        <w:ind w:firstLineChars="200"/>
        <w:rPr>
          <w:rFonts w:ascii="Arial" w:hAnsi="Arial" w:cs="Arial"/>
          <w:color w:val="auto"/>
          <w:szCs w:val="21"/>
          <w:highlight w:val="none"/>
        </w:rPr>
      </w:pPr>
      <w:r>
        <w:rPr>
          <w:rFonts w:hint="eastAsia" w:ascii="Arial" w:hAnsi="Arial" w:cs="Arial"/>
          <w:color w:val="auto"/>
          <w:szCs w:val="21"/>
          <w:highlight w:val="none"/>
        </w:rPr>
        <w:t>方式一：评标委员会为综合评标委员会，负责资格审查及评标工作。</w:t>
      </w:r>
    </w:p>
    <w:p>
      <w:pPr>
        <w:pStyle w:val="2"/>
        <w:tabs>
          <w:tab w:val="left" w:pos="7380"/>
        </w:tabs>
        <w:snapToGrid w:val="0"/>
        <w:spacing w:after="0" w:line="360" w:lineRule="auto"/>
        <w:ind w:firstLineChars="200"/>
        <w:rPr>
          <w:rFonts w:ascii="Arial" w:hAnsi="Arial" w:cs="Arial"/>
          <w:color w:val="auto"/>
          <w:szCs w:val="21"/>
          <w:highlight w:val="none"/>
        </w:rPr>
      </w:pPr>
      <w:r>
        <w:rPr>
          <w:rFonts w:hint="eastAsia" w:ascii="Arial" w:hAnsi="Arial" w:cs="Arial"/>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527" w:firstLineChars="25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42.2评标委员会的组成：方式</w:t>
      </w:r>
      <w:r>
        <w:rPr>
          <w:rFonts w:hint="eastAsia" w:ascii="Arial" w:hAnsi="Arial" w:cs="Arial"/>
          <w:color w:val="auto"/>
          <w:szCs w:val="21"/>
          <w:highlight w:val="none"/>
          <w:u w:val="single"/>
        </w:rPr>
        <w:t xml:space="preserve"> 一 </w:t>
      </w:r>
      <w:r>
        <w:rPr>
          <w:rFonts w:hint="eastAsia" w:ascii="Arial" w:hAnsi="Arial" w:cs="Arial"/>
          <w:color w:val="auto"/>
          <w:szCs w:val="21"/>
          <w:highlight w:val="none"/>
        </w:rPr>
        <w:t>。</w:t>
      </w:r>
    </w:p>
    <w:p>
      <w:pPr>
        <w:pBdr>
          <w:bottom w:val="single" w:color="auto" w:sz="6" w:space="1"/>
        </w:pBdr>
        <w:spacing w:line="360" w:lineRule="auto"/>
        <w:ind w:firstLine="525" w:firstLineChars="250"/>
        <w:rPr>
          <w:rFonts w:ascii="Arial" w:hAnsi="Arial" w:cs="Arial"/>
          <w:color w:val="auto"/>
          <w:szCs w:val="21"/>
          <w:highlight w:val="none"/>
        </w:rPr>
      </w:pPr>
      <w:r>
        <w:rPr>
          <w:rFonts w:hint="eastAsia" w:ascii="Arial" w:hAnsi="Arial" w:cs="Arial"/>
          <w:color w:val="auto"/>
          <w:szCs w:val="21"/>
          <w:highlight w:val="none"/>
        </w:rPr>
        <w:t>方式一：评标委员会为综合评标委员会，负责资格审查及评标工作。</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条款号：43.6</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pBdr>
          <w:bottom w:val="single" w:color="auto" w:sz="6" w:space="1"/>
        </w:pBdr>
        <w:spacing w:line="360" w:lineRule="auto"/>
        <w:ind w:firstLine="472" w:firstLineChars="224"/>
        <w:rPr>
          <w:rFonts w:ascii="Arial" w:hAnsi="Arial" w:cs="Arial"/>
          <w:bCs/>
          <w:color w:val="auto"/>
          <w:szCs w:val="21"/>
          <w:highlight w:val="none"/>
        </w:rPr>
      </w:pPr>
      <w:r>
        <w:rPr>
          <w:rFonts w:hint="eastAsia" w:ascii="Arial" w:hAnsi="Arial" w:cs="Arial"/>
          <w:b/>
          <w:color w:val="auto"/>
          <w:szCs w:val="21"/>
          <w:highlight w:val="none"/>
        </w:rPr>
        <w:t>原文：</w:t>
      </w:r>
      <w:r>
        <w:rPr>
          <w:rFonts w:hint="eastAsia" w:ascii="Arial" w:hAnsi="Arial" w:cs="Arial"/>
          <w:bCs/>
          <w:color w:val="auto"/>
          <w:szCs w:val="21"/>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472" w:firstLineChars="224"/>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bCs/>
          <w:color w:val="auto"/>
          <w:szCs w:val="21"/>
          <w:highlight w:val="none"/>
        </w:rPr>
        <w:t>43.6资格审查合格的投标人少于3名的，则本项目招标失败。</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条款号：45.1</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pBdr>
          <w:bottom w:val="single" w:color="auto" w:sz="6" w:space="1"/>
        </w:pBd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原文：</w:t>
      </w:r>
      <w:r>
        <w:rPr>
          <w:rFonts w:hint="eastAsia" w:ascii="Arial" w:hAnsi="Arial" w:cs="Arial"/>
          <w:bCs/>
          <w:color w:val="auto"/>
          <w:szCs w:val="21"/>
          <w:highlight w:val="none"/>
        </w:rPr>
        <w:t>若通过技术标有效性审查的投标人中有投标报价均大于等于最高投标限价×D%（D的取值范围为[94,100],由招标人自主确定）的（具体金额为：元），则本项目招标失败，由招标人依法重新招标。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72" w:firstLineChars="224"/>
        <w:rPr>
          <w:rFonts w:ascii="Arial" w:hAnsi="Arial" w:cs="Arial"/>
          <w:bCs/>
          <w:color w:val="auto"/>
          <w:szCs w:val="21"/>
          <w:highlight w:val="none"/>
        </w:rPr>
      </w:pPr>
      <w:r>
        <w:rPr>
          <w:rFonts w:hint="eastAsia" w:ascii="Arial" w:hAnsi="Arial" w:cs="Arial"/>
          <w:b/>
          <w:color w:val="auto"/>
          <w:szCs w:val="21"/>
          <w:highlight w:val="none"/>
        </w:rPr>
        <w:t>现文：</w:t>
      </w:r>
      <w:r>
        <w:rPr>
          <w:rFonts w:hint="eastAsia" w:ascii="Arial" w:hAnsi="Arial" w:cs="Arial"/>
          <w:bCs/>
          <w:color w:val="auto"/>
          <w:szCs w:val="21"/>
          <w:highlight w:val="none"/>
          <w:u w:val="single"/>
        </w:rPr>
        <w:t>若通过技术标有效性审查的投标人中所有投标报价均大于等于最高投标限价100%的（具体金额为：</w:t>
      </w:r>
      <w:r>
        <w:rPr>
          <w:rFonts w:ascii="Arial" w:hAnsi="Arial" w:cs="Arial"/>
          <w:bCs/>
          <w:color w:val="auto"/>
          <w:szCs w:val="21"/>
          <w:highlight w:val="none"/>
          <w:u w:val="single"/>
        </w:rPr>
        <w:t xml:space="preserve"> 7887916.43</w:t>
      </w:r>
      <w:r>
        <w:rPr>
          <w:rFonts w:hint="eastAsia" w:ascii="Arial" w:hAnsi="Arial" w:cs="Arial"/>
          <w:bCs/>
          <w:color w:val="auto"/>
          <w:szCs w:val="21"/>
          <w:highlight w:val="none"/>
          <w:u w:val="single"/>
        </w:rPr>
        <w:t>元</w:t>
      </w:r>
      <w:r>
        <w:rPr>
          <w:rFonts w:ascii="Arial" w:hAnsi="Arial" w:cs="Arial"/>
          <w:bCs/>
          <w:color w:val="auto"/>
          <w:szCs w:val="21"/>
          <w:highlight w:val="none"/>
          <w:u w:val="single"/>
        </w:rPr>
        <w:t xml:space="preserve"> </w:t>
      </w:r>
      <w:r>
        <w:rPr>
          <w:rFonts w:hint="eastAsia" w:ascii="Arial" w:hAnsi="Arial" w:cs="Arial"/>
          <w:bCs/>
          <w:color w:val="auto"/>
          <w:szCs w:val="21"/>
          <w:highlight w:val="none"/>
          <w:u w:val="single"/>
        </w:rPr>
        <w:t>），则本项目招标失败，由招标人依法重新招标。</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条款号：45.2</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原文：</w:t>
      </w:r>
      <w:r>
        <w:rPr>
          <w:rFonts w:hint="eastAsia" w:ascii="Arial" w:hAnsi="Arial" w:cs="Arial"/>
          <w:color w:val="auto"/>
          <w:szCs w:val="21"/>
          <w:highlight w:val="none"/>
        </w:rPr>
        <w:t xml:space="preserve">45.2按方法计算评标参考价： </w:t>
      </w:r>
    </w:p>
    <w:p>
      <w:pPr>
        <w:pBdr>
          <w:bottom w:val="single" w:color="auto" w:sz="6" w:space="1"/>
        </w:pBdr>
        <w:spacing w:line="360" w:lineRule="auto"/>
        <w:ind w:firstLine="527" w:firstLineChars="25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45.2按方法</w:t>
      </w:r>
      <w:r>
        <w:rPr>
          <w:rFonts w:hint="eastAsia" w:ascii="Arial" w:hAnsi="Arial" w:cs="Arial"/>
          <w:color w:val="auto"/>
          <w:szCs w:val="21"/>
          <w:highlight w:val="none"/>
          <w:u w:val="single"/>
        </w:rPr>
        <w:t>一</w:t>
      </w:r>
      <w:r>
        <w:rPr>
          <w:rFonts w:hint="eastAsia" w:ascii="Arial" w:hAnsi="Arial" w:cs="Arial"/>
          <w:color w:val="auto"/>
          <w:szCs w:val="21"/>
          <w:highlight w:val="none"/>
        </w:rPr>
        <w:t xml:space="preserve">计算评标参考价： </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条款号：方法一：加权平均法</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widowControl/>
        <w:spacing w:line="360" w:lineRule="auto"/>
        <w:ind w:firstLine="422" w:firstLineChars="200"/>
        <w:rPr>
          <w:rFonts w:ascii="Arial" w:hAnsi="Arial" w:cs="Arial"/>
          <w:b/>
          <w:bCs/>
          <w:color w:val="auto"/>
          <w:kern w:val="0"/>
          <w:szCs w:val="21"/>
          <w:highlight w:val="none"/>
        </w:rPr>
      </w:pPr>
      <w:r>
        <w:rPr>
          <w:rFonts w:hint="eastAsia" w:ascii="Arial" w:hAnsi="Arial" w:cs="Arial"/>
          <w:b/>
          <w:color w:val="auto"/>
          <w:szCs w:val="21"/>
          <w:highlight w:val="none"/>
        </w:rPr>
        <w:t>原文：方法一：加权平均法</w:t>
      </w:r>
    </w:p>
    <w:p>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评标参考价=Σ（投标人的投标报价×报价权重）。</w:t>
      </w:r>
    </w:p>
    <w:p>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其中：报价权重的计算方法为：将N名投标人按技术分由高至低进行排序，第一名投标人的权重为（</w:t>
      </w:r>
      <w:r>
        <w:rPr>
          <w:rFonts w:ascii="Arial" w:hAnsi="Arial" w:cs="Arial"/>
          <w:color w:val="auto"/>
          <w:szCs w:val="21"/>
          <w:highlight w:val="none"/>
        </w:rPr>
        <w:fldChar w:fldCharType="begin"/>
      </w:r>
      <w:r>
        <w:rPr>
          <w:rFonts w:ascii="Arial" w:hAnsi="Arial" w:cs="Arial"/>
          <w:color w:val="auto"/>
          <w:szCs w:val="21"/>
          <w:highlight w:val="none"/>
        </w:rPr>
        <w:instrText xml:space="preserve"> QUOTE </w:instrText>
      </w:r>
      <w:r>
        <w:rPr>
          <w:rFonts w:ascii="Arial" w:hAnsi="Arial" w:cs="Arial"/>
          <w:color w:val="auto"/>
          <w:szCs w:val="21"/>
          <w:highlight w:val="none"/>
        </w:rPr>
        <w:drawing>
          <wp:inline distT="0" distB="0" distL="114300" distR="114300">
            <wp:extent cx="381000" cy="4495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81000" cy="449580"/>
                    </a:xfrm>
                    <a:prstGeom prst="rect">
                      <a:avLst/>
                    </a:prstGeom>
                    <a:noFill/>
                    <a:ln>
                      <a:noFill/>
                    </a:ln>
                  </pic:spPr>
                </pic:pic>
              </a:graphicData>
            </a:graphic>
          </wp:inline>
        </w:drawing>
      </w:r>
      <w:r>
        <w:rPr>
          <w:rFonts w:ascii="Arial" w:hAnsi="Arial" w:cs="Arial"/>
          <w:color w:val="auto"/>
          <w:szCs w:val="21"/>
          <w:highlight w:val="none"/>
        </w:rPr>
        <w:fldChar w:fldCharType="separate"/>
      </w:r>
      <w:r>
        <w:rPr>
          <w:rFonts w:ascii="Arial" w:hAnsi="Arial" w:cs="Arial"/>
          <w:color w:val="auto"/>
          <w:szCs w:val="21"/>
          <w:highlight w:val="none"/>
        </w:rPr>
        <w:drawing>
          <wp:inline distT="0" distB="0" distL="114300" distR="114300">
            <wp:extent cx="381000" cy="449580"/>
            <wp:effectExtent l="0" t="0" r="0" b="762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81000" cy="449580"/>
                    </a:xfrm>
                    <a:prstGeom prst="rect">
                      <a:avLst/>
                    </a:prstGeom>
                    <a:noFill/>
                    <a:ln>
                      <a:noFill/>
                    </a:ln>
                  </pic:spPr>
                </pic:pic>
              </a:graphicData>
            </a:graphic>
          </wp:inline>
        </w:drawing>
      </w:r>
      <w:r>
        <w:rPr>
          <w:rFonts w:ascii="Arial" w:hAnsi="Arial" w:cs="Arial"/>
          <w:color w:val="auto"/>
          <w:szCs w:val="21"/>
          <w:highlight w:val="none"/>
        </w:rPr>
        <w:fldChar w:fldCharType="end"/>
      </w:r>
      <w:r>
        <w:rPr>
          <w:rFonts w:hint="eastAsia" w:ascii="Arial" w:hAnsi="Arial" w:cs="Arial"/>
          <w:color w:val="auto"/>
          <w:szCs w:val="21"/>
          <w:highlight w:val="none"/>
        </w:rPr>
        <w:t>），第二名投标人的权重为（</w:t>
      </w:r>
      <w:r>
        <w:rPr>
          <w:rFonts w:ascii="Arial" w:hAnsi="Arial" w:cs="Arial"/>
          <w:color w:val="auto"/>
          <w:szCs w:val="21"/>
          <w:highlight w:val="none"/>
        </w:rPr>
        <w:fldChar w:fldCharType="begin"/>
      </w:r>
      <w:r>
        <w:rPr>
          <w:rFonts w:ascii="Arial" w:hAnsi="Arial" w:cs="Arial"/>
          <w:color w:val="auto"/>
          <w:szCs w:val="21"/>
          <w:highlight w:val="none"/>
        </w:rPr>
        <w:instrText xml:space="preserve"> QUOTE </w:instrText>
      </w:r>
      <w:r>
        <w:rPr>
          <w:rFonts w:ascii="Arial" w:hAnsi="Arial" w:cs="Arial"/>
          <w:color w:val="auto"/>
          <w:szCs w:val="21"/>
          <w:highlight w:val="none"/>
        </w:rPr>
        <w:drawing>
          <wp:inline distT="0" distB="0" distL="114300" distR="114300">
            <wp:extent cx="320040" cy="403860"/>
            <wp:effectExtent l="0" t="0" r="3810" b="1524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separate"/>
      </w:r>
      <w:r>
        <w:rPr>
          <w:rFonts w:ascii="Arial" w:hAnsi="Arial" w:cs="Arial"/>
          <w:color w:val="auto"/>
          <w:szCs w:val="21"/>
          <w:highlight w:val="none"/>
        </w:rPr>
        <w:drawing>
          <wp:inline distT="0" distB="0" distL="114300" distR="114300">
            <wp:extent cx="320040" cy="403860"/>
            <wp:effectExtent l="0" t="0" r="3810" b="1524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end"/>
      </w:r>
      <w:r>
        <w:rPr>
          <w:rFonts w:hint="eastAsia" w:ascii="Arial" w:hAnsi="Arial" w:cs="Arial"/>
          <w:color w:val="auto"/>
          <w:szCs w:val="21"/>
          <w:highlight w:val="none"/>
        </w:rPr>
        <w:t>），以此类推，最后一名投标人的权重为（</w:t>
      </w:r>
      <w:r>
        <w:rPr>
          <w:rFonts w:ascii="Arial" w:hAnsi="Arial" w:cs="Arial"/>
          <w:color w:val="auto"/>
          <w:szCs w:val="21"/>
          <w:highlight w:val="none"/>
        </w:rPr>
        <w:fldChar w:fldCharType="begin"/>
      </w:r>
      <w:r>
        <w:rPr>
          <w:rFonts w:ascii="Arial" w:hAnsi="Arial" w:cs="Arial"/>
          <w:color w:val="auto"/>
          <w:szCs w:val="21"/>
          <w:highlight w:val="none"/>
        </w:rPr>
        <w:instrText xml:space="preserve"> QUOTE </w:instrText>
      </w:r>
      <w:r>
        <w:rPr>
          <w:rFonts w:ascii="Arial" w:hAnsi="Arial" w:cs="Arial"/>
          <w:color w:val="auto"/>
          <w:szCs w:val="21"/>
          <w:highlight w:val="none"/>
        </w:rPr>
        <w:drawing>
          <wp:inline distT="0" distB="0" distL="114300" distR="114300">
            <wp:extent cx="320040" cy="403860"/>
            <wp:effectExtent l="0" t="0" r="3810" b="15875"/>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separate"/>
      </w:r>
      <w:r>
        <w:rPr>
          <w:rFonts w:ascii="Arial" w:hAnsi="Arial" w:cs="Arial"/>
          <w:color w:val="auto"/>
          <w:szCs w:val="21"/>
          <w:highlight w:val="none"/>
        </w:rPr>
        <w:drawing>
          <wp:inline distT="0" distB="0" distL="114300" distR="114300">
            <wp:extent cx="320040" cy="403860"/>
            <wp:effectExtent l="0" t="0" r="3810" b="15875"/>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end"/>
      </w:r>
      <w:r>
        <w:rPr>
          <w:rFonts w:hint="eastAsia" w:ascii="Arial" w:hAnsi="Arial" w:cs="Arial"/>
          <w:color w:val="auto"/>
          <w:szCs w:val="21"/>
          <w:highlight w:val="none"/>
        </w:rPr>
        <w:t>）。</w:t>
      </w:r>
    </w:p>
    <w:p>
      <w:pPr>
        <w:widowControl/>
        <w:spacing w:line="360" w:lineRule="auto"/>
        <w:ind w:firstLine="422" w:firstLineChars="200"/>
        <w:rPr>
          <w:rFonts w:ascii="Arial" w:hAnsi="Arial" w:cs="Arial"/>
          <w:b/>
          <w:bCs/>
          <w:color w:val="auto"/>
          <w:kern w:val="0"/>
          <w:szCs w:val="21"/>
          <w:highlight w:val="none"/>
        </w:rPr>
      </w:pPr>
      <w:r>
        <w:rPr>
          <w:rFonts w:hint="eastAsia" w:ascii="Arial" w:hAnsi="Arial" w:cs="Arial"/>
          <w:b/>
          <w:color w:val="auto"/>
          <w:szCs w:val="21"/>
          <w:highlight w:val="none"/>
        </w:rPr>
        <w:t>现文：方法一：加权平均法</w:t>
      </w:r>
    </w:p>
    <w:p>
      <w:pPr>
        <w:pBdr>
          <w:bottom w:val="single" w:color="auto" w:sz="6" w:space="1"/>
        </w:pBdr>
        <w:spacing w:line="360" w:lineRule="auto"/>
        <w:ind w:firstLine="525" w:firstLineChars="250"/>
        <w:rPr>
          <w:rFonts w:ascii="Arial" w:hAnsi="Arial" w:cs="Arial"/>
          <w:color w:val="auto"/>
          <w:szCs w:val="21"/>
          <w:highlight w:val="none"/>
        </w:rPr>
      </w:pPr>
      <w:r>
        <w:rPr>
          <w:rFonts w:hint="eastAsia" w:ascii="Arial" w:hAnsi="Arial" w:cs="Arial"/>
          <w:color w:val="auto"/>
          <w:szCs w:val="21"/>
          <w:highlight w:val="none"/>
          <w:u w:val="single"/>
        </w:rPr>
        <w:t>技术标得分前N名（若通过技术标有效性审查的家数大于等于5家时，N=5；若小于5家时，N=通过技术标有效性审查的家数；技术标得分相同的，则按照施工组织设计得分高的靠前；如施工组织设计得分相同的，由评标会对出现该情况的投标人进行编号，然后通过投票方式依次确定投标人的排序。）</w:t>
      </w:r>
      <w:r>
        <w:rPr>
          <w:rFonts w:hint="eastAsia" w:ascii="Arial" w:hAnsi="Arial" w:cs="Arial"/>
          <w:color w:val="auto"/>
          <w:szCs w:val="21"/>
          <w:highlight w:val="none"/>
        </w:rPr>
        <w:t>的经济报价加权平均，计算评标参考价。公式如下：</w:t>
      </w:r>
    </w:p>
    <w:p>
      <w:pPr>
        <w:pBdr>
          <w:bottom w:val="single" w:color="auto" w:sz="6" w:space="1"/>
        </w:pBdr>
        <w:spacing w:line="360" w:lineRule="auto"/>
        <w:ind w:firstLine="525" w:firstLineChars="250"/>
        <w:rPr>
          <w:rFonts w:ascii="Arial" w:hAnsi="Arial" w:cs="Arial"/>
          <w:color w:val="auto"/>
          <w:szCs w:val="21"/>
          <w:highlight w:val="none"/>
        </w:rPr>
      </w:pPr>
      <w:r>
        <w:rPr>
          <w:rFonts w:hint="eastAsia" w:ascii="Arial" w:hAnsi="Arial" w:cs="Arial"/>
          <w:color w:val="auto"/>
          <w:szCs w:val="21"/>
          <w:highlight w:val="none"/>
        </w:rPr>
        <w:t>评标参考价=Σ（投标人的投标报价×报价权重）。</w:t>
      </w:r>
    </w:p>
    <w:p>
      <w:pPr>
        <w:pBdr>
          <w:bottom w:val="single" w:color="auto" w:sz="6" w:space="1"/>
        </w:pBdr>
        <w:spacing w:line="360" w:lineRule="auto"/>
        <w:ind w:firstLine="525" w:firstLineChars="250"/>
        <w:rPr>
          <w:rFonts w:ascii="Arial" w:hAnsi="Arial" w:cs="Arial"/>
          <w:color w:val="auto"/>
          <w:spacing w:val="2"/>
          <w:highlight w:val="none"/>
        </w:rPr>
      </w:pPr>
      <w:r>
        <w:rPr>
          <w:rFonts w:hint="eastAsia" w:ascii="Arial" w:hAnsi="Arial" w:cs="Arial"/>
          <w:color w:val="auto"/>
          <w:szCs w:val="21"/>
          <w:highlight w:val="none"/>
        </w:rPr>
        <w:t>其中：报价权重的计算方法为：将N名投标人按技术分由高至低进行排序，第一名投标人的权重为（</w:t>
      </w:r>
      <w:r>
        <w:rPr>
          <w:rFonts w:ascii="Arial" w:hAnsi="Arial" w:cs="Arial"/>
          <w:color w:val="auto"/>
          <w:spacing w:val="-4"/>
          <w:highlight w:val="none"/>
        </w:rPr>
        <w:drawing>
          <wp:inline distT="0" distB="0" distL="114300" distR="114300">
            <wp:extent cx="240030" cy="288290"/>
            <wp:effectExtent l="0" t="0" r="7620" b="1651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40030" cy="288290"/>
                    </a:xfrm>
                    <a:prstGeom prst="rect">
                      <a:avLst/>
                    </a:prstGeom>
                    <a:noFill/>
                    <a:ln>
                      <a:noFill/>
                    </a:ln>
                  </pic:spPr>
                </pic:pic>
              </a:graphicData>
            </a:graphic>
          </wp:inline>
        </w:drawing>
      </w:r>
      <w:r>
        <w:rPr>
          <w:rFonts w:hint="eastAsia" w:ascii="Arial" w:hAnsi="Arial" w:cs="Arial"/>
          <w:color w:val="auto"/>
          <w:szCs w:val="21"/>
          <w:highlight w:val="none"/>
        </w:rPr>
        <w:t>），第二名投标人的权重为（</w:t>
      </w:r>
      <w:r>
        <w:rPr>
          <w:rFonts w:ascii="Arial" w:hAnsi="Arial" w:cs="Arial"/>
          <w:color w:val="auto"/>
          <w:spacing w:val="-4"/>
          <w:highlight w:val="none"/>
        </w:rPr>
        <w:drawing>
          <wp:inline distT="0" distB="0" distL="114300" distR="114300">
            <wp:extent cx="233045" cy="288290"/>
            <wp:effectExtent l="0" t="0" r="14605" b="1651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233045" cy="288290"/>
                    </a:xfrm>
                    <a:prstGeom prst="rect">
                      <a:avLst/>
                    </a:prstGeom>
                    <a:noFill/>
                    <a:ln>
                      <a:noFill/>
                    </a:ln>
                  </pic:spPr>
                </pic:pic>
              </a:graphicData>
            </a:graphic>
          </wp:inline>
        </w:drawing>
      </w:r>
      <w:r>
        <w:rPr>
          <w:rFonts w:hint="eastAsia" w:ascii="Arial" w:hAnsi="Arial" w:cs="Arial"/>
          <w:color w:val="auto"/>
          <w:szCs w:val="21"/>
          <w:highlight w:val="none"/>
        </w:rPr>
        <w:t>），以此类推，最后一名投标人的权重为（</w:t>
      </w:r>
      <w:r>
        <w:rPr>
          <w:rFonts w:ascii="Arial" w:hAnsi="Arial" w:cs="Arial"/>
          <w:color w:val="auto"/>
          <w:spacing w:val="-4"/>
          <w:highlight w:val="none"/>
        </w:rPr>
        <w:drawing>
          <wp:inline distT="0" distB="0" distL="114300" distR="114300">
            <wp:extent cx="233045" cy="288290"/>
            <wp:effectExtent l="0" t="0" r="14605" b="16510"/>
            <wp:docPr id="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2"/>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233045" cy="288290"/>
                    </a:xfrm>
                    <a:prstGeom prst="rect">
                      <a:avLst/>
                    </a:prstGeom>
                    <a:noFill/>
                    <a:ln>
                      <a:noFill/>
                    </a:ln>
                  </pic:spPr>
                </pic:pic>
              </a:graphicData>
            </a:graphic>
          </wp:inline>
        </w:drawing>
      </w:r>
      <w:r>
        <w:rPr>
          <w:rFonts w:hint="eastAsia" w:ascii="Arial" w:hAnsi="Arial" w:cs="Arial"/>
          <w:color w:val="auto"/>
          <w:szCs w:val="21"/>
          <w:highlight w:val="none"/>
        </w:rPr>
        <w:t>）。</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条款号：45.3</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widowControl/>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原文：</w:t>
      </w:r>
      <w:r>
        <w:rPr>
          <w:rFonts w:hint="eastAsia" w:ascii="Arial" w:hAnsi="Arial" w:cs="Arial"/>
          <w:bCs/>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bCs/>
          <w:color w:val="auto"/>
          <w:szCs w:val="21"/>
          <w:highlight w:val="none"/>
          <w:u w:val="single"/>
        </w:rPr>
        <w:t>当标价等于评标参考价时得100分，标价每高于评标参考价1%，扣0.5分，每低于评标参考价1%，扣0.3分，扣至0分为止，得出经济分，精确到小数点后两位。</w:t>
      </w:r>
    </w:p>
    <w:p>
      <w:pPr>
        <w:spacing w:line="48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条款号：45.4修改类型：修改</w:t>
      </w:r>
    </w:p>
    <w:p>
      <w:pPr>
        <w:widowControl/>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原文：</w:t>
      </w:r>
      <w:r>
        <w:rPr>
          <w:rFonts w:hint="eastAsia" w:ascii="Arial" w:hAnsi="Arial" w:cs="Arial"/>
          <w:bCs/>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22" w:firstLineChars="200"/>
        <w:rPr>
          <w:rFonts w:ascii="Arial" w:hAnsi="Arial" w:cs="Arial"/>
          <w:bCs/>
          <w:color w:val="auto"/>
          <w:szCs w:val="21"/>
          <w:highlight w:val="none"/>
        </w:rPr>
      </w:pPr>
      <w:r>
        <w:rPr>
          <w:rFonts w:hint="eastAsia" w:ascii="Arial" w:hAnsi="Arial" w:cs="Arial"/>
          <w:b/>
          <w:color w:val="auto"/>
          <w:szCs w:val="21"/>
          <w:highlight w:val="none"/>
        </w:rPr>
        <w:t>现文：</w:t>
      </w:r>
      <w:r>
        <w:rPr>
          <w:rFonts w:hint="eastAsia" w:ascii="Arial" w:hAnsi="Arial" w:cs="Arial"/>
          <w:bCs/>
          <w:color w:val="auto"/>
          <w:szCs w:val="21"/>
          <w:highlight w:val="none"/>
        </w:rPr>
        <w:t>45.4计算通过技术标有效性审查的投标人总得分。投标人总得分=技术得分＋经济得分×经济得分权重（80%），总得分四舍五入保留两位小数。技术、经济得分权重按投标须知前附表的规定执行。总得分四舍五入保留两位小数。总分相同的，以技术得分高的排前；总分与技术得分均相同，则对具有相同情况的投标人，按中标候选人数量规定，由评标委员会采用随机抽取方式，确定中标候选人的排序。</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条款号：48</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原文：</w:t>
      </w:r>
      <w:r>
        <w:rPr>
          <w:rFonts w:hint="eastAsia" w:ascii="Arial" w:hAnsi="Arial" w:cs="Arial"/>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464" w:firstLineChars="220"/>
        <w:rPr>
          <w:rFonts w:ascii="宋体" w:hAnsi="宋体"/>
          <w:bCs/>
          <w:color w:val="auto"/>
          <w:szCs w:val="21"/>
          <w:highlight w:val="none"/>
        </w:rPr>
      </w:pPr>
      <w:r>
        <w:rPr>
          <w:rFonts w:hint="eastAsia" w:ascii="Arial" w:hAnsi="Arial" w:cs="Arial"/>
          <w:b/>
          <w:color w:val="auto"/>
          <w:szCs w:val="21"/>
          <w:highlight w:val="none"/>
        </w:rPr>
        <w:t>现文：</w:t>
      </w:r>
      <w:r>
        <w:rPr>
          <w:rFonts w:hint="eastAsia" w:ascii="Arial" w:hAnsi="Arial" w:cs="Arial"/>
          <w:color w:val="auto"/>
          <w:szCs w:val="21"/>
          <w:highlight w:val="none"/>
        </w:rPr>
        <w:t>48.评标委员会应在通过投标文件经济标有效性审查的投标人中，按步骤45.4确定的投标人排序，推荐前3名依次为第一中标候选人至第三中标候选人,并编制评标报告。</w:t>
      </w:r>
    </w:p>
    <w:p>
      <w:pPr>
        <w:pStyle w:val="30"/>
        <w:spacing w:line="360" w:lineRule="auto"/>
        <w:ind w:firstLine="464" w:firstLineChars="220"/>
        <w:rPr>
          <w:rFonts w:hAnsi="宋体" w:cs="宋体"/>
          <w:b/>
          <w:color w:val="auto"/>
          <w:szCs w:val="21"/>
          <w:highlight w:val="none"/>
        </w:rPr>
      </w:pPr>
      <w:r>
        <w:rPr>
          <w:rFonts w:hint="eastAsia" w:hAnsi="宋体" w:cs="宋体"/>
          <w:b/>
          <w:color w:val="auto"/>
          <w:szCs w:val="21"/>
          <w:highlight w:val="none"/>
        </w:rPr>
        <w:t>条款号：</w:t>
      </w:r>
      <w:r>
        <w:rPr>
          <w:rFonts w:hAnsi="宋体" w:cs="宋体"/>
          <w:b/>
          <w:color w:val="auto"/>
          <w:szCs w:val="21"/>
          <w:highlight w:val="none"/>
        </w:rPr>
        <w:t xml:space="preserve">49                               </w:t>
      </w:r>
      <w:r>
        <w:rPr>
          <w:rFonts w:hint="eastAsia" w:hAnsi="宋体" w:cs="宋体"/>
          <w:b/>
          <w:color w:val="auto"/>
          <w:szCs w:val="21"/>
          <w:highlight w:val="none"/>
        </w:rPr>
        <w:t>修改类型：修改</w:t>
      </w:r>
    </w:p>
    <w:p>
      <w:pPr>
        <w:pBdr>
          <w:bottom w:val="single" w:color="auto" w:sz="6" w:space="1"/>
        </w:pBdr>
        <w:spacing w:line="360" w:lineRule="auto"/>
        <w:ind w:firstLine="464" w:firstLineChars="22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49.若通过经济标有效性审查的投标人不足三家，应当依法重新招标。（当N个标段同时招标且不允许兼中时，若有效投标人不足N+2家，应当依法重新招标）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64" w:firstLineChars="220"/>
        <w:rPr>
          <w:rFonts w:ascii="宋体" w:hAnsi="宋体" w:cs="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49.若通过经济标有效性审查的投标人不足三家，应当依法重新招标。</w:t>
      </w:r>
    </w:p>
    <w:p>
      <w:pP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条款号：附表一《资格审查表》</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360" w:lineRule="auto"/>
        <w:ind w:firstLine="422" w:firstLineChars="200"/>
        <w:rPr>
          <w:rFonts w:ascii="Arial" w:hAnsi="Arial" w:cs="Arial"/>
          <w:bCs/>
          <w:color w:val="auto"/>
          <w:szCs w:val="21"/>
          <w:highlight w:val="none"/>
        </w:rPr>
      </w:pPr>
      <w:r>
        <w:rPr>
          <w:rFonts w:hint="eastAsia" w:ascii="Arial" w:hAnsi="Arial" w:cs="Arial"/>
          <w:b/>
          <w:color w:val="auto"/>
          <w:szCs w:val="21"/>
          <w:highlight w:val="none"/>
        </w:rPr>
        <w:t>原文：</w:t>
      </w:r>
      <w:r>
        <w:rPr>
          <w:rFonts w:hint="eastAsia"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bCs/>
          <w:color w:val="auto"/>
          <w:szCs w:val="21"/>
          <w:highlight w:val="none"/>
        </w:rPr>
        <w:t>详见附表一《资格审查表》</w:t>
      </w:r>
    </w:p>
    <w:p>
      <w:pP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条款号：附表二《技术标有效性审查表》</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360" w:lineRule="auto"/>
        <w:ind w:firstLine="422" w:firstLineChars="200"/>
        <w:rPr>
          <w:rFonts w:ascii="Arial" w:hAnsi="Arial" w:cs="Arial"/>
          <w:bCs/>
          <w:color w:val="auto"/>
          <w:szCs w:val="21"/>
          <w:highlight w:val="none"/>
        </w:rPr>
      </w:pPr>
      <w:r>
        <w:rPr>
          <w:rFonts w:hint="eastAsia" w:ascii="Arial" w:hAnsi="Arial" w:cs="Arial"/>
          <w:b/>
          <w:color w:val="auto"/>
          <w:szCs w:val="21"/>
          <w:highlight w:val="none"/>
        </w:rPr>
        <w:t>原文：</w:t>
      </w:r>
      <w:r>
        <w:rPr>
          <w:rFonts w:hint="eastAsia"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bCs/>
          <w:color w:val="auto"/>
          <w:szCs w:val="21"/>
          <w:highlight w:val="none"/>
        </w:rPr>
        <w:t>详见附表二《技术标有效性审查表》</w:t>
      </w:r>
    </w:p>
    <w:p>
      <w:pP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条款号：附表三《经济标有效性审查表》</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360" w:lineRule="auto"/>
        <w:ind w:firstLine="422" w:firstLineChars="200"/>
        <w:rPr>
          <w:rFonts w:ascii="Arial" w:hAnsi="Arial" w:cs="Arial"/>
          <w:bCs/>
          <w:color w:val="auto"/>
          <w:szCs w:val="21"/>
          <w:highlight w:val="none"/>
        </w:rPr>
      </w:pPr>
      <w:r>
        <w:rPr>
          <w:rFonts w:hint="eastAsia" w:ascii="Arial" w:hAnsi="Arial" w:cs="Arial"/>
          <w:b/>
          <w:color w:val="auto"/>
          <w:szCs w:val="21"/>
          <w:highlight w:val="none"/>
        </w:rPr>
        <w:t>原文：</w:t>
      </w:r>
      <w:r>
        <w:rPr>
          <w:rFonts w:hint="eastAsia"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bCs/>
          <w:color w:val="auto"/>
          <w:szCs w:val="21"/>
          <w:highlight w:val="none"/>
        </w:rPr>
        <w:t>详见附表三《经济标有效性审查表》</w:t>
      </w:r>
    </w:p>
    <w:p>
      <w:pP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rPr>
        <w:t>条款号：附表四《技术标详细审查评分表》</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spacing w:line="360" w:lineRule="auto"/>
        <w:ind w:firstLine="422" w:firstLineChars="200"/>
        <w:rPr>
          <w:rFonts w:ascii="Arial" w:hAnsi="Arial" w:cs="Arial"/>
          <w:bCs/>
          <w:color w:val="auto"/>
          <w:szCs w:val="21"/>
          <w:highlight w:val="none"/>
        </w:rPr>
      </w:pPr>
      <w:r>
        <w:rPr>
          <w:rFonts w:hint="eastAsia" w:ascii="Arial" w:hAnsi="Arial" w:cs="Arial"/>
          <w:b/>
          <w:color w:val="auto"/>
          <w:szCs w:val="21"/>
          <w:highlight w:val="none"/>
        </w:rPr>
        <w:t>原文：</w:t>
      </w:r>
      <w:r>
        <w:rPr>
          <w:rFonts w:hint="eastAsia"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527" w:firstLineChars="250"/>
        <w:rPr>
          <w:rFonts w:ascii="Arial" w:hAnsi="Arial" w:cs="Arial"/>
          <w:color w:val="auto"/>
          <w:szCs w:val="21"/>
          <w:highlight w:val="none"/>
        </w:rPr>
      </w:pPr>
      <w:r>
        <w:rPr>
          <w:rFonts w:hint="eastAsia" w:ascii="Arial" w:hAnsi="Arial" w:cs="Arial"/>
          <w:b/>
          <w:color w:val="auto"/>
          <w:szCs w:val="21"/>
          <w:highlight w:val="none"/>
        </w:rPr>
        <w:t>现文：</w:t>
      </w:r>
      <w:r>
        <w:rPr>
          <w:rFonts w:hint="eastAsia" w:ascii="Arial" w:hAnsi="Arial" w:cs="Arial"/>
          <w:bCs/>
          <w:color w:val="auto"/>
          <w:szCs w:val="21"/>
          <w:highlight w:val="none"/>
        </w:rPr>
        <w:t>详见附表四《技术标详细审查评分表》</w:t>
      </w:r>
    </w:p>
    <w:p>
      <w:pPr>
        <w:spacing w:line="360" w:lineRule="auto"/>
        <w:ind w:firstLine="472" w:firstLineChars="224"/>
        <w:rPr>
          <w:rFonts w:ascii="Arial" w:hAnsi="Arial" w:cs="Arial"/>
          <w:b/>
          <w:color w:val="auto"/>
          <w:szCs w:val="21"/>
          <w:highlight w:val="none"/>
        </w:rPr>
      </w:pPr>
      <w:r>
        <w:rPr>
          <w:rFonts w:hint="eastAsia" w:ascii="Arial" w:hAnsi="Arial" w:cs="Arial"/>
          <w:b/>
          <w:color w:val="auto"/>
          <w:szCs w:val="21"/>
          <w:highlight w:val="none"/>
        </w:rPr>
        <w:t>条款号：附表五《经济标评分表》</w:t>
      </w:r>
      <w:r>
        <w:rPr>
          <w:rFonts w:ascii="Arial" w:hAnsi="Arial" w:cs="Arial"/>
          <w:b/>
          <w:color w:val="auto"/>
          <w:szCs w:val="21"/>
          <w:highlight w:val="none"/>
        </w:rPr>
        <w:t xml:space="preserve">             </w:t>
      </w:r>
      <w:r>
        <w:rPr>
          <w:rFonts w:hint="eastAsia" w:ascii="Arial" w:hAnsi="Arial" w:cs="Arial"/>
          <w:b/>
          <w:color w:val="auto"/>
          <w:szCs w:val="21"/>
          <w:highlight w:val="none"/>
        </w:rPr>
        <w:t>修改类型：修改</w:t>
      </w:r>
    </w:p>
    <w:p>
      <w:pPr>
        <w:pBdr>
          <w:bottom w:val="single" w:color="auto" w:sz="6" w:space="1"/>
        </w:pBdr>
        <w:spacing w:line="360" w:lineRule="auto"/>
        <w:ind w:firstLine="472" w:firstLineChars="224"/>
        <w:rPr>
          <w:rFonts w:ascii="Arial" w:hAnsi="Arial" w:cs="Arial"/>
          <w:bCs/>
          <w:color w:val="auto"/>
          <w:szCs w:val="21"/>
          <w:highlight w:val="none"/>
        </w:rPr>
      </w:pPr>
      <w:r>
        <w:rPr>
          <w:rFonts w:hint="eastAsia" w:ascii="Arial" w:hAnsi="Arial" w:cs="Arial"/>
          <w:b/>
          <w:color w:val="auto"/>
          <w:szCs w:val="21"/>
          <w:highlight w:val="none"/>
        </w:rPr>
        <w:t>原文：</w:t>
      </w:r>
      <w:r>
        <w:rPr>
          <w:rFonts w:hint="eastAsia" w:ascii="Arial" w:hAnsi="Arial" w:cs="Arial"/>
          <w:bCs/>
          <w:color w:val="auto"/>
          <w:szCs w:val="21"/>
          <w:highlight w:val="none"/>
        </w:rPr>
        <w:t>详见《广州市建设工程施工公开招标项目招标文件范本GZZB2018-3》</w:t>
      </w:r>
    </w:p>
    <w:p>
      <w:pPr>
        <w:pBdr>
          <w:bottom w:val="single" w:color="auto" w:sz="6" w:space="1"/>
        </w:pBdr>
        <w:spacing w:line="380" w:lineRule="exact"/>
        <w:ind w:firstLine="527" w:firstLineChars="250"/>
        <w:rPr>
          <w:rFonts w:ascii="Arial" w:hAnsi="Arial" w:cs="Arial"/>
          <w:bCs/>
          <w:color w:val="auto"/>
          <w:szCs w:val="21"/>
          <w:highlight w:val="none"/>
        </w:rPr>
      </w:pPr>
      <w:r>
        <w:rPr>
          <w:rFonts w:hint="eastAsia" w:ascii="Arial" w:hAnsi="Arial" w:cs="Arial"/>
          <w:b/>
          <w:color w:val="auto"/>
          <w:szCs w:val="21"/>
          <w:highlight w:val="none"/>
        </w:rPr>
        <w:t>现文：</w:t>
      </w:r>
      <w:r>
        <w:rPr>
          <w:rFonts w:hint="eastAsia" w:ascii="Arial" w:hAnsi="Arial" w:cs="Arial"/>
          <w:bCs/>
          <w:color w:val="auto"/>
          <w:szCs w:val="21"/>
          <w:highlight w:val="none"/>
        </w:rPr>
        <w:t>详见附表五《经济标评分表》</w:t>
      </w:r>
    </w:p>
    <w:p>
      <w:pPr>
        <w:spacing w:line="360" w:lineRule="auto"/>
        <w:ind w:firstLine="211" w:firstLineChars="100"/>
        <w:rPr>
          <w:rFonts w:ascii="Arial" w:hAnsi="Arial" w:cs="Arial"/>
          <w:b/>
          <w:color w:val="auto"/>
          <w:szCs w:val="21"/>
          <w:highlight w:val="none"/>
        </w:rPr>
      </w:pPr>
      <w:r>
        <w:rPr>
          <w:rFonts w:hint="eastAsia" w:ascii="Arial" w:hAnsi="Arial" w:cs="Arial"/>
          <w:b/>
          <w:color w:val="auto"/>
          <w:szCs w:val="21"/>
          <w:highlight w:val="none"/>
        </w:rPr>
        <w:t>注：以上修改，仅限于本范本中有可供选择条款的情形。</w:t>
      </w:r>
    </w:p>
    <w:p>
      <w:pPr>
        <w:spacing w:line="360" w:lineRule="auto"/>
        <w:rPr>
          <w:rFonts w:ascii="Arial" w:hAnsi="Arial" w:cs="Arial"/>
          <w:color w:val="auto"/>
          <w:highlight w:val="none"/>
        </w:rPr>
      </w:pPr>
      <w:r>
        <w:rPr>
          <w:rFonts w:hint="eastAsia" w:ascii="Arial" w:hAnsi="Arial" w:cs="Arial"/>
          <w:b/>
          <w:color w:val="auto"/>
          <w:szCs w:val="21"/>
          <w:highlight w:val="none"/>
        </w:rPr>
        <w:t>（以下无正文）</w:t>
      </w:r>
    </w:p>
    <w:p>
      <w:pPr>
        <w:pStyle w:val="7"/>
        <w:spacing w:line="360" w:lineRule="auto"/>
        <w:rPr>
          <w:rFonts w:ascii="Arial" w:hAnsi="Arial" w:cs="Arial"/>
          <w:color w:val="auto"/>
          <w:highlight w:val="none"/>
        </w:rPr>
      </w:pPr>
      <w:r>
        <w:rPr>
          <w:rFonts w:ascii="Arial" w:hAnsi="Arial" w:cs="Arial"/>
          <w:color w:val="auto"/>
          <w:highlight w:val="none"/>
        </w:rPr>
        <w:br w:type="page"/>
      </w:r>
    </w:p>
    <w:p>
      <w:pPr>
        <w:pStyle w:val="6"/>
        <w:ind w:firstLine="525"/>
        <w:rPr>
          <w:rFonts w:cs="Arial"/>
          <w:color w:val="auto"/>
          <w:highlight w:val="none"/>
        </w:rPr>
      </w:pPr>
      <w:bookmarkStart w:id="22" w:name="_Toc2272556"/>
      <w:bookmarkStart w:id="23" w:name="_Toc101266289"/>
      <w:r>
        <w:rPr>
          <w:rFonts w:cs="Arial"/>
          <w:color w:val="auto"/>
          <w:highlight w:val="none"/>
        </w:rPr>
        <w:t>二、开标、评标及定标办法</w:t>
      </w:r>
      <w:r>
        <w:rPr>
          <w:rFonts w:cs="Arial"/>
          <w:color w:val="auto"/>
          <w:szCs w:val="30"/>
          <w:highlight w:val="none"/>
        </w:rPr>
        <w:t>通用条款</w:t>
      </w:r>
      <w:bookmarkEnd w:id="22"/>
      <w:bookmarkEnd w:id="23"/>
    </w:p>
    <w:p>
      <w:pPr>
        <w:pStyle w:val="8"/>
        <w:spacing w:before="156" w:after="156"/>
        <w:ind w:firstLine="540" w:firstLineChars="200"/>
        <w:rPr>
          <w:rFonts w:ascii="Arial" w:hAnsi="Arial" w:cs="Arial"/>
          <w:color w:val="auto"/>
          <w:highlight w:val="none"/>
        </w:rPr>
      </w:pPr>
      <w:bookmarkStart w:id="24" w:name="_Toc101266290"/>
      <w:bookmarkStart w:id="25" w:name="_Toc2272557"/>
      <w:r>
        <w:rPr>
          <w:rFonts w:hint="eastAsia" w:ascii="Arial" w:hAnsi="Arial" w:cs="Arial"/>
          <w:color w:val="auto"/>
          <w:highlight w:val="none"/>
        </w:rPr>
        <w:t>（一）总则</w:t>
      </w:r>
      <w:bookmarkEnd w:id="24"/>
      <w:bookmarkEnd w:id="25"/>
    </w:p>
    <w:p>
      <w:pPr>
        <w:spacing w:line="360" w:lineRule="auto"/>
        <w:ind w:firstLine="480" w:firstLineChars="200"/>
        <w:rPr>
          <w:rFonts w:ascii="Arial" w:hAnsi="Arial" w:cs="Arial"/>
          <w:b/>
          <w:color w:val="auto"/>
          <w:sz w:val="24"/>
          <w:szCs w:val="24"/>
          <w:highlight w:val="none"/>
        </w:rPr>
      </w:pPr>
      <w:r>
        <w:rPr>
          <w:rFonts w:ascii="Arial" w:hAnsi="Arial" w:cs="Arial"/>
          <w:color w:val="auto"/>
          <w:sz w:val="24"/>
          <w:szCs w:val="24"/>
          <w:highlight w:val="none"/>
        </w:rPr>
        <w:t xml:space="preserve">35 </w:t>
      </w:r>
      <w:r>
        <w:rPr>
          <w:rFonts w:hint="eastAsia" w:ascii="Arial" w:hAnsi="Arial" w:cs="Arial"/>
          <w:color w:val="auto"/>
          <w:sz w:val="24"/>
          <w:szCs w:val="24"/>
          <w:highlight w:val="none"/>
        </w:rPr>
        <w:t>开标、评标及定标所依据的规则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35.1《中华人民共和国招标投标法》；</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35.2《中华人民共和国招标投标法实施条例》；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35.3《评标委员会和评标方法暂行规定》（七部委第12号令）</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35.4《工程建设项目施工招标投标办法》（七部委2003年第30号令）</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35.5《广东省实施〈中华人民共和国招标投标法〉办法》；</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35.6《房屋建筑和市政基础设施工程施工招标投标管理办法》（建设部令第89号）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35.7《广东省加强建设工程招标投标监督管理的若干规定》（粤发[2004]4号）；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35.8《广州市工程建设项目招标投标管理办法》（穗府办规〔2017〕5号）。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35.9本项目招标文件。</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36．开标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36.1 </w:t>
      </w:r>
      <w:r>
        <w:rPr>
          <w:rFonts w:hint="eastAsia" w:ascii="Arial" w:hAnsi="Arial" w:cs="Arial"/>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36.2 </w:t>
      </w:r>
      <w:r>
        <w:rPr>
          <w:rFonts w:hint="eastAsia" w:ascii="Arial" w:hAnsi="Arial" w:cs="Arial"/>
          <w:color w:val="auto"/>
          <w:sz w:val="24"/>
          <w:szCs w:val="24"/>
          <w:highlight w:val="none"/>
        </w:rPr>
        <w:t>招标人在招标文件要求提交投标文件的截止时间前收到的投标文件，开标时都当众予以解密、公布。</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36.5按下列程序进行开标：</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36.5.1在投标截止时间后半小时内，投标人通过</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交易平台</w:t>
      </w:r>
      <w:r>
        <w:rPr>
          <w:rFonts w:hint="eastAsia" w:ascii="Arial" w:hAnsi="Arial" w:cs="Arial"/>
          <w:color w:val="auto"/>
          <w:sz w:val="24"/>
          <w:highlight w:val="none"/>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36.5.2备用光盘的读取按投标须知前附表第36项的规定执行；</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36.5.4开标结束。</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37．评标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37.1评标委员会由招标人依法组建。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37.2评标委员会的职责及守则：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37.2.1根据评标细则，对</w:t>
      </w:r>
      <w:r>
        <w:rPr>
          <w:rFonts w:hint="eastAsia" w:ascii="Arial" w:hAnsi="Arial" w:cs="Arial"/>
          <w:color w:val="auto"/>
          <w:sz w:val="24"/>
          <w:highlight w:val="none"/>
        </w:rPr>
        <w:t>投标文件</w:t>
      </w:r>
      <w:r>
        <w:rPr>
          <w:rFonts w:hint="eastAsia" w:ascii="Arial" w:hAnsi="Arial" w:cs="Arial"/>
          <w:color w:val="auto"/>
          <w:sz w:val="24"/>
          <w:szCs w:val="24"/>
          <w:highlight w:val="none"/>
        </w:rPr>
        <w:t>进行认真评审，完成评审报告；</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37.2.2向招标人报告评审意见，推荐合格的中标候选人。</w:t>
      </w:r>
    </w:p>
    <w:p>
      <w:pPr>
        <w:spacing w:line="360" w:lineRule="auto"/>
        <w:ind w:firstLine="480" w:firstLineChars="200"/>
        <w:rPr>
          <w:rFonts w:ascii="Arial" w:hAnsi="Arial" w:cs="Arial"/>
          <w:color w:val="auto"/>
          <w:sz w:val="24"/>
          <w:szCs w:val="24"/>
          <w:highlight w:val="none"/>
        </w:rPr>
      </w:pPr>
      <w:r>
        <w:rPr>
          <w:rFonts w:ascii="Arial" w:hAnsi="Arial" w:cs="Arial"/>
          <w:bCs/>
          <w:color w:val="auto"/>
          <w:sz w:val="24"/>
          <w:szCs w:val="24"/>
          <w:highlight w:val="none"/>
        </w:rPr>
        <w:t>37.2.3</w:t>
      </w:r>
      <w:r>
        <w:rPr>
          <w:rFonts w:ascii="Arial" w:hAnsi="Arial" w:cs="Arial"/>
          <w:b/>
          <w:bCs/>
          <w:color w:val="auto"/>
          <w:sz w:val="24"/>
          <w:szCs w:val="24"/>
          <w:highlight w:val="none"/>
        </w:rPr>
        <w:t xml:space="preserve"> </w:t>
      </w:r>
      <w:r>
        <w:rPr>
          <w:rFonts w:hint="eastAsia" w:ascii="Arial" w:hAnsi="Arial" w:cs="Arial"/>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37.2.4全体参与评标人员：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37.2.4.1 </w:t>
      </w:r>
      <w:r>
        <w:rPr>
          <w:rFonts w:hint="eastAsia" w:ascii="Arial" w:hAnsi="Arial" w:cs="Arial"/>
          <w:color w:val="auto"/>
          <w:sz w:val="24"/>
          <w:szCs w:val="24"/>
          <w:highlight w:val="none"/>
        </w:rPr>
        <w:t>必须遵守评标纪律、不得泄密；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37.2.4.2 </w:t>
      </w:r>
      <w:r>
        <w:rPr>
          <w:rFonts w:hint="eastAsia" w:ascii="Arial" w:hAnsi="Arial" w:cs="Arial"/>
          <w:color w:val="auto"/>
          <w:sz w:val="24"/>
          <w:szCs w:val="24"/>
          <w:highlight w:val="none"/>
        </w:rPr>
        <w:t>必须公正、不得循私；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37.2.4.3 </w:t>
      </w:r>
      <w:r>
        <w:rPr>
          <w:rFonts w:hint="eastAsia" w:ascii="Arial" w:hAnsi="Arial" w:cs="Arial"/>
          <w:color w:val="auto"/>
          <w:sz w:val="24"/>
          <w:szCs w:val="24"/>
          <w:highlight w:val="none"/>
        </w:rPr>
        <w:t>必须科学、不得草率；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37.2.4.4 </w:t>
      </w:r>
      <w:r>
        <w:rPr>
          <w:rFonts w:hint="eastAsia" w:ascii="Arial" w:hAnsi="Arial" w:cs="Arial"/>
          <w:color w:val="auto"/>
          <w:sz w:val="24"/>
          <w:szCs w:val="24"/>
          <w:highlight w:val="none"/>
        </w:rPr>
        <w:t>必须客观、不得带有成见；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37.2.4.5 </w:t>
      </w:r>
      <w:r>
        <w:rPr>
          <w:rFonts w:hint="eastAsia" w:ascii="Arial" w:hAnsi="Arial" w:cs="Arial"/>
          <w:color w:val="auto"/>
          <w:sz w:val="24"/>
          <w:szCs w:val="24"/>
          <w:highlight w:val="none"/>
        </w:rPr>
        <w:t>必须平等、不得强加于人；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37.2.4.6 </w:t>
      </w:r>
      <w:r>
        <w:rPr>
          <w:rFonts w:hint="eastAsia" w:ascii="Arial" w:hAnsi="Arial" w:cs="Arial"/>
          <w:color w:val="auto"/>
          <w:sz w:val="24"/>
          <w:szCs w:val="24"/>
          <w:highlight w:val="none"/>
        </w:rPr>
        <w:t>必须严谨、不得随意马虎。</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37.3 评标结束后，评标委员会递交评标报告并依法推荐中标候选人。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38．投标文件的澄清</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38.2 </w:t>
      </w:r>
      <w:r>
        <w:rPr>
          <w:rFonts w:hint="eastAsia" w:ascii="Arial" w:hAnsi="Arial" w:cs="Arial"/>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38.3 </w:t>
      </w:r>
      <w:r>
        <w:rPr>
          <w:rFonts w:hint="eastAsia" w:ascii="Arial" w:hAnsi="Arial" w:cs="Arial"/>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39．定标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39.1 </w:t>
      </w:r>
      <w:r>
        <w:rPr>
          <w:rFonts w:hint="eastAsia" w:ascii="Arial" w:hAnsi="Arial" w:cs="Arial"/>
          <w:color w:val="auto"/>
          <w:sz w:val="24"/>
          <w:szCs w:val="24"/>
          <w:highlight w:val="none"/>
        </w:rPr>
        <w:t>招标人根据评标委员会递交的评标报告，最终审定中标人。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39.2 </w:t>
      </w:r>
      <w:r>
        <w:rPr>
          <w:rFonts w:hint="eastAsia" w:ascii="Arial" w:hAnsi="Arial" w:cs="Arial"/>
          <w:color w:val="auto"/>
          <w:sz w:val="24"/>
          <w:szCs w:val="24"/>
          <w:highlight w:val="none"/>
        </w:rPr>
        <w:t>依法必须进行公开招标的项目，招标人应当确定排名第一的中标候选人为中标人。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39.5 </w:t>
      </w:r>
      <w:r>
        <w:rPr>
          <w:rFonts w:hint="eastAsia" w:ascii="Arial" w:hAnsi="Arial" w:cs="Arial"/>
          <w:color w:val="auto"/>
          <w:sz w:val="24"/>
          <w:szCs w:val="24"/>
          <w:highlight w:val="none"/>
        </w:rPr>
        <w:t>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rFonts w:ascii="Arial" w:hAnsi="Arial" w:cs="Arial"/>
          <w:color w:val="auto"/>
          <w:highlight w:val="none"/>
        </w:rPr>
      </w:pPr>
      <w:bookmarkStart w:id="26" w:name="_Toc2272558"/>
      <w:bookmarkStart w:id="27" w:name="_Toc101266291"/>
      <w:r>
        <w:rPr>
          <w:rFonts w:hint="eastAsia" w:ascii="Arial" w:hAnsi="Arial" w:cs="Arial"/>
          <w:color w:val="auto"/>
          <w:highlight w:val="none"/>
        </w:rPr>
        <w:t>（二）开标评标办法程序和细则</w:t>
      </w:r>
      <w:bookmarkEnd w:id="26"/>
      <w:bookmarkEnd w:id="27"/>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注：以下七种评标办法所述企业综合诚信评价分数即投标截止当日广州市工程招标代理行业协会网站上公布的企业综合诚信评价60日诚信分。</w:t>
      </w:r>
    </w:p>
    <w:p>
      <w:pPr>
        <w:spacing w:line="360" w:lineRule="auto"/>
        <w:ind w:firstLine="480" w:firstLineChars="200"/>
        <w:rPr>
          <w:rFonts w:ascii="Arial" w:hAnsi="Arial" w:cs="Arial"/>
          <w:color w:val="auto"/>
          <w:sz w:val="24"/>
          <w:szCs w:val="24"/>
          <w:highlight w:val="none"/>
        </w:rPr>
      </w:pPr>
    </w:p>
    <w:p>
      <w:pPr>
        <w:pStyle w:val="8"/>
        <w:spacing w:before="156" w:after="156"/>
        <w:ind w:firstLine="540" w:firstLineChars="200"/>
        <w:rPr>
          <w:rFonts w:ascii="Arial" w:hAnsi="Arial" w:cs="Arial"/>
          <w:color w:val="auto"/>
          <w:highlight w:val="none"/>
        </w:rPr>
      </w:pPr>
      <w:bookmarkStart w:id="28" w:name="_Toc101266292"/>
      <w:bookmarkStart w:id="29" w:name="_Toc2272559"/>
      <w:r>
        <w:rPr>
          <w:rFonts w:hint="eastAsia" w:ascii="Arial" w:hAnsi="Arial" w:cs="Arial"/>
          <w:color w:val="auto"/>
          <w:highlight w:val="none"/>
        </w:rPr>
        <w:t>可选办法一（适合综合评分法一，技术标与经济标先后分别开启）</w:t>
      </w:r>
      <w:bookmarkEnd w:id="28"/>
      <w:bookmarkEnd w:id="29"/>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40.2技术标投标文件公开开标；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40.7对通过技术标有效性审查的经济标投标文件公开开标；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40.8按投标须知前附表第25项规定，确定进入第二阶段评审的投标人；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40.9将进入第二阶段评审的投标人进行排序；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40.11评标委员会编写评标报告，向招标人推荐中标候选人名单。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 </w:t>
      </w:r>
      <w:r>
        <w:rPr>
          <w:rFonts w:hint="eastAsia" w:ascii="Arial" w:hAnsi="Arial" w:cs="Arial"/>
          <w:color w:val="auto"/>
          <w:sz w:val="24"/>
          <w:szCs w:val="24"/>
          <w:highlight w:val="none"/>
        </w:rPr>
        <w:t>开标细则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41.2.2先开技术标；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41.2.3对通过技术标有效性审查的投标人开启其经济标投标文件；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41.2.4 </w:t>
      </w:r>
      <w:r>
        <w:rPr>
          <w:rFonts w:hint="eastAsia" w:ascii="Arial" w:hAnsi="Arial" w:cs="Arial"/>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41.3.1 </w:t>
      </w:r>
      <w:r>
        <w:rPr>
          <w:rFonts w:hint="eastAsia" w:ascii="Arial" w:hAnsi="Arial" w:cs="Arial"/>
          <w:color w:val="auto"/>
          <w:sz w:val="24"/>
          <w:szCs w:val="24"/>
          <w:highlight w:val="none"/>
        </w:rPr>
        <w:t>技术标开标时，公布：a、投标人名称；b、</w:t>
      </w:r>
      <w:r>
        <w:rPr>
          <w:rFonts w:hint="eastAsia" w:ascii="Arial" w:hAnsi="Arial" w:cs="Arial"/>
          <w:color w:val="auto"/>
          <w:sz w:val="24"/>
          <w:highlight w:val="none"/>
        </w:rPr>
        <w:t>投标文件</w:t>
      </w:r>
      <w:r>
        <w:rPr>
          <w:rFonts w:hint="eastAsia" w:ascii="Arial" w:hAnsi="Arial" w:cs="Arial"/>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41.3.2 </w:t>
      </w:r>
      <w:r>
        <w:rPr>
          <w:rFonts w:hint="eastAsia" w:ascii="Arial" w:hAnsi="Arial" w:cs="Arial"/>
          <w:color w:val="auto"/>
          <w:sz w:val="24"/>
          <w:szCs w:val="24"/>
          <w:highlight w:val="none"/>
        </w:rPr>
        <w:t>经济标开标前，首先公布技术标通过有效性审查的投标人,招标人依次开启通过技术标有效性审查的投标人的经济标。开标时，公布：a、投标人名称；b、</w:t>
      </w:r>
      <w:r>
        <w:rPr>
          <w:rFonts w:hint="eastAsia" w:ascii="Arial" w:hAnsi="Arial" w:cs="Arial"/>
          <w:color w:val="auto"/>
          <w:sz w:val="24"/>
          <w:highlight w:val="none"/>
        </w:rPr>
        <w:t>投标文件</w:t>
      </w:r>
      <w:r>
        <w:rPr>
          <w:rFonts w:hint="eastAsia" w:ascii="Arial" w:hAnsi="Arial" w:cs="Arial"/>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41.5 </w:t>
      </w:r>
      <w:r>
        <w:rPr>
          <w:rFonts w:hint="eastAsia" w:ascii="Arial" w:hAnsi="Arial" w:cs="Arial"/>
          <w:color w:val="auto"/>
          <w:sz w:val="24"/>
          <w:szCs w:val="24"/>
          <w:highlight w:val="none"/>
        </w:rPr>
        <w:t>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 </w:t>
      </w:r>
      <w:r>
        <w:rPr>
          <w:rFonts w:hint="eastAsia" w:ascii="Arial" w:hAnsi="Arial" w:cs="Arial"/>
          <w:color w:val="auto"/>
          <w:sz w:val="24"/>
          <w:szCs w:val="24"/>
          <w:highlight w:val="none"/>
        </w:rPr>
        <w:t>评标细则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方式一：评标委员会为综合评标委员会，负责评标工作。</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方式二：评标委员会由技术评审组和经济评审组组成。其中：资格审查、技术评审由技术评标组负责，经济评审由经济评审组负责。</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42.2投标人资格审查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42.2.2汇总资格审查情况，编写资格审查报告。</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42.3 </w:t>
      </w:r>
      <w:r>
        <w:rPr>
          <w:rFonts w:hint="eastAsia" w:ascii="Arial" w:hAnsi="Arial" w:cs="Arial"/>
          <w:color w:val="auto"/>
          <w:sz w:val="24"/>
          <w:szCs w:val="24"/>
          <w:highlight w:val="none"/>
        </w:rPr>
        <w:t>第一阶段评审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color w:val="auto"/>
          <w:sz w:val="24"/>
          <w:szCs w:val="24"/>
          <w:highlight w:val="none"/>
        </w:rPr>
      </w:pPr>
      <w:r>
        <w:rPr>
          <w:rFonts w:hint="eastAsia"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42.4 </w:t>
      </w:r>
      <w:r>
        <w:rPr>
          <w:rFonts w:hint="eastAsia" w:ascii="Arial" w:hAnsi="Arial" w:cs="Arial"/>
          <w:color w:val="auto"/>
          <w:sz w:val="24"/>
          <w:szCs w:val="24"/>
          <w:highlight w:val="none"/>
        </w:rPr>
        <w:t>第二阶段评审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 xml:space="preserve">    元），则本项目招标失败，由招标人依法重新招标。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42.4.3将第二阶段投标人按投标须知前附表第30项规定的方法进行排序。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Arial" w:hAnsi="Arial" w:cs="Arial"/>
          <w:color w:val="auto"/>
          <w:sz w:val="24"/>
          <w:highlight w:val="none"/>
        </w:rPr>
        <w:t>投标文件</w:t>
      </w:r>
      <w:r>
        <w:rPr>
          <w:rFonts w:hint="eastAsia" w:ascii="Arial" w:hAnsi="Arial" w:cs="Arial"/>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hint="eastAsia"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hint="eastAsia"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hint="eastAsia"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hint="eastAsia"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hint="eastAsia"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hint="eastAsia"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2"/>
        <w:spacing w:line="360" w:lineRule="auto"/>
        <w:ind w:firstLine="480" w:firstLineChars="200"/>
        <w:rPr>
          <w:rFonts w:ascii="Arial" w:hAnsi="Arial" w:cs="Arial"/>
          <w:color w:val="auto"/>
          <w:sz w:val="24"/>
          <w:szCs w:val="24"/>
          <w:highlight w:val="none"/>
        </w:rPr>
      </w:pPr>
    </w:p>
    <w:p>
      <w:pPr>
        <w:pStyle w:val="8"/>
        <w:spacing w:before="156" w:after="156"/>
        <w:ind w:firstLine="540" w:firstLineChars="200"/>
        <w:rPr>
          <w:rFonts w:ascii="Arial" w:hAnsi="Arial" w:cs="Arial"/>
          <w:color w:val="auto"/>
          <w:highlight w:val="none"/>
        </w:rPr>
      </w:pPr>
      <w:bookmarkStart w:id="30" w:name="_Toc101266293"/>
      <w:bookmarkStart w:id="31" w:name="_Toc2272560"/>
      <w:r>
        <w:rPr>
          <w:rFonts w:hint="eastAsia" w:ascii="Arial" w:hAnsi="Arial" w:cs="Arial"/>
          <w:color w:val="auto"/>
          <w:highlight w:val="none"/>
        </w:rPr>
        <w:t>可选办法二（适合综合评分法一，技术标与经济标同时开启）</w:t>
      </w:r>
      <w:bookmarkEnd w:id="30"/>
      <w:bookmarkEnd w:id="31"/>
    </w:p>
    <w:p>
      <w:pPr>
        <w:pStyle w:val="2"/>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40.7按投标须知前附表第25项规定，确定进入第二阶段评审的投标人；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40.8将进入第二阶段评审的投标人进行排序；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40.10评标委员会编写评标报告，向招标人推荐中标候选人名单。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 </w:t>
      </w:r>
      <w:r>
        <w:rPr>
          <w:rFonts w:hint="eastAsia" w:ascii="Arial" w:hAnsi="Arial" w:cs="Arial"/>
          <w:color w:val="auto"/>
          <w:sz w:val="24"/>
          <w:szCs w:val="24"/>
          <w:highlight w:val="none"/>
        </w:rPr>
        <w:t>开标细则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41.3.1开标时，公布：a、投标人名称；b、</w:t>
      </w:r>
      <w:r>
        <w:rPr>
          <w:rFonts w:hint="eastAsia" w:ascii="Arial" w:hAnsi="Arial" w:cs="Arial"/>
          <w:color w:val="auto"/>
          <w:sz w:val="24"/>
          <w:highlight w:val="none"/>
        </w:rPr>
        <w:t>投标文件</w:t>
      </w:r>
      <w:r>
        <w:rPr>
          <w:rFonts w:hint="eastAsia"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41.5 </w:t>
      </w:r>
      <w:r>
        <w:rPr>
          <w:rFonts w:hint="eastAsia" w:ascii="Arial" w:hAnsi="Arial" w:cs="Arial"/>
          <w:color w:val="auto"/>
          <w:sz w:val="24"/>
          <w:szCs w:val="24"/>
          <w:highlight w:val="none"/>
        </w:rPr>
        <w:t>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 </w:t>
      </w:r>
      <w:r>
        <w:rPr>
          <w:rFonts w:hint="eastAsia" w:ascii="Arial" w:hAnsi="Arial" w:cs="Arial"/>
          <w:color w:val="auto"/>
          <w:sz w:val="24"/>
          <w:szCs w:val="24"/>
          <w:highlight w:val="none"/>
        </w:rPr>
        <w:t>评标细则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42.2投标人资格审查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42.2.2汇总资格审查情况，编写资格审查报告。</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42.3 </w:t>
      </w:r>
      <w:r>
        <w:rPr>
          <w:rFonts w:hint="eastAsia" w:ascii="Arial" w:hAnsi="Arial" w:cs="Arial"/>
          <w:color w:val="auto"/>
          <w:sz w:val="24"/>
          <w:szCs w:val="24"/>
          <w:highlight w:val="none"/>
        </w:rPr>
        <w:t>第一阶段评审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color w:val="auto"/>
          <w:sz w:val="24"/>
          <w:szCs w:val="24"/>
          <w:highlight w:val="none"/>
        </w:rPr>
      </w:pPr>
      <w:r>
        <w:rPr>
          <w:rFonts w:hint="eastAsia"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42.4 </w:t>
      </w:r>
      <w:r>
        <w:rPr>
          <w:rFonts w:hint="eastAsia" w:ascii="Arial" w:hAnsi="Arial" w:cs="Arial"/>
          <w:color w:val="auto"/>
          <w:sz w:val="24"/>
          <w:szCs w:val="24"/>
          <w:highlight w:val="none"/>
        </w:rPr>
        <w:t>第二阶段评审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rPr>
        <w:t xml:space="preserve">      </w:t>
      </w:r>
      <w:r>
        <w:rPr>
          <w:rFonts w:hint="eastAsia" w:ascii="Arial" w:hAnsi="Arial" w:cs="Arial"/>
          <w:color w:val="auto"/>
          <w:sz w:val="24"/>
          <w:szCs w:val="24"/>
          <w:highlight w:val="none"/>
        </w:rPr>
        <w:t>元），则本项目招标失败，由招标人依法重新招标。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42.4.3并将第二阶段投标人按投标须知前附表第30项规定的方法进行排序。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Arial" w:hAnsi="Arial" w:cs="Arial"/>
          <w:color w:val="auto"/>
          <w:sz w:val="24"/>
          <w:highlight w:val="none"/>
        </w:rPr>
        <w:t>投标文件</w:t>
      </w:r>
      <w:r>
        <w:rPr>
          <w:rFonts w:hint="eastAsia" w:ascii="Arial" w:hAnsi="Arial" w:cs="Arial"/>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hint="eastAsia"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hint="eastAsia"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hint="eastAsia"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hint="eastAsia"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hint="eastAsia"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hint="eastAsia"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pStyle w:val="2"/>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8"/>
        <w:ind w:firstLine="540" w:firstLineChars="200"/>
        <w:rPr>
          <w:rFonts w:ascii="Arial" w:hAnsi="Arial" w:cs="Arial"/>
          <w:color w:val="auto"/>
          <w:highlight w:val="none"/>
        </w:rPr>
      </w:pPr>
      <w:bookmarkStart w:id="32" w:name="_Toc101266294"/>
      <w:r>
        <w:rPr>
          <w:rFonts w:hint="eastAsia" w:ascii="Arial" w:hAnsi="Arial" w:cs="Arial"/>
          <w:color w:val="auto"/>
          <w:highlight w:val="none"/>
        </w:rPr>
        <w:t>可选办法三（适合综合评分法二，技术标与经济标先后分别开启）</w:t>
      </w:r>
      <w:bookmarkEnd w:id="32"/>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40.2技术标投标文件公开开标；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40.7对通过技术标有效性审查的经济标投标文件公开开标；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40.8按投标须知前附表第25项规定，确定进入第二阶段评审的投标人；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40.9将进入第二阶段评审的投标人进行排序；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40.11评标委员会编写评标报告，向招标人推荐中标候选人名单。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 </w:t>
      </w:r>
      <w:r>
        <w:rPr>
          <w:rFonts w:hint="eastAsia" w:ascii="Arial" w:hAnsi="Arial" w:cs="Arial"/>
          <w:color w:val="auto"/>
          <w:sz w:val="24"/>
          <w:szCs w:val="24"/>
          <w:highlight w:val="none"/>
        </w:rPr>
        <w:t>开标细则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41.2.2先开技术标；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41.2.3对通过技术标有效性审查的投标人开启其经济标投标文件；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41.2.4 </w:t>
      </w:r>
      <w:r>
        <w:rPr>
          <w:rFonts w:hint="eastAsia" w:ascii="Arial" w:hAnsi="Arial" w:cs="Arial"/>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41.3.1 </w:t>
      </w:r>
      <w:r>
        <w:rPr>
          <w:rFonts w:hint="eastAsia" w:ascii="Arial" w:hAnsi="Arial" w:cs="Arial"/>
          <w:color w:val="auto"/>
          <w:sz w:val="24"/>
          <w:szCs w:val="24"/>
          <w:highlight w:val="none"/>
        </w:rPr>
        <w:t>技术标开标时，公布：a、投标人名称；b、</w:t>
      </w:r>
      <w:r>
        <w:rPr>
          <w:rFonts w:hint="eastAsia" w:ascii="Arial" w:hAnsi="Arial" w:cs="Arial"/>
          <w:color w:val="auto"/>
          <w:sz w:val="24"/>
          <w:highlight w:val="none"/>
        </w:rPr>
        <w:t>投标文件</w:t>
      </w:r>
      <w:r>
        <w:rPr>
          <w:rFonts w:hint="eastAsia" w:ascii="Arial" w:hAnsi="Arial" w:cs="Arial"/>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41.3.2 </w:t>
      </w:r>
      <w:r>
        <w:rPr>
          <w:rFonts w:hint="eastAsia" w:ascii="Arial" w:hAnsi="Arial" w:cs="Arial"/>
          <w:color w:val="auto"/>
          <w:sz w:val="24"/>
          <w:szCs w:val="24"/>
          <w:highlight w:val="none"/>
        </w:rPr>
        <w:t>经济标开标前，首先公布技术标通过有效性审查的投标人,招标人依次开启通过技术标有效性审查的投标人的经济标。开标时，公布：a、投标人名称；b、</w:t>
      </w:r>
      <w:r>
        <w:rPr>
          <w:rFonts w:hint="eastAsia" w:ascii="Arial" w:hAnsi="Arial" w:cs="Arial"/>
          <w:color w:val="auto"/>
          <w:sz w:val="24"/>
          <w:highlight w:val="none"/>
        </w:rPr>
        <w:t>投标文件</w:t>
      </w:r>
      <w:r>
        <w:rPr>
          <w:rFonts w:hint="eastAsia" w:ascii="Arial" w:hAnsi="Arial" w:cs="Arial"/>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41.5 </w:t>
      </w:r>
      <w:r>
        <w:rPr>
          <w:rFonts w:hint="eastAsia" w:ascii="Arial" w:hAnsi="Arial" w:cs="Arial"/>
          <w:color w:val="auto"/>
          <w:sz w:val="24"/>
          <w:szCs w:val="24"/>
          <w:highlight w:val="none"/>
        </w:rPr>
        <w:t>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 </w:t>
      </w:r>
      <w:r>
        <w:rPr>
          <w:rFonts w:hint="eastAsia" w:ascii="Arial" w:hAnsi="Arial" w:cs="Arial"/>
          <w:color w:val="auto"/>
          <w:sz w:val="24"/>
          <w:szCs w:val="24"/>
          <w:highlight w:val="none"/>
        </w:rPr>
        <w:t>评标细则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42.2投标人资格审查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42.2.2汇总资格审查情况，编写资格审查报告。</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42.3 </w:t>
      </w:r>
      <w:r>
        <w:rPr>
          <w:rFonts w:hint="eastAsia" w:ascii="Arial" w:hAnsi="Arial" w:cs="Arial"/>
          <w:color w:val="auto"/>
          <w:sz w:val="24"/>
          <w:szCs w:val="24"/>
          <w:highlight w:val="none"/>
        </w:rPr>
        <w:t>第一阶段评审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color w:val="auto"/>
          <w:sz w:val="24"/>
          <w:szCs w:val="24"/>
          <w:highlight w:val="none"/>
        </w:rPr>
      </w:pPr>
      <w:r>
        <w:rPr>
          <w:rFonts w:hint="eastAsia"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42.4 </w:t>
      </w:r>
      <w:r>
        <w:rPr>
          <w:rFonts w:hint="eastAsia" w:ascii="Arial" w:hAnsi="Arial" w:cs="Arial"/>
          <w:color w:val="auto"/>
          <w:sz w:val="24"/>
          <w:szCs w:val="24"/>
          <w:highlight w:val="none"/>
        </w:rPr>
        <w:t>第二阶段评审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rPr>
        <w:t xml:space="preserve">      </w:t>
      </w:r>
      <w:r>
        <w:rPr>
          <w:rFonts w:hint="eastAsia" w:ascii="Arial" w:hAnsi="Arial" w:cs="Arial"/>
          <w:color w:val="auto"/>
          <w:sz w:val="24"/>
          <w:szCs w:val="24"/>
          <w:highlight w:val="none"/>
        </w:rPr>
        <w:t>元），则本项目招标失败，由招标人依法重新招标。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hint="eastAsia"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hint="eastAsia"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hint="eastAsia"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hint="eastAsia" w:ascii="Arial" w:hAnsi="Arial" w:cs="Arial"/>
          <w:color w:val="auto"/>
          <w:kern w:val="0"/>
          <w:sz w:val="24"/>
          <w:szCs w:val="24"/>
          <w:highlight w:val="none"/>
        </w:rPr>
        <w:t>评标参考价=（Q</w:t>
      </w:r>
      <w:r>
        <w:rPr>
          <w:rFonts w:hint="eastAsia"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hint="eastAsia" w:ascii="Arial" w:hAnsi="Arial" w:cs="Arial"/>
          <w:color w:val="auto"/>
          <w:kern w:val="0"/>
          <w:sz w:val="24"/>
          <w:szCs w:val="24"/>
          <w:highlight w:val="none"/>
          <w:vertAlign w:val="subscript"/>
        </w:rPr>
        <w:t>低</w:t>
      </w:r>
      <w:r>
        <w:rPr>
          <w:rFonts w:hint="eastAsia" w:ascii="Arial" w:hAnsi="Arial" w:cs="Arial"/>
          <w:color w:val="auto"/>
          <w:kern w:val="0"/>
          <w:sz w:val="24"/>
          <w:szCs w:val="24"/>
          <w:highlight w:val="none"/>
        </w:rPr>
        <w:t>）/100*Ｘ+Q</w:t>
      </w:r>
      <w:r>
        <w:rPr>
          <w:rFonts w:hint="eastAsia"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hint="eastAsia" w:ascii="Arial" w:hAnsi="Arial" w:cs="Arial"/>
          <w:color w:val="auto"/>
          <w:sz w:val="24"/>
          <w:szCs w:val="24"/>
          <w:highlight w:val="none"/>
          <w:vertAlign w:val="subscript"/>
        </w:rPr>
        <w:t>低</w:t>
      </w:r>
      <w:r>
        <w:rPr>
          <w:rFonts w:hint="eastAsia"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hint="eastAsia" w:ascii="Arial" w:hAnsi="Arial" w:cs="Arial"/>
          <w:color w:val="auto"/>
          <w:kern w:val="0"/>
          <w:sz w:val="24"/>
          <w:szCs w:val="24"/>
          <w:highlight w:val="none"/>
          <w:vertAlign w:val="subscript"/>
        </w:rPr>
        <w:t>高</w:t>
      </w:r>
      <w:r>
        <w:rPr>
          <w:rFonts w:hint="eastAsia"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hint="eastAsia"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Arial" w:hAnsi="Arial" w:cs="Arial"/>
          <w:color w:val="auto"/>
          <w:sz w:val="24"/>
          <w:highlight w:val="none"/>
        </w:rPr>
        <w:t>投标文件</w:t>
      </w:r>
      <w:r>
        <w:rPr>
          <w:rFonts w:hint="eastAsia" w:ascii="Arial" w:hAnsi="Arial" w:cs="Arial"/>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hint="eastAsia"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hint="eastAsia"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hint="eastAsia"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hint="eastAsia"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hint="eastAsia"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hint="eastAsia"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7"/>
        <w:spacing w:line="360" w:lineRule="auto"/>
        <w:ind w:firstLine="480" w:firstLineChars="200"/>
        <w:rPr>
          <w:rFonts w:ascii="Arial" w:hAnsi="Arial" w:cs="Arial"/>
          <w:color w:val="auto"/>
          <w:sz w:val="24"/>
          <w:szCs w:val="24"/>
          <w:highlight w:val="none"/>
        </w:rPr>
      </w:pPr>
    </w:p>
    <w:p>
      <w:pPr>
        <w:pStyle w:val="8"/>
        <w:spacing w:before="156" w:after="156"/>
        <w:ind w:firstLine="540" w:firstLineChars="200"/>
        <w:rPr>
          <w:rFonts w:ascii="Arial" w:hAnsi="Arial" w:cs="Arial"/>
          <w:color w:val="auto"/>
          <w:highlight w:val="none"/>
        </w:rPr>
      </w:pPr>
      <w:bookmarkStart w:id="33" w:name="_Toc2272561"/>
      <w:bookmarkStart w:id="34" w:name="_Toc101266295"/>
      <w:r>
        <w:rPr>
          <w:rFonts w:hint="eastAsia" w:ascii="Arial" w:hAnsi="Arial" w:cs="Arial"/>
          <w:color w:val="auto"/>
          <w:highlight w:val="none"/>
        </w:rPr>
        <w:t>可选办法四（适合综合评分法二，技术标与经济标同时开启）</w:t>
      </w:r>
      <w:bookmarkEnd w:id="33"/>
      <w:bookmarkEnd w:id="34"/>
    </w:p>
    <w:p>
      <w:pPr>
        <w:pStyle w:val="2"/>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40.7按投标须知前附表第25项规定，确定进入第二阶段评审的投标人；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40.8将进入第二阶段评审的投标人进行排序；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40.10评标委员会编写评标报告，向招标人推荐中标候选人名单。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 </w:t>
      </w:r>
      <w:r>
        <w:rPr>
          <w:rFonts w:hint="eastAsia" w:ascii="Arial" w:hAnsi="Arial" w:cs="Arial"/>
          <w:color w:val="auto"/>
          <w:sz w:val="24"/>
          <w:szCs w:val="24"/>
          <w:highlight w:val="none"/>
        </w:rPr>
        <w:t>开标细则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41.3.1开标时，公布：a、投标人名称；b、</w:t>
      </w:r>
      <w:r>
        <w:rPr>
          <w:rFonts w:hint="eastAsia" w:ascii="Arial" w:hAnsi="Arial" w:cs="Arial"/>
          <w:color w:val="auto"/>
          <w:sz w:val="24"/>
          <w:highlight w:val="none"/>
        </w:rPr>
        <w:t>投标文件</w:t>
      </w:r>
      <w:r>
        <w:rPr>
          <w:rFonts w:hint="eastAsia"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41.5 </w:t>
      </w:r>
      <w:r>
        <w:rPr>
          <w:rFonts w:hint="eastAsia" w:ascii="Arial" w:hAnsi="Arial" w:cs="Arial"/>
          <w:color w:val="auto"/>
          <w:sz w:val="24"/>
          <w:szCs w:val="24"/>
          <w:highlight w:val="none"/>
        </w:rPr>
        <w:t>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 </w:t>
      </w:r>
      <w:r>
        <w:rPr>
          <w:rFonts w:hint="eastAsia" w:ascii="Arial" w:hAnsi="Arial" w:cs="Arial"/>
          <w:color w:val="auto"/>
          <w:sz w:val="24"/>
          <w:szCs w:val="24"/>
          <w:highlight w:val="none"/>
        </w:rPr>
        <w:t>评标细则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42.2投标人资格审查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42.2.2汇总资格审查情况，编写资格审查报告。</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42.3 </w:t>
      </w:r>
      <w:r>
        <w:rPr>
          <w:rFonts w:hint="eastAsia" w:ascii="Arial" w:hAnsi="Arial" w:cs="Arial"/>
          <w:color w:val="auto"/>
          <w:sz w:val="24"/>
          <w:szCs w:val="24"/>
          <w:highlight w:val="none"/>
        </w:rPr>
        <w:t>第一阶段评审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42.4 </w:t>
      </w:r>
      <w:r>
        <w:rPr>
          <w:rFonts w:hint="eastAsia" w:ascii="Arial" w:hAnsi="Arial" w:cs="Arial"/>
          <w:color w:val="auto"/>
          <w:sz w:val="24"/>
          <w:szCs w:val="24"/>
          <w:highlight w:val="none"/>
        </w:rPr>
        <w:t>第二阶段评审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rPr>
        <w:t xml:space="preserve">      </w:t>
      </w:r>
      <w:r>
        <w:rPr>
          <w:rFonts w:hint="eastAsia" w:ascii="Arial" w:hAnsi="Arial" w:cs="Arial"/>
          <w:color w:val="auto"/>
          <w:sz w:val="24"/>
          <w:szCs w:val="24"/>
          <w:highlight w:val="none"/>
        </w:rPr>
        <w:t>元），则本项目招标失败，由招标人依法重新招标。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hint="eastAsia"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hint="eastAsia"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hint="eastAsia"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hint="eastAsia" w:ascii="Arial" w:hAnsi="Arial" w:cs="Arial"/>
          <w:color w:val="auto"/>
          <w:kern w:val="0"/>
          <w:sz w:val="24"/>
          <w:szCs w:val="24"/>
          <w:highlight w:val="none"/>
        </w:rPr>
        <w:t>评标参考价=（Q</w:t>
      </w:r>
      <w:r>
        <w:rPr>
          <w:rFonts w:hint="eastAsia"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hint="eastAsia" w:ascii="Arial" w:hAnsi="Arial" w:cs="Arial"/>
          <w:color w:val="auto"/>
          <w:kern w:val="0"/>
          <w:sz w:val="24"/>
          <w:szCs w:val="24"/>
          <w:highlight w:val="none"/>
          <w:vertAlign w:val="subscript"/>
        </w:rPr>
        <w:t>低</w:t>
      </w:r>
      <w:r>
        <w:rPr>
          <w:rFonts w:hint="eastAsia" w:ascii="Arial" w:hAnsi="Arial" w:cs="Arial"/>
          <w:color w:val="auto"/>
          <w:kern w:val="0"/>
          <w:sz w:val="24"/>
          <w:szCs w:val="24"/>
          <w:highlight w:val="none"/>
        </w:rPr>
        <w:t>）/100*Ｘ+Q</w:t>
      </w:r>
      <w:r>
        <w:rPr>
          <w:rFonts w:hint="eastAsia"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hint="eastAsia" w:ascii="Arial" w:hAnsi="Arial" w:cs="Arial"/>
          <w:color w:val="auto"/>
          <w:sz w:val="24"/>
          <w:szCs w:val="24"/>
          <w:highlight w:val="none"/>
          <w:vertAlign w:val="subscript"/>
        </w:rPr>
        <w:t>低</w:t>
      </w:r>
      <w:r>
        <w:rPr>
          <w:rFonts w:hint="eastAsia"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hint="eastAsia" w:ascii="Arial" w:hAnsi="Arial" w:cs="Arial"/>
          <w:color w:val="auto"/>
          <w:kern w:val="0"/>
          <w:sz w:val="24"/>
          <w:szCs w:val="24"/>
          <w:highlight w:val="none"/>
          <w:vertAlign w:val="subscript"/>
        </w:rPr>
        <w:t>高</w:t>
      </w:r>
      <w:r>
        <w:rPr>
          <w:rFonts w:hint="eastAsia"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hint="eastAsia"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Arial" w:hAnsi="Arial" w:cs="Arial"/>
          <w:color w:val="auto"/>
          <w:sz w:val="24"/>
          <w:highlight w:val="none"/>
        </w:rPr>
        <w:t>投标文件</w:t>
      </w:r>
      <w:r>
        <w:rPr>
          <w:rFonts w:hint="eastAsia" w:ascii="Arial" w:hAnsi="Arial" w:cs="Arial"/>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hint="eastAsia"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hint="eastAsia"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hint="eastAsia"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hint="eastAsia"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hint="eastAsia"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hint="eastAsia"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ascii="Arial" w:hAnsi="Arial" w:cs="Arial"/>
          <w:color w:val="auto"/>
          <w:sz w:val="24"/>
          <w:szCs w:val="24"/>
          <w:highlight w:val="none"/>
        </w:rPr>
      </w:pPr>
    </w:p>
    <w:p>
      <w:pPr>
        <w:pStyle w:val="8"/>
        <w:spacing w:before="156" w:after="156"/>
        <w:ind w:firstLine="540" w:firstLineChars="200"/>
        <w:rPr>
          <w:rFonts w:ascii="Arial" w:hAnsi="Arial" w:cs="Arial"/>
          <w:color w:val="auto"/>
          <w:highlight w:val="none"/>
        </w:rPr>
      </w:pPr>
      <w:bookmarkStart w:id="35" w:name="_Toc101266296"/>
      <w:bookmarkStart w:id="36" w:name="_Toc2272562"/>
      <w:r>
        <w:rPr>
          <w:rFonts w:hint="eastAsia" w:ascii="Arial" w:hAnsi="Arial" w:cs="Arial"/>
          <w:color w:val="auto"/>
          <w:highlight w:val="none"/>
        </w:rPr>
        <w:t>可选办法五（适合综合评分法三，技术标与经济标先后分别开启）</w:t>
      </w:r>
      <w:bookmarkEnd w:id="35"/>
      <w:bookmarkEnd w:id="36"/>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40.2技术标投标文件公开开标；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40.7对通过技术标有效性审查的经济标投标文件公开开标；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40.8按投标须知前附表第25项规定，确定进入第二阶段评审的投标人；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40.9将进入第二阶段评审的投标人进行排序；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40.11评标委员会编写评标报告，向招标人推荐中标候选人名单。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 </w:t>
      </w:r>
      <w:r>
        <w:rPr>
          <w:rFonts w:hint="eastAsia" w:ascii="Arial" w:hAnsi="Arial" w:cs="Arial"/>
          <w:color w:val="auto"/>
          <w:sz w:val="24"/>
          <w:szCs w:val="24"/>
          <w:highlight w:val="none"/>
        </w:rPr>
        <w:t>开标细则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41.2.2先开技术标；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41.2.3对通过技术标有效性审查的投标人开启其经济标投标文件；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41.2.4 </w:t>
      </w:r>
      <w:r>
        <w:rPr>
          <w:rFonts w:hint="eastAsia" w:ascii="Arial" w:hAnsi="Arial" w:cs="Arial"/>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41.3.1 </w:t>
      </w:r>
      <w:r>
        <w:rPr>
          <w:rFonts w:hint="eastAsia" w:ascii="Arial" w:hAnsi="Arial" w:cs="Arial"/>
          <w:color w:val="auto"/>
          <w:sz w:val="24"/>
          <w:szCs w:val="24"/>
          <w:highlight w:val="none"/>
        </w:rPr>
        <w:t>技术标开标时，公布：a、投标人名称；b、</w:t>
      </w:r>
      <w:r>
        <w:rPr>
          <w:rFonts w:hint="eastAsia" w:ascii="Arial" w:hAnsi="Arial" w:cs="Arial"/>
          <w:color w:val="auto"/>
          <w:sz w:val="24"/>
          <w:highlight w:val="none"/>
        </w:rPr>
        <w:t>投标文件</w:t>
      </w:r>
      <w:r>
        <w:rPr>
          <w:rFonts w:hint="eastAsia" w:ascii="Arial" w:hAnsi="Arial" w:cs="Arial"/>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41.3.2 </w:t>
      </w:r>
      <w:r>
        <w:rPr>
          <w:rFonts w:hint="eastAsia" w:ascii="Arial" w:hAnsi="Arial" w:cs="Arial"/>
          <w:color w:val="auto"/>
          <w:sz w:val="24"/>
          <w:szCs w:val="24"/>
          <w:highlight w:val="none"/>
        </w:rPr>
        <w:t>经济标开标前，首先公布技术标通过有效性审查的投标人,招标人依次开启通过技术标有效性审查的投标人的经济标。开标时，公布：a、投标人名称；b、</w:t>
      </w:r>
      <w:r>
        <w:rPr>
          <w:rFonts w:hint="eastAsia" w:ascii="Arial" w:hAnsi="Arial" w:cs="Arial"/>
          <w:color w:val="auto"/>
          <w:sz w:val="24"/>
          <w:highlight w:val="none"/>
        </w:rPr>
        <w:t>投标文件</w:t>
      </w:r>
      <w:r>
        <w:rPr>
          <w:rFonts w:hint="eastAsia" w:ascii="Arial" w:hAnsi="Arial" w:cs="Arial"/>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41.5 </w:t>
      </w:r>
      <w:r>
        <w:rPr>
          <w:rFonts w:hint="eastAsia" w:ascii="Arial" w:hAnsi="Arial" w:cs="Arial"/>
          <w:color w:val="auto"/>
          <w:sz w:val="24"/>
          <w:szCs w:val="24"/>
          <w:highlight w:val="none"/>
        </w:rPr>
        <w:t>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 </w:t>
      </w:r>
      <w:r>
        <w:rPr>
          <w:rFonts w:hint="eastAsia" w:ascii="Arial" w:hAnsi="Arial" w:cs="Arial"/>
          <w:color w:val="auto"/>
          <w:sz w:val="24"/>
          <w:szCs w:val="24"/>
          <w:highlight w:val="none"/>
        </w:rPr>
        <w:t>评标细则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42.2投标人资格审查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42.2.2汇总资格审查情况，编写资格审查报告。</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42.3 </w:t>
      </w:r>
      <w:r>
        <w:rPr>
          <w:rFonts w:hint="eastAsia" w:ascii="Arial" w:hAnsi="Arial" w:cs="Arial"/>
          <w:color w:val="auto"/>
          <w:sz w:val="24"/>
          <w:szCs w:val="24"/>
          <w:highlight w:val="none"/>
        </w:rPr>
        <w:t>第一阶段评审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详细审查评分：评标委员会按照本办法附表</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详细审查评分表》对通过技术标有效性审查的投标文件进行详细审查，评出</w:t>
      </w:r>
      <w:r>
        <w:rPr>
          <w:rFonts w:ascii="Arial" w:hAnsi="Arial" w:cs="Arial"/>
          <w:color w:val="auto"/>
          <w:sz w:val="24"/>
          <w:szCs w:val="24"/>
          <w:highlight w:val="none"/>
        </w:rPr>
        <w:t xml:space="preserve">       </w:t>
      </w:r>
      <w:r>
        <w:rPr>
          <w:rFonts w:hint="eastAsia" w:ascii="Arial" w:hAnsi="Arial" w:cs="Arial"/>
          <w:color w:val="auto"/>
          <w:sz w:val="24"/>
          <w:szCs w:val="24"/>
          <w:highlight w:val="none"/>
        </w:rPr>
        <w:t>得分。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42.3.3评标委员会按照“第一阶段得分=</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ascii="Arial" w:hAnsi="Arial" w:cs="Arial"/>
          <w:color w:val="auto"/>
          <w:sz w:val="24"/>
          <w:szCs w:val="24"/>
          <w:highlight w:val="none"/>
        </w:rPr>
      </w:pPr>
      <w:r>
        <w:rPr>
          <w:rFonts w:hint="eastAsia" w:ascii="Arial" w:hAnsi="Arial" w:cs="Arial"/>
          <w:color w:val="auto"/>
          <w:sz w:val="24"/>
          <w:szCs w:val="24"/>
          <w:highlight w:val="none"/>
        </w:rPr>
        <w:t>42.3.4招标人应在《投标须知前附表》中明确选择使用施工企业总排名或相应的施工专业承包排名计分。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42.4 </w:t>
      </w:r>
      <w:r>
        <w:rPr>
          <w:rFonts w:hint="eastAsia" w:ascii="Arial" w:hAnsi="Arial" w:cs="Arial"/>
          <w:color w:val="auto"/>
          <w:sz w:val="24"/>
          <w:szCs w:val="24"/>
          <w:highlight w:val="none"/>
        </w:rPr>
        <w:t>第二阶段评审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元），则本项目招标失败，由招标人依法重新招标。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hint="eastAsia"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hint="eastAsia"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hint="eastAsia"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hint="eastAsia" w:ascii="Arial" w:hAnsi="Arial" w:cs="Arial"/>
          <w:color w:val="auto"/>
          <w:kern w:val="0"/>
          <w:sz w:val="24"/>
          <w:szCs w:val="24"/>
          <w:highlight w:val="none"/>
        </w:rPr>
        <w:t>评标参考价=（Q</w:t>
      </w:r>
      <w:r>
        <w:rPr>
          <w:rFonts w:hint="eastAsia"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hint="eastAsia" w:ascii="Arial" w:hAnsi="Arial" w:cs="Arial"/>
          <w:color w:val="auto"/>
          <w:kern w:val="0"/>
          <w:sz w:val="24"/>
          <w:szCs w:val="24"/>
          <w:highlight w:val="none"/>
          <w:vertAlign w:val="subscript"/>
        </w:rPr>
        <w:t>低</w:t>
      </w:r>
      <w:r>
        <w:rPr>
          <w:rFonts w:hint="eastAsia" w:ascii="Arial" w:hAnsi="Arial" w:cs="Arial"/>
          <w:color w:val="auto"/>
          <w:kern w:val="0"/>
          <w:sz w:val="24"/>
          <w:szCs w:val="24"/>
          <w:highlight w:val="none"/>
        </w:rPr>
        <w:t>）/100*Ｘ+Q</w:t>
      </w:r>
      <w:r>
        <w:rPr>
          <w:rFonts w:hint="eastAsia"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hint="eastAsia" w:ascii="Arial" w:hAnsi="Arial" w:cs="Arial"/>
          <w:color w:val="auto"/>
          <w:sz w:val="24"/>
          <w:szCs w:val="24"/>
          <w:highlight w:val="none"/>
          <w:vertAlign w:val="subscript"/>
        </w:rPr>
        <w:t>低</w:t>
      </w:r>
      <w:r>
        <w:rPr>
          <w:rFonts w:hint="eastAsia"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hint="eastAsia" w:ascii="Arial" w:hAnsi="Arial" w:cs="Arial"/>
          <w:color w:val="auto"/>
          <w:kern w:val="0"/>
          <w:sz w:val="24"/>
          <w:szCs w:val="24"/>
          <w:highlight w:val="none"/>
          <w:vertAlign w:val="subscript"/>
        </w:rPr>
        <w:t>高</w:t>
      </w:r>
      <w:r>
        <w:rPr>
          <w:rFonts w:hint="eastAsia"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hint="eastAsia"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42.4.3.3评标委员会按投标须知前附表第32项的规定确定排序。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Arial" w:hAnsi="Arial" w:cs="Arial"/>
          <w:color w:val="auto"/>
          <w:sz w:val="24"/>
          <w:highlight w:val="none"/>
        </w:rPr>
        <w:t>投标文件</w:t>
      </w:r>
      <w:r>
        <w:rPr>
          <w:rFonts w:hint="eastAsia" w:ascii="Arial" w:hAnsi="Arial" w:cs="Arial"/>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hint="eastAsia"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hint="eastAsia"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hint="eastAsia"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hint="eastAsia"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hint="eastAsia"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hint="eastAsia"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7"/>
        <w:spacing w:line="360" w:lineRule="auto"/>
        <w:ind w:firstLine="480" w:firstLineChars="200"/>
        <w:rPr>
          <w:rFonts w:ascii="Arial" w:hAnsi="Arial" w:cs="Arial"/>
          <w:color w:val="auto"/>
          <w:sz w:val="24"/>
          <w:szCs w:val="24"/>
          <w:highlight w:val="none"/>
        </w:rPr>
      </w:pPr>
    </w:p>
    <w:p>
      <w:pPr>
        <w:pStyle w:val="8"/>
        <w:spacing w:before="156" w:after="156"/>
        <w:ind w:firstLine="540" w:firstLineChars="200"/>
        <w:rPr>
          <w:rFonts w:ascii="Arial" w:hAnsi="Arial" w:cs="Arial"/>
          <w:color w:val="auto"/>
          <w:highlight w:val="none"/>
        </w:rPr>
      </w:pPr>
      <w:bookmarkStart w:id="37" w:name="_Toc2272563"/>
      <w:bookmarkStart w:id="38" w:name="_Toc101266297"/>
      <w:r>
        <w:rPr>
          <w:rFonts w:hint="eastAsia" w:ascii="Arial" w:hAnsi="Arial" w:cs="Arial"/>
          <w:color w:val="auto"/>
          <w:highlight w:val="none"/>
        </w:rPr>
        <w:t>可选办法六（适合综合评分法三，技术标与经济标同时开启）</w:t>
      </w:r>
      <w:bookmarkEnd w:id="37"/>
      <w:bookmarkEnd w:id="38"/>
    </w:p>
    <w:p>
      <w:pPr>
        <w:pStyle w:val="2"/>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40.7按投标须知前附表第25项规定，确定进入第二阶段评审的投标人；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40.8将进入第二阶段评审的投标人进行排序；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40.10评标委员会编写评标报告，向招标人推荐中标候选人名单。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 </w:t>
      </w:r>
      <w:r>
        <w:rPr>
          <w:rFonts w:hint="eastAsia" w:ascii="Arial" w:hAnsi="Arial" w:cs="Arial"/>
          <w:color w:val="auto"/>
          <w:sz w:val="24"/>
          <w:szCs w:val="24"/>
          <w:highlight w:val="none"/>
        </w:rPr>
        <w:t>开标细则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41.3.1开标时，公布：a、投标人名称；b、</w:t>
      </w:r>
      <w:r>
        <w:rPr>
          <w:rFonts w:hint="eastAsia" w:ascii="Arial" w:hAnsi="Arial" w:cs="Arial"/>
          <w:color w:val="auto"/>
          <w:sz w:val="24"/>
          <w:highlight w:val="none"/>
        </w:rPr>
        <w:t>投标文件</w:t>
      </w:r>
      <w:r>
        <w:rPr>
          <w:rFonts w:hint="eastAsia"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41.5 </w:t>
      </w:r>
      <w:r>
        <w:rPr>
          <w:rFonts w:hint="eastAsia" w:ascii="Arial" w:hAnsi="Arial" w:cs="Arial"/>
          <w:color w:val="auto"/>
          <w:sz w:val="24"/>
          <w:szCs w:val="24"/>
          <w:highlight w:val="none"/>
        </w:rPr>
        <w:t>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 </w:t>
      </w:r>
      <w:r>
        <w:rPr>
          <w:rFonts w:hint="eastAsia" w:ascii="Arial" w:hAnsi="Arial" w:cs="Arial"/>
          <w:color w:val="auto"/>
          <w:sz w:val="24"/>
          <w:szCs w:val="24"/>
          <w:highlight w:val="none"/>
        </w:rPr>
        <w:t>评标细则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42.2投标人资格审查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42.2.2汇总资格审查情况，编写资格审查报告。</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42.3 </w:t>
      </w:r>
      <w:r>
        <w:rPr>
          <w:rFonts w:hint="eastAsia" w:ascii="Arial" w:hAnsi="Arial" w:cs="Arial"/>
          <w:color w:val="auto"/>
          <w:sz w:val="24"/>
          <w:szCs w:val="24"/>
          <w:highlight w:val="none"/>
        </w:rPr>
        <w:t>第一阶段评审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详细审查评分：评标委员会按照本办法附表</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详细审查评分表》对通过技术标有效性审查的投标文件进行详细审查，评出</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得分。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42.3.4评标委员会按照“第一阶段得分=</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42.4 </w:t>
      </w:r>
      <w:r>
        <w:rPr>
          <w:rFonts w:hint="eastAsia" w:ascii="Arial" w:hAnsi="Arial" w:cs="Arial"/>
          <w:color w:val="auto"/>
          <w:sz w:val="24"/>
          <w:szCs w:val="24"/>
          <w:highlight w:val="none"/>
        </w:rPr>
        <w:t>第二阶段评审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元），则本项目招标失败，由招标人依法重新招标。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hint="eastAsia"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hint="eastAsia"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hint="eastAsia"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hint="eastAsia" w:ascii="Arial" w:hAnsi="Arial" w:cs="Arial"/>
          <w:color w:val="auto"/>
          <w:kern w:val="0"/>
          <w:sz w:val="24"/>
          <w:szCs w:val="24"/>
          <w:highlight w:val="none"/>
        </w:rPr>
        <w:t>评标参考价=（Q</w:t>
      </w:r>
      <w:r>
        <w:rPr>
          <w:rFonts w:hint="eastAsia"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hint="eastAsia" w:ascii="Arial" w:hAnsi="Arial" w:cs="Arial"/>
          <w:color w:val="auto"/>
          <w:kern w:val="0"/>
          <w:sz w:val="24"/>
          <w:szCs w:val="24"/>
          <w:highlight w:val="none"/>
          <w:vertAlign w:val="subscript"/>
        </w:rPr>
        <w:t>低</w:t>
      </w:r>
      <w:r>
        <w:rPr>
          <w:rFonts w:hint="eastAsia" w:ascii="Arial" w:hAnsi="Arial" w:cs="Arial"/>
          <w:color w:val="auto"/>
          <w:kern w:val="0"/>
          <w:sz w:val="24"/>
          <w:szCs w:val="24"/>
          <w:highlight w:val="none"/>
        </w:rPr>
        <w:t>）/100*Ｘ+Q</w:t>
      </w:r>
      <w:r>
        <w:rPr>
          <w:rFonts w:hint="eastAsia"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hint="eastAsia" w:ascii="Arial" w:hAnsi="Arial" w:cs="Arial"/>
          <w:color w:val="auto"/>
          <w:sz w:val="24"/>
          <w:szCs w:val="24"/>
          <w:highlight w:val="none"/>
          <w:vertAlign w:val="subscript"/>
        </w:rPr>
        <w:t>低</w:t>
      </w:r>
      <w:r>
        <w:rPr>
          <w:rFonts w:hint="eastAsia"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hint="eastAsia" w:ascii="Arial" w:hAnsi="Arial" w:cs="Arial"/>
          <w:color w:val="auto"/>
          <w:kern w:val="0"/>
          <w:sz w:val="24"/>
          <w:szCs w:val="24"/>
          <w:highlight w:val="none"/>
          <w:vertAlign w:val="subscript"/>
        </w:rPr>
        <w:t>高</w:t>
      </w:r>
      <w:r>
        <w:rPr>
          <w:rFonts w:hint="eastAsia"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hint="eastAsia"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42.4.3.3评标委员会按投标须知前附表第32项的规定确定排序。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Arial" w:hAnsi="Arial" w:cs="Arial"/>
          <w:color w:val="auto"/>
          <w:sz w:val="24"/>
          <w:highlight w:val="none"/>
        </w:rPr>
        <w:t>投标文件</w:t>
      </w:r>
      <w:r>
        <w:rPr>
          <w:rFonts w:hint="eastAsia" w:ascii="Arial" w:hAnsi="Arial" w:cs="Arial"/>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hint="eastAsia"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hint="eastAsia"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hint="eastAsia"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hint="eastAsia"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hint="eastAsia"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hint="eastAsia"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ascii="Arial" w:hAnsi="Arial" w:cs="Arial"/>
          <w:color w:val="auto"/>
          <w:sz w:val="24"/>
          <w:szCs w:val="24"/>
          <w:highlight w:val="none"/>
        </w:rPr>
      </w:pPr>
    </w:p>
    <w:p>
      <w:pPr>
        <w:pStyle w:val="8"/>
        <w:spacing w:before="156" w:after="156"/>
        <w:ind w:firstLine="540" w:firstLineChars="200"/>
        <w:rPr>
          <w:rFonts w:ascii="Arial" w:hAnsi="Arial" w:cs="Arial"/>
          <w:color w:val="auto"/>
          <w:highlight w:val="none"/>
        </w:rPr>
      </w:pPr>
      <w:bookmarkStart w:id="39" w:name="_Toc101266298"/>
      <w:bookmarkStart w:id="40" w:name="_Toc2272564"/>
      <w:r>
        <w:rPr>
          <w:rFonts w:hint="eastAsia" w:ascii="Arial" w:hAnsi="Arial" w:cs="Arial"/>
          <w:color w:val="auto"/>
          <w:highlight w:val="none"/>
        </w:rPr>
        <w:t>可选办法七（适合综合评分法四，技术标与经济标同时开启）</w:t>
      </w:r>
      <w:bookmarkEnd w:id="39"/>
      <w:bookmarkEnd w:id="40"/>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40．开标和评标程序</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40.1技术标（含资格审查文件）与经济标投标文件同时公开开标；</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40.2由评标委员会对所有已公开开标的投标人进行资格审查；</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40.3技术标投标文件有效性审查；</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40.4技术标详细审查评分；</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40.5经济标详细审查评分； </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40.6评标委员会按照投标人总得分由高至低排序；</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40.7经济标投标文件有效性审查；</w:t>
      </w:r>
    </w:p>
    <w:p>
      <w:pPr>
        <w:snapToGrid w:val="0"/>
        <w:spacing w:line="360" w:lineRule="auto"/>
        <w:ind w:firstLine="480" w:firstLineChars="200"/>
        <w:rPr>
          <w:rFonts w:ascii="Arial" w:hAnsi="Arial" w:cs="Arial"/>
          <w:color w:val="auto"/>
          <w:szCs w:val="21"/>
          <w:highlight w:val="none"/>
        </w:rPr>
      </w:pPr>
      <w:r>
        <w:rPr>
          <w:rFonts w:hint="eastAsia" w:ascii="Arial" w:hAnsi="Arial" w:cs="Arial"/>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41．开标细则</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41.1开标由招标人主持；</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41.2 </w:t>
      </w:r>
      <w:r>
        <w:rPr>
          <w:rFonts w:hint="eastAsia" w:ascii="Arial" w:hAnsi="Arial" w:cs="Arial"/>
          <w:color w:val="auto"/>
          <w:sz w:val="24"/>
          <w:szCs w:val="24"/>
          <w:highlight w:val="none"/>
        </w:rPr>
        <w:t>细则</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41.2.4.1开标时，公布：a、投标人名称；b、</w:t>
      </w:r>
      <w:r>
        <w:rPr>
          <w:rFonts w:hint="eastAsia" w:ascii="Arial" w:hAnsi="Arial" w:cs="Arial"/>
          <w:color w:val="auto"/>
          <w:sz w:val="24"/>
          <w:highlight w:val="none"/>
        </w:rPr>
        <w:t>投标文件</w:t>
      </w:r>
      <w:r>
        <w:rPr>
          <w:rFonts w:hint="eastAsia"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41.4 </w:t>
      </w:r>
      <w:r>
        <w:rPr>
          <w:rFonts w:hint="eastAsia" w:ascii="Arial" w:hAnsi="Arial" w:cs="Arial"/>
          <w:color w:val="auto"/>
          <w:sz w:val="24"/>
          <w:szCs w:val="24"/>
          <w:highlight w:val="none"/>
        </w:rPr>
        <w:t>招标人将上述符合要求的投标文件，送至评标委员会进行评审。</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 </w:t>
      </w:r>
      <w:r>
        <w:rPr>
          <w:rFonts w:hint="eastAsia" w:ascii="Arial" w:hAnsi="Arial" w:cs="Arial"/>
          <w:color w:val="auto"/>
          <w:sz w:val="24"/>
          <w:szCs w:val="24"/>
          <w:highlight w:val="none"/>
        </w:rPr>
        <w:t>资格审查及评标细则</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42.1资格审查及评标均由招标人依法组建的评标委员会负责。</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42.2评标委员会的组成：方式</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w:t>
      </w:r>
    </w:p>
    <w:p>
      <w:pPr>
        <w:snapToGrid w:val="0"/>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方式一：评标委员会为综合评标委员会，负责资格审查及评标工作。</w:t>
      </w:r>
    </w:p>
    <w:p>
      <w:pPr>
        <w:pStyle w:val="2"/>
        <w:tabs>
          <w:tab w:val="left" w:pos="7380"/>
        </w:tabs>
        <w:snapToGrid w:val="0"/>
        <w:spacing w:after="0" w:line="360" w:lineRule="auto"/>
        <w:rPr>
          <w:rFonts w:ascii="Arial" w:hAnsi="Arial" w:cs="Arial"/>
          <w:color w:val="auto"/>
          <w:sz w:val="24"/>
          <w:szCs w:val="24"/>
          <w:highlight w:val="none"/>
        </w:rPr>
      </w:pPr>
      <w:r>
        <w:rPr>
          <w:rFonts w:hint="eastAsia" w:ascii="Arial" w:hAnsi="Arial" w:cs="Arial"/>
          <w:color w:val="auto"/>
          <w:sz w:val="24"/>
          <w:szCs w:val="24"/>
          <w:highlight w:val="none"/>
        </w:rPr>
        <w:t>方式二：评标委员会由技术评审组和经济评审组组成。其中：资格审查及技术评审由技术评标组负责，经济评审由经济评审组负责。</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43．投标人资格审查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43.2汇总资格审查情况，编写资格审查报告。</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43.3资格审查不合格的投标文件不参加下一阶段的评标，不参与评标参考价的计算。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43.5资审合格后，投标人的资格发生变化而不满足投标人合格条件，在发出中标通知书前，资格问题仍未解决的，招标人将取消其中标资格。</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43.6资格审查合格的投标人少于3名的（当N个标段同时招标且不允许兼中时，资格审查合格的投标人少于N+2名），则本项目招标失败。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44．技术标评审</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45．经济标评审和得分汇总</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45.1若通过技术标有效性审查的投标人中所有投标报价均大于等于最高投标限价*D%（D的取值范围为[94,100],由招标人自主确定）的（具体金额为：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元），则本项目招标失败，由招标人依法重新招标。</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 45.2按方法</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hint="eastAsia"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hint="eastAsia"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hint="eastAsia"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hint="eastAsia" w:ascii="Arial" w:hAnsi="Arial" w:cs="Arial"/>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hint="eastAsia" w:ascii="Arial" w:hAnsi="Arial" w:cs="Arial"/>
          <w:color w:val="auto"/>
          <w:kern w:val="0"/>
          <w:sz w:val="24"/>
          <w:szCs w:val="24"/>
          <w:highlight w:val="none"/>
        </w:rPr>
        <w:t>评标参考价=（Q</w:t>
      </w:r>
      <w:r>
        <w:rPr>
          <w:rFonts w:hint="eastAsia"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hint="eastAsia" w:ascii="Arial" w:hAnsi="Arial" w:cs="Arial"/>
          <w:color w:val="auto"/>
          <w:kern w:val="0"/>
          <w:sz w:val="24"/>
          <w:szCs w:val="24"/>
          <w:highlight w:val="none"/>
          <w:vertAlign w:val="subscript"/>
        </w:rPr>
        <w:t>低</w:t>
      </w:r>
      <w:r>
        <w:rPr>
          <w:rFonts w:hint="eastAsia" w:ascii="Arial" w:hAnsi="Arial" w:cs="Arial"/>
          <w:color w:val="auto"/>
          <w:kern w:val="0"/>
          <w:sz w:val="24"/>
          <w:szCs w:val="24"/>
          <w:highlight w:val="none"/>
        </w:rPr>
        <w:t>）/100*Ｘ+Q</w:t>
      </w:r>
      <w:r>
        <w:rPr>
          <w:rFonts w:hint="eastAsia"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hint="eastAsia" w:ascii="Arial" w:hAnsi="Arial" w:cs="Arial"/>
          <w:color w:val="auto"/>
          <w:sz w:val="24"/>
          <w:szCs w:val="24"/>
          <w:highlight w:val="none"/>
          <w:vertAlign w:val="subscript"/>
        </w:rPr>
        <w:t>低</w:t>
      </w:r>
      <w:r>
        <w:rPr>
          <w:rFonts w:hint="eastAsia"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hint="eastAsia" w:ascii="Arial" w:hAnsi="Arial" w:cs="Arial"/>
          <w:color w:val="auto"/>
          <w:kern w:val="0"/>
          <w:sz w:val="24"/>
          <w:szCs w:val="24"/>
          <w:highlight w:val="none"/>
          <w:vertAlign w:val="subscript"/>
        </w:rPr>
        <w:t>高</w:t>
      </w:r>
      <w:r>
        <w:rPr>
          <w:rFonts w:hint="eastAsia"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45.3</w:t>
      </w:r>
      <w:r>
        <w:rPr>
          <w:rFonts w:hint="eastAsia"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46.经济标的有效性审查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Arial" w:hAnsi="Arial" w:cs="Arial"/>
          <w:color w:val="auto"/>
          <w:sz w:val="24"/>
          <w:highlight w:val="none"/>
        </w:rPr>
        <w:t>投标文件</w:t>
      </w:r>
      <w:r>
        <w:rPr>
          <w:rFonts w:hint="eastAsia" w:ascii="Arial" w:hAnsi="Arial" w:cs="Arial"/>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46.2.1如果数字表示的金额和用文字表示的金额不一致时，应以文字表示的金额为准；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 46.2.2经算术复核的投标人报价与其投标报价不一致时，按就低不就高原则确定其最终报价；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46.2.6</w:t>
      </w:r>
      <w:r>
        <w:rPr>
          <w:rFonts w:hint="eastAsia" w:ascii="宋体" w:hAnsi="宋体" w:cs="宋体"/>
          <w:color w:val="auto"/>
          <w:sz w:val="24"/>
          <w:szCs w:val="24"/>
          <w:highlight w:val="none"/>
        </w:rPr>
        <w:t>①</w:t>
      </w:r>
      <w:r>
        <w:rPr>
          <w:rFonts w:hint="eastAsia"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hint="eastAsia"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hint="eastAsia"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hint="eastAsia"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hint="eastAsia"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hint="eastAsia"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49.若通过经济标有效性审查的投标人不足三家，应当依法重新招标。（当N个标段同时招标且不允许兼中时，若有效投标人不足N+2家，应当依法重新招标）</w:t>
      </w:r>
    </w:p>
    <w:p>
      <w:pPr>
        <w:pStyle w:val="8"/>
        <w:spacing w:before="156" w:after="156"/>
        <w:ind w:firstLine="540" w:firstLineChars="200"/>
        <w:rPr>
          <w:rFonts w:ascii="Arial" w:hAnsi="Arial" w:cs="Arial"/>
          <w:color w:val="auto"/>
          <w:highlight w:val="none"/>
        </w:rPr>
      </w:pPr>
      <w:bookmarkStart w:id="41" w:name="_Toc101266299"/>
      <w:bookmarkStart w:id="42" w:name="_Toc2272565"/>
      <w:r>
        <w:rPr>
          <w:rFonts w:hint="eastAsia" w:ascii="Arial" w:hAnsi="Arial" w:cs="Arial"/>
          <w:color w:val="auto"/>
          <w:highlight w:val="none"/>
        </w:rPr>
        <w:t>可选办法八（适合经评审的最低投标价法，技术标与经济标同时开启）</w:t>
      </w:r>
      <w:bookmarkEnd w:id="41"/>
      <w:bookmarkEnd w:id="42"/>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 </w:t>
      </w:r>
      <w:r>
        <w:rPr>
          <w:rFonts w:hint="eastAsia" w:ascii="Arial" w:hAnsi="Arial" w:cs="Arial"/>
          <w:color w:val="auto"/>
          <w:sz w:val="24"/>
          <w:szCs w:val="24"/>
          <w:highlight w:val="none"/>
        </w:rPr>
        <w:t>开标和评标程序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40.5对经济标投标报价进行算术校核；</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40.6计算投标人总得分，并按总得分从高到低，确定经济标评审排序；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40.7按排序对经济标投标文件进行有效性审查，直至评出所有中标候选人；</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40.8评标委员会编写经济标评审报告，向招标人推荐中标候选人。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 </w:t>
      </w:r>
      <w:r>
        <w:rPr>
          <w:rFonts w:hint="eastAsia" w:ascii="Arial" w:hAnsi="Arial" w:cs="Arial"/>
          <w:color w:val="auto"/>
          <w:sz w:val="24"/>
          <w:szCs w:val="24"/>
          <w:highlight w:val="none"/>
        </w:rPr>
        <w:t>开标细则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41.3.1开标时，公布：a、投标人名称；b、</w:t>
      </w:r>
      <w:r>
        <w:rPr>
          <w:rFonts w:hint="eastAsia" w:ascii="Arial" w:hAnsi="Arial" w:cs="Arial"/>
          <w:color w:val="auto"/>
          <w:sz w:val="24"/>
          <w:highlight w:val="none"/>
        </w:rPr>
        <w:t>投标文件</w:t>
      </w:r>
      <w:r>
        <w:rPr>
          <w:rFonts w:hint="eastAsia"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41.5 </w:t>
      </w:r>
      <w:r>
        <w:rPr>
          <w:rFonts w:hint="eastAsia" w:ascii="Arial" w:hAnsi="Arial" w:cs="Arial"/>
          <w:color w:val="auto"/>
          <w:sz w:val="24"/>
          <w:szCs w:val="24"/>
          <w:highlight w:val="none"/>
        </w:rPr>
        <w:t>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42.评标细则</w:t>
      </w:r>
    </w:p>
    <w:p>
      <w:pPr>
        <w:widowControl/>
        <w:spacing w:line="360" w:lineRule="auto"/>
        <w:ind w:firstLine="480" w:firstLineChars="200"/>
        <w:jc w:val="left"/>
        <w:rPr>
          <w:rFonts w:ascii="Arial" w:hAnsi="Arial" w:cs="Arial"/>
          <w:color w:val="auto"/>
          <w:sz w:val="24"/>
          <w:szCs w:val="24"/>
          <w:highlight w:val="none"/>
        </w:rPr>
      </w:pPr>
      <w:r>
        <w:rPr>
          <w:rFonts w:hint="eastAsia" w:ascii="Arial" w:hAnsi="Arial" w:cs="Arial"/>
          <w:color w:val="auto"/>
          <w:sz w:val="24"/>
          <w:szCs w:val="24"/>
          <w:highlight w:val="none"/>
        </w:rPr>
        <w:t>42.1评标委员会的组成：评标委员会为综合评标委员会，负责评标工作。</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42.2投标人资格审查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42.2.2汇总资格审查情况，编写资格审查报告。</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sz w:val="24"/>
          <w:szCs w:val="24"/>
          <w:highlight w:val="none"/>
        </w:rPr>
        <w:t>42.2.6资格审查合格的投标人少于3名的（当N个标段同时招标且不允许兼中时，资格审查合格的投标人少于N+2名），则本项目招标失败。</w:t>
      </w:r>
      <w:r>
        <w:rPr>
          <w:rFonts w:ascii="Arial" w:hAnsi="Arial" w:cs="Arial"/>
          <w:color w:val="auto"/>
          <w:kern w:val="0"/>
          <w:sz w:val="24"/>
          <w:szCs w:val="24"/>
          <w:highlight w:val="none"/>
        </w:rPr>
        <w:t xml:space="preserve">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42.4投标文件算术校核：</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评标委员会将对通过技术标有效性审查的投标文件投标报价按照就低不就高的原则进行算术校核，具体标准如下：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42.4.2经算术复核的中标候选人报价与其投标报价不一致时，按就低不就高原则确定其最终报价；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42.4.6 </w:t>
      </w:r>
      <w:r>
        <w:rPr>
          <w:rFonts w:hint="eastAsia" w:ascii="宋体" w:hAnsi="宋体" w:cs="宋体"/>
          <w:color w:val="auto"/>
          <w:sz w:val="24"/>
          <w:szCs w:val="24"/>
          <w:highlight w:val="none"/>
        </w:rPr>
        <w:t>①</w:t>
      </w:r>
      <w:r>
        <w:rPr>
          <w:rFonts w:hint="eastAsia"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hint="eastAsia"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hint="eastAsia"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hint="eastAsia"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hint="eastAsia"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hint="eastAsia"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42.5确定投标文件的评审次序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42.5.1确定评标参考价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42.5.1.1企业综合诚信评价分数前</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名（不少于100名，由招标人在招标文件中明确）且经算术校核后的最低投标报价为评标参考价。</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42.5.2计算投标人的总得分（满分为100分）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42.5.2.1当标价等于评标参考价时得100分，标价每高于评标参考价1%，扣1.5分；扣至0分为止，得分精确到小数点后两位。标价低于评标参考价的，得0分。</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42.5.3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42.5.4招标人应在《投标须知前附表》中明确选择使用施工企业总排名或相应的施工专业承包排名计分。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42.6 </w:t>
      </w:r>
      <w:r>
        <w:rPr>
          <w:rFonts w:hint="eastAsia" w:ascii="Arial" w:hAnsi="Arial" w:cs="Arial"/>
          <w:color w:val="auto"/>
          <w:sz w:val="24"/>
          <w:szCs w:val="24"/>
          <w:highlight w:val="none"/>
        </w:rPr>
        <w:t>投标文件的有效性审查</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42.7评标结束后，评标委员会应当在通过投标文件有效性审查的投标人中，按照原投标文件的评审次序，推荐前3名依次为第一中标候选人至第三中标候选人，并编写评标报告。</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42.8若有效投标人不足三家，应当依法重新招标。（当N个标段同时招标且不允许兼中时，若有效投标人不足N+2家，应当依法重新招标）</w:t>
      </w:r>
    </w:p>
    <w:p>
      <w:pPr>
        <w:spacing w:line="360" w:lineRule="auto"/>
        <w:rPr>
          <w:rFonts w:ascii="Arial" w:hAnsi="Arial" w:cs="Arial"/>
          <w:color w:val="auto"/>
          <w:sz w:val="24"/>
          <w:szCs w:val="24"/>
          <w:highlight w:val="none"/>
        </w:rPr>
      </w:pPr>
      <w:r>
        <w:rPr>
          <w:rFonts w:ascii="Arial" w:hAnsi="Arial" w:cs="Arial"/>
          <w:color w:val="auto"/>
          <w:sz w:val="24"/>
          <w:szCs w:val="24"/>
          <w:highlight w:val="none"/>
        </w:rPr>
        <w:br w:type="page"/>
      </w:r>
    </w:p>
    <w:p>
      <w:pPr>
        <w:widowControl/>
        <w:snapToGrid w:val="0"/>
        <w:spacing w:line="360" w:lineRule="auto"/>
        <w:ind w:right="102"/>
        <w:jc w:val="left"/>
        <w:rPr>
          <w:rFonts w:ascii="Arial" w:hAnsi="Arial" w:cs="Arial"/>
          <w:color w:val="auto"/>
          <w:szCs w:val="21"/>
          <w:highlight w:val="none"/>
        </w:rPr>
      </w:pPr>
      <w:r>
        <w:rPr>
          <w:rFonts w:hint="eastAsia" w:ascii="Arial" w:hAnsi="Arial" w:cs="Arial"/>
          <w:color w:val="auto"/>
          <w:szCs w:val="21"/>
          <w:highlight w:val="none"/>
        </w:rPr>
        <w:t>附表一：</w:t>
      </w:r>
    </w:p>
    <w:p>
      <w:pPr>
        <w:jc w:val="center"/>
        <w:rPr>
          <w:rFonts w:ascii="Arial" w:hAnsi="Arial" w:cs="Arial"/>
          <w:b/>
          <w:color w:val="auto"/>
          <w:sz w:val="32"/>
          <w:szCs w:val="32"/>
          <w:highlight w:val="none"/>
        </w:rPr>
      </w:pPr>
      <w:r>
        <w:rPr>
          <w:rFonts w:hint="eastAsia" w:ascii="Arial" w:hAnsi="Arial" w:cs="Arial"/>
          <w:b/>
          <w:color w:val="auto"/>
          <w:sz w:val="32"/>
          <w:szCs w:val="32"/>
          <w:highlight w:val="none"/>
        </w:rPr>
        <w:t>资格审查表</w:t>
      </w:r>
    </w:p>
    <w:p>
      <w:pPr>
        <w:spacing w:line="480" w:lineRule="auto"/>
        <w:rPr>
          <w:rFonts w:ascii="Arial" w:hAnsi="Arial" w:cs="Arial"/>
          <w:color w:val="auto"/>
          <w:sz w:val="24"/>
          <w:szCs w:val="24"/>
          <w:highlight w:val="none"/>
        </w:rPr>
      </w:pPr>
      <w:r>
        <w:rPr>
          <w:rFonts w:hint="eastAsia" w:ascii="Arial" w:hAnsi="Arial" w:cs="Arial"/>
          <w:color w:val="auto"/>
          <w:sz w:val="24"/>
          <w:szCs w:val="24"/>
          <w:highlight w:val="none"/>
        </w:rPr>
        <w:t>工程名称：</w:t>
      </w:r>
    </w:p>
    <w:p>
      <w:pPr>
        <w:spacing w:line="480" w:lineRule="auto"/>
        <w:rPr>
          <w:rFonts w:ascii="Arial" w:hAnsi="Arial" w:cs="Arial"/>
          <w:color w:val="auto"/>
          <w:sz w:val="24"/>
          <w:szCs w:val="24"/>
          <w:highlight w:val="none"/>
        </w:rPr>
      </w:pPr>
      <w:r>
        <w:rPr>
          <w:rFonts w:hint="eastAsia" w:ascii="Arial" w:hAnsi="Arial" w:cs="Arial"/>
          <w:color w:val="auto"/>
          <w:sz w:val="24"/>
          <w:szCs w:val="24"/>
          <w:highlight w:val="none"/>
        </w:rPr>
        <w:t>投标人名称：</w:t>
      </w:r>
    </w:p>
    <w:tbl>
      <w:tblPr>
        <w:tblStyle w:val="54"/>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317"/>
        <w:gridCol w:w="3906"/>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hint="eastAsia" w:ascii="Arial" w:hAnsi="Arial" w:cs="Arial"/>
                <w:b/>
                <w:color w:val="auto"/>
                <w:szCs w:val="21"/>
                <w:highlight w:val="none"/>
              </w:rPr>
              <w:t>序号</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hint="eastAsia" w:ascii="Arial" w:hAnsi="Arial" w:cs="Arial"/>
                <w:b/>
                <w:color w:val="auto"/>
                <w:szCs w:val="21"/>
                <w:highlight w:val="none"/>
              </w:rPr>
              <w:t>审查项目</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hint="eastAsia" w:ascii="Arial" w:hAnsi="Arial" w:cs="Arial"/>
                <w:b/>
                <w:color w:val="auto"/>
                <w:szCs w:val="21"/>
                <w:highlight w:val="none"/>
              </w:rPr>
              <w:t>须审查的资料</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hint="eastAsia" w:ascii="Arial" w:hAnsi="Arial" w:cs="Arial"/>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投标人参加投标的意思表达清楚，投标人代表被授权有效</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投标人声明、法定代表人证明书；委托投标的还应提供法人授权委托证明书</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2</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投标人均具有独立法人资格，按国家法律经营</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营业执照在广州市住建行业信用管理平台内上传件</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3</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投标人均持有建设行政主管部门颁发的企业资质证书及安全生产许可证；投标人资质符合公告要求</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资质证书及安全生产许可证在广州市住建行业信用管理平台内上传件；</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4</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投标人拟担任本工程项目负责人符合公告要求</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使用有效期内的注册建造师注册证书在广州市住建行业信用平台内上传件。</w:t>
            </w:r>
          </w:p>
          <w:p>
            <w:pPr>
              <w:spacing w:before="120" w:after="60"/>
              <w:jc w:val="center"/>
              <w:rPr>
                <w:rFonts w:ascii="Arial" w:hAnsi="Arial" w:cs="Arial"/>
                <w:color w:val="auto"/>
                <w:szCs w:val="21"/>
                <w:highlight w:val="none"/>
              </w:rPr>
            </w:pPr>
            <w:r>
              <w:rPr>
                <w:rFonts w:hint="eastAsia" w:ascii="Arial" w:hAnsi="Arial" w:cs="Arial"/>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5</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持有项目负责人安全生产考核合格证（B类）或建筑施工企业项目负责人安全生产考核合格证</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项目负责人安全生产考核合格证（B证）或建筑施工企业项目负责人安全生产考核合格证在广州市住建行业信用管理平台内上传件</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6</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投标人拟担任本工程技术负责人符合公告要求</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拟委托技术负责人的相关证书、资料（具体要求由招标人明确）</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7</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专职安全员须具有安全生产考核合格证（C证）或建筑施工企业专职安全生产管理人员安全生产考核合格证</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专职安全员的安全生产考核合格证（C证）或建筑施工企业专职安全生产管理人员安全生产考核合格证在广州市住建行业信用管理平台内上传件</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8</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投标人提供的投标人声明符合公告要求</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投标人声明</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9</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投标人声明中签字的项目负责人和技术负责人与本项目拟派的项目负责人和技术负责人一致</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网上投标时选择拟投标的项目负责人、资格审查文件中拟委派的技术负责人及投标人声明</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10</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提供联合体工作协议。投标人拟任本工程项目负责人应为主办方正式员工。联合体工作协议应明确约定各方拟承担的工作和责任（如有）</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联合体工作协议，项目负责人、技术负责人与专职安全员为主办方正式员工，且项目负责人与专职安全员在企业信用管理平台上信息。</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11</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资格审查前，投标人须在广州市住房和城乡建设局建立企业信用档案及拟担任本工程项目负责人、专职安全员须是本企业中的在册人员</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投标人在广州市住建行业信用管理平台内企业信用档案的企业和人员信息</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12</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投标人未出现以下情形：与其它投标人的单位负责人为同一人或者存在控股、管理关系的（按投标人提供的《投标人声明》第八条内容进行评审）。</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投标人声明</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13</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未在以往工程中因不诚信行为或不充分履约行为被本项目招标人书面拒绝投标的（如有）</w:t>
            </w:r>
          </w:p>
        </w:tc>
        <w:tc>
          <w:tcPr>
            <w:tcW w:w="39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投标人无需提供资料，按交易系统比对的结果进行评审</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bl>
    <w:p>
      <w:pPr>
        <w:spacing w:line="480" w:lineRule="auto"/>
        <w:ind w:firstLine="470" w:firstLineChars="224"/>
        <w:rPr>
          <w:rFonts w:ascii="Arial" w:hAnsi="Arial" w:cs="Arial"/>
          <w:color w:val="auto"/>
          <w:szCs w:val="21"/>
          <w:highlight w:val="none"/>
        </w:rPr>
      </w:pPr>
      <w:r>
        <w:rPr>
          <w:rFonts w:hint="eastAsia" w:ascii="Arial" w:hAnsi="Arial" w:cs="Arial"/>
          <w:color w:val="auto"/>
          <w:szCs w:val="21"/>
          <w:highlight w:val="none"/>
        </w:rPr>
        <w:t>备注：</w:t>
      </w:r>
    </w:p>
    <w:p>
      <w:pPr>
        <w:spacing w:line="480" w:lineRule="auto"/>
        <w:ind w:firstLine="470" w:firstLineChars="224"/>
        <w:rPr>
          <w:rFonts w:ascii="Arial" w:hAnsi="Arial" w:cs="Arial"/>
          <w:color w:val="auto"/>
          <w:szCs w:val="21"/>
          <w:highlight w:val="none"/>
        </w:rPr>
      </w:pPr>
      <w:r>
        <w:rPr>
          <w:rFonts w:hint="eastAsia" w:ascii="Arial" w:hAnsi="Arial" w:cs="Arial"/>
          <w:color w:val="auto"/>
          <w:szCs w:val="21"/>
          <w:highlight w:val="none"/>
        </w:rPr>
        <w:t xml:space="preserve">1、每一项目符合的打“○”，不符合的打“×”； </w:t>
      </w:r>
    </w:p>
    <w:p>
      <w:pPr>
        <w:spacing w:line="480" w:lineRule="auto"/>
        <w:ind w:firstLine="470" w:firstLineChars="224"/>
        <w:rPr>
          <w:rFonts w:ascii="Arial" w:hAnsi="Arial" w:cs="Arial"/>
          <w:color w:val="auto"/>
          <w:szCs w:val="21"/>
          <w:highlight w:val="none"/>
        </w:rPr>
      </w:pPr>
      <w:r>
        <w:rPr>
          <w:rFonts w:hint="eastAsia" w:ascii="Arial" w:hAnsi="Arial" w:cs="Arial"/>
          <w:color w:val="auto"/>
          <w:szCs w:val="21"/>
          <w:highlight w:val="none"/>
        </w:rPr>
        <w:t>2、若评委意见不一致时，则按少数服从多数的原则，作出评审结论。汇总后，出现一个“×”的结论为“不通过”。</w:t>
      </w:r>
    </w:p>
    <w:p>
      <w:pPr>
        <w:spacing w:line="480" w:lineRule="auto"/>
        <w:ind w:firstLine="470" w:firstLineChars="224"/>
        <w:rPr>
          <w:rFonts w:ascii="Arial" w:hAnsi="Arial" w:cs="Arial"/>
          <w:color w:val="auto"/>
          <w:szCs w:val="21"/>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NumType w:fmt="decimal" w:start="1"/>
          <w:cols w:space="425" w:num="1"/>
          <w:titlePg/>
          <w:docGrid w:type="lines" w:linePitch="312" w:charSpace="0"/>
        </w:sectPr>
      </w:pPr>
      <w:r>
        <w:rPr>
          <w:rFonts w:hint="eastAsia" w:ascii="Arial" w:hAnsi="Arial" w:cs="Arial"/>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Arial" w:hAnsi="Arial" w:cs="Arial"/>
          <w:color w:val="auto"/>
          <w:szCs w:val="21"/>
          <w:highlight w:val="none"/>
        </w:rPr>
      </w:pPr>
      <w:r>
        <w:rPr>
          <w:rFonts w:hint="eastAsia" w:ascii="Arial" w:hAnsi="Arial" w:cs="Arial"/>
          <w:color w:val="auto"/>
          <w:szCs w:val="21"/>
          <w:highlight w:val="none"/>
        </w:rPr>
        <w:t>附表二</w:t>
      </w:r>
    </w:p>
    <w:p>
      <w:pPr>
        <w:jc w:val="center"/>
        <w:rPr>
          <w:rFonts w:ascii="Arial" w:hAnsi="Arial" w:cs="Arial"/>
          <w:b/>
          <w:color w:val="auto"/>
          <w:sz w:val="36"/>
          <w:szCs w:val="36"/>
          <w:highlight w:val="none"/>
        </w:rPr>
      </w:pPr>
      <w:r>
        <w:rPr>
          <w:rFonts w:hint="eastAsia" w:ascii="Arial" w:hAnsi="Arial" w:cs="Arial"/>
          <w:b/>
          <w:color w:val="auto"/>
          <w:sz w:val="36"/>
          <w:szCs w:val="36"/>
          <w:highlight w:val="none"/>
        </w:rPr>
        <w:t>技术标有效性审查表</w:t>
      </w:r>
    </w:p>
    <w:p>
      <w:pPr>
        <w:rPr>
          <w:rFonts w:ascii="Arial" w:hAnsi="Arial" w:cs="Arial"/>
          <w:color w:val="auto"/>
          <w:szCs w:val="21"/>
          <w:highlight w:val="none"/>
        </w:rPr>
      </w:pPr>
      <w:r>
        <w:rPr>
          <w:rFonts w:hint="eastAsia" w:ascii="Arial" w:hAnsi="Arial" w:cs="Arial"/>
          <w:color w:val="auto"/>
          <w:szCs w:val="21"/>
          <w:highlight w:val="none"/>
        </w:rPr>
        <w:t>工程名称：</w:t>
      </w:r>
    </w:p>
    <w:tbl>
      <w:tblPr>
        <w:tblStyle w:val="5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hint="eastAsia" w:ascii="Arial" w:hAnsi="Arial" w:cs="Arial"/>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Arial" w:hAnsi="Arial" w:cs="Arial"/>
                <w:color w:val="auto"/>
                <w:szCs w:val="21"/>
                <w:highlight w:val="none"/>
              </w:rPr>
            </w:pPr>
            <w:r>
              <w:rPr>
                <w:rFonts w:hint="eastAsia" w:ascii="Arial" w:hAnsi="Arial" w:cs="Arial"/>
                <w:color w:val="auto"/>
                <w:szCs w:val="21"/>
                <w:highlight w:val="none"/>
              </w:rPr>
              <w:t xml:space="preserve">               投标人</w:t>
            </w:r>
          </w:p>
          <w:p>
            <w:pPr>
              <w:adjustRightInd w:val="0"/>
              <w:rPr>
                <w:rFonts w:ascii="Arial" w:hAnsi="Arial" w:cs="Arial"/>
                <w:color w:val="auto"/>
                <w:szCs w:val="21"/>
                <w:highlight w:val="none"/>
              </w:rPr>
            </w:pPr>
          </w:p>
          <w:p>
            <w:pPr>
              <w:adjustRightInd w:val="0"/>
              <w:rPr>
                <w:rFonts w:ascii="Arial" w:hAnsi="Arial" w:cs="Arial"/>
                <w:color w:val="auto"/>
                <w:szCs w:val="21"/>
                <w:highlight w:val="none"/>
              </w:rPr>
            </w:pPr>
            <w:r>
              <w:rPr>
                <w:rFonts w:hint="eastAsia" w:ascii="Arial" w:hAnsi="Arial" w:cs="Arial"/>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hint="eastAsia" w:ascii="Arial" w:hAnsi="Arial" w:cs="Arial"/>
                <w:color w:val="auto"/>
                <w:szCs w:val="21"/>
                <w:highlight w:val="none"/>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hint="eastAsia" w:ascii="Arial" w:hAnsi="Arial" w:cs="Arial"/>
                <w:color w:val="auto"/>
                <w:szCs w:val="21"/>
                <w:highlight w:val="none"/>
              </w:rPr>
              <w:t>不符合招标文件及有关技术规格、质量要求、检验标准和方法的；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hint="eastAsia" w:ascii="Arial" w:hAnsi="Arial" w:cs="Arial"/>
                <w:color w:val="auto"/>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hint="eastAsia" w:ascii="Arial" w:hAnsi="Arial" w:cs="Arial"/>
                <w:color w:val="auto"/>
                <w:szCs w:val="21"/>
                <w:highlight w:val="none"/>
              </w:rPr>
              <w:t>投</w:t>
            </w:r>
            <w:r>
              <w:rPr>
                <w:rFonts w:hint="eastAsia" w:ascii="Arial" w:hAnsi="Arial" w:cs="Arial"/>
                <w:color w:val="auto"/>
                <w:szCs w:val="21"/>
                <w:highlight w:val="none"/>
              </w:rPr>
              <w:t>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hint="eastAsia" w:ascii="Arial" w:hAnsi="Arial" w:cs="Arial"/>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hint="eastAsia" w:ascii="Arial" w:hAnsi="Arial" w:cs="Arial"/>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hint="eastAsia" w:ascii="Arial" w:hAnsi="Arial" w:cs="Arial"/>
                <w:color w:val="auto"/>
                <w:szCs w:val="21"/>
                <w:highlight w:val="none"/>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hint="eastAsia" w:ascii="Arial" w:hAnsi="Arial" w:cs="Arial"/>
                <w:color w:val="auto"/>
                <w:szCs w:val="21"/>
                <w:highlight w:val="none"/>
              </w:rPr>
              <w:t>投标人与其他投标人加密打包投标文件电脑机器特征码一致的(以</w:t>
            </w:r>
            <w:r>
              <w:rPr>
                <w:rFonts w:hint="eastAsia" w:ascii="Arial" w:hAnsi="Arial" w:cs="Arial"/>
                <w:color w:val="auto"/>
                <w:szCs w:val="21"/>
                <w:highlight w:val="none"/>
                <w:u w:val="single"/>
              </w:rPr>
              <w:t xml:space="preserve"> 广州公共资源交易中心  </w:t>
            </w:r>
            <w:r>
              <w:rPr>
                <w:rFonts w:hint="eastAsia" w:ascii="Arial" w:hAnsi="Arial" w:cs="Arial"/>
                <w:color w:val="auto"/>
                <w:szCs w:val="21"/>
                <w:highlight w:val="none"/>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bl>
    <w:p>
      <w:pPr>
        <w:rPr>
          <w:rFonts w:ascii="Arial" w:hAnsi="Arial" w:cs="Arial"/>
          <w:color w:val="auto"/>
          <w:szCs w:val="21"/>
          <w:highlight w:val="none"/>
        </w:rPr>
      </w:pPr>
      <w:r>
        <w:rPr>
          <w:rFonts w:hint="eastAsia" w:ascii="Arial" w:hAnsi="Arial" w:cs="Arial"/>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Arial" w:hAnsi="Arial" w:cs="Arial"/>
          <w:color w:val="auto"/>
          <w:szCs w:val="21"/>
          <w:highlight w:val="none"/>
        </w:rPr>
      </w:pPr>
      <w:r>
        <w:rPr>
          <w:rFonts w:hint="eastAsia" w:ascii="Arial" w:hAnsi="Arial" w:cs="Arial"/>
          <w:color w:val="auto"/>
          <w:szCs w:val="21"/>
          <w:highlight w:val="none"/>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Arial" w:hAnsi="Arial" w:cs="Arial"/>
          <w:color w:val="auto"/>
          <w:szCs w:val="21"/>
          <w:highlight w:val="none"/>
        </w:rPr>
      </w:pPr>
      <w:r>
        <w:rPr>
          <w:rFonts w:hint="eastAsia" w:ascii="Arial" w:hAnsi="Arial" w:cs="Arial"/>
          <w:color w:val="auto"/>
          <w:szCs w:val="21"/>
          <w:highlight w:val="none"/>
        </w:rPr>
        <w:t xml:space="preserve">    3.凡出现以上任何一项情形，结论均为无效，否则就为有效。</w:t>
      </w:r>
    </w:p>
    <w:p>
      <w:pPr>
        <w:ind w:firstLine="420" w:firstLineChars="200"/>
        <w:rPr>
          <w:rFonts w:ascii="Arial" w:hAnsi="Arial" w:cs="Arial"/>
          <w:color w:val="auto"/>
          <w:szCs w:val="21"/>
          <w:highlight w:val="none"/>
        </w:rPr>
      </w:pPr>
      <w:r>
        <w:rPr>
          <w:rFonts w:hint="eastAsia" w:ascii="Arial" w:hAnsi="Arial" w:cs="Arial"/>
          <w:color w:val="auto"/>
          <w:szCs w:val="21"/>
          <w:highlight w:val="none"/>
        </w:rPr>
        <w:t>4.如对本表中某种情形的评审意见不一致时，以评标委员会过半数成员的意见作为评标委员会对该情形的认定结论。</w:t>
      </w:r>
    </w:p>
    <w:p>
      <w:pPr>
        <w:rPr>
          <w:rFonts w:ascii="Arial" w:hAnsi="Arial" w:cs="Arial"/>
          <w:color w:val="auto"/>
          <w:szCs w:val="21"/>
          <w:highlight w:val="none"/>
        </w:rPr>
      </w:pPr>
      <w:r>
        <w:rPr>
          <w:rFonts w:hint="eastAsia" w:ascii="Arial" w:hAnsi="Arial" w:cs="Arial"/>
          <w:color w:val="auto"/>
          <w:szCs w:val="21"/>
          <w:highlight w:val="none"/>
        </w:rPr>
        <w:t>评委签名：</w:t>
      </w:r>
    </w:p>
    <w:p>
      <w:pPr>
        <w:rPr>
          <w:rFonts w:ascii="Arial" w:hAnsi="Arial" w:cs="Arial"/>
          <w:color w:val="auto"/>
          <w:szCs w:val="21"/>
          <w:highlight w:val="none"/>
        </w:rPr>
      </w:pPr>
      <w:r>
        <w:rPr>
          <w:rFonts w:ascii="Arial" w:hAnsi="Arial" w:cs="Arial"/>
          <w:color w:val="auto"/>
          <w:highlight w:val="none"/>
        </w:rPr>
        <w:br w:type="page"/>
      </w:r>
      <w:r>
        <w:rPr>
          <w:rFonts w:hint="eastAsia" w:ascii="Arial" w:hAnsi="Arial" w:cs="Arial"/>
          <w:color w:val="auto"/>
          <w:szCs w:val="21"/>
          <w:highlight w:val="none"/>
        </w:rPr>
        <w:t>附表三</w:t>
      </w:r>
    </w:p>
    <w:p>
      <w:pPr>
        <w:jc w:val="center"/>
        <w:rPr>
          <w:rFonts w:ascii="Arial" w:hAnsi="Arial" w:cs="Arial"/>
          <w:b/>
          <w:color w:val="auto"/>
          <w:sz w:val="36"/>
          <w:szCs w:val="36"/>
          <w:highlight w:val="none"/>
        </w:rPr>
      </w:pPr>
      <w:r>
        <w:rPr>
          <w:rFonts w:hint="eastAsia" w:ascii="Arial" w:hAnsi="Arial" w:cs="Arial"/>
          <w:b/>
          <w:color w:val="auto"/>
          <w:sz w:val="36"/>
          <w:szCs w:val="36"/>
          <w:highlight w:val="none"/>
        </w:rPr>
        <w:t>经济标有效性审查表</w:t>
      </w:r>
    </w:p>
    <w:p>
      <w:pPr>
        <w:rPr>
          <w:rFonts w:ascii="Arial" w:hAnsi="Arial" w:cs="Arial"/>
          <w:color w:val="auto"/>
          <w:szCs w:val="21"/>
          <w:highlight w:val="none"/>
        </w:rPr>
      </w:pPr>
      <w:r>
        <w:rPr>
          <w:rFonts w:hint="eastAsia" w:ascii="Arial" w:hAnsi="Arial" w:cs="Arial"/>
          <w:color w:val="auto"/>
          <w:szCs w:val="21"/>
          <w:highlight w:val="none"/>
        </w:rPr>
        <w:t>工程名称：</w:t>
      </w:r>
    </w:p>
    <w:tbl>
      <w:tblPr>
        <w:tblStyle w:val="54"/>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Arial" w:hAnsi="Arial" w:cs="Arial"/>
                <w:color w:val="auto"/>
                <w:szCs w:val="21"/>
                <w:highlight w:val="none"/>
              </w:rPr>
            </w:pPr>
            <w:r>
              <w:rPr>
                <w:rFonts w:hint="eastAsia" w:ascii="Arial" w:hAnsi="Arial" w:cs="Arial"/>
                <w:color w:val="auto"/>
                <w:szCs w:val="21"/>
                <w:highlight w:val="none"/>
              </w:rPr>
              <w:t xml:space="preserve">               投标人</w:t>
            </w:r>
          </w:p>
          <w:p>
            <w:pPr>
              <w:rPr>
                <w:rFonts w:ascii="Arial" w:hAnsi="Arial" w:cs="Arial"/>
                <w:color w:val="auto"/>
                <w:szCs w:val="21"/>
                <w:highlight w:val="none"/>
              </w:rPr>
            </w:pPr>
          </w:p>
          <w:p>
            <w:pPr>
              <w:rPr>
                <w:rFonts w:ascii="Arial" w:hAnsi="Arial" w:cs="Arial"/>
                <w:color w:val="auto"/>
                <w:szCs w:val="21"/>
                <w:highlight w:val="none"/>
              </w:rPr>
            </w:pPr>
            <w:r>
              <w:rPr>
                <w:rFonts w:hint="eastAsia" w:ascii="Arial" w:hAnsi="Arial" w:cs="Arial"/>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Arial" w:hAnsi="Arial" w:cs="Arial"/>
                <w:color w:val="auto"/>
                <w:szCs w:val="21"/>
                <w:highlight w:val="none"/>
              </w:rPr>
            </w:pPr>
            <w:r>
              <w:rPr>
                <w:rFonts w:hint="eastAsia" w:ascii="Arial" w:hAnsi="Arial" w:cs="Arial"/>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不同投标人的投标报价中分部分项工程量清单综合单价相似度达到80%及以上的(以</w:t>
            </w:r>
            <w:r>
              <w:rPr>
                <w:rFonts w:hint="eastAsia" w:ascii="Arial" w:hAnsi="Arial" w:cs="Arial"/>
                <w:color w:val="auto"/>
                <w:szCs w:val="21"/>
                <w:highlight w:val="none"/>
                <w:u w:val="single"/>
              </w:rPr>
              <w:t xml:space="preserve">  广州公共资源交易中心  </w:t>
            </w:r>
            <w:r>
              <w:rPr>
                <w:rFonts w:hint="eastAsia" w:ascii="Arial" w:hAnsi="Arial" w:cs="Arial"/>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bl>
    <w:p>
      <w:pPr>
        <w:ind w:firstLine="458"/>
        <w:rPr>
          <w:rFonts w:ascii="Arial" w:hAnsi="Arial" w:cs="Arial"/>
          <w:color w:val="auto"/>
          <w:szCs w:val="21"/>
          <w:highlight w:val="none"/>
        </w:rPr>
      </w:pPr>
      <w:r>
        <w:rPr>
          <w:rFonts w:hint="eastAsia" w:ascii="Arial" w:hAnsi="Arial" w:cs="Arial"/>
          <w:color w:val="auto"/>
          <w:szCs w:val="21"/>
          <w:highlight w:val="none"/>
        </w:rPr>
        <w:t>注：1.本表使用GZZB2018-3招标文件范本，与范本内容不同之处均以下划线标明。</w:t>
      </w:r>
    </w:p>
    <w:p>
      <w:pPr>
        <w:ind w:firstLine="458"/>
        <w:rPr>
          <w:rFonts w:ascii="Arial" w:hAnsi="Arial" w:cs="Arial"/>
          <w:color w:val="auto"/>
          <w:szCs w:val="21"/>
          <w:highlight w:val="none"/>
        </w:rPr>
      </w:pPr>
      <w:r>
        <w:rPr>
          <w:rFonts w:hint="eastAsia" w:ascii="Arial" w:hAnsi="Arial" w:cs="Arial"/>
          <w:color w:val="auto"/>
          <w:szCs w:val="21"/>
          <w:highlight w:val="none"/>
        </w:rPr>
        <w:t>2.凡出现以上任何一项情形，结论均为无效，否则就为有效。</w:t>
      </w:r>
    </w:p>
    <w:p>
      <w:pPr>
        <w:ind w:firstLine="458"/>
        <w:rPr>
          <w:rFonts w:ascii="Arial" w:hAnsi="Arial" w:cs="Arial"/>
          <w:color w:val="auto"/>
          <w:szCs w:val="21"/>
          <w:highlight w:val="none"/>
        </w:rPr>
      </w:pPr>
      <w:r>
        <w:rPr>
          <w:rFonts w:hint="eastAsia" w:ascii="Arial" w:hAnsi="Arial" w:cs="Arial"/>
          <w:color w:val="auto"/>
          <w:szCs w:val="21"/>
          <w:highlight w:val="none"/>
        </w:rPr>
        <w:t>3.如对本表中某种情形的评审意见不一致时，以评标委员会过半数成员的意见作为评标委员会对该情形的认定结论。</w:t>
      </w:r>
    </w:p>
    <w:p>
      <w:pPr>
        <w:pStyle w:val="2"/>
        <w:ind w:firstLine="458"/>
        <w:rPr>
          <w:color w:val="auto"/>
          <w:highlight w:val="none"/>
        </w:rPr>
      </w:pPr>
      <w:r>
        <w:rPr>
          <w:rFonts w:hint="eastAsia"/>
          <w:color w:val="auto"/>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
        <w:ind w:firstLine="458"/>
        <w:rPr>
          <w:rFonts w:ascii="Arial" w:hAnsi="Arial" w:cs="Arial"/>
          <w:color w:val="auto"/>
          <w:szCs w:val="21"/>
          <w:highlight w:val="none"/>
        </w:rPr>
        <w:sectPr>
          <w:endnotePr>
            <w:numFmt w:val="decimal"/>
          </w:endnotePr>
          <w:pgSz w:w="16838" w:h="11906" w:orient="landscape"/>
          <w:pgMar w:top="1418" w:right="1247" w:bottom="1418" w:left="1134" w:header="851" w:footer="907" w:gutter="0"/>
          <w:pgNumType w:fmt="decimal"/>
          <w:cols w:space="425" w:num="1"/>
          <w:titlePg/>
          <w:docGrid w:type="lines" w:linePitch="312" w:charSpace="0"/>
        </w:sectPr>
      </w:pPr>
      <w:r>
        <w:rPr>
          <w:rFonts w:hint="eastAsia" w:ascii="Arial" w:hAnsi="Arial" w:cs="Arial"/>
          <w:color w:val="auto"/>
          <w:szCs w:val="21"/>
          <w:highlight w:val="none"/>
        </w:rPr>
        <w:t>评委签名：</w:t>
      </w:r>
    </w:p>
    <w:p>
      <w:pPr>
        <w:rPr>
          <w:rFonts w:ascii="Arial" w:hAnsi="Arial" w:cs="Arial"/>
          <w:color w:val="auto"/>
          <w:szCs w:val="21"/>
          <w:highlight w:val="none"/>
        </w:rPr>
      </w:pPr>
      <w:r>
        <w:rPr>
          <w:rFonts w:hint="eastAsia" w:ascii="Arial" w:hAnsi="Arial" w:cs="Arial"/>
          <w:color w:val="auto"/>
          <w:szCs w:val="21"/>
          <w:highlight w:val="none"/>
        </w:rPr>
        <w:t>附表四</w:t>
      </w:r>
    </w:p>
    <w:p>
      <w:pPr>
        <w:pStyle w:val="22"/>
        <w:ind w:firstLine="0" w:firstLineChars="0"/>
        <w:rPr>
          <w:color w:val="auto"/>
          <w:highlight w:val="none"/>
        </w:rPr>
      </w:pPr>
      <w:r>
        <w:rPr>
          <w:rFonts w:hint="eastAsia" w:ascii="Arial" w:hAnsi="Arial" w:cs="Arial"/>
          <w:b/>
          <w:color w:val="auto"/>
          <w:sz w:val="36"/>
          <w:szCs w:val="36"/>
          <w:highlight w:val="none"/>
        </w:rPr>
        <w:t>技术标详细审查评分表</w:t>
      </w:r>
    </w:p>
    <w:p>
      <w:pPr>
        <w:jc w:val="center"/>
        <w:rPr>
          <w:rFonts w:ascii="Arial" w:hAnsi="Arial" w:cs="Arial"/>
          <w:b/>
          <w:color w:val="auto"/>
          <w:sz w:val="36"/>
          <w:szCs w:val="36"/>
          <w:highlight w:val="none"/>
        </w:rPr>
      </w:pPr>
    </w:p>
    <w:tbl>
      <w:tblPr>
        <w:tblStyle w:val="54"/>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85"/>
        <w:gridCol w:w="728"/>
        <w:gridCol w:w="1520"/>
        <w:gridCol w:w="677"/>
        <w:gridCol w:w="10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685" w:type="dxa"/>
            <w:shd w:val="clear" w:color="auto" w:fill="FFFFFF"/>
            <w:noWrap/>
            <w:vAlign w:val="center"/>
          </w:tcPr>
          <w:p>
            <w:pPr>
              <w:widowControl/>
              <w:adjustRightInd w:val="0"/>
              <w:snapToGrid w:val="0"/>
              <w:jc w:val="center"/>
              <w:rPr>
                <w:rFonts w:ascii="宋体" w:hAnsi="宋体" w:cs="Arial"/>
                <w:b/>
                <w:color w:val="auto"/>
                <w:sz w:val="24"/>
                <w:szCs w:val="24"/>
                <w:highlight w:val="none"/>
              </w:rPr>
            </w:pPr>
            <w:r>
              <w:rPr>
                <w:rFonts w:ascii="宋体" w:hAnsi="宋体" w:cs="Arial"/>
                <w:b/>
                <w:color w:val="auto"/>
                <w:sz w:val="24"/>
                <w:szCs w:val="24"/>
                <w:highlight w:val="none"/>
              </w:rPr>
              <w:t>序号</w:t>
            </w:r>
          </w:p>
        </w:tc>
        <w:tc>
          <w:tcPr>
            <w:tcW w:w="728" w:type="dxa"/>
            <w:shd w:val="clear" w:color="auto" w:fill="FFFFFF"/>
            <w:noWrap/>
            <w:vAlign w:val="center"/>
          </w:tcPr>
          <w:p>
            <w:pPr>
              <w:widowControl/>
              <w:adjustRightInd w:val="0"/>
              <w:snapToGrid w:val="0"/>
              <w:jc w:val="center"/>
              <w:rPr>
                <w:rFonts w:ascii="宋体" w:hAnsi="宋体" w:cs="Arial"/>
                <w:b/>
                <w:color w:val="auto"/>
                <w:sz w:val="24"/>
                <w:szCs w:val="24"/>
                <w:highlight w:val="none"/>
              </w:rPr>
            </w:pPr>
            <w:r>
              <w:rPr>
                <w:rFonts w:ascii="宋体" w:hAnsi="宋体" w:cs="Arial"/>
                <w:b/>
                <w:color w:val="auto"/>
                <w:sz w:val="24"/>
                <w:szCs w:val="24"/>
                <w:highlight w:val="none"/>
              </w:rPr>
              <w:t>评分</w:t>
            </w:r>
          </w:p>
          <w:p>
            <w:pPr>
              <w:widowControl/>
              <w:adjustRightInd w:val="0"/>
              <w:snapToGrid w:val="0"/>
              <w:jc w:val="center"/>
              <w:rPr>
                <w:rFonts w:ascii="宋体" w:hAnsi="宋体" w:cs="Arial"/>
                <w:b/>
                <w:color w:val="auto"/>
                <w:sz w:val="24"/>
                <w:szCs w:val="24"/>
                <w:highlight w:val="none"/>
              </w:rPr>
            </w:pPr>
            <w:r>
              <w:rPr>
                <w:rFonts w:ascii="宋体" w:hAnsi="宋体" w:cs="Arial"/>
                <w:b/>
                <w:color w:val="auto"/>
                <w:sz w:val="24"/>
                <w:szCs w:val="24"/>
                <w:highlight w:val="none"/>
              </w:rPr>
              <w:t>项目</w:t>
            </w:r>
          </w:p>
        </w:tc>
        <w:tc>
          <w:tcPr>
            <w:tcW w:w="1520" w:type="dxa"/>
            <w:shd w:val="clear" w:color="auto" w:fill="FFFFFF"/>
            <w:noWrap/>
            <w:vAlign w:val="center"/>
          </w:tcPr>
          <w:p>
            <w:pPr>
              <w:widowControl/>
              <w:adjustRightInd w:val="0"/>
              <w:snapToGrid w:val="0"/>
              <w:jc w:val="center"/>
              <w:rPr>
                <w:rFonts w:ascii="宋体" w:hAnsi="宋体" w:cs="Arial"/>
                <w:b/>
                <w:color w:val="auto"/>
                <w:sz w:val="24"/>
                <w:szCs w:val="24"/>
                <w:highlight w:val="none"/>
              </w:rPr>
            </w:pPr>
            <w:r>
              <w:rPr>
                <w:rFonts w:ascii="宋体" w:hAnsi="宋体" w:cs="Arial"/>
                <w:b/>
                <w:color w:val="auto"/>
                <w:sz w:val="24"/>
                <w:szCs w:val="24"/>
                <w:highlight w:val="none"/>
              </w:rPr>
              <w:t>评分内容</w:t>
            </w:r>
          </w:p>
        </w:tc>
        <w:tc>
          <w:tcPr>
            <w:tcW w:w="677" w:type="dxa"/>
            <w:shd w:val="clear" w:color="auto" w:fill="FFFFFF"/>
            <w:noWrap/>
            <w:vAlign w:val="center"/>
          </w:tcPr>
          <w:p>
            <w:pPr>
              <w:widowControl/>
              <w:adjustRightInd w:val="0"/>
              <w:snapToGrid w:val="0"/>
              <w:jc w:val="center"/>
              <w:rPr>
                <w:rFonts w:ascii="宋体" w:hAnsi="宋体" w:cs="Arial"/>
                <w:b/>
                <w:color w:val="auto"/>
                <w:sz w:val="24"/>
                <w:szCs w:val="24"/>
                <w:highlight w:val="none"/>
              </w:rPr>
            </w:pPr>
            <w:r>
              <w:rPr>
                <w:rFonts w:ascii="宋体" w:hAnsi="宋体" w:cs="Arial"/>
                <w:b/>
                <w:color w:val="auto"/>
                <w:sz w:val="24"/>
                <w:szCs w:val="24"/>
                <w:highlight w:val="none"/>
              </w:rPr>
              <w:t>分值</w:t>
            </w:r>
          </w:p>
        </w:tc>
        <w:tc>
          <w:tcPr>
            <w:tcW w:w="10847" w:type="dxa"/>
            <w:shd w:val="clear" w:color="auto" w:fill="FFFFFF"/>
            <w:noWrap/>
            <w:vAlign w:val="center"/>
          </w:tcPr>
          <w:p>
            <w:pPr>
              <w:widowControl/>
              <w:adjustRightInd w:val="0"/>
              <w:snapToGrid w:val="0"/>
              <w:jc w:val="center"/>
              <w:rPr>
                <w:rFonts w:ascii="宋体" w:hAnsi="宋体" w:cs="Arial"/>
                <w:b/>
                <w:color w:val="auto"/>
                <w:sz w:val="24"/>
                <w:szCs w:val="24"/>
                <w:highlight w:val="none"/>
              </w:rPr>
            </w:pPr>
            <w:r>
              <w:rPr>
                <w:rFonts w:ascii="宋体" w:hAnsi="宋体" w:cs="Arial"/>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5" w:type="dxa"/>
            <w:shd w:val="clear" w:color="auto" w:fill="FFFFFF"/>
            <w:noWrap/>
            <w:vAlign w:val="center"/>
          </w:tcPr>
          <w:p>
            <w:pPr>
              <w:widowControl/>
              <w:adjustRightInd w:val="0"/>
              <w:snapToGrid w:val="0"/>
              <w:jc w:val="center"/>
              <w:rPr>
                <w:rFonts w:ascii="宋体" w:hAnsi="宋体" w:cs="Arial"/>
                <w:b/>
                <w:color w:val="auto"/>
                <w:sz w:val="24"/>
                <w:szCs w:val="24"/>
                <w:highlight w:val="none"/>
              </w:rPr>
            </w:pPr>
            <w:r>
              <w:rPr>
                <w:rFonts w:ascii="宋体" w:hAnsi="宋体" w:cs="Arial"/>
                <w:b/>
                <w:color w:val="auto"/>
                <w:sz w:val="24"/>
                <w:szCs w:val="24"/>
                <w:highlight w:val="none"/>
              </w:rPr>
              <w:t>一</w:t>
            </w:r>
          </w:p>
        </w:tc>
        <w:tc>
          <w:tcPr>
            <w:tcW w:w="728" w:type="dxa"/>
            <w:shd w:val="clear" w:color="auto" w:fill="FFFFFF"/>
            <w:noWrap/>
            <w:vAlign w:val="center"/>
          </w:tcPr>
          <w:p>
            <w:pPr>
              <w:adjustRightInd w:val="0"/>
              <w:snapToGrid w:val="0"/>
              <w:rPr>
                <w:rFonts w:ascii="宋体" w:hAnsi="宋体" w:cs="Arial"/>
                <w:b/>
                <w:color w:val="auto"/>
                <w:sz w:val="24"/>
                <w:szCs w:val="24"/>
                <w:highlight w:val="none"/>
              </w:rPr>
            </w:pPr>
            <w:r>
              <w:rPr>
                <w:rFonts w:hint="eastAsia" w:ascii="宋体" w:hAnsi="宋体" w:cs="Arial"/>
                <w:b/>
                <w:color w:val="auto"/>
                <w:sz w:val="24"/>
                <w:szCs w:val="24"/>
                <w:highlight w:val="none"/>
              </w:rPr>
              <w:t>企业资信（</w:t>
            </w:r>
            <w:r>
              <w:rPr>
                <w:rFonts w:ascii="宋体" w:hAnsi="宋体" w:cs="Arial"/>
                <w:b/>
                <w:color w:val="auto"/>
                <w:sz w:val="24"/>
                <w:szCs w:val="24"/>
                <w:highlight w:val="none"/>
              </w:rPr>
              <w:t>2分）</w:t>
            </w:r>
          </w:p>
        </w:tc>
        <w:tc>
          <w:tcPr>
            <w:tcW w:w="1520" w:type="dxa"/>
            <w:shd w:val="clear" w:color="auto" w:fill="FFFFFF"/>
            <w:noWrap/>
            <w:vAlign w:val="center"/>
          </w:tcPr>
          <w:p>
            <w:pPr>
              <w:adjustRightInd w:val="0"/>
              <w:snapToGrid w:val="0"/>
              <w:rPr>
                <w:rFonts w:ascii="宋体" w:hAnsi="宋体" w:cs="Arial"/>
                <w:color w:val="auto"/>
                <w:kern w:val="0"/>
                <w:sz w:val="24"/>
                <w:szCs w:val="24"/>
                <w:highlight w:val="none"/>
              </w:rPr>
            </w:pPr>
            <w:r>
              <w:rPr>
                <w:rFonts w:hint="eastAsia" w:ascii="宋体" w:hAnsi="宋体" w:cs="Arial"/>
                <w:color w:val="auto"/>
                <w:kern w:val="0"/>
                <w:sz w:val="24"/>
                <w:szCs w:val="24"/>
                <w:highlight w:val="none"/>
              </w:rPr>
              <w:t>体系认证</w:t>
            </w:r>
          </w:p>
        </w:tc>
        <w:tc>
          <w:tcPr>
            <w:tcW w:w="677" w:type="dxa"/>
            <w:shd w:val="clear" w:color="auto" w:fill="FFFFFF"/>
            <w:noWrap/>
            <w:vAlign w:val="center"/>
          </w:tcPr>
          <w:p>
            <w:pPr>
              <w:widowControl/>
              <w:jc w:val="center"/>
              <w:rPr>
                <w:rFonts w:ascii="宋体" w:hAnsi="宋体" w:cs="Arial"/>
                <w:color w:val="auto"/>
                <w:sz w:val="24"/>
                <w:szCs w:val="24"/>
                <w:highlight w:val="none"/>
              </w:rPr>
            </w:pPr>
            <w:r>
              <w:rPr>
                <w:rFonts w:hint="eastAsia" w:ascii="宋体" w:hAnsi="宋体" w:cs="Arial"/>
                <w:color w:val="auto"/>
                <w:sz w:val="24"/>
                <w:szCs w:val="24"/>
                <w:highlight w:val="none"/>
              </w:rPr>
              <w:t>2分</w:t>
            </w:r>
          </w:p>
        </w:tc>
        <w:tc>
          <w:tcPr>
            <w:tcW w:w="10847" w:type="dxa"/>
            <w:shd w:val="clear" w:color="auto" w:fill="FFFFFF"/>
            <w:noWrap/>
            <w:vAlign w:val="center"/>
          </w:tcPr>
          <w:p>
            <w:pPr>
              <w:jc w:val="left"/>
              <w:rPr>
                <w:rFonts w:ascii="宋体" w:hAnsi="宋体"/>
                <w:color w:val="auto"/>
                <w:sz w:val="24"/>
                <w:szCs w:val="24"/>
                <w:highlight w:val="none"/>
              </w:rPr>
            </w:pPr>
            <w:r>
              <w:rPr>
                <w:rFonts w:hint="eastAsia" w:ascii="宋体" w:hAnsi="宋体"/>
                <w:color w:val="auto"/>
                <w:sz w:val="24"/>
                <w:szCs w:val="24"/>
                <w:highlight w:val="none"/>
              </w:rPr>
              <w:t>①投标人具有有效期内的有害物质过程管理体系认证证书，有害物质过程管理体系符合标准</w:t>
            </w:r>
            <w:r>
              <w:rPr>
                <w:rFonts w:ascii="宋体" w:hAnsi="宋体"/>
                <w:color w:val="auto"/>
                <w:sz w:val="24"/>
                <w:szCs w:val="24"/>
                <w:highlight w:val="none"/>
              </w:rPr>
              <w:t>IECQ QC 080000:2017要求</w:t>
            </w:r>
            <w:r>
              <w:rPr>
                <w:rFonts w:hint="eastAsia" w:ascii="宋体" w:hAnsi="宋体"/>
                <w:color w:val="auto"/>
                <w:sz w:val="24"/>
                <w:szCs w:val="24"/>
                <w:highlight w:val="none"/>
              </w:rPr>
              <w:t>。</w:t>
            </w:r>
          </w:p>
          <w:p>
            <w:pPr>
              <w:jc w:val="left"/>
              <w:rPr>
                <w:rFonts w:ascii="宋体" w:hAnsi="宋体"/>
                <w:color w:val="auto"/>
                <w:sz w:val="24"/>
                <w:szCs w:val="24"/>
                <w:highlight w:val="none"/>
              </w:rPr>
            </w:pPr>
            <w:r>
              <w:rPr>
                <w:rFonts w:hint="eastAsia" w:ascii="宋体" w:hAnsi="宋体"/>
                <w:color w:val="auto"/>
                <w:sz w:val="24"/>
                <w:szCs w:val="24"/>
                <w:highlight w:val="none"/>
              </w:rPr>
              <w:t>②投标人具有有效期内的知识产权管理体系认证证书。</w:t>
            </w:r>
          </w:p>
          <w:p>
            <w:pPr>
              <w:jc w:val="left"/>
              <w:rPr>
                <w:rFonts w:ascii="宋体" w:hAnsi="宋体"/>
                <w:color w:val="auto"/>
                <w:sz w:val="24"/>
                <w:szCs w:val="24"/>
                <w:highlight w:val="none"/>
              </w:rPr>
            </w:pPr>
            <w:r>
              <w:rPr>
                <w:rFonts w:hint="eastAsia" w:ascii="宋体" w:hAnsi="宋体"/>
                <w:color w:val="auto"/>
                <w:sz w:val="24"/>
                <w:szCs w:val="24"/>
                <w:highlight w:val="none"/>
              </w:rPr>
              <w:t>③投标人具有有效期内的医疗器械质量管理体系认证证书，体系符合标准</w:t>
            </w:r>
            <w:r>
              <w:rPr>
                <w:rFonts w:ascii="宋体" w:hAnsi="宋体"/>
                <w:color w:val="auto"/>
                <w:sz w:val="24"/>
                <w:szCs w:val="24"/>
                <w:highlight w:val="none"/>
              </w:rPr>
              <w:t>YY/T 0287-2017/ISO 13485:2016要求</w:t>
            </w:r>
            <w:r>
              <w:rPr>
                <w:rFonts w:hint="eastAsia" w:ascii="宋体" w:hAnsi="宋体"/>
                <w:color w:val="auto"/>
                <w:sz w:val="24"/>
                <w:szCs w:val="24"/>
                <w:highlight w:val="none"/>
              </w:rPr>
              <w:t>。</w:t>
            </w:r>
          </w:p>
          <w:p>
            <w:pPr>
              <w:spacing w:after="120"/>
              <w:jc w:val="left"/>
              <w:rPr>
                <w:rFonts w:asciiTheme="minorEastAsia" w:hAnsiTheme="minorEastAsia"/>
                <w:color w:val="auto"/>
                <w:sz w:val="24"/>
                <w:highlight w:val="none"/>
              </w:rPr>
            </w:pPr>
            <w:r>
              <w:rPr>
                <w:rFonts w:hint="eastAsia" w:asciiTheme="minorEastAsia" w:hAnsiTheme="minorEastAsia"/>
                <w:color w:val="auto"/>
                <w:sz w:val="24"/>
                <w:highlight w:val="none"/>
              </w:rPr>
              <w:t>④投标人具有</w:t>
            </w:r>
            <w:r>
              <w:rPr>
                <w:rFonts w:hint="eastAsia" w:ascii="宋体" w:hAnsi="宋体"/>
                <w:color w:val="auto"/>
                <w:sz w:val="24"/>
                <w:szCs w:val="24"/>
                <w:highlight w:val="none"/>
              </w:rPr>
              <w:t>有效期内的</w:t>
            </w:r>
            <w:r>
              <w:rPr>
                <w:rFonts w:hint="eastAsia" w:asciiTheme="minorEastAsia" w:hAnsiTheme="minorEastAsia"/>
                <w:color w:val="auto"/>
                <w:sz w:val="24"/>
                <w:highlight w:val="none"/>
              </w:rPr>
              <w:t>质量管理体系认证。</w:t>
            </w:r>
          </w:p>
          <w:p>
            <w:pPr>
              <w:jc w:val="left"/>
              <w:rPr>
                <w:rFonts w:ascii="宋体" w:hAnsi="宋体"/>
                <w:color w:val="auto"/>
                <w:sz w:val="24"/>
                <w:szCs w:val="24"/>
                <w:highlight w:val="none"/>
              </w:rPr>
            </w:pPr>
            <w:r>
              <w:rPr>
                <w:rFonts w:hint="eastAsia" w:ascii="宋体" w:hAnsi="宋体"/>
                <w:color w:val="auto"/>
                <w:sz w:val="24"/>
                <w:szCs w:val="24"/>
                <w:highlight w:val="none"/>
              </w:rPr>
              <w:t>注：①以上证书均需提供有效期内的证书扫描件。以上证书每提供一个得</w:t>
            </w:r>
            <w:r>
              <w:rPr>
                <w:rFonts w:ascii="宋体" w:hAnsi="宋体"/>
                <w:color w:val="auto"/>
                <w:sz w:val="24"/>
                <w:szCs w:val="24"/>
                <w:highlight w:val="none"/>
              </w:rPr>
              <w:t>0.5</w:t>
            </w:r>
            <w:r>
              <w:rPr>
                <w:rFonts w:hint="eastAsia" w:ascii="宋体" w:hAnsi="宋体"/>
                <w:color w:val="auto"/>
                <w:sz w:val="24"/>
                <w:szCs w:val="24"/>
                <w:highlight w:val="none"/>
              </w:rPr>
              <w:t>分，合计</w:t>
            </w:r>
            <w:r>
              <w:rPr>
                <w:rFonts w:ascii="宋体" w:hAnsi="宋体"/>
                <w:color w:val="auto"/>
                <w:sz w:val="24"/>
                <w:szCs w:val="24"/>
                <w:highlight w:val="none"/>
              </w:rPr>
              <w:t>2</w:t>
            </w:r>
            <w:r>
              <w:rPr>
                <w:rFonts w:hint="eastAsia" w:ascii="宋体" w:hAnsi="宋体"/>
                <w:color w:val="auto"/>
                <w:sz w:val="24"/>
                <w:szCs w:val="24"/>
                <w:highlight w:val="none"/>
              </w:rPr>
              <w:t>分。</w:t>
            </w:r>
          </w:p>
          <w:p>
            <w:pPr>
              <w:rPr>
                <w:rFonts w:ascii="宋体" w:hAnsi="宋体" w:cs="Arial"/>
                <w:color w:val="auto"/>
                <w:sz w:val="24"/>
                <w:szCs w:val="24"/>
                <w:highlight w:val="none"/>
              </w:rPr>
            </w:pPr>
            <w:r>
              <w:rPr>
                <w:rFonts w:hint="eastAsia" w:ascii="宋体" w:hAnsi="宋体" w:cs="Arial"/>
                <w:color w:val="auto"/>
                <w:sz w:val="24"/>
                <w:szCs w:val="24"/>
                <w:highlight w:val="none"/>
              </w:rPr>
              <w:t>②如为联合体投标，则需由联合体牵头方提供，否则不得分。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897" w:hRule="atLeast"/>
          <w:jc w:val="center"/>
        </w:trPr>
        <w:tc>
          <w:tcPr>
            <w:tcW w:w="685" w:type="dxa"/>
            <w:vMerge w:val="restart"/>
            <w:shd w:val="clear" w:color="auto" w:fill="FFFFFF"/>
            <w:noWrap/>
            <w:vAlign w:val="center"/>
          </w:tcPr>
          <w:p>
            <w:pPr>
              <w:widowControl/>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二</w:t>
            </w:r>
          </w:p>
        </w:tc>
        <w:tc>
          <w:tcPr>
            <w:tcW w:w="728" w:type="dxa"/>
            <w:vMerge w:val="restart"/>
            <w:shd w:val="clear" w:color="auto" w:fill="FFFFFF"/>
            <w:noWrap/>
            <w:vAlign w:val="center"/>
          </w:tcPr>
          <w:p>
            <w:pPr>
              <w:widowControl/>
              <w:adjustRightInd w:val="0"/>
              <w:snapToGrid w:val="0"/>
              <w:jc w:val="center"/>
              <w:rPr>
                <w:rFonts w:ascii="宋体" w:hAnsi="宋体" w:cs="Arial"/>
                <w:b/>
                <w:color w:val="auto"/>
                <w:sz w:val="24"/>
                <w:szCs w:val="24"/>
                <w:highlight w:val="none"/>
              </w:rPr>
            </w:pPr>
            <w:r>
              <w:rPr>
                <w:rFonts w:ascii="宋体" w:hAnsi="宋体" w:cs="Arial"/>
                <w:b/>
                <w:color w:val="auto"/>
                <w:sz w:val="24"/>
                <w:szCs w:val="24"/>
                <w:highlight w:val="none"/>
              </w:rPr>
              <w:t>施工组织设计</w:t>
            </w:r>
          </w:p>
          <w:p>
            <w:pPr>
              <w:widowControl/>
              <w:adjustRightInd w:val="0"/>
              <w:snapToGrid w:val="0"/>
              <w:ind w:left="-199" w:leftChars="-95" w:right="-67" w:rightChars="-32"/>
              <w:jc w:val="right"/>
              <w:rPr>
                <w:rFonts w:ascii="宋体" w:hAnsi="宋体" w:cs="Arial"/>
                <w:color w:val="auto"/>
                <w:sz w:val="24"/>
                <w:szCs w:val="24"/>
                <w:highlight w:val="none"/>
              </w:rPr>
            </w:pPr>
            <w:r>
              <w:rPr>
                <w:rFonts w:ascii="宋体" w:hAnsi="宋体" w:cs="Arial"/>
                <w:b/>
                <w:color w:val="auto"/>
                <w:sz w:val="24"/>
                <w:szCs w:val="24"/>
                <w:highlight w:val="none"/>
              </w:rPr>
              <w:t>（12分）</w:t>
            </w:r>
          </w:p>
        </w:tc>
        <w:tc>
          <w:tcPr>
            <w:tcW w:w="1520" w:type="dxa"/>
            <w:shd w:val="clear" w:color="auto" w:fill="FFFFFF"/>
            <w:noWrap/>
            <w:vAlign w:val="center"/>
          </w:tcPr>
          <w:p>
            <w:pPr>
              <w:widowControl/>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施工方案</w:t>
            </w:r>
          </w:p>
        </w:tc>
        <w:tc>
          <w:tcPr>
            <w:tcW w:w="677" w:type="dxa"/>
            <w:shd w:val="clear" w:color="auto" w:fill="FFFFFF"/>
            <w:noWrap/>
            <w:vAlign w:val="center"/>
          </w:tcPr>
          <w:p>
            <w:pPr>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2分</w:t>
            </w:r>
          </w:p>
        </w:tc>
        <w:tc>
          <w:tcPr>
            <w:tcW w:w="10847" w:type="dxa"/>
            <w:shd w:val="clear" w:color="auto" w:fill="FFFFFF"/>
            <w:noWrap/>
            <w:vAlign w:val="center"/>
          </w:tcPr>
          <w:p>
            <w:pPr>
              <w:wordWrap w:val="0"/>
              <w:adjustRightInd w:val="0"/>
              <w:snapToGrid w:val="0"/>
              <w:spacing w:line="400" w:lineRule="exact"/>
              <w:jc w:val="left"/>
              <w:rPr>
                <w:rFonts w:ascii="宋体" w:hAnsi="宋体" w:cs="Arial"/>
                <w:color w:val="auto"/>
                <w:sz w:val="24"/>
                <w:szCs w:val="24"/>
                <w:highlight w:val="none"/>
              </w:rPr>
            </w:pPr>
            <w:r>
              <w:rPr>
                <w:rFonts w:ascii="宋体" w:hAnsi="宋体"/>
                <w:color w:val="auto"/>
                <w:sz w:val="24"/>
                <w:szCs w:val="24"/>
                <w:highlight w:val="none"/>
              </w:rPr>
              <w:t>施工组织方案及安装工艺详细、先进、可操作性强，好的得1-2（含）分，一般的得0.5-1（含）分，差的得0-0.5分（含）；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92" w:hRule="atLeast"/>
          <w:jc w:val="center"/>
        </w:trPr>
        <w:tc>
          <w:tcPr>
            <w:tcW w:w="685"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728"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1520" w:type="dxa"/>
            <w:shd w:val="clear" w:color="auto" w:fill="FFFFFF"/>
            <w:noWrap/>
            <w:vAlign w:val="center"/>
          </w:tcPr>
          <w:p>
            <w:pPr>
              <w:widowControl/>
              <w:adjustRightInd w:val="0"/>
              <w:snapToGrid w:val="0"/>
              <w:jc w:val="center"/>
              <w:rPr>
                <w:rFonts w:ascii="宋体" w:hAnsi="宋体" w:cs="Arial"/>
                <w:color w:val="auto"/>
                <w:sz w:val="24"/>
                <w:szCs w:val="24"/>
                <w:highlight w:val="none"/>
              </w:rPr>
            </w:pPr>
            <w:r>
              <w:rPr>
                <w:rStyle w:val="63"/>
                <w:rFonts w:hint="eastAsia" w:ascii="宋体" w:hAnsi="宋体"/>
                <w:color w:val="auto"/>
                <w:kern w:val="0"/>
                <w:sz w:val="24"/>
                <w:szCs w:val="24"/>
                <w:highlight w:val="none"/>
              </w:rPr>
              <w:t>施工进度</w:t>
            </w:r>
          </w:p>
        </w:tc>
        <w:tc>
          <w:tcPr>
            <w:tcW w:w="677" w:type="dxa"/>
            <w:shd w:val="clear" w:color="auto" w:fill="FFFFFF"/>
            <w:noWrap/>
            <w:vAlign w:val="center"/>
          </w:tcPr>
          <w:p>
            <w:pPr>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2分</w:t>
            </w:r>
          </w:p>
        </w:tc>
        <w:tc>
          <w:tcPr>
            <w:tcW w:w="10847" w:type="dxa"/>
            <w:shd w:val="clear" w:color="auto" w:fill="FFFFFF"/>
            <w:noWrap/>
            <w:vAlign w:val="center"/>
          </w:tcPr>
          <w:p>
            <w:pPr>
              <w:wordWrap w:val="0"/>
              <w:adjustRightInd w:val="0"/>
              <w:snapToGrid w:val="0"/>
              <w:spacing w:line="400" w:lineRule="exact"/>
              <w:rPr>
                <w:rFonts w:ascii="宋体" w:hAnsi="宋体" w:cs="Arial"/>
                <w:color w:val="auto"/>
                <w:sz w:val="24"/>
                <w:szCs w:val="24"/>
                <w:highlight w:val="none"/>
              </w:rPr>
            </w:pPr>
            <w:r>
              <w:rPr>
                <w:rFonts w:hint="eastAsia" w:ascii="宋体" w:hAnsi="宋体"/>
                <w:color w:val="auto"/>
                <w:sz w:val="24"/>
                <w:szCs w:val="24"/>
                <w:highlight w:val="none"/>
              </w:rPr>
              <w:t>施工</w:t>
            </w:r>
            <w:r>
              <w:rPr>
                <w:rFonts w:ascii="宋体" w:hAnsi="宋体"/>
                <w:color w:val="auto"/>
                <w:sz w:val="24"/>
                <w:szCs w:val="24"/>
                <w:highlight w:val="none"/>
              </w:rPr>
              <w:t>进度网络计划（针对本项目实际情况缩短工期的组织措施）、关键节点和线路的保证措施是否具有针对性和可行性，好的得1-2（含）分，一般的得0.5-1（含）分，差的得0-0.5分（含）；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92" w:hRule="atLeast"/>
          <w:jc w:val="center"/>
        </w:trPr>
        <w:tc>
          <w:tcPr>
            <w:tcW w:w="685"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728"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1520" w:type="dxa"/>
            <w:shd w:val="clear" w:color="auto" w:fill="FFFFFF"/>
            <w:noWrap/>
            <w:vAlign w:val="center"/>
          </w:tcPr>
          <w:p>
            <w:pPr>
              <w:widowControl/>
              <w:adjustRightInd w:val="0"/>
              <w:snapToGrid w:val="0"/>
              <w:rPr>
                <w:rStyle w:val="63"/>
                <w:rFonts w:ascii="宋体" w:hAnsi="宋体" w:cs="Arial"/>
                <w:color w:val="auto"/>
                <w:kern w:val="0"/>
                <w:sz w:val="24"/>
                <w:szCs w:val="24"/>
                <w:highlight w:val="none"/>
              </w:rPr>
            </w:pPr>
            <w:r>
              <w:rPr>
                <w:rStyle w:val="63"/>
                <w:rFonts w:hint="eastAsia" w:ascii="宋体" w:hAnsi="宋体" w:cs="Arial"/>
                <w:color w:val="auto"/>
                <w:kern w:val="0"/>
                <w:sz w:val="24"/>
                <w:szCs w:val="24"/>
                <w:highlight w:val="none"/>
              </w:rPr>
              <w:t>现场管理人员配备</w:t>
            </w:r>
          </w:p>
        </w:tc>
        <w:tc>
          <w:tcPr>
            <w:tcW w:w="677" w:type="dxa"/>
            <w:shd w:val="clear" w:color="auto" w:fill="FFFFFF"/>
            <w:noWrap/>
            <w:vAlign w:val="center"/>
          </w:tcPr>
          <w:p>
            <w:pPr>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2分</w:t>
            </w:r>
          </w:p>
        </w:tc>
        <w:tc>
          <w:tcPr>
            <w:tcW w:w="10847" w:type="dxa"/>
            <w:shd w:val="clear" w:color="auto" w:fill="FFFFFF"/>
            <w:noWrap/>
            <w:vAlign w:val="center"/>
          </w:tcPr>
          <w:p>
            <w:pPr>
              <w:adjustRightInd w:val="0"/>
              <w:snapToGrid w:val="0"/>
              <w:jc w:val="left"/>
              <w:rPr>
                <w:rFonts w:ascii="宋体" w:hAnsi="宋体" w:cs="Arial"/>
                <w:color w:val="auto"/>
                <w:sz w:val="24"/>
                <w:szCs w:val="24"/>
                <w:highlight w:val="none"/>
              </w:rPr>
            </w:pPr>
            <w:r>
              <w:rPr>
                <w:rFonts w:ascii="宋体" w:hAnsi="宋体"/>
                <w:color w:val="auto"/>
                <w:sz w:val="24"/>
                <w:szCs w:val="24"/>
                <w:highlight w:val="none"/>
              </w:rPr>
              <w:t>派驻现场的管理人员的专业配置是否合理，各专业工种的配置和劳动力的投入是否能满足设备安装需要，好的得1-2（含）分，一般的得0.5-1（含）分，差的得0-0.5分（含）；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92" w:hRule="atLeast"/>
          <w:jc w:val="center"/>
        </w:trPr>
        <w:tc>
          <w:tcPr>
            <w:tcW w:w="685"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728"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1520" w:type="dxa"/>
            <w:shd w:val="clear" w:color="auto" w:fill="FFFFFF"/>
            <w:noWrap/>
            <w:vAlign w:val="center"/>
          </w:tcPr>
          <w:p>
            <w:pPr>
              <w:widowControl/>
              <w:adjustRightInd w:val="0"/>
              <w:snapToGrid w:val="0"/>
              <w:rPr>
                <w:rStyle w:val="63"/>
                <w:rFonts w:ascii="宋体" w:hAnsi="宋体" w:cs="Arial"/>
                <w:color w:val="auto"/>
                <w:kern w:val="0"/>
                <w:sz w:val="24"/>
                <w:szCs w:val="24"/>
                <w:highlight w:val="none"/>
              </w:rPr>
            </w:pPr>
            <w:r>
              <w:rPr>
                <w:rStyle w:val="63"/>
                <w:rFonts w:hint="eastAsia" w:ascii="宋体" w:hAnsi="宋体" w:cs="Arial"/>
                <w:color w:val="auto"/>
                <w:kern w:val="0"/>
                <w:sz w:val="24"/>
                <w:szCs w:val="24"/>
                <w:highlight w:val="none"/>
              </w:rPr>
              <w:t>自控系统设计</w:t>
            </w:r>
          </w:p>
        </w:tc>
        <w:tc>
          <w:tcPr>
            <w:tcW w:w="677" w:type="dxa"/>
            <w:shd w:val="clear" w:color="auto" w:fill="FFFFFF"/>
            <w:noWrap/>
            <w:vAlign w:val="center"/>
          </w:tcPr>
          <w:p>
            <w:pPr>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2分</w:t>
            </w:r>
          </w:p>
        </w:tc>
        <w:tc>
          <w:tcPr>
            <w:tcW w:w="10847" w:type="dxa"/>
            <w:shd w:val="clear" w:color="auto" w:fill="FFFFFF"/>
            <w:noWrap/>
            <w:vAlign w:val="center"/>
          </w:tcPr>
          <w:p>
            <w:pPr>
              <w:wordWrap w:val="0"/>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rPr>
              <w:t>自控</w:t>
            </w:r>
            <w:r>
              <w:rPr>
                <w:rFonts w:ascii="宋体" w:hAnsi="宋体"/>
                <w:color w:val="auto"/>
                <w:sz w:val="24"/>
                <w:szCs w:val="24"/>
                <w:highlight w:val="none"/>
              </w:rPr>
              <w:t>系统设计方案、软硬件配置是否科学、合理，好的得1-2（含）分，一般的得0.5-1（含）分，差的得0-0.5分（含）；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92" w:hRule="atLeast"/>
          <w:jc w:val="center"/>
        </w:trPr>
        <w:tc>
          <w:tcPr>
            <w:tcW w:w="685"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728"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1520" w:type="dxa"/>
            <w:shd w:val="clear" w:color="auto" w:fill="FFFFFF"/>
            <w:noWrap/>
            <w:vAlign w:val="center"/>
          </w:tcPr>
          <w:p>
            <w:pPr>
              <w:widowControl/>
              <w:adjustRightInd w:val="0"/>
              <w:snapToGrid w:val="0"/>
              <w:rPr>
                <w:rStyle w:val="63"/>
                <w:rFonts w:ascii="宋体" w:hAnsi="宋体" w:cs="Arial"/>
                <w:color w:val="auto"/>
                <w:kern w:val="0"/>
                <w:sz w:val="24"/>
                <w:szCs w:val="24"/>
                <w:highlight w:val="none"/>
              </w:rPr>
            </w:pPr>
            <w:r>
              <w:rPr>
                <w:rStyle w:val="63"/>
                <w:rFonts w:hint="eastAsia" w:ascii="宋体" w:hAnsi="宋体" w:cs="Arial"/>
                <w:color w:val="auto"/>
                <w:kern w:val="0"/>
                <w:sz w:val="24"/>
                <w:szCs w:val="24"/>
                <w:highlight w:val="none"/>
              </w:rPr>
              <w:t>培训方案</w:t>
            </w:r>
          </w:p>
        </w:tc>
        <w:tc>
          <w:tcPr>
            <w:tcW w:w="677" w:type="dxa"/>
            <w:shd w:val="clear" w:color="auto" w:fill="FFFFFF"/>
            <w:noWrap/>
            <w:vAlign w:val="center"/>
          </w:tcPr>
          <w:p>
            <w:pPr>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2分</w:t>
            </w:r>
          </w:p>
        </w:tc>
        <w:tc>
          <w:tcPr>
            <w:tcW w:w="10847" w:type="dxa"/>
            <w:shd w:val="clear" w:color="auto" w:fill="FFFFFF"/>
            <w:noWrap/>
            <w:vAlign w:val="center"/>
          </w:tcPr>
          <w:p>
            <w:pPr>
              <w:adjustRightInd w:val="0"/>
              <w:snapToGrid w:val="0"/>
              <w:jc w:val="left"/>
              <w:rPr>
                <w:rFonts w:ascii="宋体" w:hAnsi="宋体"/>
                <w:color w:val="auto"/>
                <w:sz w:val="24"/>
                <w:szCs w:val="24"/>
                <w:highlight w:val="none"/>
              </w:rPr>
            </w:pPr>
            <w:r>
              <w:rPr>
                <w:rFonts w:ascii="宋体" w:hAnsi="宋体"/>
                <w:color w:val="auto"/>
                <w:sz w:val="24"/>
                <w:szCs w:val="24"/>
                <w:highlight w:val="none"/>
              </w:rPr>
              <w:t>培训方案完整合理、切实可行，保障措施完善，符合项目要求，好的得1-2（含）分，一般的得0.5-1（含）分，差的得0-0.5分（含）；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92" w:hRule="atLeast"/>
          <w:jc w:val="center"/>
        </w:trPr>
        <w:tc>
          <w:tcPr>
            <w:tcW w:w="685"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728"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1520" w:type="dxa"/>
            <w:shd w:val="clear" w:color="auto" w:fill="FFFFFF"/>
            <w:noWrap/>
            <w:vAlign w:val="center"/>
          </w:tcPr>
          <w:p>
            <w:pPr>
              <w:widowControl/>
              <w:adjustRightInd w:val="0"/>
              <w:snapToGrid w:val="0"/>
              <w:rPr>
                <w:rStyle w:val="63"/>
                <w:rFonts w:ascii="宋体" w:hAnsi="宋体" w:cs="Arial"/>
                <w:color w:val="auto"/>
                <w:kern w:val="0"/>
                <w:sz w:val="24"/>
                <w:szCs w:val="24"/>
                <w:highlight w:val="none"/>
              </w:rPr>
            </w:pPr>
            <w:r>
              <w:rPr>
                <w:rStyle w:val="63"/>
                <w:rFonts w:hint="eastAsia" w:ascii="宋体" w:hAnsi="宋体" w:cs="Arial"/>
                <w:color w:val="auto"/>
                <w:kern w:val="0"/>
                <w:sz w:val="24"/>
                <w:szCs w:val="24"/>
                <w:highlight w:val="none"/>
              </w:rPr>
              <w:t>文明施工</w:t>
            </w:r>
          </w:p>
        </w:tc>
        <w:tc>
          <w:tcPr>
            <w:tcW w:w="677" w:type="dxa"/>
            <w:shd w:val="clear" w:color="auto" w:fill="FFFFFF"/>
            <w:noWrap/>
            <w:vAlign w:val="center"/>
          </w:tcPr>
          <w:p>
            <w:pPr>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1分</w:t>
            </w:r>
          </w:p>
        </w:tc>
        <w:tc>
          <w:tcPr>
            <w:tcW w:w="10847" w:type="dxa"/>
            <w:shd w:val="clear" w:color="auto" w:fill="FFFFFF"/>
            <w:noWrap/>
            <w:vAlign w:val="center"/>
          </w:tcPr>
          <w:p>
            <w:pPr>
              <w:wordWrap w:val="0"/>
              <w:adjustRightInd w:val="0"/>
              <w:snapToGrid w:val="0"/>
              <w:spacing w:line="40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安全、文明施工及市政、市容、环保、消防等的保证措施是否科学、到位及合理流动，</w:t>
            </w:r>
            <w:r>
              <w:rPr>
                <w:rFonts w:ascii="宋体" w:hAnsi="宋体"/>
                <w:color w:val="auto"/>
                <w:sz w:val="24"/>
                <w:szCs w:val="24"/>
                <w:highlight w:val="none"/>
              </w:rPr>
              <w:t>好的得0.5-1（含）分，一般的得0-0.5（含）分</w:t>
            </w:r>
            <w:r>
              <w:rPr>
                <w:rFonts w:hint="eastAsia" w:ascii="宋体" w:hAnsi="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92" w:hRule="atLeast"/>
          <w:jc w:val="center"/>
        </w:trPr>
        <w:tc>
          <w:tcPr>
            <w:tcW w:w="685"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728" w:type="dxa"/>
            <w:vMerge w:val="continue"/>
            <w:shd w:val="clear" w:color="auto" w:fill="FFFFFF"/>
            <w:noWrap/>
            <w:vAlign w:val="center"/>
          </w:tcPr>
          <w:p>
            <w:pPr>
              <w:widowControl/>
              <w:adjustRightInd w:val="0"/>
              <w:snapToGrid w:val="0"/>
              <w:jc w:val="center"/>
              <w:rPr>
                <w:rFonts w:ascii="宋体" w:hAnsi="宋体" w:cs="Arial"/>
                <w:color w:val="auto"/>
                <w:sz w:val="24"/>
                <w:szCs w:val="24"/>
                <w:highlight w:val="none"/>
              </w:rPr>
            </w:pPr>
          </w:p>
        </w:tc>
        <w:tc>
          <w:tcPr>
            <w:tcW w:w="1520" w:type="dxa"/>
            <w:shd w:val="clear" w:color="auto" w:fill="FFFFFF"/>
            <w:noWrap/>
            <w:vAlign w:val="center"/>
          </w:tcPr>
          <w:p>
            <w:pPr>
              <w:widowControl/>
              <w:adjustRightInd w:val="0"/>
              <w:snapToGrid w:val="0"/>
              <w:rPr>
                <w:rStyle w:val="63"/>
                <w:rFonts w:ascii="宋体" w:hAnsi="宋体" w:cs="Arial"/>
                <w:color w:val="auto"/>
                <w:kern w:val="0"/>
                <w:sz w:val="24"/>
                <w:szCs w:val="24"/>
                <w:highlight w:val="none"/>
              </w:rPr>
            </w:pPr>
            <w:r>
              <w:rPr>
                <w:rStyle w:val="63"/>
                <w:rFonts w:hint="eastAsia" w:ascii="宋体" w:hAnsi="宋体" w:cs="Arial"/>
                <w:color w:val="auto"/>
                <w:kern w:val="0"/>
                <w:sz w:val="24"/>
                <w:szCs w:val="24"/>
                <w:highlight w:val="none"/>
              </w:rPr>
              <w:t>洁净系统设计</w:t>
            </w:r>
          </w:p>
        </w:tc>
        <w:tc>
          <w:tcPr>
            <w:tcW w:w="677" w:type="dxa"/>
            <w:shd w:val="clear" w:color="auto" w:fill="FFFFFF"/>
            <w:noWrap/>
            <w:vAlign w:val="center"/>
          </w:tcPr>
          <w:p>
            <w:pPr>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1分</w:t>
            </w:r>
          </w:p>
        </w:tc>
        <w:tc>
          <w:tcPr>
            <w:tcW w:w="10847" w:type="dxa"/>
            <w:shd w:val="clear" w:color="auto" w:fill="FFFFFF"/>
            <w:noWrap/>
            <w:vAlign w:val="center"/>
          </w:tcPr>
          <w:p>
            <w:pPr>
              <w:adjustRightInd w:val="0"/>
              <w:snapToGrid w:val="0"/>
              <w:jc w:val="left"/>
              <w:rPr>
                <w:rFonts w:hint="eastAsia" w:ascii="宋体" w:hAnsi="宋体" w:eastAsia="宋体"/>
                <w:color w:val="auto"/>
                <w:sz w:val="24"/>
                <w:szCs w:val="24"/>
                <w:highlight w:val="none"/>
                <w:lang w:eastAsia="zh-CN"/>
              </w:rPr>
            </w:pPr>
            <w:r>
              <w:rPr>
                <w:rFonts w:ascii="宋体" w:hAnsi="宋体" w:cs="Arial"/>
                <w:color w:val="auto"/>
                <w:sz w:val="24"/>
                <w:szCs w:val="24"/>
                <w:highlight w:val="none"/>
              </w:rPr>
              <w:t>医用洁净系统深化设计保证措施详尽，保证体系完善且保证措施可行，有针对</w:t>
            </w:r>
            <w:r>
              <w:rPr>
                <w:rFonts w:hint="eastAsia" w:ascii="宋体" w:hAnsi="宋体" w:cs="Arial"/>
                <w:color w:val="auto"/>
                <w:sz w:val="24"/>
                <w:szCs w:val="24"/>
                <w:highlight w:val="none"/>
              </w:rPr>
              <w:t>性，</w:t>
            </w:r>
            <w:r>
              <w:rPr>
                <w:rFonts w:ascii="宋体" w:hAnsi="宋体"/>
                <w:color w:val="auto"/>
                <w:sz w:val="24"/>
                <w:szCs w:val="24"/>
                <w:highlight w:val="none"/>
              </w:rPr>
              <w:t>好的得0.5-1（含）分，一般的得0-0.5（含）分</w:t>
            </w:r>
            <w:r>
              <w:rPr>
                <w:rFonts w:hint="eastAsia" w:ascii="宋体" w:hAnsi="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375" w:hRule="atLeast"/>
          <w:jc w:val="center"/>
        </w:trPr>
        <w:tc>
          <w:tcPr>
            <w:tcW w:w="685" w:type="dxa"/>
            <w:shd w:val="clear" w:color="auto" w:fill="FFFFFF"/>
            <w:noWrap/>
            <w:vAlign w:val="center"/>
          </w:tcPr>
          <w:p>
            <w:pPr>
              <w:widowControl/>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三</w:t>
            </w:r>
          </w:p>
        </w:tc>
        <w:tc>
          <w:tcPr>
            <w:tcW w:w="728" w:type="dxa"/>
            <w:shd w:val="clear" w:color="auto" w:fill="FFFFFF"/>
            <w:noWrap/>
            <w:vAlign w:val="center"/>
          </w:tcPr>
          <w:p>
            <w:pPr>
              <w:widowControl/>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关键材料设备性能要求（</w:t>
            </w:r>
            <w:r>
              <w:rPr>
                <w:rFonts w:ascii="宋体" w:hAnsi="宋体" w:cs="Arial"/>
                <w:color w:val="auto"/>
                <w:sz w:val="24"/>
                <w:szCs w:val="24"/>
                <w:highlight w:val="none"/>
              </w:rPr>
              <w:t>6分）</w:t>
            </w:r>
          </w:p>
        </w:tc>
        <w:tc>
          <w:tcPr>
            <w:tcW w:w="1520" w:type="dxa"/>
            <w:shd w:val="clear" w:color="auto" w:fill="FFFFFF"/>
            <w:noWrap/>
            <w:vAlign w:val="center"/>
          </w:tcPr>
          <w:p>
            <w:pPr>
              <w:widowControl/>
              <w:outlineLvl w:val="1"/>
              <w:rPr>
                <w:rStyle w:val="63"/>
                <w:rFonts w:ascii="宋体" w:hAnsi="宋体" w:cs="Arial"/>
                <w:color w:val="auto"/>
                <w:kern w:val="0"/>
                <w:sz w:val="24"/>
                <w:szCs w:val="24"/>
                <w:highlight w:val="none"/>
              </w:rPr>
            </w:pPr>
            <w:r>
              <w:rPr>
                <w:rFonts w:hint="eastAsia" w:ascii="宋体" w:hAnsi="宋体" w:cstheme="minorBidi"/>
                <w:b/>
                <w:bCs/>
                <w:color w:val="auto"/>
                <w:sz w:val="24"/>
                <w:szCs w:val="24"/>
                <w:highlight w:val="none"/>
              </w:rPr>
              <w:t>投标人对《三、主要材料设备技术参数表》中标注</w:t>
            </w:r>
            <w:r>
              <w:rPr>
                <w:rFonts w:hint="eastAsia" w:ascii="宋体" w:hAnsi="宋体" w:cs="宋体"/>
                <w:color w:val="auto"/>
                <w:kern w:val="0"/>
                <w:sz w:val="24"/>
                <w:szCs w:val="24"/>
                <w:highlight w:val="none"/>
              </w:rPr>
              <w:t>▲的条款的响应情况</w:t>
            </w:r>
          </w:p>
        </w:tc>
        <w:tc>
          <w:tcPr>
            <w:tcW w:w="677" w:type="dxa"/>
            <w:shd w:val="clear" w:color="auto" w:fill="FFFFFF"/>
            <w:noWrap/>
            <w:vAlign w:val="center"/>
          </w:tcPr>
          <w:p>
            <w:pPr>
              <w:adjustRightInd w:val="0"/>
              <w:snapToGrid w:val="0"/>
              <w:jc w:val="center"/>
              <w:rPr>
                <w:rFonts w:ascii="宋体" w:hAnsi="宋体" w:cs="Arial"/>
                <w:color w:val="auto"/>
                <w:sz w:val="24"/>
                <w:szCs w:val="24"/>
                <w:highlight w:val="none"/>
              </w:rPr>
            </w:pPr>
            <w:r>
              <w:rPr>
                <w:rFonts w:hint="eastAsia" w:ascii="宋体" w:hAnsi="宋体" w:cs="Arial"/>
                <w:color w:val="auto"/>
                <w:sz w:val="24"/>
                <w:szCs w:val="24"/>
                <w:highlight w:val="none"/>
              </w:rPr>
              <w:t>6分</w:t>
            </w:r>
          </w:p>
        </w:tc>
        <w:tc>
          <w:tcPr>
            <w:tcW w:w="10847" w:type="dxa"/>
            <w:shd w:val="clear" w:color="auto" w:fill="FFFFFF"/>
            <w:noWrap/>
            <w:vAlign w:val="center"/>
          </w:tcPr>
          <w:p>
            <w:pPr>
              <w:jc w:val="left"/>
              <w:outlineLvl w:val="1"/>
              <w:rPr>
                <w:rFonts w:ascii="宋体" w:hAnsi="宋体" w:cs="宋体"/>
                <w:color w:val="auto"/>
                <w:kern w:val="0"/>
                <w:sz w:val="24"/>
                <w:szCs w:val="24"/>
                <w:highlight w:val="none"/>
              </w:rPr>
            </w:pPr>
            <w:r>
              <w:rPr>
                <w:rFonts w:hint="eastAsia" w:ascii="宋体" w:hAnsi="宋体"/>
                <w:color w:val="auto"/>
                <w:sz w:val="24"/>
                <w:szCs w:val="24"/>
                <w:highlight w:val="none"/>
              </w:rPr>
              <w:t>投标人完全满足《</w:t>
            </w:r>
            <w:r>
              <w:rPr>
                <w:rFonts w:hint="eastAsia" w:ascii="宋体" w:hAnsi="宋体" w:cstheme="minorBidi"/>
                <w:b/>
                <w:bCs/>
                <w:color w:val="auto"/>
                <w:sz w:val="24"/>
                <w:szCs w:val="24"/>
                <w:highlight w:val="none"/>
              </w:rPr>
              <w:t>三、主要材料设备技术参数表</w:t>
            </w:r>
            <w:r>
              <w:rPr>
                <w:rFonts w:hint="eastAsia" w:ascii="宋体" w:hAnsi="宋体"/>
                <w:color w:val="auto"/>
                <w:sz w:val="24"/>
                <w:szCs w:val="24"/>
                <w:highlight w:val="none"/>
              </w:rPr>
              <w:t>》中标注▲的条款要求的得</w:t>
            </w:r>
            <w:r>
              <w:rPr>
                <w:rFonts w:ascii="宋体" w:hAnsi="宋体"/>
                <w:color w:val="auto"/>
                <w:sz w:val="24"/>
                <w:szCs w:val="24"/>
                <w:highlight w:val="none"/>
              </w:rPr>
              <w:t>6分，</w:t>
            </w:r>
            <w:r>
              <w:rPr>
                <w:rFonts w:hint="eastAsia" w:ascii="宋体" w:hAnsi="宋体" w:cs="宋体"/>
                <w:color w:val="auto"/>
                <w:kern w:val="0"/>
                <w:sz w:val="24"/>
                <w:szCs w:val="24"/>
                <w:highlight w:val="none"/>
              </w:rPr>
              <w:t>每有一项负偏离扣</w:t>
            </w:r>
            <w:r>
              <w:rPr>
                <w:rFonts w:ascii="宋体" w:hAnsi="宋体" w:cs="宋体"/>
                <w:color w:val="auto"/>
                <w:kern w:val="0"/>
                <w:sz w:val="24"/>
                <w:szCs w:val="24"/>
                <w:highlight w:val="none"/>
              </w:rPr>
              <w:t>0.5</w:t>
            </w:r>
            <w:r>
              <w:rPr>
                <w:rFonts w:hint="eastAsia" w:ascii="宋体" w:hAnsi="宋体" w:cs="宋体"/>
                <w:color w:val="auto"/>
                <w:kern w:val="0"/>
                <w:sz w:val="24"/>
                <w:szCs w:val="24"/>
                <w:highlight w:val="none"/>
              </w:rPr>
              <w:t>分，扣完为止。</w:t>
            </w:r>
          </w:p>
          <w:p>
            <w:pPr>
              <w:adjustRightInd w:val="0"/>
              <w:snapToGrid w:val="0"/>
              <w:jc w:val="left"/>
              <w:rPr>
                <w:rFonts w:ascii="宋体" w:hAnsi="宋体"/>
                <w:color w:val="auto"/>
                <w:sz w:val="24"/>
                <w:szCs w:val="24"/>
                <w:highlight w:val="none"/>
              </w:rPr>
            </w:pPr>
            <w:r>
              <w:rPr>
                <w:rFonts w:hint="eastAsia" w:ascii="宋体" w:hAnsi="宋体" w:cs="宋体"/>
                <w:color w:val="auto"/>
                <w:kern w:val="0"/>
                <w:sz w:val="24"/>
                <w:szCs w:val="24"/>
                <w:highlight w:val="none"/>
              </w:rPr>
              <w:t>注：投标文件中需提供具有主要参数指标的产品样册、第三方检测报告、认证证书并加盖生产厂家公章，否则不得分。</w:t>
            </w:r>
          </w:p>
        </w:tc>
      </w:tr>
    </w:tbl>
    <w:p>
      <w:pPr>
        <w:spacing w:line="360" w:lineRule="auto"/>
        <w:ind w:firstLine="459"/>
        <w:rPr>
          <w:rFonts w:ascii="Arial" w:hAnsi="Arial" w:cs="Arial"/>
          <w:color w:val="auto"/>
          <w:szCs w:val="21"/>
          <w:highlight w:val="none"/>
        </w:rPr>
      </w:pPr>
    </w:p>
    <w:p>
      <w:pPr>
        <w:ind w:firstLine="420"/>
        <w:rPr>
          <w:rFonts w:ascii="Arial" w:hAnsi="Arial" w:cs="Arial"/>
          <w:color w:val="auto"/>
          <w:szCs w:val="21"/>
          <w:highlight w:val="none"/>
        </w:rPr>
      </w:pPr>
      <w:r>
        <w:rPr>
          <w:rFonts w:hint="eastAsia" w:ascii="Arial" w:hAnsi="Arial" w:cs="Arial"/>
          <w:color w:val="auto"/>
          <w:szCs w:val="21"/>
          <w:highlight w:val="none"/>
        </w:rPr>
        <w:t>注：汇总评标委员会各专家独立评分的算术平均值，若分数出现小数点时，保留小数点后二位，第三位小数四舍五入为各有效的最终得分。</w:t>
      </w:r>
    </w:p>
    <w:p>
      <w:pPr>
        <w:pStyle w:val="30"/>
        <w:rPr>
          <w:rFonts w:ascii="Arial" w:hAnsi="Arial" w:cs="Arial"/>
          <w:color w:val="auto"/>
          <w:highlight w:val="none"/>
        </w:rPr>
      </w:pPr>
      <w:r>
        <w:rPr>
          <w:rFonts w:hint="eastAsia" w:ascii="Arial" w:hAnsi="Arial" w:cs="Arial"/>
          <w:color w:val="auto"/>
          <w:szCs w:val="21"/>
          <w:highlight w:val="none"/>
        </w:rPr>
        <w:t>评委签名：</w:t>
      </w:r>
    </w:p>
    <w:p>
      <w:pPr>
        <w:rPr>
          <w:rFonts w:ascii="Arial" w:hAnsi="Arial" w:cs="Arial"/>
          <w:color w:val="auto"/>
          <w:highlight w:val="none"/>
        </w:rPr>
      </w:pPr>
    </w:p>
    <w:p>
      <w:pPr>
        <w:widowControl/>
        <w:jc w:val="left"/>
        <w:rPr>
          <w:rFonts w:ascii="Arial" w:hAnsi="Arial" w:cs="Arial"/>
          <w:color w:val="auto"/>
          <w:szCs w:val="21"/>
          <w:highlight w:val="none"/>
        </w:rPr>
      </w:pPr>
      <w:r>
        <w:rPr>
          <w:rFonts w:ascii="Arial" w:hAnsi="Arial" w:cs="Arial"/>
          <w:color w:val="auto"/>
          <w:szCs w:val="21"/>
          <w:highlight w:val="none"/>
        </w:rPr>
        <w:br w:type="page"/>
      </w:r>
    </w:p>
    <w:p>
      <w:pPr>
        <w:rPr>
          <w:rFonts w:ascii="Arial" w:hAnsi="Arial" w:cs="Arial"/>
          <w:color w:val="auto"/>
          <w:szCs w:val="21"/>
          <w:highlight w:val="none"/>
        </w:rPr>
      </w:pPr>
      <w:r>
        <w:rPr>
          <w:rFonts w:hint="eastAsia" w:ascii="Arial" w:hAnsi="Arial" w:cs="Arial"/>
          <w:color w:val="auto"/>
          <w:szCs w:val="21"/>
          <w:highlight w:val="none"/>
        </w:rPr>
        <w:t>附表五（适用于加权平均法）</w:t>
      </w:r>
    </w:p>
    <w:p>
      <w:pPr>
        <w:jc w:val="center"/>
        <w:rPr>
          <w:rFonts w:ascii="Arial" w:hAnsi="Arial" w:cs="Arial"/>
          <w:b/>
          <w:color w:val="auto"/>
          <w:sz w:val="36"/>
          <w:szCs w:val="36"/>
          <w:highlight w:val="none"/>
        </w:rPr>
      </w:pPr>
      <w:r>
        <w:rPr>
          <w:rFonts w:hint="eastAsia" w:ascii="Arial" w:hAnsi="Arial" w:cs="Arial"/>
          <w:b/>
          <w:color w:val="auto"/>
          <w:sz w:val="36"/>
          <w:szCs w:val="36"/>
          <w:highlight w:val="none"/>
        </w:rPr>
        <w:t>经济标评分表</w:t>
      </w:r>
    </w:p>
    <w:p>
      <w:pPr>
        <w:rPr>
          <w:rFonts w:ascii="Arial" w:hAnsi="Arial" w:cs="Arial"/>
          <w:color w:val="auto"/>
          <w:szCs w:val="21"/>
          <w:highlight w:val="none"/>
        </w:rPr>
      </w:pPr>
      <w:r>
        <w:rPr>
          <w:rFonts w:hint="eastAsia" w:ascii="Arial" w:hAnsi="Arial" w:cs="Arial"/>
          <w:color w:val="auto"/>
          <w:szCs w:val="21"/>
          <w:highlight w:val="none"/>
        </w:rPr>
        <w:t>工程名称：</w:t>
      </w:r>
    </w:p>
    <w:tbl>
      <w:tblPr>
        <w:tblStyle w:val="5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投标报价PT（元）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偏差（（PT-PC）/PC）（%）</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减分（A）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得分(I=100-A)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bl>
    <w:p>
      <w:pPr>
        <w:rPr>
          <w:rFonts w:ascii="Arial" w:hAnsi="Arial" w:cs="Arial"/>
          <w:color w:val="auto"/>
          <w:sz w:val="24"/>
          <w:szCs w:val="24"/>
          <w:highlight w:val="none"/>
        </w:rPr>
      </w:pPr>
      <w:r>
        <w:rPr>
          <w:rFonts w:hint="eastAsia" w:ascii="Arial" w:hAnsi="Arial" w:cs="Arial"/>
          <w:color w:val="auto"/>
          <w:szCs w:val="21"/>
          <w:highlight w:val="none"/>
        </w:rPr>
        <w:t>评委签名：</w:t>
      </w:r>
      <w:r>
        <w:rPr>
          <w:rFonts w:ascii="Arial" w:hAnsi="Arial" w:cs="Arial"/>
          <w:b/>
          <w:color w:val="auto"/>
          <w:sz w:val="36"/>
          <w:szCs w:val="36"/>
          <w:highlight w:val="none"/>
        </w:rPr>
        <w:br w:type="page"/>
      </w:r>
      <w:r>
        <w:rPr>
          <w:rFonts w:hint="eastAsia" w:ascii="Arial" w:hAnsi="Arial" w:cs="Arial"/>
          <w:color w:val="auto"/>
          <w:szCs w:val="21"/>
          <w:highlight w:val="none"/>
        </w:rPr>
        <w:t>附表五（适用于区间抽取法）</w:t>
      </w:r>
    </w:p>
    <w:p>
      <w:pPr>
        <w:jc w:val="center"/>
        <w:rPr>
          <w:rFonts w:ascii="Arial" w:hAnsi="Arial" w:cs="Arial"/>
          <w:b/>
          <w:color w:val="auto"/>
          <w:sz w:val="36"/>
          <w:szCs w:val="36"/>
          <w:highlight w:val="none"/>
        </w:rPr>
      </w:pPr>
      <w:r>
        <w:rPr>
          <w:rFonts w:hint="eastAsia" w:ascii="Arial" w:hAnsi="Arial" w:cs="Arial"/>
          <w:b/>
          <w:color w:val="auto"/>
          <w:sz w:val="36"/>
          <w:szCs w:val="36"/>
          <w:highlight w:val="none"/>
        </w:rPr>
        <w:t>经济标评分表</w:t>
      </w:r>
    </w:p>
    <w:p>
      <w:pPr>
        <w:rPr>
          <w:rFonts w:ascii="Arial" w:hAnsi="Arial" w:cs="Arial"/>
          <w:color w:val="auto"/>
          <w:szCs w:val="21"/>
          <w:highlight w:val="none"/>
        </w:rPr>
      </w:pPr>
      <w:r>
        <w:rPr>
          <w:rFonts w:hint="eastAsia" w:ascii="Arial" w:hAnsi="Arial" w:cs="Arial"/>
          <w:color w:val="auto"/>
          <w:szCs w:val="21"/>
          <w:highlight w:val="none"/>
        </w:rPr>
        <w:t>工程名称：</w:t>
      </w:r>
    </w:p>
    <w:tbl>
      <w:tblPr>
        <w:tblStyle w:val="5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投标报价PT（元）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偏差（（PT-PC）/PC）（%）</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减分（A）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得分(I=100-A)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bl>
    <w:p>
      <w:pPr>
        <w:rPr>
          <w:rFonts w:ascii="Arial" w:hAnsi="Arial" w:cs="Arial"/>
          <w:color w:val="auto"/>
          <w:szCs w:val="21"/>
          <w:highlight w:val="none"/>
        </w:rPr>
      </w:pPr>
      <w:r>
        <w:rPr>
          <w:rFonts w:hint="eastAsia" w:ascii="Arial" w:hAnsi="Arial" w:cs="Arial"/>
          <w:color w:val="auto"/>
          <w:szCs w:val="21"/>
          <w:highlight w:val="none"/>
        </w:rPr>
        <w:t>评委签名：</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b/>
          <w:color w:val="auto"/>
          <w:szCs w:val="21"/>
          <w:highlight w:val="none"/>
        </w:rPr>
      </w:pPr>
      <w:r>
        <w:rPr>
          <w:rFonts w:hint="eastAsia" w:ascii="Arial" w:hAnsi="Arial" w:cs="Arial"/>
          <w:color w:val="auto"/>
          <w:szCs w:val="21"/>
          <w:highlight w:val="none"/>
        </w:rPr>
        <w:t>附表六</w:t>
      </w:r>
    </w:p>
    <w:p>
      <w:pPr>
        <w:jc w:val="center"/>
        <w:rPr>
          <w:rFonts w:ascii="Arial" w:hAnsi="Arial" w:cs="Arial"/>
          <w:b/>
          <w:color w:val="auto"/>
          <w:sz w:val="36"/>
          <w:szCs w:val="36"/>
          <w:highlight w:val="none"/>
        </w:rPr>
      </w:pPr>
      <w:r>
        <w:rPr>
          <w:rFonts w:hint="eastAsia" w:ascii="Arial" w:hAnsi="Arial" w:cs="Arial"/>
          <w:b/>
          <w:color w:val="auto"/>
          <w:sz w:val="36"/>
          <w:szCs w:val="36"/>
          <w:highlight w:val="none"/>
        </w:rPr>
        <w:t>算术复核表</w:t>
      </w:r>
    </w:p>
    <w:p>
      <w:pPr>
        <w:rPr>
          <w:rFonts w:ascii="Arial" w:hAnsi="Arial" w:cs="Arial"/>
          <w:color w:val="auto"/>
          <w:kern w:val="0"/>
          <w:szCs w:val="21"/>
          <w:highlight w:val="none"/>
        </w:rPr>
      </w:pPr>
      <w:r>
        <w:rPr>
          <w:rFonts w:hint="eastAsia" w:ascii="Arial" w:hAnsi="Arial" w:cs="Arial"/>
          <w:color w:val="auto"/>
          <w:kern w:val="0"/>
          <w:szCs w:val="21"/>
          <w:highlight w:val="none"/>
        </w:rPr>
        <w:t>工程名称：</w:t>
      </w:r>
      <w:r>
        <w:rPr>
          <w:rFonts w:ascii="Arial" w:hAnsi="Arial" w:cs="Arial"/>
          <w:color w:val="auto"/>
          <w:kern w:val="0"/>
          <w:szCs w:val="21"/>
          <w:highlight w:val="none"/>
        </w:rPr>
        <w:t xml:space="preserve">                                           </w:t>
      </w:r>
      <w:r>
        <w:rPr>
          <w:rFonts w:hint="eastAsia" w:ascii="Arial" w:hAnsi="Arial" w:cs="Arial"/>
          <w:color w:val="auto"/>
          <w:kern w:val="0"/>
          <w:szCs w:val="21"/>
          <w:highlight w:val="none"/>
        </w:rPr>
        <w:t>投标人:</w:t>
      </w:r>
      <w:r>
        <w:rPr>
          <w:rFonts w:ascii="Arial" w:hAnsi="Arial" w:cs="Arial"/>
          <w:color w:val="auto"/>
          <w:kern w:val="0"/>
          <w:szCs w:val="21"/>
          <w:highlight w:val="none"/>
        </w:rPr>
        <w:t xml:space="preserve">                                                  </w:t>
      </w:r>
      <w:r>
        <w:rPr>
          <w:rFonts w:hint="eastAsia" w:ascii="Arial" w:hAnsi="Arial" w:cs="Arial"/>
          <w:color w:val="auto"/>
          <w:kern w:val="0"/>
          <w:szCs w:val="21"/>
          <w:highlight w:val="none"/>
        </w:rPr>
        <w:t>单位：元</w:t>
      </w:r>
    </w:p>
    <w:tbl>
      <w:tblPr>
        <w:tblStyle w:val="54"/>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修正前投标</w:t>
            </w:r>
          </w:p>
          <w:p>
            <w:pPr>
              <w:rPr>
                <w:rFonts w:ascii="Arial" w:hAnsi="Arial" w:cs="Arial"/>
                <w:color w:val="auto"/>
                <w:kern w:val="0"/>
                <w:szCs w:val="21"/>
                <w:highlight w:val="none"/>
              </w:rPr>
            </w:pPr>
            <w:r>
              <w:rPr>
                <w:rFonts w:hint="eastAsia" w:ascii="Arial" w:hAnsi="Arial" w:cs="Arial"/>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修正后投标</w:t>
            </w:r>
          </w:p>
          <w:p>
            <w:pPr>
              <w:rPr>
                <w:rFonts w:ascii="Arial" w:hAnsi="Arial" w:cs="Arial"/>
                <w:color w:val="auto"/>
                <w:kern w:val="0"/>
                <w:szCs w:val="21"/>
                <w:highlight w:val="none"/>
              </w:rPr>
            </w:pPr>
            <w:r>
              <w:rPr>
                <w:rFonts w:hint="eastAsia" w:ascii="Arial" w:hAnsi="Arial" w:cs="Arial"/>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修正率</w:t>
            </w:r>
          </w:p>
          <w:p>
            <w:pPr>
              <w:pStyle w:val="30"/>
              <w:rPr>
                <w:color w:val="auto"/>
                <w:highlight w:val="none"/>
              </w:rPr>
            </w:pPr>
          </w:p>
          <w:p>
            <w:pPr>
              <w:rPr>
                <w:rFonts w:ascii="Arial" w:hAnsi="Arial" w:cs="Arial"/>
                <w:color w:val="auto"/>
                <w:kern w:val="0"/>
                <w:szCs w:val="21"/>
                <w:highlight w:val="none"/>
              </w:rPr>
            </w:pPr>
            <w:r>
              <w:rPr>
                <w:rFonts w:ascii="Arial" w:hAnsi="Arial" w:cs="Arial"/>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hint="eastAsia" w:ascii="Arial" w:hAnsi="Arial" w:cs="Arial"/>
                <w:color w:val="auto"/>
                <w:kern w:val="0"/>
                <w:szCs w:val="21"/>
                <w:highlight w:val="none"/>
              </w:rPr>
              <w:t>∑A=A</w:t>
            </w:r>
            <w:r>
              <w:rPr>
                <w:rFonts w:ascii="Arial" w:hAnsi="Arial" w:cs="Arial"/>
                <w:color w:val="auto"/>
                <w:kern w:val="0"/>
                <w:szCs w:val="21"/>
                <w:highlight w:val="none"/>
                <w:vertAlign w:val="subscript"/>
              </w:rPr>
              <w:t>1</w:t>
            </w:r>
            <w:r>
              <w:rPr>
                <w:rFonts w:ascii="Arial" w:hAnsi="Arial" w:cs="Arial"/>
                <w:color w:val="auto"/>
                <w:kern w:val="0"/>
                <w:szCs w:val="21"/>
                <w:highlight w:val="none"/>
              </w:rPr>
              <w:t>+A</w:t>
            </w:r>
            <w:r>
              <w:rPr>
                <w:rFonts w:ascii="Arial" w:hAnsi="Arial" w:cs="Arial"/>
                <w:color w:val="auto"/>
                <w:kern w:val="0"/>
                <w:szCs w:val="21"/>
                <w:highlight w:val="none"/>
                <w:vertAlign w:val="subscript"/>
              </w:rPr>
              <w:t>2</w:t>
            </w:r>
            <w:r>
              <w:rPr>
                <w:rFonts w:hint="eastAsia" w:ascii="Arial" w:hAnsi="Arial" w:cs="Arial"/>
                <w:color w:val="auto"/>
                <w:kern w:val="0"/>
                <w:szCs w:val="21"/>
                <w:highlight w:val="none"/>
              </w:rPr>
              <w:t>+…An；∑B=B</w:t>
            </w:r>
            <w:r>
              <w:rPr>
                <w:rFonts w:ascii="Arial" w:hAnsi="Arial" w:cs="Arial"/>
                <w:color w:val="auto"/>
                <w:kern w:val="0"/>
                <w:szCs w:val="21"/>
                <w:highlight w:val="none"/>
                <w:vertAlign w:val="subscript"/>
              </w:rPr>
              <w:t>1</w:t>
            </w:r>
            <w:r>
              <w:rPr>
                <w:rFonts w:ascii="Arial" w:hAnsi="Arial" w:cs="Arial"/>
                <w:color w:val="auto"/>
                <w:kern w:val="0"/>
                <w:szCs w:val="21"/>
                <w:highlight w:val="none"/>
              </w:rPr>
              <w:t>+B</w:t>
            </w:r>
            <w:r>
              <w:rPr>
                <w:rFonts w:ascii="Arial" w:hAnsi="Arial" w:cs="Arial"/>
                <w:color w:val="auto"/>
                <w:kern w:val="0"/>
                <w:szCs w:val="21"/>
                <w:highlight w:val="none"/>
                <w:vertAlign w:val="subscript"/>
              </w:rPr>
              <w:t>2</w:t>
            </w:r>
            <w:r>
              <w:rPr>
                <w:rFonts w:ascii="Arial" w:hAnsi="Arial" w:cs="Arial"/>
                <w:color w:val="auto"/>
                <w:kern w:val="0"/>
                <w:szCs w:val="21"/>
                <w:highlight w:val="none"/>
              </w:rPr>
              <w:t>+…Bn</w:t>
            </w:r>
          </w:p>
        </w:tc>
      </w:tr>
    </w:tbl>
    <w:p>
      <w:pPr>
        <w:rPr>
          <w:rFonts w:ascii="Arial" w:hAnsi="Arial" w:cs="Arial"/>
          <w:color w:val="auto"/>
          <w:kern w:val="0"/>
          <w:szCs w:val="21"/>
          <w:highlight w:val="none"/>
        </w:rPr>
      </w:pPr>
      <w:r>
        <w:rPr>
          <w:rFonts w:hint="eastAsia" w:ascii="Arial" w:hAnsi="Arial" w:cs="Arial"/>
          <w:color w:val="auto"/>
          <w:kern w:val="0"/>
          <w:szCs w:val="21"/>
          <w:highlight w:val="none"/>
        </w:rPr>
        <w:t>修正原则：</w:t>
      </w:r>
      <w:r>
        <w:rPr>
          <w:rFonts w:hint="eastAsia" w:ascii="Arial" w:hAnsi="Arial" w:cs="Arial"/>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ascii="Arial" w:hAnsi="Arial" w:cs="Arial"/>
          <w:color w:val="auto"/>
          <w:kern w:val="0"/>
          <w:szCs w:val="21"/>
          <w:highlight w:val="none"/>
        </w:rPr>
        <w:tab/>
      </w:r>
    </w:p>
    <w:p>
      <w:pPr>
        <w:rPr>
          <w:rFonts w:ascii="Arial" w:hAnsi="Arial" w:cs="Arial"/>
          <w:color w:val="auto"/>
          <w:kern w:val="0"/>
          <w:szCs w:val="21"/>
          <w:highlight w:val="none"/>
        </w:rPr>
      </w:pPr>
      <w:r>
        <w:rPr>
          <w:rFonts w:hint="eastAsia" w:ascii="Arial" w:hAnsi="Arial" w:cs="Arial"/>
          <w:color w:val="auto"/>
          <w:kern w:val="0"/>
          <w:szCs w:val="21"/>
          <w:highlight w:val="none"/>
        </w:rPr>
        <w:t>评委签名：</w:t>
      </w:r>
      <w:r>
        <w:rPr>
          <w:rFonts w:ascii="Arial" w:hAnsi="Arial" w:cs="Arial"/>
          <w:color w:val="auto"/>
          <w:kern w:val="0"/>
          <w:szCs w:val="21"/>
          <w:highlight w:val="none"/>
        </w:rPr>
        <w:tab/>
      </w:r>
      <w:r>
        <w:rPr>
          <w:rFonts w:ascii="Arial" w:hAnsi="Arial" w:cs="Arial"/>
          <w:color w:val="auto"/>
          <w:kern w:val="0"/>
          <w:szCs w:val="21"/>
          <w:highlight w:val="none"/>
        </w:rPr>
        <w:tab/>
      </w:r>
      <w:r>
        <w:rPr>
          <w:rFonts w:ascii="Arial" w:hAnsi="Arial" w:cs="Arial"/>
          <w:color w:val="auto"/>
          <w:kern w:val="0"/>
          <w:szCs w:val="21"/>
          <w:highlight w:val="none"/>
        </w:rPr>
        <w:tab/>
      </w:r>
      <w:r>
        <w:rPr>
          <w:rFonts w:ascii="Arial" w:hAnsi="Arial" w:cs="Arial"/>
          <w:color w:val="auto"/>
          <w:kern w:val="0"/>
          <w:szCs w:val="21"/>
          <w:highlight w:val="none"/>
        </w:rPr>
        <w:tab/>
      </w:r>
      <w:r>
        <w:rPr>
          <w:rFonts w:ascii="Arial" w:hAnsi="Arial" w:cs="Arial"/>
          <w:color w:val="auto"/>
          <w:kern w:val="0"/>
          <w:szCs w:val="21"/>
          <w:highlight w:val="none"/>
        </w:rPr>
        <w:tab/>
      </w:r>
      <w:r>
        <w:rPr>
          <w:rFonts w:hint="eastAsia" w:ascii="Arial" w:hAnsi="Arial" w:cs="Arial"/>
          <w:color w:val="auto"/>
          <w:kern w:val="0"/>
          <w:szCs w:val="21"/>
          <w:highlight w:val="none"/>
        </w:rPr>
        <w:t>日期：</w:t>
      </w:r>
    </w:p>
    <w:p>
      <w:pPr>
        <w:rPr>
          <w:rFonts w:ascii="Arial" w:hAnsi="Arial" w:cs="Arial"/>
          <w:color w:val="auto"/>
          <w:highlight w:val="none"/>
        </w:rPr>
      </w:pPr>
    </w:p>
    <w:p>
      <w:pPr>
        <w:rPr>
          <w:rFonts w:ascii="Arial" w:hAnsi="Arial" w:cs="Arial"/>
          <w:color w:val="auto"/>
          <w:highlight w:val="none"/>
        </w:rPr>
      </w:pPr>
      <w:r>
        <w:rPr>
          <w:rFonts w:ascii="Arial" w:hAnsi="Arial" w:cs="Arial"/>
          <w:color w:val="auto"/>
          <w:highlight w:val="none"/>
        </w:rPr>
        <w:br w:type="page"/>
      </w:r>
    </w:p>
    <w:p>
      <w:pPr>
        <w:jc w:val="center"/>
        <w:rPr>
          <w:rFonts w:ascii="Arial" w:hAnsi="Arial" w:cs="Arial"/>
          <w:b/>
          <w:color w:val="auto"/>
          <w:sz w:val="36"/>
          <w:szCs w:val="36"/>
          <w:highlight w:val="none"/>
        </w:rPr>
      </w:pPr>
      <w:r>
        <w:rPr>
          <w:rFonts w:hint="eastAsia" w:ascii="Arial" w:hAnsi="Arial" w:cs="Arial"/>
          <w:b/>
          <w:color w:val="auto"/>
          <w:sz w:val="36"/>
          <w:szCs w:val="36"/>
          <w:highlight w:val="none"/>
        </w:rPr>
        <w:t>算术复核表</w:t>
      </w:r>
    </w:p>
    <w:p>
      <w:pPr>
        <w:rPr>
          <w:rFonts w:ascii="Arial" w:hAnsi="Arial" w:cs="Arial"/>
          <w:color w:val="auto"/>
          <w:szCs w:val="21"/>
          <w:highlight w:val="none"/>
        </w:rPr>
      </w:pPr>
      <w:r>
        <w:rPr>
          <w:rFonts w:hint="eastAsia" w:ascii="Arial" w:hAnsi="Arial" w:cs="Arial"/>
          <w:color w:val="auto"/>
          <w:szCs w:val="21"/>
          <w:highlight w:val="none"/>
        </w:rPr>
        <w:t>工程名称：</w:t>
      </w:r>
    </w:p>
    <w:tbl>
      <w:tblPr>
        <w:tblStyle w:val="5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hint="eastAsia" w:ascii="Arial" w:hAnsi="Arial" w:cs="Arial"/>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hint="eastAsia" w:ascii="Arial" w:hAnsi="Arial" w:cs="Arial"/>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hint="eastAsia" w:ascii="Arial" w:hAnsi="Arial" w:cs="Arial"/>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hint="eastAsia" w:ascii="Arial" w:hAnsi="Arial" w:cs="Arial"/>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hint="eastAsia" w:ascii="Arial" w:hAnsi="Arial" w:cs="Arial"/>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bl>
    <w:p>
      <w:pPr>
        <w:rPr>
          <w:rFonts w:ascii="Arial" w:hAnsi="Arial" w:cs="Arial"/>
          <w:color w:val="auto"/>
          <w:szCs w:val="21"/>
          <w:highlight w:val="none"/>
        </w:rPr>
      </w:pPr>
      <w:r>
        <w:rPr>
          <w:rFonts w:hint="eastAsia" w:ascii="Arial" w:hAnsi="Arial" w:cs="Arial"/>
          <w:color w:val="auto"/>
          <w:szCs w:val="21"/>
          <w:highlight w:val="none"/>
        </w:rPr>
        <w:t>评委签名：</w:t>
      </w:r>
    </w:p>
    <w:p>
      <w:pPr>
        <w:spacing w:line="360" w:lineRule="auto"/>
        <w:jc w:val="center"/>
        <w:rPr>
          <w:rFonts w:ascii="Arial" w:hAnsi="Arial" w:cs="Arial"/>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pgNumType w:fmt="decimal"/>
          <w:cols w:space="425" w:num="1"/>
          <w:titlePg/>
          <w:docGrid w:type="lines" w:linePitch="312" w:charSpace="0"/>
        </w:sectPr>
      </w:pPr>
    </w:p>
    <w:p>
      <w:pPr>
        <w:pStyle w:val="4"/>
        <w:rPr>
          <w:rFonts w:cs="Arial"/>
          <w:color w:val="auto"/>
          <w:highlight w:val="none"/>
        </w:rPr>
      </w:pPr>
      <w:bookmarkStart w:id="43" w:name="_Toc2272566"/>
      <w:bookmarkStart w:id="44" w:name="_Toc101266300"/>
      <w:r>
        <w:rPr>
          <w:rFonts w:hint="eastAsia" w:cs="Arial"/>
          <w:color w:val="auto"/>
          <w:highlight w:val="none"/>
        </w:rPr>
        <w:t>第三章</w:t>
      </w:r>
      <w:r>
        <w:rPr>
          <w:rFonts w:cs="Arial"/>
          <w:color w:val="auto"/>
          <w:highlight w:val="none"/>
        </w:rPr>
        <w:t xml:space="preserve">  </w:t>
      </w:r>
      <w:r>
        <w:rPr>
          <w:rFonts w:hint="eastAsia" w:cs="Arial"/>
          <w:color w:val="auto"/>
          <w:highlight w:val="none"/>
        </w:rPr>
        <w:t>合同条款</w:t>
      </w:r>
      <w:bookmarkEnd w:id="43"/>
      <w:bookmarkEnd w:id="44"/>
    </w:p>
    <w:p>
      <w:pPr>
        <w:rPr>
          <w:rFonts w:ascii="Arial" w:hAnsi="Arial" w:cs="Arial"/>
          <w:b/>
          <w:color w:val="auto"/>
          <w:sz w:val="24"/>
          <w:szCs w:val="24"/>
          <w:highlight w:val="none"/>
        </w:rPr>
      </w:pPr>
      <w:r>
        <w:rPr>
          <w:rFonts w:hint="eastAsia" w:ascii="Arial" w:hAnsi="Arial" w:cs="Arial"/>
          <w:color w:val="auto"/>
          <w:sz w:val="24"/>
          <w:szCs w:val="24"/>
          <w:highlight w:val="none"/>
        </w:rPr>
        <w:t>注：按《建设项目工程总承包合同示范文本（试行）》（GF-2011-0216）执行，另册。</w:t>
      </w:r>
    </w:p>
    <w:p>
      <w:pPr>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30"/>
        <w:spacing w:line="360" w:lineRule="auto"/>
        <w:rPr>
          <w:rFonts w:ascii="Arial" w:hAnsi="Arial" w:cs="Arial"/>
          <w:color w:val="auto"/>
          <w:sz w:val="24"/>
          <w:szCs w:val="24"/>
          <w:highlight w:val="none"/>
        </w:rPr>
      </w:pPr>
    </w:p>
    <w:p>
      <w:pPr>
        <w:pStyle w:val="30"/>
        <w:spacing w:line="360" w:lineRule="auto"/>
        <w:rPr>
          <w:rFonts w:ascii="Arial" w:hAnsi="Arial" w:cs="Arial"/>
          <w:color w:val="auto"/>
          <w:sz w:val="24"/>
          <w:szCs w:val="24"/>
          <w:highlight w:val="none"/>
        </w:rPr>
      </w:pPr>
      <w:r>
        <w:rPr>
          <w:rFonts w:ascii="Arial" w:hAnsi="Arial" w:cs="Arial"/>
          <w:color w:val="auto"/>
          <w:sz w:val="24"/>
          <w:szCs w:val="24"/>
          <w:highlight w:val="none"/>
        </w:rPr>
        <w:br w:type="page"/>
      </w:r>
    </w:p>
    <w:p>
      <w:pPr>
        <w:pStyle w:val="4"/>
        <w:rPr>
          <w:rFonts w:cs="Arial"/>
          <w:color w:val="auto"/>
          <w:highlight w:val="none"/>
        </w:rPr>
      </w:pPr>
      <w:bookmarkStart w:id="45" w:name="_Toc101266301"/>
      <w:bookmarkStart w:id="46" w:name="_Toc2272567"/>
      <w:r>
        <w:rPr>
          <w:rFonts w:hint="eastAsia" w:cs="Arial"/>
          <w:color w:val="auto"/>
          <w:highlight w:val="none"/>
        </w:rPr>
        <w:t>第四章</w:t>
      </w:r>
      <w:r>
        <w:rPr>
          <w:rFonts w:cs="Arial"/>
          <w:color w:val="auto"/>
          <w:highlight w:val="none"/>
        </w:rPr>
        <w:t xml:space="preserve">  </w:t>
      </w:r>
      <w:r>
        <w:rPr>
          <w:rFonts w:hint="eastAsia" w:cs="Arial"/>
          <w:color w:val="auto"/>
          <w:highlight w:val="none"/>
        </w:rPr>
        <w:t>投标文件格式</w:t>
      </w:r>
      <w:bookmarkEnd w:id="45"/>
      <w:bookmarkEnd w:id="46"/>
    </w:p>
    <w:p>
      <w:pPr>
        <w:autoSpaceDE w:val="0"/>
        <w:autoSpaceDN w:val="0"/>
        <w:adjustRightInd w:val="0"/>
        <w:outlineLvl w:val="1"/>
        <w:rPr>
          <w:rFonts w:ascii="Arial" w:hAnsi="Arial" w:cs="Arial"/>
          <w:bCs/>
          <w:color w:val="auto"/>
          <w:szCs w:val="21"/>
          <w:highlight w:val="none"/>
        </w:rPr>
      </w:pPr>
      <w:r>
        <w:rPr>
          <w:rFonts w:hint="eastAsia" w:ascii="Arial" w:hAnsi="Arial" w:cs="Arial"/>
          <w:bCs/>
          <w:color w:val="auto"/>
          <w:szCs w:val="21"/>
          <w:highlight w:val="none"/>
        </w:rPr>
        <w:t>附件一</w:t>
      </w:r>
    </w:p>
    <w:p>
      <w:pPr>
        <w:spacing w:line="360" w:lineRule="auto"/>
        <w:jc w:val="center"/>
        <w:rPr>
          <w:rFonts w:ascii="Arial" w:hAnsi="Arial" w:cs="Arial"/>
          <w:b/>
          <w:color w:val="auto"/>
          <w:sz w:val="36"/>
          <w:szCs w:val="36"/>
          <w:highlight w:val="none"/>
        </w:rPr>
      </w:pPr>
      <w:r>
        <w:rPr>
          <w:rFonts w:hint="eastAsia" w:ascii="Arial" w:hAnsi="Arial" w:cs="Arial"/>
          <w:b/>
          <w:color w:val="auto"/>
          <w:sz w:val="36"/>
          <w:szCs w:val="36"/>
          <w:highlight w:val="none"/>
        </w:rPr>
        <w:t>投</w:t>
      </w:r>
      <w:r>
        <w:rPr>
          <w:rFonts w:ascii="Arial" w:hAnsi="Arial" w:cs="Arial"/>
          <w:b/>
          <w:color w:val="auto"/>
          <w:sz w:val="36"/>
          <w:szCs w:val="36"/>
          <w:highlight w:val="none"/>
        </w:rPr>
        <w:t xml:space="preserve">  </w:t>
      </w:r>
      <w:r>
        <w:rPr>
          <w:rFonts w:hint="eastAsia" w:ascii="Arial" w:hAnsi="Arial" w:cs="Arial"/>
          <w:b/>
          <w:color w:val="auto"/>
          <w:sz w:val="36"/>
          <w:szCs w:val="36"/>
          <w:highlight w:val="none"/>
        </w:rPr>
        <w:t>标</w:t>
      </w:r>
      <w:r>
        <w:rPr>
          <w:rFonts w:ascii="Arial" w:hAnsi="Arial" w:cs="Arial"/>
          <w:b/>
          <w:color w:val="auto"/>
          <w:sz w:val="36"/>
          <w:szCs w:val="36"/>
          <w:highlight w:val="none"/>
        </w:rPr>
        <w:t xml:space="preserve">  </w:t>
      </w:r>
      <w:r>
        <w:rPr>
          <w:rFonts w:hint="eastAsia" w:ascii="Arial" w:hAnsi="Arial" w:cs="Arial"/>
          <w:b/>
          <w:color w:val="auto"/>
          <w:sz w:val="36"/>
          <w:szCs w:val="36"/>
          <w:highlight w:val="none"/>
        </w:rPr>
        <w:t>函</w:t>
      </w:r>
    </w:p>
    <w:p>
      <w:pPr>
        <w:spacing w:line="360" w:lineRule="auto"/>
        <w:rPr>
          <w:rFonts w:ascii="Arial" w:hAnsi="Arial" w:cs="Arial"/>
          <w:b/>
          <w:color w:val="auto"/>
          <w:szCs w:val="21"/>
          <w:highlight w:val="none"/>
        </w:rPr>
      </w:pPr>
      <w:r>
        <w:rPr>
          <w:rFonts w:hint="eastAsia" w:ascii="Arial" w:hAnsi="Arial" w:cs="Arial"/>
          <w:b/>
          <w:color w:val="auto"/>
          <w:szCs w:val="21"/>
          <w:highlight w:val="none"/>
        </w:rPr>
        <w:t>致：</w:t>
      </w:r>
      <w:r>
        <w:rPr>
          <w:rFonts w:hint="eastAsia" w:ascii="Arial" w:hAnsi="Arial" w:cs="Arial"/>
          <w:b/>
          <w:color w:val="auto"/>
          <w:szCs w:val="21"/>
          <w:highlight w:val="none"/>
          <w:u w:val="single"/>
        </w:rPr>
        <w:t xml:space="preserve">(招标人名称)                              </w:t>
      </w:r>
    </w:p>
    <w:p>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1.根据已收到贵方的</w:t>
      </w:r>
      <w:r>
        <w:rPr>
          <w:rFonts w:hint="eastAsia" w:ascii="Arial" w:hAnsi="Arial" w:cs="Arial"/>
          <w:b/>
          <w:color w:val="auto"/>
          <w:szCs w:val="21"/>
          <w:highlight w:val="none"/>
        </w:rPr>
        <w:t>项目编号为</w:t>
      </w:r>
      <w:r>
        <w:rPr>
          <w:rFonts w:ascii="Arial" w:hAnsi="Arial" w:cs="Arial"/>
          <w:b/>
          <w:color w:val="auto"/>
          <w:szCs w:val="21"/>
          <w:highlight w:val="none"/>
          <w:u w:val="single"/>
        </w:rPr>
        <w:t xml:space="preserve">           </w:t>
      </w:r>
      <w:r>
        <w:rPr>
          <w:rFonts w:hint="eastAsia" w:ascii="Arial" w:hAnsi="Arial" w:cs="Arial"/>
          <w:b/>
          <w:color w:val="auto"/>
          <w:szCs w:val="21"/>
          <w:highlight w:val="none"/>
        </w:rPr>
        <w:t>的</w:t>
      </w:r>
      <w:r>
        <w:rPr>
          <w:rFonts w:ascii="Arial" w:hAnsi="Arial" w:cs="Arial"/>
          <w:b/>
          <w:color w:val="auto"/>
          <w:szCs w:val="21"/>
          <w:highlight w:val="none"/>
          <w:u w:val="single"/>
        </w:rPr>
        <w:t xml:space="preserve">          </w:t>
      </w:r>
      <w:r>
        <w:rPr>
          <w:rFonts w:hint="eastAsia" w:ascii="Arial" w:hAnsi="Arial" w:cs="Arial"/>
          <w:b/>
          <w:color w:val="auto"/>
          <w:szCs w:val="21"/>
          <w:highlight w:val="none"/>
        </w:rPr>
        <w:t>工程的招标文件</w:t>
      </w:r>
      <w:r>
        <w:rPr>
          <w:rFonts w:hint="eastAsia" w:ascii="Arial" w:hAnsi="Arial" w:cs="Arial"/>
          <w:color w:val="auto"/>
          <w:szCs w:val="21"/>
          <w:highlight w:val="none"/>
        </w:rPr>
        <w:t>，并已详细审核了全部招标文件及有关附件。</w:t>
      </w:r>
    </w:p>
    <w:p>
      <w:pPr>
        <w:snapToGrid w:val="0"/>
        <w:spacing w:line="360" w:lineRule="auto"/>
        <w:ind w:firstLine="457" w:firstLineChars="218"/>
        <w:rPr>
          <w:rFonts w:ascii="Arial" w:hAnsi="Arial" w:cs="Arial"/>
          <w:color w:val="auto"/>
          <w:szCs w:val="21"/>
          <w:highlight w:val="none"/>
        </w:rPr>
      </w:pPr>
      <w:r>
        <w:rPr>
          <w:rFonts w:hint="eastAsia" w:ascii="Arial" w:hAnsi="Arial" w:cs="Arial"/>
          <w:color w:val="auto"/>
          <w:szCs w:val="21"/>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愿以经济标中的投标报价并按上述合同条款、标准和技术规范、图纸、工程量清单等的要求承包上述工程的施工、竣工并修补其任何缺陷。</w:t>
      </w:r>
    </w:p>
    <w:p>
      <w:pPr>
        <w:spacing w:line="360" w:lineRule="auto"/>
        <w:rPr>
          <w:rFonts w:ascii="Arial" w:hAnsi="Arial" w:cs="Arial"/>
          <w:color w:val="auto"/>
          <w:szCs w:val="21"/>
          <w:highlight w:val="none"/>
        </w:rPr>
      </w:pPr>
      <w:r>
        <w:rPr>
          <w:rFonts w:hint="eastAsia" w:ascii="Arial" w:hAnsi="Arial" w:cs="Arial"/>
          <w:color w:val="auto"/>
          <w:szCs w:val="21"/>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pacing w:line="360" w:lineRule="auto"/>
        <w:rPr>
          <w:rFonts w:ascii="Arial" w:hAnsi="Arial" w:cs="Arial"/>
          <w:color w:val="auto"/>
          <w:szCs w:val="21"/>
          <w:highlight w:val="none"/>
        </w:rPr>
      </w:pPr>
      <w:r>
        <w:rPr>
          <w:rFonts w:hint="eastAsia" w:ascii="Arial" w:hAnsi="Arial" w:cs="Arial"/>
          <w:color w:val="auto"/>
          <w:szCs w:val="21"/>
          <w:highlight w:val="none"/>
        </w:rPr>
        <w:t xml:space="preserve">    4.我方理解贵方将不受必须接受你们所收到的最低标价或其它任何投标文件的约束。</w:t>
      </w:r>
    </w:p>
    <w:p>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5.如果我方中标，我方保证按招标文件中规定的工期内完成并移交本工程，质量标准达到招标文件中的要求。</w:t>
      </w:r>
    </w:p>
    <w:p>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6.如果我方中标，我方将按照规定递交由招标人认可，并在招标文件中规定金额的履约保函。</w:t>
      </w:r>
    </w:p>
    <w:p>
      <w:pPr>
        <w:spacing w:line="360" w:lineRule="auto"/>
        <w:ind w:firstLine="480"/>
        <w:rPr>
          <w:rFonts w:ascii="Arial" w:hAnsi="Arial" w:cs="Arial"/>
          <w:color w:val="auto"/>
          <w:szCs w:val="21"/>
          <w:highlight w:val="none"/>
        </w:rPr>
      </w:pPr>
      <w:r>
        <w:rPr>
          <w:rFonts w:hint="eastAsia" w:ascii="Arial" w:hAnsi="Arial" w:cs="Arial"/>
          <w:color w:val="auto"/>
          <w:szCs w:val="21"/>
          <w:highlight w:val="none"/>
        </w:rPr>
        <w:t>7.除非另外达成协议并生效，贵方的中标通知书和本投标文件将成为约束双方的合同文件的组成部分。</w:t>
      </w:r>
    </w:p>
    <w:p>
      <w:pPr>
        <w:spacing w:line="360" w:lineRule="auto"/>
        <w:ind w:firstLine="480"/>
        <w:rPr>
          <w:rFonts w:ascii="Arial" w:hAnsi="Arial" w:cs="Arial"/>
          <w:color w:val="auto"/>
          <w:szCs w:val="21"/>
          <w:highlight w:val="none"/>
        </w:rPr>
      </w:pPr>
      <w:r>
        <w:rPr>
          <w:rFonts w:hint="eastAsia" w:ascii="Arial" w:hAnsi="Arial" w:cs="Arial"/>
          <w:color w:val="auto"/>
          <w:szCs w:val="21"/>
          <w:highlight w:val="none"/>
        </w:rPr>
        <w:t>8、如果我方中标，我方将实行项目经理负责制，并按投标文件配备项目管理班子。我方承诺不随意更换项目负责人。</w:t>
      </w:r>
    </w:p>
    <w:p>
      <w:pPr>
        <w:pStyle w:val="2"/>
        <w:rPr>
          <w:rFonts w:ascii="Arial" w:hAnsi="Arial" w:cs="Arial"/>
          <w:color w:val="auto"/>
          <w:highlight w:val="none"/>
        </w:rPr>
      </w:pPr>
    </w:p>
    <w:p>
      <w:pPr>
        <w:spacing w:line="360" w:lineRule="auto"/>
        <w:rPr>
          <w:rFonts w:ascii="Arial" w:hAnsi="Arial" w:cs="Arial"/>
          <w:color w:val="auto"/>
          <w:szCs w:val="21"/>
          <w:highlight w:val="none"/>
        </w:rPr>
      </w:pPr>
      <w:r>
        <w:rPr>
          <w:rFonts w:hint="eastAsia" w:ascii="Arial" w:hAnsi="Arial" w:cs="Arial"/>
          <w:color w:val="auto"/>
          <w:szCs w:val="21"/>
          <w:highlight w:val="none"/>
        </w:rPr>
        <w:t>法定代表人（签名或盖章）：</w:t>
      </w:r>
    </w:p>
    <w:p>
      <w:pPr>
        <w:spacing w:line="360" w:lineRule="auto"/>
        <w:rPr>
          <w:rFonts w:ascii="Arial" w:hAnsi="Arial" w:cs="Arial"/>
          <w:color w:val="auto"/>
          <w:szCs w:val="21"/>
          <w:highlight w:val="none"/>
          <w:u w:val="single"/>
        </w:rPr>
      </w:pPr>
      <w:r>
        <w:rPr>
          <w:rFonts w:hint="eastAsia" w:ascii="Arial" w:hAnsi="Arial" w:cs="Arial"/>
          <w:color w:val="auto"/>
          <w:szCs w:val="21"/>
          <w:highlight w:val="none"/>
        </w:rPr>
        <w:t xml:space="preserve">投标人企业公章：                         日期：  </w:t>
      </w:r>
      <w:r>
        <w:rPr>
          <w:rFonts w:ascii="Arial" w:hAnsi="Arial" w:cs="Arial"/>
          <w:color w:val="auto"/>
          <w:szCs w:val="21"/>
          <w:highlight w:val="none"/>
          <w:u w:val="single"/>
        </w:rPr>
        <w:t xml:space="preserve">  </w:t>
      </w:r>
      <w:r>
        <w:rPr>
          <w:rFonts w:hint="eastAsia" w:ascii="Arial" w:hAnsi="Arial" w:cs="Arial"/>
          <w:color w:val="auto"/>
          <w:szCs w:val="21"/>
          <w:highlight w:val="none"/>
        </w:rPr>
        <w:t>年</w:t>
      </w:r>
      <w:r>
        <w:rPr>
          <w:rFonts w:ascii="Arial" w:hAnsi="Arial" w:cs="Arial"/>
          <w:color w:val="auto"/>
          <w:szCs w:val="21"/>
          <w:highlight w:val="none"/>
          <w:u w:val="single"/>
        </w:rPr>
        <w:t xml:space="preserve">  </w:t>
      </w:r>
      <w:r>
        <w:rPr>
          <w:rFonts w:hint="eastAsia" w:ascii="Arial" w:hAnsi="Arial" w:cs="Arial"/>
          <w:color w:val="auto"/>
          <w:szCs w:val="21"/>
          <w:highlight w:val="none"/>
        </w:rPr>
        <w:t>月</w:t>
      </w:r>
      <w:r>
        <w:rPr>
          <w:rFonts w:ascii="Arial" w:hAnsi="Arial" w:cs="Arial"/>
          <w:color w:val="auto"/>
          <w:szCs w:val="21"/>
          <w:highlight w:val="none"/>
          <w:u w:val="single"/>
        </w:rPr>
        <w:t xml:space="preserve">  </w:t>
      </w:r>
      <w:r>
        <w:rPr>
          <w:rFonts w:hint="eastAsia" w:ascii="Arial" w:hAnsi="Arial" w:cs="Arial"/>
          <w:color w:val="auto"/>
          <w:szCs w:val="21"/>
          <w:highlight w:val="none"/>
        </w:rPr>
        <w:t>日</w:t>
      </w:r>
    </w:p>
    <w:p>
      <w:pPr>
        <w:autoSpaceDE w:val="0"/>
        <w:autoSpaceDN w:val="0"/>
        <w:adjustRightInd w:val="0"/>
        <w:outlineLvl w:val="1"/>
        <w:rPr>
          <w:rFonts w:ascii="Arial" w:hAnsi="Arial" w:cs="Arial"/>
          <w:bCs/>
          <w:color w:val="auto"/>
          <w:szCs w:val="21"/>
          <w:highlight w:val="none"/>
        </w:rPr>
      </w:pPr>
      <w:r>
        <w:rPr>
          <w:rFonts w:ascii="Arial" w:hAnsi="Arial" w:cs="Arial"/>
          <w:color w:val="auto"/>
          <w:highlight w:val="none"/>
        </w:rPr>
        <w:br w:type="page"/>
      </w:r>
      <w:r>
        <w:rPr>
          <w:rFonts w:hint="eastAsia" w:ascii="Arial" w:hAnsi="Arial" w:cs="Arial"/>
          <w:bCs/>
          <w:color w:val="auto"/>
          <w:szCs w:val="21"/>
          <w:highlight w:val="none"/>
        </w:rPr>
        <w:t>附件二</w:t>
      </w:r>
    </w:p>
    <w:p>
      <w:pPr>
        <w:autoSpaceDE w:val="0"/>
        <w:autoSpaceDN w:val="0"/>
        <w:adjustRightInd w:val="0"/>
        <w:rPr>
          <w:rFonts w:ascii="Arial" w:hAnsi="Arial" w:cs="Arial"/>
          <w:b/>
          <w:bCs/>
          <w:color w:val="auto"/>
          <w:szCs w:val="21"/>
          <w:highlight w:val="none"/>
          <w:lang w:val="zh-CN"/>
        </w:rPr>
      </w:pPr>
      <w:r>
        <w:rPr>
          <w:rFonts w:hint="eastAsia" w:ascii="Arial" w:hAnsi="Arial" w:cs="Arial"/>
          <w:bCs/>
          <w:color w:val="auto"/>
          <w:szCs w:val="21"/>
          <w:highlight w:val="none"/>
        </w:rPr>
        <w:t>（适用于技术标与经济标同时开启）</w:t>
      </w:r>
    </w:p>
    <w:p>
      <w:pPr>
        <w:autoSpaceDE w:val="0"/>
        <w:autoSpaceDN w:val="0"/>
        <w:adjustRightInd w:val="0"/>
        <w:ind w:left="-540" w:leftChars="-257" w:firstLine="1135" w:firstLineChars="257"/>
        <w:jc w:val="center"/>
        <w:rPr>
          <w:rFonts w:ascii="Arial" w:hAnsi="Arial" w:cs="Arial"/>
          <w:b/>
          <w:bCs/>
          <w:color w:val="auto"/>
          <w:sz w:val="44"/>
          <w:szCs w:val="44"/>
          <w:highlight w:val="none"/>
          <w:lang w:val="zh-CN"/>
        </w:rPr>
      </w:pPr>
    </w:p>
    <w:p>
      <w:pPr>
        <w:autoSpaceDE w:val="0"/>
        <w:autoSpaceDN w:val="0"/>
        <w:adjustRightInd w:val="0"/>
        <w:ind w:left="-540" w:leftChars="-257" w:firstLine="1135" w:firstLineChars="257"/>
        <w:jc w:val="center"/>
        <w:rPr>
          <w:rFonts w:ascii="Arial" w:hAnsi="Arial" w:cs="Arial"/>
          <w:b/>
          <w:bCs/>
          <w:color w:val="auto"/>
          <w:sz w:val="52"/>
          <w:szCs w:val="52"/>
          <w:highlight w:val="none"/>
        </w:rPr>
      </w:pPr>
      <w:r>
        <w:rPr>
          <w:rFonts w:hint="eastAsia" w:ascii="Arial" w:hAnsi="Arial" w:cs="Arial"/>
          <w:b/>
          <w:bCs/>
          <w:color w:val="auto"/>
          <w:sz w:val="44"/>
          <w:szCs w:val="44"/>
          <w:highlight w:val="none"/>
          <w:lang w:val="zh-CN"/>
        </w:rPr>
        <w:t>广州建设工程施工招标投标书</w:t>
      </w:r>
    </w:p>
    <w:tbl>
      <w:tblPr>
        <w:tblStyle w:val="5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color w:val="auto"/>
                <w:sz w:val="24"/>
                <w:szCs w:val="24"/>
                <w:highlight w:val="none"/>
                <w:lang w:val="zh-CN"/>
              </w:rPr>
            </w:pPr>
            <w:r>
              <w:rPr>
                <w:rFonts w:hint="eastAsia" w:ascii="Arial" w:hAnsi="Arial" w:cs="Arial"/>
                <w:b/>
                <w:color w:val="auto"/>
                <w:sz w:val="24"/>
                <w:szCs w:val="24"/>
                <w:highlight w:val="none"/>
                <w:lang w:val="zh-CN"/>
              </w:rPr>
              <w:t>工</w:t>
            </w:r>
            <w:r>
              <w:rPr>
                <w:rFonts w:ascii="Arial" w:hAnsi="Arial" w:cs="Arial"/>
                <w:b/>
                <w:color w:val="auto"/>
                <w:sz w:val="24"/>
                <w:szCs w:val="24"/>
                <w:highlight w:val="none"/>
                <w:lang w:val="zh-CN"/>
              </w:rPr>
              <w:t xml:space="preserve"> </w:t>
            </w:r>
            <w:r>
              <w:rPr>
                <w:rFonts w:hint="eastAsia" w:ascii="Arial" w:hAnsi="Arial" w:cs="Arial"/>
                <w:b/>
                <w:color w:val="auto"/>
                <w:sz w:val="24"/>
                <w:szCs w:val="24"/>
                <w:highlight w:val="none"/>
                <w:lang w:val="zh-CN"/>
              </w:rPr>
              <w:t>程</w:t>
            </w:r>
            <w:r>
              <w:rPr>
                <w:rFonts w:ascii="Arial" w:hAnsi="Arial" w:cs="Arial"/>
                <w:b/>
                <w:color w:val="auto"/>
                <w:sz w:val="24"/>
                <w:szCs w:val="24"/>
                <w:highlight w:val="none"/>
                <w:lang w:val="zh-CN"/>
              </w:rPr>
              <w:t xml:space="preserve"> </w:t>
            </w:r>
            <w:r>
              <w:rPr>
                <w:rFonts w:hint="eastAsia" w:ascii="Arial" w:hAnsi="Arial" w:cs="Arial"/>
                <w:b/>
                <w:color w:val="auto"/>
                <w:sz w:val="24"/>
                <w:szCs w:val="24"/>
                <w:highlight w:val="none"/>
                <w:lang w:val="zh-CN"/>
              </w:rPr>
              <w:t>名</w:t>
            </w:r>
            <w:r>
              <w:rPr>
                <w:rFonts w:ascii="Arial" w:hAnsi="Arial" w:cs="Arial"/>
                <w:b/>
                <w:color w:val="auto"/>
                <w:sz w:val="24"/>
                <w:szCs w:val="24"/>
                <w:highlight w:val="none"/>
                <w:lang w:val="zh-CN"/>
              </w:rPr>
              <w:t xml:space="preserve"> </w:t>
            </w:r>
            <w:r>
              <w:rPr>
                <w:rFonts w:hint="eastAsia" w:ascii="Arial" w:hAnsi="Arial" w:cs="Arial"/>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color w:val="auto"/>
                <w:sz w:val="24"/>
                <w:szCs w:val="24"/>
                <w:highlight w:val="none"/>
                <w:lang w:val="zh-CN"/>
              </w:rPr>
            </w:pPr>
            <w:r>
              <w:rPr>
                <w:rFonts w:hint="eastAsia" w:ascii="Arial" w:hAnsi="Arial" w:cs="Arial"/>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color w:val="auto"/>
                <w:sz w:val="24"/>
                <w:szCs w:val="24"/>
                <w:highlight w:val="none"/>
                <w:lang w:val="zh-CN"/>
              </w:rPr>
            </w:pPr>
            <w:r>
              <w:rPr>
                <w:rFonts w:hint="eastAsia" w:ascii="Arial" w:hAnsi="Arial" w:cs="Arial"/>
                <w:b/>
                <w:color w:val="auto"/>
                <w:sz w:val="24"/>
                <w:szCs w:val="24"/>
                <w:highlight w:val="none"/>
                <w:lang w:val="zh-CN"/>
              </w:rPr>
              <w:t>其中：</w:t>
            </w:r>
            <w:r>
              <w:rPr>
                <w:rFonts w:hint="eastAsia" w:ascii="Arial" w:hAnsi="Arial" w:cs="Arial"/>
                <w:b/>
                <w:bCs/>
                <w:color w:val="auto"/>
                <w:sz w:val="24"/>
                <w:szCs w:val="24"/>
                <w:highlight w:val="none"/>
                <w:lang w:val="zh-CN"/>
              </w:rPr>
              <w:t>人工费</w:t>
            </w:r>
            <w:r>
              <w:rPr>
                <w:rFonts w:hint="eastAsia" w:ascii="Arial" w:hAnsi="Arial" w:cs="Arial"/>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b/>
                <w:bCs/>
                <w:color w:val="auto"/>
                <w:sz w:val="24"/>
                <w:szCs w:val="24"/>
                <w:highlight w:val="none"/>
                <w:lang w:val="zh-CN"/>
              </w:rPr>
            </w:pPr>
            <w:r>
              <w:rPr>
                <w:rFonts w:hint="eastAsia" w:ascii="Arial" w:hAnsi="Arial" w:cs="Arial"/>
                <w:b/>
                <w:bCs/>
                <w:color w:val="auto"/>
                <w:sz w:val="24"/>
                <w:szCs w:val="24"/>
                <w:highlight w:val="none"/>
                <w:lang w:val="zh-CN"/>
              </w:rPr>
              <w:t>其中：</w:t>
            </w:r>
            <w:r>
              <w:rPr>
                <w:rFonts w:hint="eastAsia" w:ascii="Arial" w:hAnsi="Arial" w:cs="Arial"/>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color w:val="auto"/>
                <w:sz w:val="24"/>
                <w:szCs w:val="24"/>
                <w:highlight w:val="none"/>
                <w:lang w:val="zh-CN"/>
              </w:rPr>
            </w:pPr>
            <w:r>
              <w:rPr>
                <w:rFonts w:hint="eastAsia" w:ascii="Arial" w:hAnsi="Arial" w:cs="Arial"/>
                <w:b/>
                <w:color w:val="auto"/>
                <w:sz w:val="24"/>
                <w:szCs w:val="24"/>
                <w:highlight w:val="none"/>
                <w:lang w:val="zh-CN"/>
              </w:rPr>
              <w:t>投</w:t>
            </w:r>
            <w:r>
              <w:rPr>
                <w:rFonts w:ascii="Arial" w:hAnsi="Arial" w:cs="Arial"/>
                <w:b/>
                <w:color w:val="auto"/>
                <w:sz w:val="24"/>
                <w:szCs w:val="24"/>
                <w:highlight w:val="none"/>
                <w:lang w:val="zh-CN"/>
              </w:rPr>
              <w:t xml:space="preserve"> </w:t>
            </w:r>
            <w:r>
              <w:rPr>
                <w:rFonts w:hint="eastAsia" w:ascii="Arial" w:hAnsi="Arial" w:cs="Arial"/>
                <w:b/>
                <w:color w:val="auto"/>
                <w:sz w:val="24"/>
                <w:szCs w:val="24"/>
                <w:highlight w:val="none"/>
                <w:lang w:val="zh-CN"/>
              </w:rPr>
              <w:t>标</w:t>
            </w:r>
            <w:r>
              <w:rPr>
                <w:rFonts w:ascii="Arial" w:hAnsi="Arial" w:cs="Arial"/>
                <w:b/>
                <w:color w:val="auto"/>
                <w:sz w:val="24"/>
                <w:szCs w:val="24"/>
                <w:highlight w:val="none"/>
                <w:lang w:val="zh-CN"/>
              </w:rPr>
              <w:t xml:space="preserve"> </w:t>
            </w:r>
            <w:r>
              <w:rPr>
                <w:rFonts w:hint="eastAsia" w:ascii="Arial" w:hAnsi="Arial" w:cs="Arial"/>
                <w:b/>
                <w:color w:val="auto"/>
                <w:sz w:val="24"/>
                <w:szCs w:val="24"/>
                <w:highlight w:val="none"/>
                <w:lang w:val="zh-CN"/>
              </w:rPr>
              <w:t>总工</w:t>
            </w:r>
            <w:r>
              <w:rPr>
                <w:rFonts w:ascii="Arial" w:hAnsi="Arial" w:cs="Arial"/>
                <w:b/>
                <w:color w:val="auto"/>
                <w:sz w:val="24"/>
                <w:szCs w:val="24"/>
                <w:highlight w:val="none"/>
                <w:lang w:val="zh-CN"/>
              </w:rPr>
              <w:t xml:space="preserve"> </w:t>
            </w:r>
            <w:r>
              <w:rPr>
                <w:rFonts w:hint="eastAsia" w:ascii="Arial" w:hAnsi="Arial" w:cs="Arial"/>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color w:val="auto"/>
                <w:sz w:val="24"/>
                <w:szCs w:val="24"/>
                <w:highlight w:val="none"/>
              </w:rPr>
            </w:pPr>
            <w:r>
              <w:rPr>
                <w:rFonts w:hint="eastAsia" w:ascii="Arial" w:hAnsi="Arial" w:cs="Arial"/>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rPr>
                <w:rFonts w:ascii="Arial" w:hAnsi="Arial" w:cs="Arial"/>
                <w:b/>
                <w:bCs/>
                <w:color w:val="auto"/>
                <w:sz w:val="24"/>
                <w:szCs w:val="24"/>
                <w:highlight w:val="none"/>
                <w:lang w:val="zh-CN"/>
              </w:rPr>
            </w:pPr>
            <w:r>
              <w:rPr>
                <w:rFonts w:hint="eastAsia" w:ascii="Arial" w:hAnsi="Arial" w:cs="Arial"/>
                <w:b/>
                <w:color w:val="auto"/>
                <w:sz w:val="24"/>
                <w:szCs w:val="24"/>
                <w:highlight w:val="none"/>
                <w:lang w:val="zh-CN"/>
              </w:rPr>
              <w:t>保</w:t>
            </w:r>
            <w:r>
              <w:rPr>
                <w:rFonts w:ascii="Arial" w:hAnsi="Arial" w:cs="Arial"/>
                <w:b/>
                <w:color w:val="auto"/>
                <w:sz w:val="24"/>
                <w:szCs w:val="24"/>
                <w:highlight w:val="none"/>
                <w:lang w:val="zh-CN"/>
              </w:rPr>
              <w:t xml:space="preserve"> </w:t>
            </w:r>
            <w:r>
              <w:rPr>
                <w:rFonts w:hint="eastAsia" w:ascii="Arial" w:hAnsi="Arial" w:cs="Arial"/>
                <w:b/>
                <w:color w:val="auto"/>
                <w:sz w:val="24"/>
                <w:szCs w:val="24"/>
                <w:highlight w:val="none"/>
                <w:lang w:val="zh-CN"/>
              </w:rPr>
              <w:t>修</w:t>
            </w:r>
            <w:r>
              <w:rPr>
                <w:rFonts w:ascii="Arial" w:hAnsi="Arial" w:cs="Arial"/>
                <w:b/>
                <w:color w:val="auto"/>
                <w:sz w:val="24"/>
                <w:szCs w:val="24"/>
                <w:highlight w:val="none"/>
                <w:lang w:val="zh-CN"/>
              </w:rPr>
              <w:t xml:space="preserve"> </w:t>
            </w:r>
            <w:r>
              <w:rPr>
                <w:rFonts w:hint="eastAsia" w:ascii="Arial" w:hAnsi="Arial" w:cs="Arial"/>
                <w:b/>
                <w:color w:val="auto"/>
                <w:sz w:val="24"/>
                <w:szCs w:val="24"/>
                <w:highlight w:val="none"/>
                <w:lang w:val="zh-CN"/>
              </w:rPr>
              <w:t>期</w:t>
            </w:r>
            <w:r>
              <w:rPr>
                <w:rFonts w:ascii="Arial" w:hAnsi="Arial" w:cs="Arial"/>
                <w:b/>
                <w:color w:val="auto"/>
                <w:sz w:val="24"/>
                <w:szCs w:val="24"/>
                <w:highlight w:val="none"/>
                <w:lang w:val="zh-CN"/>
              </w:rPr>
              <w:t xml:space="preserve"> </w:t>
            </w:r>
            <w:r>
              <w:rPr>
                <w:rFonts w:hint="eastAsia" w:ascii="Arial" w:hAnsi="Arial" w:cs="Arial"/>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bl>
    <w:p>
      <w:pPr>
        <w:tabs>
          <w:tab w:val="left" w:pos="720"/>
        </w:tabs>
        <w:snapToGrid w:val="0"/>
        <w:spacing w:line="360" w:lineRule="auto"/>
        <w:rPr>
          <w:rFonts w:ascii="Arial" w:hAnsi="Arial" w:cs="Arial"/>
          <w:color w:val="auto"/>
          <w:sz w:val="24"/>
          <w:szCs w:val="24"/>
          <w:highlight w:val="none"/>
        </w:rPr>
      </w:pPr>
    </w:p>
    <w:tbl>
      <w:tblPr>
        <w:tblStyle w:val="54"/>
        <w:tblW w:w="9008" w:type="dxa"/>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widowControl/>
              <w:spacing w:line="360" w:lineRule="auto"/>
              <w:jc w:val="left"/>
              <w:rPr>
                <w:rFonts w:ascii="Arial" w:hAnsi="Arial" w:cs="Arial"/>
                <w:color w:val="auto"/>
                <w:kern w:val="0"/>
                <w:sz w:val="28"/>
                <w:szCs w:val="28"/>
                <w:highlight w:val="none"/>
              </w:rPr>
            </w:pPr>
            <w:r>
              <w:rPr>
                <w:rFonts w:ascii="Arial" w:hAnsi="Arial" w:cs="Arial"/>
                <w:color w:val="auto"/>
                <w:kern w:val="0"/>
                <w:sz w:val="28"/>
                <w:szCs w:val="28"/>
                <w:highlight w:val="none"/>
              </w:rPr>
              <w:t xml:space="preserve">                                                                                             </w:t>
            </w:r>
          </w:p>
        </w:tc>
      </w:tr>
    </w:tbl>
    <w:p>
      <w:pPr>
        <w:autoSpaceDE w:val="0"/>
        <w:autoSpaceDN w:val="0"/>
        <w:adjustRightInd w:val="0"/>
        <w:rPr>
          <w:rFonts w:ascii="Arial" w:hAnsi="Arial" w:cs="Arial"/>
          <w:color w:val="auto"/>
          <w:szCs w:val="21"/>
          <w:highlight w:val="none"/>
        </w:rPr>
      </w:pPr>
      <w:r>
        <w:rPr>
          <w:rFonts w:ascii="Arial" w:hAnsi="Arial" w:cs="Arial"/>
          <w:color w:val="auto"/>
          <w:sz w:val="24"/>
          <w:szCs w:val="24"/>
          <w:highlight w:val="none"/>
        </w:rPr>
        <w:br w:type="page"/>
      </w:r>
    </w:p>
    <w:p>
      <w:pPr>
        <w:autoSpaceDE w:val="0"/>
        <w:autoSpaceDN w:val="0"/>
        <w:adjustRightInd w:val="0"/>
        <w:outlineLvl w:val="1"/>
        <w:rPr>
          <w:rFonts w:ascii="Arial" w:hAnsi="Arial" w:cs="Arial"/>
          <w:color w:val="auto"/>
          <w:szCs w:val="21"/>
          <w:highlight w:val="none"/>
        </w:rPr>
      </w:pPr>
      <w:r>
        <w:rPr>
          <w:rFonts w:hint="eastAsia" w:ascii="Arial" w:hAnsi="Arial" w:cs="Arial"/>
          <w:color w:val="auto"/>
          <w:szCs w:val="21"/>
          <w:highlight w:val="none"/>
        </w:rPr>
        <w:t>附件三</w:t>
      </w:r>
    </w:p>
    <w:p>
      <w:pPr>
        <w:tabs>
          <w:tab w:val="left" w:pos="720"/>
        </w:tabs>
        <w:snapToGrid w:val="0"/>
        <w:spacing w:line="360" w:lineRule="auto"/>
        <w:jc w:val="center"/>
        <w:rPr>
          <w:rFonts w:ascii="Arial" w:hAnsi="Arial" w:cs="Arial"/>
          <w:b/>
          <w:color w:val="auto"/>
          <w:sz w:val="32"/>
          <w:szCs w:val="32"/>
          <w:highlight w:val="none"/>
        </w:rPr>
      </w:pPr>
      <w:r>
        <w:rPr>
          <w:rFonts w:hint="eastAsia" w:ascii="Arial" w:hAnsi="Arial" w:cs="Arial"/>
          <w:b/>
          <w:color w:val="auto"/>
          <w:sz w:val="32"/>
          <w:szCs w:val="32"/>
          <w:highlight w:val="none"/>
        </w:rPr>
        <w:t>投标文件编制人员名单</w:t>
      </w:r>
    </w:p>
    <w:p>
      <w:pPr>
        <w:tabs>
          <w:tab w:val="left" w:pos="720"/>
        </w:tabs>
        <w:snapToGrid w:val="0"/>
        <w:spacing w:line="360" w:lineRule="auto"/>
        <w:rPr>
          <w:rFonts w:ascii="Arial" w:hAnsi="Arial" w:cs="Arial"/>
          <w:color w:val="auto"/>
          <w:sz w:val="24"/>
          <w:szCs w:val="24"/>
          <w:highlight w:val="none"/>
        </w:rPr>
      </w:pPr>
    </w:p>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一、参与编制技术标投标文件人员名单</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bl>
    <w:p>
      <w:pPr>
        <w:tabs>
          <w:tab w:val="left" w:pos="720"/>
        </w:tabs>
        <w:snapToGrid w:val="0"/>
        <w:spacing w:line="360" w:lineRule="auto"/>
        <w:rPr>
          <w:rFonts w:ascii="Arial" w:hAnsi="Arial" w:cs="Arial"/>
          <w:color w:val="auto"/>
          <w:sz w:val="24"/>
          <w:szCs w:val="24"/>
          <w:highlight w:val="none"/>
        </w:rPr>
      </w:pPr>
    </w:p>
    <w:p>
      <w:pPr>
        <w:tabs>
          <w:tab w:val="left" w:pos="720"/>
        </w:tabs>
        <w:snapToGrid w:val="0"/>
        <w:spacing w:line="360" w:lineRule="auto"/>
        <w:rPr>
          <w:rFonts w:ascii="Arial" w:hAnsi="Arial" w:cs="Arial"/>
          <w:color w:val="auto"/>
          <w:sz w:val="24"/>
          <w:szCs w:val="24"/>
          <w:highlight w:val="none"/>
        </w:rPr>
      </w:pPr>
    </w:p>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二、参与编制经济标投标文件人员名单</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hint="eastAsia" w:ascii="Arial" w:hAnsi="Arial" w:cs="Arial"/>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bl>
    <w:p>
      <w:pPr>
        <w:tabs>
          <w:tab w:val="left" w:pos="720"/>
        </w:tabs>
        <w:snapToGrid w:val="0"/>
        <w:spacing w:line="360" w:lineRule="auto"/>
        <w:rPr>
          <w:rFonts w:ascii="Arial" w:hAnsi="Arial" w:cs="Arial"/>
          <w:color w:val="auto"/>
          <w:sz w:val="24"/>
          <w:szCs w:val="24"/>
          <w:highlight w:val="none"/>
        </w:rPr>
      </w:pPr>
    </w:p>
    <w:p>
      <w:pPr>
        <w:pStyle w:val="2"/>
        <w:spacing w:after="0" w:line="360" w:lineRule="auto"/>
        <w:ind w:left="-2" w:leftChars="-1" w:firstLine="367" w:firstLineChars="175"/>
        <w:jc w:val="left"/>
        <w:rPr>
          <w:rFonts w:ascii="Arial" w:hAnsi="Arial" w:cs="Arial"/>
          <w:color w:val="auto"/>
          <w:szCs w:val="21"/>
          <w:highlight w:val="none"/>
        </w:rPr>
      </w:pPr>
      <w:r>
        <w:rPr>
          <w:rFonts w:hint="eastAsia" w:ascii="Arial" w:hAnsi="Arial" w:cs="Arial"/>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2"/>
        <w:spacing w:after="0" w:line="360" w:lineRule="auto"/>
        <w:ind w:left="-2" w:leftChars="-1" w:firstLineChars="175"/>
        <w:jc w:val="center"/>
        <w:rPr>
          <w:rFonts w:ascii="Arial" w:hAnsi="Arial" w:cs="Arial"/>
          <w:color w:val="auto"/>
          <w:sz w:val="24"/>
          <w:szCs w:val="24"/>
          <w:highlight w:val="none"/>
        </w:rPr>
      </w:pPr>
    </w:p>
    <w:p>
      <w:pPr>
        <w:autoSpaceDE w:val="0"/>
        <w:autoSpaceDN w:val="0"/>
        <w:adjustRightInd w:val="0"/>
        <w:outlineLvl w:val="1"/>
        <w:rPr>
          <w:rFonts w:ascii="Arial" w:hAnsi="Arial" w:cs="Arial"/>
          <w:color w:val="auto"/>
          <w:szCs w:val="21"/>
          <w:highlight w:val="none"/>
        </w:rPr>
      </w:pPr>
      <w:r>
        <w:rPr>
          <w:rFonts w:hint="eastAsia" w:ascii="Arial" w:hAnsi="Arial" w:cs="Arial"/>
          <w:color w:val="auto"/>
          <w:szCs w:val="21"/>
          <w:highlight w:val="none"/>
        </w:rPr>
        <w:t>附件四</w:t>
      </w:r>
    </w:p>
    <w:p>
      <w:pPr>
        <w:pStyle w:val="2"/>
        <w:spacing w:after="0" w:line="360" w:lineRule="auto"/>
        <w:ind w:firstLine="0"/>
        <w:jc w:val="center"/>
        <w:rPr>
          <w:rFonts w:ascii="Arial" w:hAnsi="Arial" w:cs="Arial"/>
          <w:color w:val="auto"/>
          <w:sz w:val="32"/>
          <w:szCs w:val="32"/>
          <w:highlight w:val="none"/>
        </w:rPr>
      </w:pPr>
      <w:r>
        <w:rPr>
          <w:rFonts w:hint="eastAsia" w:ascii="Arial" w:hAnsi="Arial" w:cs="Arial"/>
          <w:b/>
          <w:color w:val="auto"/>
          <w:sz w:val="32"/>
          <w:szCs w:val="32"/>
          <w:highlight w:val="none"/>
        </w:rPr>
        <w:t>对投标文件编制的承诺</w:t>
      </w:r>
    </w:p>
    <w:p>
      <w:pPr>
        <w:pStyle w:val="2"/>
        <w:spacing w:after="0" w:line="360" w:lineRule="auto"/>
        <w:ind w:left="-2" w:leftChars="-1" w:firstLine="540" w:firstLineChars="225"/>
        <w:rPr>
          <w:rFonts w:ascii="Arial" w:hAnsi="Arial" w:cs="Arial"/>
          <w:color w:val="auto"/>
          <w:sz w:val="24"/>
          <w:szCs w:val="24"/>
          <w:highlight w:val="none"/>
        </w:rPr>
      </w:pPr>
      <w:r>
        <w:rPr>
          <w:rFonts w:hint="eastAsia" w:ascii="Arial" w:hAnsi="Arial" w:cs="Arial"/>
          <w:color w:val="auto"/>
          <w:sz w:val="24"/>
          <w:szCs w:val="24"/>
          <w:highlight w:val="none"/>
        </w:rPr>
        <w:t>本公司授权</w:t>
      </w:r>
      <w:r>
        <w:rPr>
          <w:rFonts w:hint="eastAsia" w:ascii="Arial" w:hAnsi="Arial" w:cs="Arial"/>
          <w:color w:val="auto"/>
          <w:sz w:val="24"/>
          <w:szCs w:val="24"/>
          <w:highlight w:val="none"/>
          <w:u w:val="single"/>
        </w:rPr>
        <w:t xml:space="preserve">         （身份证号：               ）</w:t>
      </w:r>
      <w:r>
        <w:rPr>
          <w:rFonts w:hint="eastAsia" w:ascii="Arial" w:hAnsi="Arial" w:cs="Arial"/>
          <w:color w:val="auto"/>
          <w:sz w:val="24"/>
          <w:szCs w:val="24"/>
          <w:highlight w:val="none"/>
        </w:rPr>
        <w:t>负责对投标文件的编制及内容进行解释、说明，并承诺以下事项：</w:t>
      </w:r>
    </w:p>
    <w:p>
      <w:pPr>
        <w:pStyle w:val="2"/>
        <w:spacing w:after="0" w:line="360" w:lineRule="auto"/>
        <w:ind w:left="-2" w:leftChars="-1" w:firstLine="540" w:firstLineChars="225"/>
        <w:rPr>
          <w:rFonts w:ascii="Arial" w:hAnsi="Arial" w:cs="Arial"/>
          <w:color w:val="auto"/>
          <w:sz w:val="24"/>
          <w:szCs w:val="24"/>
          <w:highlight w:val="none"/>
        </w:rPr>
      </w:pPr>
      <w:r>
        <w:rPr>
          <w:rFonts w:hint="eastAsia" w:ascii="Arial" w:hAnsi="Arial" w:cs="Arial"/>
          <w:color w:val="auto"/>
          <w:sz w:val="24"/>
          <w:szCs w:val="24"/>
          <w:highlight w:val="none"/>
        </w:rPr>
        <w:t>1.被授权人清楚投标文件编制的具体情况，包括技术方案文件、工程量清单、以及投标文件的加密打包的理解；</w:t>
      </w:r>
    </w:p>
    <w:p>
      <w:pPr>
        <w:pStyle w:val="2"/>
        <w:spacing w:after="0" w:line="360" w:lineRule="auto"/>
        <w:ind w:left="-2" w:leftChars="-1" w:firstLine="540" w:firstLineChars="225"/>
        <w:rPr>
          <w:rFonts w:ascii="Arial" w:hAnsi="Arial" w:cs="Arial"/>
          <w:color w:val="auto"/>
          <w:sz w:val="24"/>
          <w:szCs w:val="24"/>
          <w:highlight w:val="none"/>
        </w:rPr>
      </w:pPr>
      <w:r>
        <w:rPr>
          <w:rFonts w:hint="eastAsia" w:ascii="Arial" w:hAnsi="Arial" w:cs="Arial"/>
          <w:color w:val="auto"/>
          <w:sz w:val="24"/>
          <w:szCs w:val="24"/>
          <w:highlight w:val="none"/>
        </w:rPr>
        <w:t>2.在本项目开标至评标结束前，努力确保被授权人在项目评标所在地附近；</w:t>
      </w:r>
    </w:p>
    <w:p>
      <w:pPr>
        <w:pStyle w:val="2"/>
        <w:spacing w:after="0" w:line="360" w:lineRule="auto"/>
        <w:ind w:left="-2" w:leftChars="-1" w:firstLine="540" w:firstLineChars="225"/>
        <w:rPr>
          <w:rFonts w:ascii="Arial" w:hAnsi="Arial" w:cs="Arial"/>
          <w:color w:val="auto"/>
          <w:sz w:val="24"/>
          <w:szCs w:val="24"/>
          <w:highlight w:val="none"/>
        </w:rPr>
      </w:pPr>
      <w:r>
        <w:rPr>
          <w:rFonts w:hint="eastAsia" w:ascii="Arial" w:hAnsi="Arial" w:cs="Arial"/>
          <w:color w:val="auto"/>
          <w:sz w:val="24"/>
          <w:szCs w:val="24"/>
          <w:highlight w:val="none"/>
        </w:rPr>
        <w:t>3.从评标委员会要求澄清起二小时内，被授权人应如实地书面澄清。</w:t>
      </w:r>
    </w:p>
    <w:p>
      <w:pPr>
        <w:pStyle w:val="2"/>
        <w:spacing w:after="0" w:line="360" w:lineRule="auto"/>
        <w:ind w:left="-2" w:leftChars="-1" w:firstLine="540" w:firstLineChars="225"/>
        <w:rPr>
          <w:rFonts w:ascii="Arial" w:hAnsi="Arial" w:cs="Arial"/>
          <w:color w:val="auto"/>
          <w:sz w:val="24"/>
          <w:szCs w:val="24"/>
          <w:highlight w:val="none"/>
        </w:rPr>
      </w:pPr>
      <w:r>
        <w:rPr>
          <w:rFonts w:hint="eastAsia" w:ascii="Arial" w:hAnsi="Arial" w:cs="Arial"/>
          <w:color w:val="auto"/>
          <w:sz w:val="24"/>
          <w:szCs w:val="24"/>
          <w:highlight w:val="none"/>
        </w:rPr>
        <w:t xml:space="preserve">如由于未遵守上述承诺内容之一导致无法进行澄清的，我公司认可和接受评标委员会作出的评审结论。                                 </w:t>
      </w:r>
    </w:p>
    <w:p>
      <w:pPr>
        <w:pStyle w:val="2"/>
        <w:spacing w:after="0" w:line="360" w:lineRule="auto"/>
        <w:ind w:firstLine="360" w:firstLineChars="150"/>
        <w:rPr>
          <w:rFonts w:ascii="Arial" w:hAnsi="Arial" w:cs="Arial"/>
          <w:color w:val="auto"/>
          <w:sz w:val="24"/>
          <w:szCs w:val="24"/>
          <w:highlight w:val="none"/>
        </w:rPr>
      </w:pPr>
      <w:r>
        <w:rPr>
          <w:rFonts w:ascii="Arial" w:hAnsi="Arial" w:cs="Arial"/>
          <w:color w:val="auto"/>
          <w:sz w:val="24"/>
          <w:szCs w:val="24"/>
          <w:highlight w:val="none"/>
        </w:rPr>
        <w:t xml:space="preserve"> </w:t>
      </w:r>
    </w:p>
    <w:p>
      <w:pPr>
        <w:pStyle w:val="2"/>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附件：《投标文件编制情况》</w:t>
      </w:r>
    </w:p>
    <w:p>
      <w:pPr>
        <w:spacing w:line="360" w:lineRule="auto"/>
        <w:ind w:right="90" w:firstLine="3240" w:firstLineChars="1350"/>
        <w:rPr>
          <w:rFonts w:ascii="Arial" w:hAnsi="Arial" w:cs="Arial"/>
          <w:color w:val="auto"/>
          <w:sz w:val="24"/>
          <w:szCs w:val="24"/>
          <w:highlight w:val="none"/>
          <w:u w:val="single"/>
        </w:rPr>
      </w:pPr>
      <w:r>
        <w:rPr>
          <w:rFonts w:hint="eastAsia" w:ascii="Arial" w:hAnsi="Arial" w:cs="Arial"/>
          <w:color w:val="auto"/>
          <w:sz w:val="24"/>
          <w:szCs w:val="24"/>
          <w:highlight w:val="none"/>
        </w:rPr>
        <w:t xml:space="preserve"> 投标人名称（盖法人公章）：</w:t>
      </w:r>
      <w:r>
        <w:rPr>
          <w:rFonts w:ascii="Arial" w:hAnsi="Arial" w:cs="Arial"/>
          <w:color w:val="auto"/>
          <w:sz w:val="24"/>
          <w:szCs w:val="24"/>
          <w:highlight w:val="none"/>
          <w:u w:val="single"/>
        </w:rPr>
        <w:t xml:space="preserve">                  </w:t>
      </w:r>
    </w:p>
    <w:p>
      <w:pPr>
        <w:spacing w:line="360" w:lineRule="auto"/>
        <w:ind w:firstLine="2160" w:firstLineChars="900"/>
        <w:rPr>
          <w:rFonts w:ascii="Arial" w:hAnsi="Arial" w:cs="Arial"/>
          <w:color w:val="auto"/>
          <w:sz w:val="24"/>
          <w:szCs w:val="24"/>
          <w:highlight w:val="none"/>
          <w:u w:val="single"/>
        </w:rPr>
      </w:pPr>
      <w:r>
        <w:rPr>
          <w:rFonts w:hint="eastAsia" w:ascii="Arial" w:hAnsi="Arial" w:cs="Arial"/>
          <w:color w:val="auto"/>
          <w:sz w:val="24"/>
          <w:szCs w:val="24"/>
          <w:highlight w:val="none"/>
        </w:rPr>
        <w:t>法定代表人或被授权人（签字或盖章）：</w:t>
      </w:r>
      <w:r>
        <w:rPr>
          <w:rFonts w:ascii="Arial" w:hAnsi="Arial" w:cs="Arial"/>
          <w:color w:val="auto"/>
          <w:sz w:val="24"/>
          <w:szCs w:val="24"/>
          <w:highlight w:val="none"/>
          <w:u w:val="single"/>
        </w:rPr>
        <w:t xml:space="preserve">                  </w:t>
      </w:r>
    </w:p>
    <w:p>
      <w:pPr>
        <w:spacing w:line="360" w:lineRule="auto"/>
        <w:ind w:firstLine="4440" w:firstLineChars="1850"/>
        <w:jc w:val="center"/>
        <w:rPr>
          <w:rFonts w:ascii="Arial" w:hAnsi="Arial" w:cs="Arial"/>
          <w:color w:val="auto"/>
          <w:sz w:val="24"/>
          <w:szCs w:val="24"/>
          <w:highlight w:val="none"/>
        </w:rPr>
      </w:pPr>
      <w:r>
        <w:rPr>
          <w:rFonts w:hint="eastAsia" w:ascii="Arial" w:hAnsi="Arial" w:cs="Arial"/>
          <w:color w:val="auto"/>
          <w:sz w:val="24"/>
          <w:szCs w:val="24"/>
          <w:highlight w:val="none"/>
        </w:rPr>
        <w:t xml:space="preserve"> 日期：      年   月   日 </w:t>
      </w:r>
      <w:r>
        <w:rPr>
          <w:rFonts w:ascii="Arial" w:hAnsi="Arial" w:cs="Arial"/>
          <w:color w:val="auto"/>
          <w:sz w:val="18"/>
          <w:szCs w:val="18"/>
          <w:highlight w:val="none"/>
        </w:rPr>
        <w:t xml:space="preserve"> </w:t>
      </w:r>
      <w:r>
        <w:rPr>
          <w:rFonts w:ascii="Arial" w:hAnsi="Arial" w:cs="Arial"/>
          <w:color w:val="auto"/>
          <w:sz w:val="24"/>
          <w:szCs w:val="24"/>
          <w:highlight w:val="none"/>
        </w:rPr>
        <w:t xml:space="preserve">    </w:t>
      </w:r>
    </w:p>
    <w:p>
      <w:pPr>
        <w:pStyle w:val="2"/>
        <w:spacing w:after="0" w:line="360" w:lineRule="auto"/>
        <w:ind w:firstLine="0"/>
        <w:rPr>
          <w:rFonts w:ascii="Arial" w:hAnsi="Arial" w:cs="Arial"/>
          <w:b/>
          <w:color w:val="auto"/>
          <w:sz w:val="32"/>
          <w:szCs w:val="32"/>
          <w:highlight w:val="none"/>
        </w:rPr>
      </w:pPr>
    </w:p>
    <w:p>
      <w:pPr>
        <w:pStyle w:val="2"/>
        <w:spacing w:after="0" w:line="360" w:lineRule="auto"/>
        <w:ind w:firstLine="643" w:firstLineChars="200"/>
        <w:jc w:val="center"/>
        <w:rPr>
          <w:rFonts w:ascii="Arial" w:hAnsi="Arial" w:cs="Arial"/>
          <w:color w:val="auto"/>
          <w:sz w:val="18"/>
          <w:szCs w:val="18"/>
          <w:highlight w:val="none"/>
        </w:rPr>
      </w:pPr>
      <w:r>
        <w:rPr>
          <w:rFonts w:hint="eastAsia" w:ascii="Arial" w:hAnsi="Arial" w:cs="Arial"/>
          <w:b/>
          <w:color w:val="auto"/>
          <w:sz w:val="32"/>
          <w:szCs w:val="32"/>
          <w:highlight w:val="none"/>
        </w:rPr>
        <w:t>投标文件编制情况</w:t>
      </w:r>
    </w:p>
    <w:p>
      <w:pPr>
        <w:pStyle w:val="2"/>
        <w:spacing w:after="0" w:line="360" w:lineRule="auto"/>
        <w:ind w:firstLine="480" w:firstLineChars="200"/>
        <w:rPr>
          <w:rFonts w:ascii="Arial" w:hAnsi="Arial" w:cs="Arial"/>
          <w:color w:val="auto"/>
          <w:sz w:val="24"/>
          <w:szCs w:val="24"/>
          <w:highlight w:val="none"/>
          <w:u w:val="single"/>
        </w:rPr>
      </w:pPr>
      <w:r>
        <w:rPr>
          <w:rFonts w:hint="eastAsia" w:ascii="Arial" w:hAnsi="Arial" w:cs="Arial"/>
          <w:color w:val="auto"/>
          <w:sz w:val="24"/>
          <w:szCs w:val="24"/>
          <w:highlight w:val="none"/>
        </w:rPr>
        <w:t>1.投标文件报价编制方式:</w:t>
      </w:r>
      <w:r>
        <w:rPr>
          <w:rFonts w:ascii="Arial" w:hAnsi="Arial" w:cs="Arial"/>
          <w:color w:val="auto"/>
          <w:sz w:val="24"/>
          <w:szCs w:val="24"/>
          <w:highlight w:val="none"/>
        </w:rPr>
        <w:t xml:space="preserve"> </w:t>
      </w:r>
      <w:r>
        <w:rPr>
          <w:rFonts w:hint="eastAsia" w:ascii="Arial" w:hAnsi="Arial" w:cs="Arial"/>
          <w:color w:val="auto"/>
          <w:sz w:val="24"/>
          <w:szCs w:val="24"/>
          <w:highlight w:val="none"/>
        </w:rPr>
        <w:t>□自行编制的，编制的负责人：</w:t>
      </w:r>
      <w:r>
        <w:rPr>
          <w:rFonts w:hint="eastAsia" w:ascii="Arial" w:hAnsi="Arial" w:cs="Arial"/>
          <w:color w:val="auto"/>
          <w:sz w:val="24"/>
          <w:szCs w:val="24"/>
          <w:highlight w:val="none"/>
          <w:u w:val="single"/>
        </w:rPr>
        <w:t xml:space="preserve"> （盖造价工程师执业专用章或全国建设工程造价员章，执业单位应与投标人一致） </w:t>
      </w:r>
      <w:r>
        <w:rPr>
          <w:rFonts w:hint="eastAsia" w:ascii="Arial" w:hAnsi="Arial" w:cs="Arial"/>
          <w:color w:val="auto"/>
          <w:sz w:val="24"/>
          <w:szCs w:val="24"/>
          <w:highlight w:val="none"/>
        </w:rPr>
        <w:t>。□委托编制的，受委托单位</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rPr>
        <w:t>，编制的负责人：</w:t>
      </w:r>
      <w:r>
        <w:rPr>
          <w:rFonts w:hint="eastAsia" w:ascii="Arial" w:hAnsi="Arial" w:cs="Arial"/>
          <w:color w:val="auto"/>
          <w:sz w:val="24"/>
          <w:szCs w:val="24"/>
          <w:highlight w:val="none"/>
          <w:u w:val="single"/>
        </w:rPr>
        <w:t xml:space="preserve"> （盖造价工程师执业专用章或全国建设工程造价员章，执业单位应与受委托单位一致） </w:t>
      </w:r>
      <w:r>
        <w:rPr>
          <w:rFonts w:hint="eastAsia" w:ascii="Arial" w:hAnsi="Arial" w:cs="Arial"/>
          <w:color w:val="auto"/>
          <w:sz w:val="24"/>
          <w:szCs w:val="24"/>
          <w:highlight w:val="none"/>
        </w:rPr>
        <w:t>。</w:t>
      </w:r>
    </w:p>
    <w:p>
      <w:pPr>
        <w:pStyle w:val="2"/>
        <w:spacing w:after="0"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2.投标文件加密打包的电脑情况</w:t>
      </w:r>
    </w:p>
    <w:tbl>
      <w:tblPr>
        <w:tblStyle w:val="54"/>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2"/>
              <w:spacing w:after="0" w:line="360" w:lineRule="auto"/>
              <w:ind w:firstLine="0"/>
              <w:rPr>
                <w:rFonts w:ascii="Arial" w:hAnsi="Arial" w:cs="Arial"/>
                <w:color w:val="auto"/>
                <w:sz w:val="24"/>
                <w:szCs w:val="24"/>
                <w:highlight w:val="none"/>
              </w:rPr>
            </w:pPr>
            <w:r>
              <w:rPr>
                <w:rFonts w:hint="eastAsia" w:ascii="Arial" w:hAnsi="Arial" w:cs="Arial"/>
                <w:color w:val="auto"/>
                <w:sz w:val="24"/>
                <w:szCs w:val="24"/>
                <w:highlight w:val="none"/>
              </w:rPr>
              <w:t>投标文件加密打包的电脑</w:t>
            </w:r>
            <w:r>
              <w:rPr>
                <w:rFonts w:ascii="Arial" w:hAnsi="Arial" w:cs="Arial"/>
                <w:color w:val="auto"/>
                <w:sz w:val="24"/>
                <w:szCs w:val="24"/>
                <w:highlight w:val="none"/>
              </w:rPr>
              <w:t xml:space="preserve">     </w:t>
            </w:r>
            <w:r>
              <w:rPr>
                <w:rFonts w:hint="eastAsia" w:ascii="Arial" w:hAnsi="Arial" w:cs="Arial"/>
                <w:color w:val="auto"/>
                <w:sz w:val="24"/>
                <w:szCs w:val="24"/>
                <w:highlight w:val="none"/>
              </w:rPr>
              <w:t>自有</w:t>
            </w:r>
            <w:r>
              <w:rPr>
                <w:rFonts w:ascii="Arial" w:hAnsi="Arial" w:cs="Arial"/>
                <w:color w:val="auto"/>
                <w:sz w:val="24"/>
                <w:szCs w:val="24"/>
                <w:highlight w:val="none"/>
              </w:rPr>
              <w:t xml:space="preserve">    </w:t>
            </w:r>
            <w:r>
              <w:rPr>
                <w:rFonts w:hint="eastAsia" w:ascii="Arial" w:hAnsi="Arial" w:cs="Arial"/>
                <w:color w:val="auto"/>
                <w:sz w:val="24"/>
                <w:szCs w:val="24"/>
                <w:highlight w:val="none"/>
              </w:rPr>
              <w:t>□</w:t>
            </w:r>
            <w:r>
              <w:rPr>
                <w:rFonts w:ascii="Arial" w:hAnsi="Arial" w:cs="Arial"/>
                <w:color w:val="auto"/>
                <w:sz w:val="24"/>
                <w:szCs w:val="24"/>
                <w:highlight w:val="none"/>
              </w:rPr>
              <w:t xml:space="preserve">      </w:t>
            </w:r>
            <w:r>
              <w:rPr>
                <w:rFonts w:hint="eastAsia" w:ascii="Arial" w:hAnsi="Arial" w:cs="Arial"/>
                <w:color w:val="auto"/>
                <w:sz w:val="24"/>
                <w:szCs w:val="24"/>
                <w:highlight w:val="none"/>
              </w:rPr>
              <w:t>外包</w:t>
            </w:r>
            <w:r>
              <w:rPr>
                <w:rFonts w:ascii="Arial" w:hAnsi="Arial" w:cs="Arial"/>
                <w:color w:val="auto"/>
                <w:sz w:val="24"/>
                <w:szCs w:val="24"/>
                <w:highlight w:val="none"/>
              </w:rPr>
              <w:t xml:space="preserve">    </w:t>
            </w:r>
            <w:r>
              <w:rPr>
                <w:rFonts w:hint="eastAsia" w:ascii="Arial" w:hAnsi="Arial" w:cs="Arial"/>
                <w:color w:val="auto"/>
                <w:sz w:val="24"/>
                <w:szCs w:val="24"/>
                <w:highlight w:val="none"/>
              </w:rPr>
              <w:t>□</w:t>
            </w:r>
            <w:r>
              <w:rPr>
                <w:rFonts w:ascii="Arial" w:hAnsi="Arial" w:cs="Arial"/>
                <w:color w:val="auto"/>
                <w:sz w:val="24"/>
                <w:szCs w:val="24"/>
                <w:highlight w:val="none"/>
              </w:rPr>
              <w:t xml:space="preserve">     </w:t>
            </w:r>
            <w:r>
              <w:rPr>
                <w:rFonts w:hint="eastAsia" w:ascii="Arial" w:hAnsi="Arial" w:cs="Arial"/>
                <w:color w:val="auto"/>
                <w:sz w:val="24"/>
                <w:szCs w:val="24"/>
                <w:highlight w:val="none"/>
              </w:rPr>
              <w:t>其他</w:t>
            </w:r>
            <w:r>
              <w:rPr>
                <w:rFonts w:ascii="Arial" w:hAnsi="Arial" w:cs="Arial"/>
                <w:color w:val="auto"/>
                <w:sz w:val="24"/>
                <w:szCs w:val="24"/>
                <w:highlight w:val="none"/>
              </w:rPr>
              <w:t xml:space="preserve">    </w:t>
            </w:r>
            <w:r>
              <w:rPr>
                <w:rFonts w:hint="eastAsia" w:ascii="Arial" w:hAnsi="Arial" w:cs="Arial"/>
                <w:color w:val="auto"/>
                <w:sz w:val="24"/>
                <w:szCs w:val="24"/>
                <w:highlight w:val="none"/>
              </w:rPr>
              <w:t>□</w:t>
            </w:r>
          </w:p>
          <w:p>
            <w:pPr>
              <w:pStyle w:val="2"/>
              <w:spacing w:after="0" w:line="360" w:lineRule="auto"/>
              <w:ind w:firstLine="0"/>
              <w:rPr>
                <w:rFonts w:ascii="Arial" w:hAnsi="Arial" w:cs="Arial"/>
                <w:color w:val="auto"/>
                <w:sz w:val="24"/>
                <w:szCs w:val="24"/>
                <w:highlight w:val="none"/>
              </w:rPr>
            </w:pPr>
            <w:r>
              <w:rPr>
                <w:rFonts w:hint="eastAsia" w:ascii="Arial" w:hAnsi="Arial" w:cs="Arial"/>
                <w:color w:val="auto"/>
                <w:sz w:val="24"/>
                <w:szCs w:val="24"/>
                <w:highlight w:val="none"/>
              </w:rPr>
              <w:t>电脑类型</w:t>
            </w:r>
          </w:p>
          <w:p>
            <w:pPr>
              <w:pStyle w:val="2"/>
              <w:spacing w:after="0" w:line="360" w:lineRule="auto"/>
              <w:ind w:firstLine="0"/>
              <w:rPr>
                <w:rFonts w:ascii="Arial" w:hAnsi="Arial" w:cs="Arial"/>
                <w:color w:val="auto"/>
                <w:sz w:val="24"/>
                <w:szCs w:val="24"/>
                <w:highlight w:val="none"/>
              </w:rPr>
            </w:pPr>
            <w:r>
              <w:rPr>
                <w:rFonts w:hint="eastAsia" w:ascii="Arial" w:hAnsi="Arial" w:cs="Arial"/>
                <w:color w:val="auto"/>
                <w:sz w:val="24"/>
                <w:szCs w:val="24"/>
                <w:highlight w:val="none"/>
              </w:rPr>
              <w:t>电脑所属单位</w:t>
            </w:r>
          </w:p>
          <w:p>
            <w:pPr>
              <w:pStyle w:val="2"/>
              <w:spacing w:after="0" w:line="360" w:lineRule="auto"/>
              <w:ind w:firstLine="0"/>
              <w:rPr>
                <w:rFonts w:ascii="Arial" w:hAnsi="Arial" w:cs="Arial"/>
                <w:color w:val="auto"/>
                <w:sz w:val="24"/>
                <w:szCs w:val="24"/>
                <w:highlight w:val="none"/>
              </w:rPr>
            </w:pPr>
            <w:r>
              <w:rPr>
                <w:rFonts w:hint="eastAsia" w:ascii="Arial" w:hAnsi="Arial" w:cs="Arial"/>
                <w:color w:val="auto"/>
                <w:sz w:val="24"/>
                <w:szCs w:val="24"/>
                <w:highlight w:val="none"/>
              </w:rPr>
              <w:t>电脑所在地址</w:t>
            </w:r>
            <w:r>
              <w:rPr>
                <w:rFonts w:ascii="Arial" w:hAnsi="Arial" w:cs="Arial"/>
                <w:color w:val="auto"/>
                <w:sz w:val="24"/>
                <w:szCs w:val="24"/>
                <w:highlight w:val="none"/>
              </w:rPr>
              <w:t xml:space="preserve">        </w:t>
            </w:r>
            <w:r>
              <w:rPr>
                <w:rFonts w:hint="eastAsia" w:ascii="Arial" w:hAnsi="Arial" w:cs="Arial"/>
                <w:color w:val="auto"/>
                <w:sz w:val="24"/>
                <w:szCs w:val="24"/>
                <w:highlight w:val="none"/>
              </w:rPr>
              <w:t>（如××市××区(县)</w:t>
            </w:r>
            <w:r>
              <w:rPr>
                <w:rFonts w:ascii="Arial" w:hAnsi="Arial" w:cs="Arial"/>
                <w:color w:val="auto"/>
                <w:sz w:val="24"/>
                <w:szCs w:val="24"/>
                <w:highlight w:val="none"/>
              </w:rPr>
              <w:t xml:space="preserve"> </w:t>
            </w:r>
            <w:r>
              <w:rPr>
                <w:rFonts w:hint="eastAsia" w:ascii="Arial" w:hAnsi="Arial" w:cs="Arial"/>
                <w:color w:val="auto"/>
                <w:sz w:val="24"/>
                <w:szCs w:val="24"/>
                <w:highlight w:val="none"/>
              </w:rPr>
              <w:t>××街（路）××号××大厦××房）</w:t>
            </w:r>
          </w:p>
        </w:tc>
      </w:tr>
    </w:tbl>
    <w:p>
      <w:pPr>
        <w:autoSpaceDE w:val="0"/>
        <w:autoSpaceDN w:val="0"/>
        <w:adjustRightInd w:val="0"/>
        <w:rPr>
          <w:rFonts w:ascii="Arial" w:hAnsi="Arial" w:cs="Arial"/>
          <w:color w:val="auto"/>
          <w:szCs w:val="21"/>
          <w:highlight w:val="none"/>
        </w:rPr>
      </w:pPr>
      <w:r>
        <w:rPr>
          <w:rFonts w:hint="eastAsia" w:ascii="Arial" w:hAnsi="Arial" w:cs="Arial"/>
          <w:color w:val="auto"/>
          <w:szCs w:val="21"/>
          <w:highlight w:val="none"/>
        </w:rPr>
        <w:t>附件四</w:t>
      </w:r>
    </w:p>
    <w:p>
      <w:pPr>
        <w:tabs>
          <w:tab w:val="left" w:pos="720"/>
        </w:tabs>
        <w:snapToGrid w:val="0"/>
        <w:spacing w:line="360" w:lineRule="auto"/>
        <w:rPr>
          <w:rFonts w:ascii="Arial" w:hAnsi="Arial" w:cs="Arial"/>
          <w:color w:val="auto"/>
          <w:sz w:val="24"/>
          <w:szCs w:val="24"/>
          <w:highlight w:val="none"/>
        </w:rPr>
      </w:pPr>
    </w:p>
    <w:p>
      <w:pPr>
        <w:tabs>
          <w:tab w:val="left" w:pos="720"/>
        </w:tabs>
        <w:snapToGrid w:val="0"/>
        <w:spacing w:line="360" w:lineRule="auto"/>
        <w:ind w:firstLine="1200" w:firstLineChars="500"/>
        <w:rPr>
          <w:rFonts w:ascii="Arial" w:hAnsi="Arial" w:cs="Arial"/>
          <w:color w:val="auto"/>
          <w:sz w:val="24"/>
          <w:szCs w:val="24"/>
          <w:highlight w:val="none"/>
        </w:rPr>
      </w:pPr>
      <w:r>
        <w:rPr>
          <w:rFonts w:ascii="Arial" w:hAnsi="Arial" w:cs="Arial"/>
          <w:color w:val="auto"/>
          <w:sz w:val="24"/>
          <w:szCs w:val="24"/>
          <w:highlight w:val="none"/>
        </w:rPr>
        <w:t xml:space="preserve">20  </w:t>
      </w:r>
      <w:r>
        <w:rPr>
          <w:rFonts w:hint="eastAsia" w:ascii="Arial" w:hAnsi="Arial" w:cs="Arial"/>
          <w:color w:val="auto"/>
          <w:sz w:val="24"/>
          <w:szCs w:val="24"/>
          <w:highlight w:val="none"/>
        </w:rPr>
        <w:t>年</w:t>
      </w:r>
      <w:r>
        <w:rPr>
          <w:rFonts w:ascii="Arial" w:hAnsi="Arial" w:cs="Arial"/>
          <w:color w:val="auto"/>
          <w:sz w:val="24"/>
          <w:szCs w:val="24"/>
          <w:highlight w:val="none"/>
        </w:rPr>
        <w:t xml:space="preserve">  </w:t>
      </w:r>
      <w:r>
        <w:rPr>
          <w:rFonts w:hint="eastAsia" w:ascii="Arial" w:hAnsi="Arial" w:cs="Arial"/>
          <w:color w:val="auto"/>
          <w:sz w:val="24"/>
          <w:szCs w:val="24"/>
          <w:highlight w:val="none"/>
        </w:rPr>
        <w:t>月</w:t>
      </w:r>
      <w:r>
        <w:rPr>
          <w:rFonts w:ascii="Arial" w:hAnsi="Arial" w:cs="Arial"/>
          <w:color w:val="auto"/>
          <w:sz w:val="24"/>
          <w:szCs w:val="24"/>
          <w:highlight w:val="none"/>
        </w:rPr>
        <w:t xml:space="preserve">  </w:t>
      </w:r>
      <w:r>
        <w:rPr>
          <w:rFonts w:hint="eastAsia" w:ascii="Arial" w:hAnsi="Arial" w:cs="Arial"/>
          <w:color w:val="auto"/>
          <w:sz w:val="24"/>
          <w:szCs w:val="24"/>
          <w:highlight w:val="none"/>
        </w:rPr>
        <w:t>日至本项目投标截止时间为止业绩一览表</w:t>
      </w:r>
    </w:p>
    <w:p>
      <w:pPr>
        <w:tabs>
          <w:tab w:val="left" w:pos="720"/>
        </w:tabs>
        <w:snapToGrid w:val="0"/>
        <w:spacing w:line="360" w:lineRule="auto"/>
        <w:ind w:firstLine="1200" w:firstLineChars="500"/>
        <w:rPr>
          <w:rFonts w:ascii="Arial" w:hAnsi="Arial" w:cs="Arial"/>
          <w:color w:val="auto"/>
          <w:sz w:val="24"/>
          <w:szCs w:val="24"/>
          <w:highlight w:val="none"/>
        </w:rPr>
      </w:pPr>
    </w:p>
    <w:p>
      <w:pPr>
        <w:tabs>
          <w:tab w:val="left" w:pos="720"/>
        </w:tabs>
        <w:snapToGrid w:val="0"/>
        <w:spacing w:line="360" w:lineRule="auto"/>
        <w:rPr>
          <w:rFonts w:ascii="Arial" w:hAnsi="Arial" w:cs="Arial"/>
          <w:color w:val="auto"/>
          <w:sz w:val="24"/>
          <w:szCs w:val="24"/>
          <w:highlight w:val="none"/>
        </w:rPr>
      </w:pPr>
      <w:r>
        <w:rPr>
          <w:rFonts w:hint="eastAsia" w:ascii="Arial" w:hAnsi="Arial" w:cs="Arial"/>
          <w:color w:val="auto"/>
          <w:sz w:val="24"/>
          <w:szCs w:val="24"/>
          <w:highlight w:val="none"/>
        </w:rPr>
        <w:t>项目名称：</w:t>
      </w:r>
    </w:p>
    <w:tbl>
      <w:tblPr>
        <w:tblStyle w:val="54"/>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14"/>
        <w:gridCol w:w="1227"/>
        <w:gridCol w:w="2073"/>
        <w:gridCol w:w="121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tabs>
                <w:tab w:val="left" w:pos="720"/>
              </w:tabs>
              <w:snapToGrid w:val="0"/>
              <w:spacing w:line="360" w:lineRule="auto"/>
              <w:jc w:val="center"/>
              <w:rPr>
                <w:rFonts w:ascii="Arial" w:hAnsi="Arial" w:cs="Arial"/>
                <w:color w:val="auto"/>
                <w:sz w:val="24"/>
                <w:szCs w:val="24"/>
                <w:highlight w:val="none"/>
              </w:rPr>
            </w:pPr>
            <w:r>
              <w:rPr>
                <w:rFonts w:hint="eastAsia" w:ascii="Arial" w:hAnsi="Arial" w:cs="Arial"/>
                <w:color w:val="auto"/>
                <w:sz w:val="24"/>
                <w:szCs w:val="24"/>
                <w:highlight w:val="none"/>
              </w:rPr>
              <w:t>序号</w:t>
            </w:r>
          </w:p>
        </w:tc>
        <w:tc>
          <w:tcPr>
            <w:tcW w:w="1214" w:type="dxa"/>
            <w:vAlign w:val="center"/>
          </w:tcPr>
          <w:p>
            <w:pPr>
              <w:tabs>
                <w:tab w:val="left" w:pos="720"/>
              </w:tabs>
              <w:snapToGrid w:val="0"/>
              <w:spacing w:line="360" w:lineRule="auto"/>
              <w:jc w:val="center"/>
              <w:rPr>
                <w:rFonts w:ascii="Arial" w:hAnsi="Arial" w:cs="Arial"/>
                <w:color w:val="auto"/>
                <w:sz w:val="24"/>
                <w:szCs w:val="24"/>
                <w:highlight w:val="none"/>
              </w:rPr>
            </w:pPr>
            <w:r>
              <w:rPr>
                <w:rFonts w:hint="eastAsia" w:ascii="Arial" w:hAnsi="Arial" w:cs="Arial"/>
                <w:color w:val="auto"/>
                <w:sz w:val="24"/>
                <w:szCs w:val="24"/>
                <w:highlight w:val="none"/>
              </w:rPr>
              <w:t>项目编号</w:t>
            </w:r>
          </w:p>
        </w:tc>
        <w:tc>
          <w:tcPr>
            <w:tcW w:w="1227" w:type="dxa"/>
            <w:vAlign w:val="center"/>
          </w:tcPr>
          <w:p>
            <w:pPr>
              <w:tabs>
                <w:tab w:val="left" w:pos="720"/>
              </w:tabs>
              <w:snapToGrid w:val="0"/>
              <w:spacing w:line="360" w:lineRule="auto"/>
              <w:jc w:val="center"/>
              <w:rPr>
                <w:rFonts w:ascii="Arial" w:hAnsi="Arial" w:cs="Arial"/>
                <w:color w:val="auto"/>
                <w:sz w:val="24"/>
                <w:szCs w:val="24"/>
                <w:highlight w:val="none"/>
              </w:rPr>
            </w:pPr>
            <w:r>
              <w:rPr>
                <w:rFonts w:hint="eastAsia" w:ascii="Arial" w:hAnsi="Arial" w:cs="Arial"/>
                <w:color w:val="auto"/>
                <w:sz w:val="24"/>
                <w:szCs w:val="24"/>
                <w:highlight w:val="none"/>
              </w:rPr>
              <w:t>项目名称</w:t>
            </w:r>
          </w:p>
        </w:tc>
        <w:tc>
          <w:tcPr>
            <w:tcW w:w="2073" w:type="dxa"/>
            <w:vAlign w:val="center"/>
          </w:tcPr>
          <w:p>
            <w:pPr>
              <w:tabs>
                <w:tab w:val="left" w:pos="720"/>
              </w:tabs>
              <w:snapToGrid w:val="0"/>
              <w:spacing w:line="360" w:lineRule="auto"/>
              <w:jc w:val="center"/>
              <w:rPr>
                <w:rFonts w:ascii="Arial" w:hAnsi="Arial" w:cs="Arial"/>
                <w:color w:val="auto"/>
                <w:sz w:val="24"/>
                <w:szCs w:val="24"/>
                <w:highlight w:val="none"/>
              </w:rPr>
            </w:pPr>
            <w:r>
              <w:rPr>
                <w:rFonts w:hint="eastAsia" w:ascii="Arial" w:hAnsi="Arial" w:cs="Arial"/>
                <w:color w:val="auto"/>
                <w:sz w:val="24"/>
                <w:szCs w:val="24"/>
                <w:highlight w:val="none"/>
              </w:rPr>
              <w:t>合同总价（万元）</w:t>
            </w:r>
          </w:p>
        </w:tc>
        <w:tc>
          <w:tcPr>
            <w:tcW w:w="1214" w:type="dxa"/>
            <w:vAlign w:val="center"/>
          </w:tcPr>
          <w:p>
            <w:pPr>
              <w:tabs>
                <w:tab w:val="left" w:pos="720"/>
              </w:tabs>
              <w:snapToGrid w:val="0"/>
              <w:spacing w:line="360" w:lineRule="auto"/>
              <w:jc w:val="center"/>
              <w:rPr>
                <w:rFonts w:ascii="Arial" w:hAnsi="Arial" w:cs="Arial"/>
                <w:color w:val="auto"/>
                <w:sz w:val="24"/>
                <w:szCs w:val="24"/>
                <w:highlight w:val="none"/>
              </w:rPr>
            </w:pPr>
            <w:r>
              <w:rPr>
                <w:rFonts w:hint="eastAsia" w:ascii="Arial" w:hAnsi="Arial" w:cs="Arial"/>
                <w:color w:val="auto"/>
                <w:sz w:val="24"/>
                <w:szCs w:val="24"/>
                <w:highlight w:val="none"/>
              </w:rPr>
              <w:t>完成时间</w:t>
            </w:r>
          </w:p>
        </w:tc>
        <w:tc>
          <w:tcPr>
            <w:tcW w:w="2413" w:type="dxa"/>
            <w:vAlign w:val="center"/>
          </w:tcPr>
          <w:p>
            <w:pPr>
              <w:tabs>
                <w:tab w:val="left" w:pos="720"/>
              </w:tabs>
              <w:snapToGrid w:val="0"/>
              <w:spacing w:line="360" w:lineRule="auto"/>
              <w:jc w:val="center"/>
              <w:rPr>
                <w:rFonts w:ascii="Arial" w:hAnsi="Arial" w:cs="Arial"/>
                <w:color w:val="auto"/>
                <w:sz w:val="24"/>
                <w:szCs w:val="24"/>
                <w:highlight w:val="none"/>
              </w:rPr>
            </w:pPr>
            <w:r>
              <w:rPr>
                <w:rFonts w:hint="eastAsia" w:ascii="Arial" w:hAnsi="Arial" w:cs="Arial"/>
                <w:color w:val="auto"/>
                <w:sz w:val="24"/>
                <w:szCs w:val="24"/>
                <w:highlight w:val="none"/>
              </w:rPr>
              <w:t>建设单位联系人及联系电话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1227" w:type="dxa"/>
          </w:tcPr>
          <w:p>
            <w:pPr>
              <w:tabs>
                <w:tab w:val="left" w:pos="720"/>
              </w:tabs>
              <w:snapToGrid w:val="0"/>
              <w:spacing w:line="360" w:lineRule="auto"/>
              <w:rPr>
                <w:rFonts w:ascii="Arial" w:hAnsi="Arial" w:cs="Arial"/>
                <w:color w:val="auto"/>
                <w:sz w:val="24"/>
                <w:szCs w:val="24"/>
                <w:highlight w:val="none"/>
              </w:rPr>
            </w:pPr>
          </w:p>
        </w:tc>
        <w:tc>
          <w:tcPr>
            <w:tcW w:w="2073"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2413" w:type="dxa"/>
          </w:tcPr>
          <w:p>
            <w:pPr>
              <w:tabs>
                <w:tab w:val="left" w:pos="720"/>
              </w:tabs>
              <w:snapToGrid w:val="0"/>
              <w:spacing w:line="360" w:lineRule="auto"/>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1227" w:type="dxa"/>
          </w:tcPr>
          <w:p>
            <w:pPr>
              <w:tabs>
                <w:tab w:val="left" w:pos="720"/>
              </w:tabs>
              <w:snapToGrid w:val="0"/>
              <w:spacing w:line="360" w:lineRule="auto"/>
              <w:rPr>
                <w:rFonts w:ascii="Arial" w:hAnsi="Arial" w:cs="Arial"/>
                <w:color w:val="auto"/>
                <w:sz w:val="24"/>
                <w:szCs w:val="24"/>
                <w:highlight w:val="none"/>
              </w:rPr>
            </w:pPr>
          </w:p>
        </w:tc>
        <w:tc>
          <w:tcPr>
            <w:tcW w:w="2073"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2413" w:type="dxa"/>
          </w:tcPr>
          <w:p>
            <w:pPr>
              <w:tabs>
                <w:tab w:val="left" w:pos="720"/>
              </w:tabs>
              <w:snapToGrid w:val="0"/>
              <w:spacing w:line="360" w:lineRule="auto"/>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1227" w:type="dxa"/>
          </w:tcPr>
          <w:p>
            <w:pPr>
              <w:tabs>
                <w:tab w:val="left" w:pos="720"/>
              </w:tabs>
              <w:snapToGrid w:val="0"/>
              <w:spacing w:line="360" w:lineRule="auto"/>
              <w:rPr>
                <w:rFonts w:ascii="Arial" w:hAnsi="Arial" w:cs="Arial"/>
                <w:color w:val="auto"/>
                <w:sz w:val="24"/>
                <w:szCs w:val="24"/>
                <w:highlight w:val="none"/>
              </w:rPr>
            </w:pPr>
          </w:p>
        </w:tc>
        <w:tc>
          <w:tcPr>
            <w:tcW w:w="2073"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2413" w:type="dxa"/>
          </w:tcPr>
          <w:p>
            <w:pPr>
              <w:tabs>
                <w:tab w:val="left" w:pos="720"/>
              </w:tabs>
              <w:snapToGrid w:val="0"/>
              <w:spacing w:line="360" w:lineRule="auto"/>
              <w:rPr>
                <w:rFonts w:ascii="Arial" w:hAnsi="Arial" w:cs="Arial"/>
                <w:color w:val="auto"/>
                <w:sz w:val="24"/>
                <w:szCs w:val="24"/>
                <w:highlight w:val="none"/>
              </w:rPr>
            </w:pPr>
          </w:p>
        </w:tc>
      </w:tr>
    </w:tbl>
    <w:p>
      <w:pPr>
        <w:tabs>
          <w:tab w:val="left" w:pos="720"/>
        </w:tabs>
        <w:snapToGrid w:val="0"/>
        <w:spacing w:line="360" w:lineRule="auto"/>
        <w:rPr>
          <w:rFonts w:ascii="Arial" w:hAnsi="Arial" w:cs="Arial"/>
          <w:color w:val="auto"/>
          <w:szCs w:val="20"/>
          <w:highlight w:val="none"/>
        </w:rPr>
      </w:pPr>
    </w:p>
    <w:p>
      <w:pPr>
        <w:tabs>
          <w:tab w:val="left" w:pos="720"/>
        </w:tabs>
        <w:snapToGrid w:val="0"/>
        <w:spacing w:line="360" w:lineRule="auto"/>
        <w:rPr>
          <w:rFonts w:ascii="Arial" w:hAnsi="Arial" w:cs="Arial"/>
          <w:color w:val="auto"/>
          <w:szCs w:val="20"/>
          <w:highlight w:val="none"/>
        </w:rPr>
      </w:pPr>
    </w:p>
    <w:p>
      <w:pPr>
        <w:tabs>
          <w:tab w:val="left" w:pos="720"/>
        </w:tabs>
        <w:snapToGrid w:val="0"/>
        <w:spacing w:line="360" w:lineRule="auto"/>
        <w:rPr>
          <w:rFonts w:ascii="Arial" w:hAnsi="Arial" w:cs="Arial"/>
          <w:color w:val="auto"/>
          <w:szCs w:val="21"/>
          <w:highlight w:val="none"/>
        </w:rPr>
      </w:pPr>
      <w:r>
        <w:rPr>
          <w:rFonts w:hint="eastAsia" w:ascii="Arial" w:hAnsi="Arial" w:cs="Arial"/>
          <w:color w:val="auto"/>
          <w:szCs w:val="21"/>
          <w:highlight w:val="none"/>
        </w:rPr>
        <w:t>投标人名称：（盖章）</w:t>
      </w:r>
    </w:p>
    <w:p>
      <w:pPr>
        <w:tabs>
          <w:tab w:val="left" w:pos="720"/>
        </w:tabs>
        <w:snapToGrid w:val="0"/>
        <w:spacing w:line="360" w:lineRule="auto"/>
        <w:rPr>
          <w:rFonts w:ascii="Arial" w:hAnsi="Arial" w:cs="Arial"/>
          <w:color w:val="auto"/>
          <w:szCs w:val="21"/>
          <w:highlight w:val="none"/>
        </w:rPr>
      </w:pPr>
      <w:r>
        <w:rPr>
          <w:rFonts w:hint="eastAsia" w:ascii="Arial" w:hAnsi="Arial" w:cs="Arial"/>
          <w:color w:val="auto"/>
          <w:szCs w:val="21"/>
          <w:highlight w:val="none"/>
        </w:rPr>
        <w:t>投标人授权代表：（签字或盖章）</w:t>
      </w:r>
    </w:p>
    <w:p>
      <w:pPr>
        <w:widowControl/>
        <w:jc w:val="left"/>
        <w:outlineLvl w:val="1"/>
        <w:rPr>
          <w:rFonts w:ascii="Arial" w:hAnsi="Arial" w:cs="Arial"/>
          <w:color w:val="auto"/>
          <w:sz w:val="24"/>
          <w:szCs w:val="24"/>
          <w:highlight w:val="none"/>
        </w:rPr>
      </w:pPr>
      <w:r>
        <w:rPr>
          <w:rFonts w:ascii="Arial" w:hAnsi="Arial" w:cs="Arial"/>
          <w:snapToGrid w:val="0"/>
          <w:color w:val="auto"/>
          <w:highlight w:val="none"/>
        </w:rPr>
        <w:br w:type="page"/>
      </w:r>
      <w:r>
        <w:rPr>
          <w:rFonts w:hint="eastAsia" w:ascii="Arial" w:hAnsi="Arial" w:cs="Arial"/>
          <w:color w:val="auto"/>
          <w:sz w:val="24"/>
          <w:szCs w:val="24"/>
          <w:highlight w:val="none"/>
        </w:rPr>
        <w:t>附件五：拟委派本项目组织管理机构人员一览表</w:t>
      </w:r>
    </w:p>
    <w:p>
      <w:pPr>
        <w:pStyle w:val="137"/>
        <w:rPr>
          <w:rFonts w:ascii="Arial" w:hAnsi="Arial" w:eastAsia="宋体" w:cs="Arial"/>
          <w:b w:val="0"/>
          <w:color w:val="auto"/>
          <w:highlight w:val="none"/>
        </w:rPr>
      </w:pPr>
      <w:r>
        <w:rPr>
          <w:rFonts w:hint="eastAsia" w:ascii="Arial" w:hAnsi="Arial" w:eastAsia="宋体" w:cs="Arial"/>
          <w:b w:val="0"/>
          <w:color w:val="auto"/>
          <w:highlight w:val="none"/>
        </w:rPr>
        <w:t>投入主要人员汇总表</w:t>
      </w:r>
    </w:p>
    <w:tbl>
      <w:tblPr>
        <w:tblStyle w:val="5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53"/>
        <w:gridCol w:w="960"/>
        <w:gridCol w:w="960"/>
        <w:gridCol w:w="960"/>
        <w:gridCol w:w="960"/>
        <w:gridCol w:w="960"/>
        <w:gridCol w:w="13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8"/>
              <w:jc w:val="center"/>
              <w:rPr>
                <w:rFonts w:ascii="Arial" w:hAnsi="Arial" w:cs="Arial"/>
                <w:b/>
                <w:color w:val="auto"/>
                <w:highlight w:val="none"/>
              </w:rPr>
            </w:pPr>
            <w:r>
              <w:rPr>
                <w:rFonts w:hint="eastAsia" w:ascii="Arial" w:hAnsi="Arial" w:cs="Arial"/>
                <w:b/>
                <w:color w:val="auto"/>
                <w:highlight w:val="none"/>
              </w:rPr>
              <w:t>序号</w:t>
            </w:r>
          </w:p>
        </w:tc>
        <w:tc>
          <w:tcPr>
            <w:tcW w:w="1353" w:type="dxa"/>
            <w:vAlign w:val="center"/>
          </w:tcPr>
          <w:p>
            <w:pPr>
              <w:pStyle w:val="138"/>
              <w:jc w:val="center"/>
              <w:rPr>
                <w:rFonts w:ascii="Arial" w:hAnsi="Arial" w:cs="Arial"/>
                <w:b/>
                <w:color w:val="auto"/>
                <w:highlight w:val="none"/>
              </w:rPr>
            </w:pPr>
            <w:r>
              <w:rPr>
                <w:rFonts w:hint="eastAsia" w:ascii="Arial" w:hAnsi="Arial" w:cs="Arial"/>
                <w:b/>
                <w:color w:val="auto"/>
                <w:spacing w:val="-6"/>
                <w:highlight w:val="none"/>
              </w:rPr>
              <w:t>在本项目担任的职务</w:t>
            </w:r>
          </w:p>
        </w:tc>
        <w:tc>
          <w:tcPr>
            <w:tcW w:w="960" w:type="dxa"/>
            <w:vAlign w:val="center"/>
          </w:tcPr>
          <w:p>
            <w:pPr>
              <w:pStyle w:val="138"/>
              <w:jc w:val="center"/>
              <w:rPr>
                <w:rFonts w:ascii="Arial" w:hAnsi="Arial" w:cs="Arial"/>
                <w:b/>
                <w:color w:val="auto"/>
                <w:highlight w:val="none"/>
              </w:rPr>
            </w:pPr>
            <w:r>
              <w:rPr>
                <w:rFonts w:hint="eastAsia" w:ascii="Arial" w:hAnsi="Arial" w:cs="Arial"/>
                <w:b/>
                <w:color w:val="auto"/>
                <w:highlight w:val="none"/>
              </w:rPr>
              <w:t>姓名</w:t>
            </w:r>
          </w:p>
        </w:tc>
        <w:tc>
          <w:tcPr>
            <w:tcW w:w="960" w:type="dxa"/>
            <w:vAlign w:val="center"/>
          </w:tcPr>
          <w:p>
            <w:pPr>
              <w:pStyle w:val="138"/>
              <w:jc w:val="center"/>
              <w:rPr>
                <w:rFonts w:ascii="Arial" w:hAnsi="Arial" w:cs="Arial"/>
                <w:b/>
                <w:color w:val="auto"/>
                <w:highlight w:val="none"/>
              </w:rPr>
            </w:pPr>
            <w:r>
              <w:rPr>
                <w:rFonts w:hint="eastAsia" w:ascii="Arial" w:hAnsi="Arial" w:cs="Arial"/>
                <w:b/>
                <w:color w:val="auto"/>
                <w:highlight w:val="none"/>
              </w:rPr>
              <w:t>年龄</w:t>
            </w:r>
          </w:p>
        </w:tc>
        <w:tc>
          <w:tcPr>
            <w:tcW w:w="960" w:type="dxa"/>
            <w:vAlign w:val="center"/>
          </w:tcPr>
          <w:p>
            <w:pPr>
              <w:pStyle w:val="138"/>
              <w:jc w:val="center"/>
              <w:rPr>
                <w:rFonts w:ascii="Arial" w:hAnsi="Arial" w:cs="Arial"/>
                <w:b/>
                <w:color w:val="auto"/>
                <w:highlight w:val="none"/>
              </w:rPr>
            </w:pPr>
            <w:r>
              <w:rPr>
                <w:rFonts w:hint="eastAsia" w:ascii="Arial" w:hAnsi="Arial" w:cs="Arial"/>
                <w:b/>
                <w:color w:val="auto"/>
                <w:highlight w:val="none"/>
              </w:rPr>
              <w:t>职称</w:t>
            </w:r>
          </w:p>
        </w:tc>
        <w:tc>
          <w:tcPr>
            <w:tcW w:w="960" w:type="dxa"/>
            <w:vAlign w:val="center"/>
          </w:tcPr>
          <w:p>
            <w:pPr>
              <w:pStyle w:val="138"/>
              <w:jc w:val="center"/>
              <w:rPr>
                <w:rFonts w:ascii="Arial" w:hAnsi="Arial" w:cs="Arial"/>
                <w:b/>
                <w:color w:val="auto"/>
                <w:highlight w:val="none"/>
              </w:rPr>
            </w:pPr>
            <w:r>
              <w:rPr>
                <w:rFonts w:hint="eastAsia" w:ascii="Arial" w:hAnsi="Arial" w:cs="Arial"/>
                <w:b/>
                <w:color w:val="auto"/>
                <w:highlight w:val="none"/>
              </w:rPr>
              <w:t>专业</w:t>
            </w:r>
          </w:p>
        </w:tc>
        <w:tc>
          <w:tcPr>
            <w:tcW w:w="960" w:type="dxa"/>
            <w:vAlign w:val="center"/>
          </w:tcPr>
          <w:p>
            <w:pPr>
              <w:pStyle w:val="138"/>
              <w:jc w:val="center"/>
              <w:rPr>
                <w:rFonts w:ascii="Arial" w:hAnsi="Arial" w:cs="Arial"/>
                <w:b/>
                <w:color w:val="auto"/>
                <w:highlight w:val="none"/>
              </w:rPr>
            </w:pPr>
            <w:r>
              <w:rPr>
                <w:rFonts w:hint="eastAsia" w:ascii="Arial" w:hAnsi="Arial" w:cs="Arial"/>
                <w:b/>
                <w:color w:val="auto"/>
                <w:highlight w:val="none"/>
              </w:rPr>
              <w:t>从事相关工作年限</w:t>
            </w:r>
          </w:p>
        </w:tc>
        <w:tc>
          <w:tcPr>
            <w:tcW w:w="1360" w:type="dxa"/>
            <w:vAlign w:val="center"/>
          </w:tcPr>
          <w:p>
            <w:pPr>
              <w:pStyle w:val="138"/>
              <w:jc w:val="center"/>
              <w:rPr>
                <w:rFonts w:ascii="Arial" w:hAnsi="Arial" w:cs="Arial"/>
                <w:b/>
                <w:color w:val="auto"/>
                <w:highlight w:val="none"/>
              </w:rPr>
            </w:pPr>
            <w:r>
              <w:rPr>
                <w:rFonts w:hint="eastAsia" w:ascii="Arial" w:hAnsi="Arial" w:cs="Arial"/>
                <w:b/>
                <w:color w:val="auto"/>
                <w:highlight w:val="none"/>
              </w:rPr>
              <w:t>工程师注册（或岗位）证号</w:t>
            </w:r>
          </w:p>
        </w:tc>
        <w:tc>
          <w:tcPr>
            <w:tcW w:w="1276" w:type="dxa"/>
            <w:vAlign w:val="center"/>
          </w:tcPr>
          <w:p>
            <w:pPr>
              <w:pStyle w:val="138"/>
              <w:jc w:val="center"/>
              <w:rPr>
                <w:rFonts w:ascii="Arial" w:hAnsi="Arial" w:cs="Arial"/>
                <w:b/>
                <w:color w:val="auto"/>
                <w:highlight w:val="none"/>
              </w:rPr>
            </w:pPr>
            <w:r>
              <w:rPr>
                <w:rFonts w:hint="eastAsia" w:ascii="Arial" w:hAnsi="Arial"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4"/>
              <w:ind w:firstLine="488"/>
              <w:rPr>
                <w:rFonts w:ascii="Arial" w:hAnsi="Arial" w:eastAsia="宋体" w:cs="Arial"/>
                <w:color w:val="auto"/>
                <w:kern w:val="2"/>
                <w:highlight w:val="none"/>
              </w:rPr>
            </w:pPr>
          </w:p>
        </w:tc>
        <w:tc>
          <w:tcPr>
            <w:tcW w:w="1353"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tcPr>
          <w:p>
            <w:pPr>
              <w:pStyle w:val="134"/>
              <w:ind w:firstLine="488"/>
              <w:rPr>
                <w:rFonts w:ascii="Arial" w:hAnsi="Arial" w:eastAsia="宋体" w:cs="Arial"/>
                <w:color w:val="auto"/>
                <w:kern w:val="2"/>
                <w:highlight w:val="none"/>
              </w:rPr>
            </w:pPr>
          </w:p>
        </w:tc>
        <w:tc>
          <w:tcPr>
            <w:tcW w:w="1360" w:type="dxa"/>
            <w:vAlign w:val="center"/>
          </w:tcPr>
          <w:p>
            <w:pPr>
              <w:pStyle w:val="134"/>
              <w:ind w:firstLine="488"/>
              <w:rPr>
                <w:rFonts w:ascii="Arial" w:hAnsi="Arial" w:eastAsia="宋体" w:cs="Arial"/>
                <w:color w:val="auto"/>
                <w:kern w:val="2"/>
                <w:highlight w:val="none"/>
              </w:rPr>
            </w:pPr>
          </w:p>
        </w:tc>
        <w:tc>
          <w:tcPr>
            <w:tcW w:w="1276" w:type="dxa"/>
          </w:tcPr>
          <w:p>
            <w:pPr>
              <w:pStyle w:val="134"/>
              <w:ind w:firstLine="488"/>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4"/>
              <w:ind w:firstLine="488"/>
              <w:rPr>
                <w:rFonts w:ascii="Arial" w:hAnsi="Arial" w:eastAsia="宋体" w:cs="Arial"/>
                <w:color w:val="auto"/>
                <w:kern w:val="2"/>
                <w:highlight w:val="none"/>
              </w:rPr>
            </w:pPr>
          </w:p>
        </w:tc>
        <w:tc>
          <w:tcPr>
            <w:tcW w:w="1353"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tcPr>
          <w:p>
            <w:pPr>
              <w:pStyle w:val="134"/>
              <w:ind w:firstLine="488"/>
              <w:rPr>
                <w:rFonts w:ascii="Arial" w:hAnsi="Arial" w:eastAsia="宋体" w:cs="Arial"/>
                <w:color w:val="auto"/>
                <w:kern w:val="2"/>
                <w:highlight w:val="none"/>
              </w:rPr>
            </w:pPr>
          </w:p>
        </w:tc>
        <w:tc>
          <w:tcPr>
            <w:tcW w:w="1360" w:type="dxa"/>
            <w:vAlign w:val="center"/>
          </w:tcPr>
          <w:p>
            <w:pPr>
              <w:pStyle w:val="134"/>
              <w:ind w:firstLine="488"/>
              <w:rPr>
                <w:rFonts w:ascii="Arial" w:hAnsi="Arial" w:eastAsia="宋体" w:cs="Arial"/>
                <w:color w:val="auto"/>
                <w:kern w:val="2"/>
                <w:highlight w:val="none"/>
              </w:rPr>
            </w:pPr>
          </w:p>
        </w:tc>
        <w:tc>
          <w:tcPr>
            <w:tcW w:w="1276" w:type="dxa"/>
          </w:tcPr>
          <w:p>
            <w:pPr>
              <w:pStyle w:val="134"/>
              <w:ind w:firstLine="488"/>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4"/>
              <w:ind w:firstLine="488"/>
              <w:rPr>
                <w:rFonts w:ascii="Arial" w:hAnsi="Arial" w:eastAsia="宋体" w:cs="Arial"/>
                <w:color w:val="auto"/>
                <w:kern w:val="2"/>
                <w:highlight w:val="none"/>
              </w:rPr>
            </w:pPr>
          </w:p>
        </w:tc>
        <w:tc>
          <w:tcPr>
            <w:tcW w:w="1353"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tcPr>
          <w:p>
            <w:pPr>
              <w:pStyle w:val="134"/>
              <w:ind w:firstLine="488"/>
              <w:rPr>
                <w:rFonts w:ascii="Arial" w:hAnsi="Arial" w:eastAsia="宋体" w:cs="Arial"/>
                <w:color w:val="auto"/>
                <w:kern w:val="2"/>
                <w:highlight w:val="none"/>
              </w:rPr>
            </w:pPr>
          </w:p>
        </w:tc>
        <w:tc>
          <w:tcPr>
            <w:tcW w:w="1360" w:type="dxa"/>
            <w:vAlign w:val="center"/>
          </w:tcPr>
          <w:p>
            <w:pPr>
              <w:pStyle w:val="134"/>
              <w:ind w:firstLine="488"/>
              <w:rPr>
                <w:rFonts w:ascii="Arial" w:hAnsi="Arial" w:eastAsia="宋体" w:cs="Arial"/>
                <w:color w:val="auto"/>
                <w:kern w:val="2"/>
                <w:highlight w:val="none"/>
              </w:rPr>
            </w:pPr>
          </w:p>
        </w:tc>
        <w:tc>
          <w:tcPr>
            <w:tcW w:w="1276" w:type="dxa"/>
          </w:tcPr>
          <w:p>
            <w:pPr>
              <w:pStyle w:val="134"/>
              <w:ind w:firstLine="488"/>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4"/>
              <w:ind w:firstLine="488"/>
              <w:rPr>
                <w:rFonts w:ascii="Arial" w:hAnsi="Arial" w:eastAsia="宋体" w:cs="Arial"/>
                <w:color w:val="auto"/>
                <w:kern w:val="2"/>
                <w:highlight w:val="none"/>
              </w:rPr>
            </w:pPr>
          </w:p>
        </w:tc>
        <w:tc>
          <w:tcPr>
            <w:tcW w:w="1353"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tcPr>
          <w:p>
            <w:pPr>
              <w:pStyle w:val="134"/>
              <w:ind w:firstLine="488"/>
              <w:rPr>
                <w:rFonts w:ascii="Arial" w:hAnsi="Arial" w:eastAsia="宋体" w:cs="Arial"/>
                <w:color w:val="auto"/>
                <w:kern w:val="2"/>
                <w:highlight w:val="none"/>
              </w:rPr>
            </w:pPr>
          </w:p>
        </w:tc>
        <w:tc>
          <w:tcPr>
            <w:tcW w:w="1360" w:type="dxa"/>
            <w:vAlign w:val="center"/>
          </w:tcPr>
          <w:p>
            <w:pPr>
              <w:pStyle w:val="134"/>
              <w:ind w:firstLine="488"/>
              <w:rPr>
                <w:rFonts w:ascii="Arial" w:hAnsi="Arial" w:eastAsia="宋体" w:cs="Arial"/>
                <w:color w:val="auto"/>
                <w:kern w:val="2"/>
                <w:highlight w:val="none"/>
              </w:rPr>
            </w:pPr>
          </w:p>
        </w:tc>
        <w:tc>
          <w:tcPr>
            <w:tcW w:w="1276" w:type="dxa"/>
          </w:tcPr>
          <w:p>
            <w:pPr>
              <w:pStyle w:val="134"/>
              <w:ind w:firstLine="488"/>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4"/>
              <w:ind w:firstLine="488"/>
              <w:rPr>
                <w:rFonts w:ascii="Arial" w:hAnsi="Arial" w:eastAsia="宋体" w:cs="Arial"/>
                <w:color w:val="auto"/>
                <w:kern w:val="2"/>
                <w:highlight w:val="none"/>
              </w:rPr>
            </w:pPr>
          </w:p>
        </w:tc>
        <w:tc>
          <w:tcPr>
            <w:tcW w:w="1353"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tcPr>
          <w:p>
            <w:pPr>
              <w:pStyle w:val="134"/>
              <w:ind w:firstLine="488"/>
              <w:rPr>
                <w:rFonts w:ascii="Arial" w:hAnsi="Arial" w:eastAsia="宋体" w:cs="Arial"/>
                <w:color w:val="auto"/>
                <w:kern w:val="2"/>
                <w:highlight w:val="none"/>
              </w:rPr>
            </w:pPr>
          </w:p>
        </w:tc>
        <w:tc>
          <w:tcPr>
            <w:tcW w:w="1360" w:type="dxa"/>
            <w:vAlign w:val="center"/>
          </w:tcPr>
          <w:p>
            <w:pPr>
              <w:pStyle w:val="134"/>
              <w:ind w:firstLine="488"/>
              <w:rPr>
                <w:rFonts w:ascii="Arial" w:hAnsi="Arial" w:eastAsia="宋体" w:cs="Arial"/>
                <w:color w:val="auto"/>
                <w:kern w:val="2"/>
                <w:highlight w:val="none"/>
              </w:rPr>
            </w:pPr>
          </w:p>
        </w:tc>
        <w:tc>
          <w:tcPr>
            <w:tcW w:w="1276" w:type="dxa"/>
          </w:tcPr>
          <w:p>
            <w:pPr>
              <w:pStyle w:val="134"/>
              <w:ind w:firstLine="488"/>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4"/>
              <w:ind w:firstLine="488"/>
              <w:rPr>
                <w:rFonts w:ascii="Arial" w:hAnsi="Arial" w:eastAsia="宋体" w:cs="Arial"/>
                <w:color w:val="auto"/>
                <w:kern w:val="2"/>
                <w:highlight w:val="none"/>
              </w:rPr>
            </w:pPr>
          </w:p>
        </w:tc>
        <w:tc>
          <w:tcPr>
            <w:tcW w:w="1353"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tcPr>
          <w:p>
            <w:pPr>
              <w:pStyle w:val="134"/>
              <w:ind w:firstLine="488"/>
              <w:rPr>
                <w:rFonts w:ascii="Arial" w:hAnsi="Arial" w:eastAsia="宋体" w:cs="Arial"/>
                <w:color w:val="auto"/>
                <w:kern w:val="2"/>
                <w:highlight w:val="none"/>
              </w:rPr>
            </w:pPr>
          </w:p>
        </w:tc>
        <w:tc>
          <w:tcPr>
            <w:tcW w:w="1360" w:type="dxa"/>
            <w:vAlign w:val="center"/>
          </w:tcPr>
          <w:p>
            <w:pPr>
              <w:pStyle w:val="134"/>
              <w:ind w:firstLine="488"/>
              <w:rPr>
                <w:rFonts w:ascii="Arial" w:hAnsi="Arial" w:eastAsia="宋体" w:cs="Arial"/>
                <w:color w:val="auto"/>
                <w:kern w:val="2"/>
                <w:highlight w:val="none"/>
              </w:rPr>
            </w:pPr>
          </w:p>
        </w:tc>
        <w:tc>
          <w:tcPr>
            <w:tcW w:w="1276" w:type="dxa"/>
          </w:tcPr>
          <w:p>
            <w:pPr>
              <w:pStyle w:val="134"/>
              <w:ind w:firstLine="488"/>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4"/>
              <w:ind w:firstLine="488"/>
              <w:rPr>
                <w:rFonts w:ascii="Arial" w:hAnsi="Arial" w:eastAsia="宋体" w:cs="Arial"/>
                <w:color w:val="auto"/>
                <w:kern w:val="2"/>
                <w:highlight w:val="none"/>
              </w:rPr>
            </w:pPr>
          </w:p>
        </w:tc>
        <w:tc>
          <w:tcPr>
            <w:tcW w:w="1353"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tcPr>
          <w:p>
            <w:pPr>
              <w:pStyle w:val="134"/>
              <w:ind w:firstLine="488"/>
              <w:rPr>
                <w:rFonts w:ascii="Arial" w:hAnsi="Arial" w:eastAsia="宋体" w:cs="Arial"/>
                <w:color w:val="auto"/>
                <w:kern w:val="2"/>
                <w:highlight w:val="none"/>
              </w:rPr>
            </w:pPr>
          </w:p>
        </w:tc>
        <w:tc>
          <w:tcPr>
            <w:tcW w:w="1360" w:type="dxa"/>
            <w:vAlign w:val="center"/>
          </w:tcPr>
          <w:p>
            <w:pPr>
              <w:pStyle w:val="134"/>
              <w:ind w:firstLine="488"/>
              <w:rPr>
                <w:rFonts w:ascii="Arial" w:hAnsi="Arial" w:eastAsia="宋体" w:cs="Arial"/>
                <w:color w:val="auto"/>
                <w:kern w:val="2"/>
                <w:highlight w:val="none"/>
              </w:rPr>
            </w:pPr>
          </w:p>
        </w:tc>
        <w:tc>
          <w:tcPr>
            <w:tcW w:w="1276" w:type="dxa"/>
          </w:tcPr>
          <w:p>
            <w:pPr>
              <w:pStyle w:val="134"/>
              <w:ind w:firstLine="488"/>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4"/>
              <w:ind w:firstLine="488"/>
              <w:rPr>
                <w:rFonts w:ascii="Arial" w:hAnsi="Arial" w:eastAsia="宋体" w:cs="Arial"/>
                <w:color w:val="auto"/>
                <w:kern w:val="2"/>
                <w:highlight w:val="none"/>
              </w:rPr>
            </w:pPr>
          </w:p>
        </w:tc>
        <w:tc>
          <w:tcPr>
            <w:tcW w:w="1353"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tcPr>
          <w:p>
            <w:pPr>
              <w:pStyle w:val="134"/>
              <w:ind w:firstLine="488"/>
              <w:rPr>
                <w:rFonts w:ascii="Arial" w:hAnsi="Arial" w:eastAsia="宋体" w:cs="Arial"/>
                <w:color w:val="auto"/>
                <w:kern w:val="2"/>
                <w:highlight w:val="none"/>
              </w:rPr>
            </w:pPr>
          </w:p>
        </w:tc>
        <w:tc>
          <w:tcPr>
            <w:tcW w:w="1360" w:type="dxa"/>
            <w:vAlign w:val="center"/>
          </w:tcPr>
          <w:p>
            <w:pPr>
              <w:pStyle w:val="134"/>
              <w:ind w:firstLine="488"/>
              <w:rPr>
                <w:rFonts w:ascii="Arial" w:hAnsi="Arial" w:eastAsia="宋体" w:cs="Arial"/>
                <w:color w:val="auto"/>
                <w:kern w:val="2"/>
                <w:highlight w:val="none"/>
              </w:rPr>
            </w:pPr>
          </w:p>
        </w:tc>
        <w:tc>
          <w:tcPr>
            <w:tcW w:w="1276" w:type="dxa"/>
          </w:tcPr>
          <w:p>
            <w:pPr>
              <w:pStyle w:val="134"/>
              <w:ind w:firstLine="488"/>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4"/>
              <w:ind w:firstLine="488"/>
              <w:rPr>
                <w:rFonts w:ascii="Arial" w:hAnsi="Arial" w:eastAsia="宋体" w:cs="Arial"/>
                <w:color w:val="auto"/>
                <w:kern w:val="2"/>
                <w:highlight w:val="none"/>
              </w:rPr>
            </w:pPr>
          </w:p>
        </w:tc>
        <w:tc>
          <w:tcPr>
            <w:tcW w:w="1353"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tcPr>
          <w:p>
            <w:pPr>
              <w:pStyle w:val="134"/>
              <w:ind w:firstLine="488"/>
              <w:rPr>
                <w:rFonts w:ascii="Arial" w:hAnsi="Arial" w:eastAsia="宋体" w:cs="Arial"/>
                <w:color w:val="auto"/>
                <w:kern w:val="2"/>
                <w:highlight w:val="none"/>
              </w:rPr>
            </w:pPr>
          </w:p>
        </w:tc>
        <w:tc>
          <w:tcPr>
            <w:tcW w:w="1360" w:type="dxa"/>
            <w:vAlign w:val="center"/>
          </w:tcPr>
          <w:p>
            <w:pPr>
              <w:pStyle w:val="134"/>
              <w:ind w:firstLine="488"/>
              <w:rPr>
                <w:rFonts w:ascii="Arial" w:hAnsi="Arial" w:eastAsia="宋体" w:cs="Arial"/>
                <w:color w:val="auto"/>
                <w:kern w:val="2"/>
                <w:highlight w:val="none"/>
              </w:rPr>
            </w:pPr>
          </w:p>
        </w:tc>
        <w:tc>
          <w:tcPr>
            <w:tcW w:w="1276" w:type="dxa"/>
          </w:tcPr>
          <w:p>
            <w:pPr>
              <w:pStyle w:val="134"/>
              <w:ind w:firstLine="488"/>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4"/>
              <w:ind w:firstLine="488"/>
              <w:rPr>
                <w:rFonts w:ascii="Arial" w:hAnsi="Arial" w:eastAsia="宋体" w:cs="Arial"/>
                <w:color w:val="auto"/>
                <w:kern w:val="2"/>
                <w:highlight w:val="none"/>
              </w:rPr>
            </w:pPr>
          </w:p>
        </w:tc>
        <w:tc>
          <w:tcPr>
            <w:tcW w:w="1353"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tcPr>
          <w:p>
            <w:pPr>
              <w:pStyle w:val="134"/>
              <w:ind w:firstLine="488"/>
              <w:rPr>
                <w:rFonts w:ascii="Arial" w:hAnsi="Arial" w:eastAsia="宋体" w:cs="Arial"/>
                <w:color w:val="auto"/>
                <w:kern w:val="2"/>
                <w:highlight w:val="none"/>
              </w:rPr>
            </w:pPr>
          </w:p>
        </w:tc>
        <w:tc>
          <w:tcPr>
            <w:tcW w:w="1360" w:type="dxa"/>
            <w:vAlign w:val="center"/>
          </w:tcPr>
          <w:p>
            <w:pPr>
              <w:pStyle w:val="134"/>
              <w:ind w:firstLine="488"/>
              <w:rPr>
                <w:rFonts w:ascii="Arial" w:hAnsi="Arial" w:eastAsia="宋体" w:cs="Arial"/>
                <w:color w:val="auto"/>
                <w:kern w:val="2"/>
                <w:highlight w:val="none"/>
              </w:rPr>
            </w:pPr>
          </w:p>
        </w:tc>
        <w:tc>
          <w:tcPr>
            <w:tcW w:w="1276" w:type="dxa"/>
          </w:tcPr>
          <w:p>
            <w:pPr>
              <w:pStyle w:val="134"/>
              <w:ind w:firstLine="488"/>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4"/>
              <w:ind w:firstLine="488"/>
              <w:rPr>
                <w:rFonts w:ascii="Arial" w:hAnsi="Arial" w:eastAsia="宋体" w:cs="Arial"/>
                <w:color w:val="auto"/>
                <w:kern w:val="2"/>
                <w:highlight w:val="none"/>
              </w:rPr>
            </w:pPr>
          </w:p>
        </w:tc>
        <w:tc>
          <w:tcPr>
            <w:tcW w:w="1353"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vAlign w:val="center"/>
          </w:tcPr>
          <w:p>
            <w:pPr>
              <w:pStyle w:val="134"/>
              <w:ind w:firstLine="488"/>
              <w:rPr>
                <w:rFonts w:ascii="Arial" w:hAnsi="Arial" w:eastAsia="宋体" w:cs="Arial"/>
                <w:color w:val="auto"/>
                <w:kern w:val="2"/>
                <w:highlight w:val="none"/>
              </w:rPr>
            </w:pPr>
          </w:p>
        </w:tc>
        <w:tc>
          <w:tcPr>
            <w:tcW w:w="960" w:type="dxa"/>
          </w:tcPr>
          <w:p>
            <w:pPr>
              <w:pStyle w:val="134"/>
              <w:ind w:firstLine="488"/>
              <w:rPr>
                <w:rFonts w:ascii="Arial" w:hAnsi="Arial" w:eastAsia="宋体" w:cs="Arial"/>
                <w:color w:val="auto"/>
                <w:kern w:val="2"/>
                <w:highlight w:val="none"/>
              </w:rPr>
            </w:pPr>
          </w:p>
        </w:tc>
        <w:tc>
          <w:tcPr>
            <w:tcW w:w="1360" w:type="dxa"/>
            <w:vAlign w:val="center"/>
          </w:tcPr>
          <w:p>
            <w:pPr>
              <w:pStyle w:val="134"/>
              <w:ind w:firstLine="488"/>
              <w:rPr>
                <w:rFonts w:ascii="Arial" w:hAnsi="Arial" w:eastAsia="宋体" w:cs="Arial"/>
                <w:color w:val="auto"/>
                <w:kern w:val="2"/>
                <w:highlight w:val="none"/>
              </w:rPr>
            </w:pPr>
          </w:p>
        </w:tc>
        <w:tc>
          <w:tcPr>
            <w:tcW w:w="1276" w:type="dxa"/>
          </w:tcPr>
          <w:p>
            <w:pPr>
              <w:pStyle w:val="134"/>
              <w:ind w:firstLine="488"/>
              <w:rPr>
                <w:rFonts w:ascii="Arial" w:hAnsi="Arial" w:eastAsia="宋体" w:cs="Arial"/>
                <w:color w:val="auto"/>
                <w:kern w:val="2"/>
                <w:highlight w:val="none"/>
              </w:rPr>
            </w:pPr>
          </w:p>
        </w:tc>
      </w:tr>
    </w:tbl>
    <w:p>
      <w:pPr>
        <w:pStyle w:val="134"/>
        <w:spacing w:line="400" w:lineRule="exact"/>
        <w:ind w:firstLine="488"/>
        <w:rPr>
          <w:rFonts w:ascii="Arial" w:hAnsi="Arial" w:eastAsia="宋体" w:cs="Arial"/>
          <w:color w:val="auto"/>
          <w:highlight w:val="none"/>
        </w:rPr>
      </w:pPr>
    </w:p>
    <w:p>
      <w:pPr>
        <w:pStyle w:val="134"/>
        <w:ind w:firstLine="0" w:firstLineChars="0"/>
        <w:jc w:val="center"/>
        <w:rPr>
          <w:rFonts w:ascii="Arial" w:hAnsi="Arial" w:eastAsia="宋体" w:cs="Arial"/>
          <w:color w:val="auto"/>
          <w:highlight w:val="none"/>
        </w:rPr>
      </w:pPr>
      <w:r>
        <w:rPr>
          <w:rFonts w:hint="eastAsia" w:ascii="Arial" w:hAnsi="Arial" w:eastAsia="宋体" w:cs="Arial"/>
          <w:color w:val="auto"/>
          <w:highlight w:val="none"/>
        </w:rPr>
        <w:t xml:space="preserve">             投标人：　　（盖章）</w:t>
      </w:r>
    </w:p>
    <w:p>
      <w:pPr>
        <w:pStyle w:val="134"/>
        <w:ind w:firstLine="3720" w:firstLineChars="1500"/>
        <w:rPr>
          <w:rFonts w:ascii="Arial" w:hAnsi="Arial" w:eastAsia="宋体" w:cs="Arial"/>
          <w:color w:val="auto"/>
          <w:highlight w:val="none"/>
        </w:rPr>
      </w:pPr>
      <w:r>
        <w:rPr>
          <w:rFonts w:hint="eastAsia" w:ascii="Arial" w:hAnsi="Arial" w:eastAsia="宋体" w:cs="Arial"/>
          <w:color w:val="auto"/>
          <w:highlight w:val="none"/>
        </w:rPr>
        <w:t>法定代表人或授权代理人(签字或盖章)：</w:t>
      </w:r>
    </w:p>
    <w:p>
      <w:pPr>
        <w:pStyle w:val="134"/>
        <w:ind w:firstLine="3720" w:firstLineChars="1500"/>
        <w:rPr>
          <w:rFonts w:ascii="Arial" w:hAnsi="Arial" w:eastAsia="宋体" w:cs="Arial"/>
          <w:color w:val="auto"/>
          <w:sz w:val="18"/>
          <w:szCs w:val="18"/>
          <w:highlight w:val="none"/>
        </w:rPr>
      </w:pPr>
      <w:r>
        <w:rPr>
          <w:rFonts w:hint="eastAsia" w:ascii="Arial" w:hAnsi="Arial" w:eastAsia="宋体" w:cs="Arial"/>
          <w:color w:val="auto"/>
          <w:highlight w:val="none"/>
        </w:rPr>
        <w:t>日</w:t>
      </w:r>
      <w:r>
        <w:rPr>
          <w:rFonts w:ascii="Arial" w:hAnsi="Arial" w:eastAsia="宋体" w:cs="Arial"/>
          <w:color w:val="auto"/>
          <w:highlight w:val="none"/>
        </w:rPr>
        <w:t xml:space="preserve">   </w:t>
      </w:r>
      <w:r>
        <w:rPr>
          <w:rFonts w:hint="eastAsia" w:ascii="Arial" w:hAnsi="Arial" w:eastAsia="宋体" w:cs="Arial"/>
          <w:color w:val="auto"/>
          <w:highlight w:val="none"/>
        </w:rPr>
        <w:t>期：</w:t>
      </w:r>
      <w:r>
        <w:rPr>
          <w:rFonts w:ascii="Arial" w:hAnsi="Arial" w:eastAsia="宋体" w:cs="Arial"/>
          <w:color w:val="auto"/>
          <w:highlight w:val="none"/>
        </w:rPr>
        <w:t xml:space="preserve">    </w:t>
      </w:r>
      <w:r>
        <w:rPr>
          <w:rFonts w:hint="eastAsia" w:ascii="Arial" w:hAnsi="Arial" w:eastAsia="宋体" w:cs="Arial"/>
          <w:color w:val="auto"/>
          <w:highlight w:val="none"/>
        </w:rPr>
        <w:t>年</w:t>
      </w:r>
      <w:r>
        <w:rPr>
          <w:rFonts w:ascii="Arial" w:hAnsi="Arial" w:eastAsia="宋体" w:cs="Arial"/>
          <w:color w:val="auto"/>
          <w:highlight w:val="none"/>
        </w:rPr>
        <w:t xml:space="preserve">    </w:t>
      </w:r>
      <w:r>
        <w:rPr>
          <w:rFonts w:hint="eastAsia" w:ascii="Arial" w:hAnsi="Arial" w:eastAsia="宋体" w:cs="Arial"/>
          <w:color w:val="auto"/>
          <w:highlight w:val="none"/>
        </w:rPr>
        <w:t>月</w:t>
      </w:r>
      <w:r>
        <w:rPr>
          <w:rFonts w:ascii="Arial" w:hAnsi="Arial" w:eastAsia="宋体" w:cs="Arial"/>
          <w:color w:val="auto"/>
          <w:highlight w:val="none"/>
        </w:rPr>
        <w:t xml:space="preserve">    </w:t>
      </w:r>
      <w:r>
        <w:rPr>
          <w:rFonts w:hint="eastAsia" w:ascii="Arial" w:hAnsi="Arial" w:eastAsia="宋体" w:cs="Arial"/>
          <w:color w:val="auto"/>
          <w:highlight w:val="none"/>
        </w:rPr>
        <w:t>日</w:t>
      </w:r>
    </w:p>
    <w:p>
      <w:pPr>
        <w:pStyle w:val="134"/>
        <w:ind w:firstLine="3596" w:firstLineChars="1450"/>
        <w:rPr>
          <w:rFonts w:ascii="Arial" w:hAnsi="Arial" w:eastAsia="宋体" w:cs="Arial"/>
          <w:color w:val="auto"/>
          <w:highlight w:val="none"/>
        </w:rPr>
      </w:pPr>
    </w:p>
    <w:p>
      <w:pPr>
        <w:pStyle w:val="135"/>
        <w:spacing w:beforeLines="0"/>
        <w:outlineLvl w:val="9"/>
        <w:rPr>
          <w:rFonts w:ascii="Arial" w:hAnsi="Arial" w:eastAsia="宋体" w:cs="Arial"/>
          <w:color w:val="auto"/>
          <w:highlight w:val="none"/>
        </w:rPr>
      </w:pPr>
      <w:bookmarkStart w:id="47" w:name="_Toc163337626"/>
      <w:bookmarkStart w:id="48" w:name="_Toc318924501"/>
      <w:bookmarkStart w:id="49" w:name="_Toc239216037"/>
      <w:bookmarkStart w:id="50" w:name="_Toc337720097"/>
      <w:bookmarkStart w:id="51" w:name="_Toc352240529"/>
      <w:bookmarkStart w:id="52" w:name="_Toc369536776"/>
      <w:bookmarkStart w:id="53" w:name="_Toc239311752"/>
      <w:bookmarkStart w:id="54" w:name="_Toc358370584"/>
      <w:bookmarkStart w:id="55" w:name="_Toc395261105"/>
      <w:bookmarkStart w:id="56" w:name="_Toc226209009"/>
      <w:bookmarkStart w:id="57" w:name="_Toc449308426"/>
      <w:bookmarkStart w:id="58" w:name="_Toc352623427"/>
    </w:p>
    <w:p>
      <w:pPr>
        <w:pStyle w:val="135"/>
        <w:spacing w:beforeLines="0"/>
        <w:outlineLvl w:val="9"/>
        <w:rPr>
          <w:rFonts w:ascii="Arial" w:hAnsi="Arial" w:eastAsia="宋体" w:cs="Arial"/>
          <w:b w:val="0"/>
          <w:color w:val="auto"/>
          <w:highlight w:val="none"/>
        </w:rPr>
      </w:pPr>
      <w:bookmarkStart w:id="59" w:name="_Toc464131230"/>
      <w:bookmarkStart w:id="60" w:name="_Toc11987"/>
      <w:bookmarkStart w:id="61" w:name="_Toc515454599"/>
      <w:bookmarkStart w:id="62" w:name="_Toc23443"/>
    </w:p>
    <w:p>
      <w:pPr>
        <w:rPr>
          <w:rFonts w:ascii="Arial" w:hAnsi="Arial" w:cs="Arial"/>
          <w:color w:val="auto"/>
          <w:sz w:val="24"/>
          <w:szCs w:val="24"/>
          <w:highlight w:val="none"/>
        </w:rPr>
      </w:pPr>
      <w:r>
        <w:rPr>
          <w:rFonts w:ascii="Arial" w:hAnsi="Arial" w:cs="Arial"/>
          <w:color w:val="auto"/>
          <w:sz w:val="24"/>
          <w:szCs w:val="24"/>
          <w:highlight w:val="none"/>
        </w:rPr>
        <w:br w:type="page"/>
      </w:r>
    </w:p>
    <w:p>
      <w:pPr>
        <w:pStyle w:val="136"/>
        <w:spacing w:beforeLines="0" w:after="120"/>
        <w:jc w:val="left"/>
        <w:rPr>
          <w:rFonts w:ascii="Arial" w:hAnsi="Arial" w:eastAsia="宋体" w:cs="Arial"/>
          <w:b w:val="0"/>
          <w:color w:val="auto"/>
          <w:spacing w:val="0"/>
          <w:kern w:val="2"/>
          <w:highlight w:val="none"/>
        </w:rPr>
      </w:pPr>
      <w:bookmarkStart w:id="63" w:name="_Toc101266302"/>
      <w:r>
        <w:rPr>
          <w:rFonts w:hint="eastAsia" w:ascii="Arial" w:hAnsi="Arial" w:eastAsia="宋体" w:cs="Arial"/>
          <w:b w:val="0"/>
          <w:color w:val="auto"/>
          <w:spacing w:val="0"/>
          <w:kern w:val="2"/>
          <w:sz w:val="24"/>
          <w:szCs w:val="24"/>
          <w:highlight w:val="none"/>
        </w:rPr>
        <w:t>附件六：主要人员简历表</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137"/>
        <w:rPr>
          <w:rFonts w:ascii="Arial" w:hAnsi="Arial" w:eastAsia="宋体" w:cs="Arial"/>
          <w:b w:val="0"/>
          <w:color w:val="auto"/>
          <w:highlight w:val="none"/>
        </w:rPr>
      </w:pPr>
      <w:r>
        <w:rPr>
          <w:rFonts w:hint="eastAsia" w:ascii="Arial" w:hAnsi="Arial" w:eastAsia="宋体" w:cs="Arial"/>
          <w:b w:val="0"/>
          <w:color w:val="auto"/>
          <w:highlight w:val="none"/>
        </w:rPr>
        <w:t>主要人员简历表</w:t>
      </w:r>
    </w:p>
    <w:p>
      <w:pPr>
        <w:pStyle w:val="134"/>
        <w:ind w:firstLine="0" w:firstLineChars="0"/>
        <w:rPr>
          <w:rFonts w:ascii="Arial" w:hAnsi="Arial" w:eastAsia="宋体" w:cs="Arial"/>
          <w:color w:val="auto"/>
          <w:highlight w:val="none"/>
        </w:rPr>
      </w:pPr>
    </w:p>
    <w:tbl>
      <w:tblPr>
        <w:tblStyle w:val="54"/>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4"/>
              <w:keepNext/>
              <w:keepLines/>
              <w:spacing w:before="120" w:after="120"/>
              <w:ind w:firstLine="0" w:firstLineChars="0"/>
              <w:jc w:val="center"/>
              <w:outlineLvl w:val="0"/>
              <w:rPr>
                <w:rFonts w:ascii="Arial" w:hAnsi="Arial" w:eastAsia="宋体" w:cs="Arial"/>
                <w:b/>
                <w:color w:val="auto"/>
                <w:kern w:val="2"/>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性别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134"/>
              <w:keepNext/>
              <w:keepLines/>
              <w:spacing w:before="120" w:after="120"/>
              <w:ind w:firstLine="0" w:firstLineChars="0"/>
              <w:jc w:val="center"/>
              <w:outlineLvl w:val="0"/>
              <w:rPr>
                <w:rFonts w:ascii="Arial" w:hAnsi="Arial" w:eastAsia="宋体" w:cs="Arial"/>
                <w:b/>
                <w:color w:val="auto"/>
                <w:kern w:val="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年龄</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34"/>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bCs/>
                <w:color w:val="auto"/>
                <w:highlight w:val="none"/>
              </w:rPr>
              <w:t>身份证号码</w:t>
            </w:r>
          </w:p>
        </w:tc>
        <w:tc>
          <w:tcPr>
            <w:tcW w:w="7999" w:type="dxa"/>
            <w:gridSpan w:val="10"/>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职务</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4"/>
              <w:keepNext/>
              <w:keepLines/>
              <w:spacing w:before="120" w:after="120"/>
              <w:ind w:firstLine="0" w:firstLineChars="0"/>
              <w:jc w:val="center"/>
              <w:outlineLvl w:val="0"/>
              <w:rPr>
                <w:rFonts w:ascii="Arial" w:hAnsi="Arial" w:eastAsia="宋体" w:cs="Arial"/>
                <w:b/>
                <w:color w:val="auto"/>
                <w:kern w:val="2"/>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职称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134"/>
              <w:keepNext/>
              <w:keepLines/>
              <w:spacing w:before="120" w:after="120"/>
              <w:ind w:firstLine="0" w:firstLineChars="0"/>
              <w:jc w:val="center"/>
              <w:outlineLvl w:val="0"/>
              <w:rPr>
                <w:rFonts w:ascii="Arial" w:hAnsi="Arial" w:eastAsia="宋体" w:cs="Arial"/>
                <w:b/>
                <w:color w:val="auto"/>
                <w:kern w:val="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学历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34"/>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参加工作</w:t>
            </w:r>
          </w:p>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时间</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4"/>
              <w:keepNext/>
              <w:keepLines/>
              <w:spacing w:before="120" w:after="120"/>
              <w:ind w:firstLine="0" w:firstLineChars="0"/>
              <w:jc w:val="center"/>
              <w:outlineLvl w:val="0"/>
              <w:rPr>
                <w:rFonts w:ascii="Arial" w:hAnsi="Arial" w:eastAsia="宋体" w:cs="Arial"/>
                <w:b/>
                <w:color w:val="auto"/>
                <w:kern w:val="2"/>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b/>
                <w:color w:val="auto"/>
                <w:kern w:val="2"/>
                <w:highlight w:val="none"/>
              </w:rPr>
            </w:pPr>
            <w:r>
              <w:rPr>
                <w:rFonts w:hint="eastAsia" w:ascii="Arial" w:hAnsi="Arial" w:eastAsia="宋体" w:cs="Arial"/>
                <w:b/>
                <w:color w:val="auto"/>
                <w:kern w:val="2"/>
                <w:highlight w:val="none"/>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vAlign w:val="center"/>
          </w:tcPr>
          <w:p>
            <w:pPr>
              <w:pStyle w:val="134"/>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资格证书号</w:t>
            </w:r>
          </w:p>
        </w:tc>
        <w:tc>
          <w:tcPr>
            <w:tcW w:w="7999" w:type="dxa"/>
            <w:gridSpan w:val="10"/>
            <w:tcBorders>
              <w:top w:val="single" w:color="auto" w:sz="4" w:space="0"/>
              <w:left w:val="single" w:color="auto" w:sz="4" w:space="0"/>
              <w:bottom w:val="single" w:color="auto" w:sz="4" w:space="0"/>
              <w:right w:val="single" w:color="auto" w:sz="4" w:space="0"/>
            </w:tcBorders>
            <w:vAlign w:val="center"/>
          </w:tcPr>
          <w:p>
            <w:pPr>
              <w:pStyle w:val="134"/>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b/>
                <w:color w:val="auto"/>
                <w:kern w:val="2"/>
                <w:highlight w:val="none"/>
              </w:rPr>
            </w:pPr>
            <w:r>
              <w:rPr>
                <w:rFonts w:hint="eastAsia" w:ascii="Arial" w:hAnsi="Arial" w:eastAsia="宋体" w:cs="Arial"/>
                <w:b/>
                <w:color w:val="auto"/>
                <w:kern w:val="2"/>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建设单位</w:t>
            </w:r>
          </w:p>
        </w:tc>
        <w:tc>
          <w:tcPr>
            <w:tcW w:w="1547" w:type="dxa"/>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项目名称</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建设规模</w:t>
            </w: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开、竣工日期</w:t>
            </w: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在建或已完</w:t>
            </w:r>
          </w:p>
        </w:tc>
        <w:tc>
          <w:tcPr>
            <w:tcW w:w="1551" w:type="dxa"/>
            <w:tcBorders>
              <w:top w:val="single" w:color="auto" w:sz="4" w:space="0"/>
              <w:left w:val="single" w:color="auto" w:sz="4" w:space="0"/>
              <w:bottom w:val="single" w:color="auto" w:sz="4" w:space="0"/>
              <w:right w:val="single" w:color="auto" w:sz="4" w:space="0"/>
            </w:tcBorders>
            <w:vAlign w:val="center"/>
          </w:tcPr>
          <w:p>
            <w:pPr>
              <w:pStyle w:val="138"/>
              <w:jc w:val="center"/>
              <w:rPr>
                <w:rFonts w:ascii="Arial" w:hAnsi="Arial" w:cs="Arial"/>
                <w:b/>
                <w:color w:val="auto"/>
                <w:sz w:val="24"/>
                <w:szCs w:val="24"/>
                <w:highlight w:val="none"/>
              </w:rPr>
            </w:pPr>
            <w:r>
              <w:rPr>
                <w:rFonts w:hint="eastAsia" w:ascii="Arial" w:hAnsi="Arial" w:cs="Arial"/>
                <w:b/>
                <w:color w:val="auto"/>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b/>
                <w:color w:val="auto"/>
                <w:kern w:val="2"/>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b/>
                <w:color w:val="auto"/>
                <w:kern w:val="2"/>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b/>
                <w:color w:val="auto"/>
                <w:kern w:val="2"/>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b/>
                <w:color w:val="auto"/>
                <w:kern w:val="2"/>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b/>
                <w:color w:val="auto"/>
                <w:kern w:val="2"/>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4"/>
              <w:ind w:firstLine="0" w:firstLineChars="0"/>
              <w:jc w:val="center"/>
              <w:rPr>
                <w:rFonts w:ascii="Arial" w:hAnsi="Arial" w:eastAsia="宋体" w:cs="Arial"/>
                <w:color w:val="auto"/>
                <w:kern w:val="2"/>
                <w:highlight w:val="none"/>
              </w:rPr>
            </w:pPr>
          </w:p>
        </w:tc>
      </w:tr>
    </w:tbl>
    <w:p>
      <w:pPr>
        <w:pStyle w:val="134"/>
        <w:ind w:firstLine="488"/>
        <w:rPr>
          <w:rFonts w:ascii="Arial" w:hAnsi="Arial" w:eastAsia="宋体" w:cs="Arial"/>
          <w:color w:val="auto"/>
          <w:highlight w:val="none"/>
        </w:rPr>
      </w:pPr>
    </w:p>
    <w:p>
      <w:pPr>
        <w:pStyle w:val="134"/>
        <w:ind w:firstLine="488"/>
        <w:rPr>
          <w:rFonts w:ascii="Arial" w:hAnsi="Arial" w:eastAsia="宋体" w:cs="Arial"/>
          <w:color w:val="auto"/>
          <w:highlight w:val="none"/>
        </w:rPr>
      </w:pPr>
    </w:p>
    <w:p>
      <w:pPr>
        <w:pStyle w:val="134"/>
        <w:ind w:firstLine="3161" w:firstLineChars="1450"/>
        <w:rPr>
          <w:rFonts w:ascii="Arial" w:hAnsi="Arial" w:eastAsia="宋体" w:cs="Arial"/>
          <w:color w:val="auto"/>
          <w:sz w:val="21"/>
          <w:szCs w:val="21"/>
          <w:highlight w:val="none"/>
        </w:rPr>
      </w:pPr>
      <w:r>
        <w:rPr>
          <w:rFonts w:hint="eastAsia" w:ascii="Arial" w:hAnsi="Arial" w:eastAsia="宋体" w:cs="Arial"/>
          <w:color w:val="auto"/>
          <w:sz w:val="21"/>
          <w:szCs w:val="21"/>
          <w:highlight w:val="none"/>
        </w:rPr>
        <w:t>投标人：　　（盖章）</w:t>
      </w:r>
    </w:p>
    <w:p>
      <w:pPr>
        <w:pStyle w:val="134"/>
        <w:ind w:firstLine="3161" w:firstLineChars="1450"/>
        <w:rPr>
          <w:rFonts w:ascii="Arial" w:hAnsi="Arial" w:eastAsia="宋体" w:cs="Arial"/>
          <w:color w:val="auto"/>
          <w:sz w:val="21"/>
          <w:szCs w:val="21"/>
          <w:highlight w:val="none"/>
        </w:rPr>
      </w:pPr>
      <w:r>
        <w:rPr>
          <w:rFonts w:hint="eastAsia" w:ascii="Arial" w:hAnsi="Arial" w:eastAsia="宋体" w:cs="Arial"/>
          <w:color w:val="auto"/>
          <w:sz w:val="21"/>
          <w:szCs w:val="21"/>
          <w:highlight w:val="none"/>
        </w:rPr>
        <w:t>法定代表人或授权代理人(签字或盖章)：</w:t>
      </w:r>
    </w:p>
    <w:p>
      <w:pPr>
        <w:tabs>
          <w:tab w:val="left" w:pos="720"/>
        </w:tabs>
        <w:snapToGrid w:val="0"/>
        <w:spacing w:line="360" w:lineRule="auto"/>
        <w:jc w:val="right"/>
        <w:rPr>
          <w:rFonts w:ascii="Arial" w:hAnsi="Arial" w:cs="Arial"/>
          <w:color w:val="auto"/>
          <w:szCs w:val="21"/>
          <w:highlight w:val="none"/>
        </w:rPr>
      </w:pPr>
      <w:r>
        <w:rPr>
          <w:rFonts w:hint="eastAsia" w:ascii="Arial" w:hAnsi="Arial" w:cs="Arial"/>
          <w:color w:val="auto"/>
          <w:szCs w:val="21"/>
          <w:highlight w:val="none"/>
        </w:rPr>
        <w:t>日期：年月日</w:t>
      </w:r>
    </w:p>
    <w:p>
      <w:pPr>
        <w:rPr>
          <w:rFonts w:ascii="Arial" w:hAnsi="Arial" w:cs="Arial"/>
          <w:color w:val="auto"/>
          <w:highlight w:val="none"/>
        </w:rPr>
      </w:pPr>
    </w:p>
    <w:p>
      <w:pPr>
        <w:pStyle w:val="136"/>
        <w:spacing w:beforeLines="0" w:after="120"/>
        <w:jc w:val="left"/>
        <w:rPr>
          <w:rFonts w:ascii="Arial" w:hAnsi="Arial" w:eastAsia="宋体" w:cs="Arial"/>
          <w:b w:val="0"/>
          <w:color w:val="auto"/>
          <w:spacing w:val="0"/>
          <w:kern w:val="2"/>
          <w:sz w:val="24"/>
          <w:szCs w:val="24"/>
          <w:highlight w:val="none"/>
        </w:rPr>
      </w:pPr>
      <w:bookmarkStart w:id="64" w:name="_Toc101266303"/>
      <w:r>
        <w:rPr>
          <w:rFonts w:hint="eastAsia" w:ascii="Arial" w:hAnsi="Arial" w:eastAsia="宋体" w:cs="Arial"/>
          <w:b w:val="0"/>
          <w:color w:val="auto"/>
          <w:spacing w:val="0"/>
          <w:kern w:val="2"/>
          <w:sz w:val="24"/>
          <w:szCs w:val="24"/>
          <w:highlight w:val="none"/>
        </w:rPr>
        <w:t>附件七：主要设备、材料拟选用品牌表</w:t>
      </w:r>
      <w:bookmarkEnd w:id="64"/>
    </w:p>
    <w:tbl>
      <w:tblPr>
        <w:tblStyle w:val="54"/>
        <w:tblW w:w="51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6"/>
        <w:gridCol w:w="1944"/>
        <w:gridCol w:w="3204"/>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5000" w:type="pct"/>
            <w:gridSpan w:val="4"/>
            <w:noWrap/>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主要设备、材料品牌推荐表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5000" w:type="pct"/>
            <w:gridSpan w:val="4"/>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建筑装修工程部分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339" w:type="pct"/>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序号</w:t>
            </w: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设备材料名称</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推荐品牌（或相当于）</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ascii="宋体" w:hAnsi="宋体" w:cs="宋体"/>
                <w:color w:val="auto"/>
                <w:kern w:val="0"/>
                <w:sz w:val="24"/>
                <w:szCs w:val="24"/>
                <w:highlight w:val="none"/>
                <w:lang w:bidi="ar"/>
              </w:rPr>
              <w:t xml:space="preserve"> 乳胶漆</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09"/>
                <w:rFonts w:hint="default" w:ascii="宋体" w:hAnsi="宋体" w:eastAsia="宋体" w:cs="宋体"/>
                <w:color w:val="auto"/>
                <w:sz w:val="24"/>
                <w:szCs w:val="24"/>
                <w:highlight w:val="none"/>
                <w:lang w:bidi="ar"/>
              </w:rPr>
              <w:t>立邦</w:t>
            </w:r>
            <w:r>
              <w:rPr>
                <w:rStyle w:val="610"/>
                <w:rFonts w:hint="default"/>
                <w:color w:val="auto"/>
                <w:sz w:val="24"/>
                <w:szCs w:val="24"/>
                <w:highlight w:val="none"/>
                <w:lang w:bidi="ar"/>
              </w:rPr>
              <w:t>、多乐士、杜邦</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水泥基渗透结晶防水涂料</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阁美仕、广州大禹、德高、东方雨虹</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镀锌型钢、钢材，钢通</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09"/>
                <w:rFonts w:hint="default" w:ascii="宋体" w:hAnsi="宋体" w:eastAsia="宋体" w:cs="宋体"/>
                <w:color w:val="auto"/>
                <w:sz w:val="24"/>
                <w:szCs w:val="24"/>
                <w:highlight w:val="none"/>
                <w:lang w:bidi="ar"/>
              </w:rPr>
              <w:t>攀钢</w:t>
            </w:r>
            <w:r>
              <w:rPr>
                <w:rStyle w:val="610"/>
                <w:rFonts w:hint="default"/>
                <w:color w:val="auto"/>
                <w:sz w:val="24"/>
                <w:szCs w:val="24"/>
                <w:highlight w:val="none"/>
                <w:lang w:bidi="ar"/>
              </w:rPr>
              <w:t>、广钢、韶钢、鞍钢</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蒸压加气混凝土砌块</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广州佑佳、广州发展、广州建邦</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同质透芯橡胶卷材</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1"/>
                <w:rFonts w:hint="default" w:ascii="宋体" w:hAnsi="宋体" w:eastAsia="宋体" w:cs="宋体"/>
                <w:color w:val="auto"/>
                <w:sz w:val="24"/>
                <w:szCs w:val="24"/>
                <w:highlight w:val="none"/>
                <w:lang w:bidi="ar"/>
              </w:rPr>
              <w:t>德国诺拉、</w:t>
            </w:r>
            <w:r>
              <w:rPr>
                <w:rStyle w:val="612"/>
                <w:rFonts w:hint="default" w:ascii="宋体" w:hAnsi="宋体" w:eastAsia="宋体" w:cs="宋体"/>
                <w:color w:val="auto"/>
                <w:sz w:val="24"/>
                <w:szCs w:val="24"/>
                <w:highlight w:val="none"/>
                <w:lang w:bidi="ar"/>
              </w:rPr>
              <w:t>意大利蒙多、</w:t>
            </w:r>
            <w:r>
              <w:rPr>
                <w:rStyle w:val="611"/>
                <w:rFonts w:hint="default" w:ascii="宋体" w:hAnsi="宋体" w:eastAsia="宋体" w:cs="宋体"/>
                <w:color w:val="auto"/>
                <w:sz w:val="24"/>
                <w:szCs w:val="24"/>
                <w:highlight w:val="none"/>
                <w:lang w:bidi="ar"/>
              </w:rPr>
              <w:t>法国洁福、阿姆斯壮</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仿石地砖</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、防滑地砖、抛光砖、墙砖、玻化地砖</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2"/>
                <w:rFonts w:hint="default" w:ascii="宋体" w:hAnsi="宋体" w:eastAsia="宋体" w:cs="宋体"/>
                <w:color w:val="auto"/>
                <w:sz w:val="24"/>
                <w:szCs w:val="24"/>
                <w:highlight w:val="none"/>
                <w:lang w:bidi="ar"/>
              </w:rPr>
              <w:t>欧亚陶瓷、卡米亚、宏陶、</w:t>
            </w:r>
            <w:r>
              <w:rPr>
                <w:rStyle w:val="611"/>
                <w:rFonts w:hint="default" w:ascii="宋体" w:hAnsi="宋体" w:eastAsia="宋体" w:cs="宋体"/>
                <w:color w:val="auto"/>
                <w:sz w:val="24"/>
                <w:szCs w:val="24"/>
                <w:highlight w:val="none"/>
                <w:lang w:bidi="ar"/>
              </w:rPr>
              <w:t>鹰牌陶瓷、</w:t>
            </w:r>
            <w:r>
              <w:rPr>
                <w:rFonts w:hint="eastAsia" w:ascii="宋体" w:hAnsi="宋体" w:cs="宋体"/>
                <w:color w:val="auto"/>
                <w:sz w:val="24"/>
                <w:szCs w:val="24"/>
                <w:highlight w:val="none"/>
              </w:rPr>
              <w:t>东鹏陶瓷、诺贝尔</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瓷砖背涂胶</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2"/>
                <w:rFonts w:hint="default" w:ascii="宋体" w:hAnsi="宋体" w:eastAsia="宋体" w:cs="宋体"/>
                <w:color w:val="auto"/>
                <w:sz w:val="24"/>
                <w:szCs w:val="24"/>
                <w:highlight w:val="none"/>
                <w:lang w:bidi="ar"/>
              </w:rPr>
              <w:t>楼邦、</w:t>
            </w:r>
            <w:r>
              <w:rPr>
                <w:rStyle w:val="611"/>
                <w:rFonts w:hint="default" w:ascii="宋体" w:hAnsi="宋体" w:eastAsia="宋体" w:cs="宋体"/>
                <w:color w:val="auto"/>
                <w:sz w:val="24"/>
                <w:szCs w:val="24"/>
                <w:highlight w:val="none"/>
                <w:lang w:bidi="ar"/>
              </w:rPr>
              <w:t>阁美仕、德高、固豹</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银镜、玻璃</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2"/>
                <w:rFonts w:hint="default" w:ascii="宋体" w:hAnsi="宋体" w:eastAsia="宋体" w:cs="宋体"/>
                <w:color w:val="auto"/>
                <w:sz w:val="24"/>
                <w:szCs w:val="24"/>
                <w:highlight w:val="none"/>
                <w:lang w:bidi="ar"/>
              </w:rPr>
              <w:t>信义、</w:t>
            </w:r>
            <w:r>
              <w:rPr>
                <w:rStyle w:val="611"/>
                <w:rFonts w:hint="default" w:ascii="宋体" w:hAnsi="宋体" w:eastAsia="宋体" w:cs="宋体"/>
                <w:color w:val="auto"/>
                <w:sz w:val="24"/>
                <w:szCs w:val="24"/>
                <w:highlight w:val="none"/>
                <w:lang w:bidi="ar"/>
              </w:rPr>
              <w:t>南玻、</w:t>
            </w:r>
            <w:r>
              <w:rPr>
                <w:rStyle w:val="610"/>
                <w:rFonts w:hint="default"/>
                <w:color w:val="auto"/>
                <w:sz w:val="24"/>
                <w:szCs w:val="24"/>
                <w:highlight w:val="none"/>
                <w:lang w:bidi="ar"/>
              </w:rPr>
              <w:t>福耀玻璃</w:t>
            </w:r>
            <w:r>
              <w:rPr>
                <w:rFonts w:hint="eastAsia" w:ascii="宋体" w:hAnsi="宋体" w:cs="宋体"/>
                <w:color w:val="auto"/>
                <w:sz w:val="24"/>
                <w:szCs w:val="24"/>
                <w:highlight w:val="none"/>
              </w:rPr>
              <w:t>、上海耀皮</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抗倍特板（卫生间</w:t>
            </w:r>
            <w:r>
              <w:rPr>
                <w:rFonts w:ascii="宋体" w:hAnsi="宋体" w:cs="宋体"/>
                <w:color w:val="auto"/>
                <w:kern w:val="0"/>
                <w:sz w:val="24"/>
                <w:szCs w:val="24"/>
                <w:highlight w:val="none"/>
                <w:lang w:bidi="ar"/>
              </w:rPr>
              <w:t>/更衣室间隔）</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1"/>
                <w:rFonts w:hint="default" w:ascii="宋体" w:hAnsi="宋体" w:eastAsia="宋体" w:cs="宋体"/>
                <w:color w:val="auto"/>
                <w:sz w:val="24"/>
                <w:szCs w:val="24"/>
                <w:highlight w:val="none"/>
                <w:lang w:bidi="ar"/>
              </w:rPr>
              <w:t>上海富家美</w:t>
            </w:r>
            <w:r>
              <w:rPr>
                <w:rStyle w:val="612"/>
                <w:rFonts w:hint="default" w:ascii="宋体" w:hAnsi="宋体" w:eastAsia="宋体" w:cs="宋体"/>
                <w:color w:val="auto"/>
                <w:sz w:val="24"/>
                <w:szCs w:val="24"/>
                <w:highlight w:val="none"/>
                <w:lang w:bidi="ar"/>
              </w:rPr>
              <w:t>、富迪、</w:t>
            </w:r>
            <w:r>
              <w:rPr>
                <w:rFonts w:hint="eastAsia" w:ascii="宋体" w:hAnsi="宋体" w:cs="宋体"/>
                <w:color w:val="auto"/>
                <w:sz w:val="24"/>
                <w:szCs w:val="24"/>
                <w:highlight w:val="none"/>
              </w:rPr>
              <w:t>佳丽福、</w:t>
            </w:r>
            <w:r>
              <w:rPr>
                <w:rStyle w:val="609"/>
                <w:rFonts w:hint="default" w:ascii="宋体" w:hAnsi="宋体" w:eastAsia="宋体" w:cs="宋体"/>
                <w:color w:val="auto"/>
                <w:sz w:val="24"/>
                <w:szCs w:val="24"/>
                <w:highlight w:val="none"/>
                <w:lang w:bidi="ar"/>
              </w:rPr>
              <w:t>天润、普丽品牌</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难燃胶合板</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2"/>
                <w:rFonts w:hint="default" w:ascii="宋体" w:hAnsi="宋体" w:eastAsia="宋体" w:cs="宋体"/>
                <w:color w:val="auto"/>
                <w:sz w:val="24"/>
                <w:szCs w:val="24"/>
                <w:highlight w:val="none"/>
                <w:lang w:bidi="ar"/>
              </w:rPr>
              <w:t>广东豪鹏、</w:t>
            </w:r>
            <w:r>
              <w:rPr>
                <w:rStyle w:val="611"/>
                <w:rFonts w:hint="default" w:ascii="宋体" w:hAnsi="宋体" w:eastAsia="宋体" w:cs="宋体"/>
                <w:color w:val="auto"/>
                <w:sz w:val="24"/>
                <w:szCs w:val="24"/>
                <w:highlight w:val="none"/>
                <w:lang w:bidi="ar"/>
              </w:rPr>
              <w:t>广东丰之林</w:t>
            </w:r>
            <w:r>
              <w:rPr>
                <w:rStyle w:val="610"/>
                <w:rFonts w:hint="default"/>
                <w:color w:val="auto"/>
                <w:sz w:val="24"/>
                <w:szCs w:val="24"/>
                <w:highlight w:val="none"/>
                <w:lang w:bidi="ar"/>
              </w:rPr>
              <w:t>、广州创安、</w:t>
            </w:r>
            <w:r>
              <w:rPr>
                <w:rFonts w:hint="eastAsia" w:ascii="宋体" w:hAnsi="宋体" w:cs="宋体"/>
                <w:color w:val="auto"/>
                <w:sz w:val="24"/>
                <w:szCs w:val="24"/>
                <w:highlight w:val="none"/>
              </w:rPr>
              <w:t>广州银信</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防静电地板</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2"/>
                <w:rFonts w:hint="default" w:ascii="宋体" w:hAnsi="宋体" w:eastAsia="宋体" w:cs="宋体"/>
                <w:color w:val="auto"/>
                <w:sz w:val="24"/>
                <w:szCs w:val="24"/>
                <w:highlight w:val="none"/>
                <w:lang w:bidi="ar"/>
              </w:rPr>
              <w:t>汇丽、</w:t>
            </w:r>
            <w:r>
              <w:rPr>
                <w:rStyle w:val="611"/>
                <w:rFonts w:hint="default" w:ascii="宋体" w:hAnsi="宋体" w:eastAsia="宋体" w:cs="宋体"/>
                <w:color w:val="auto"/>
                <w:sz w:val="24"/>
                <w:szCs w:val="24"/>
                <w:highlight w:val="none"/>
                <w:lang w:bidi="ar"/>
              </w:rPr>
              <w:t>向利、惠华、MERO美露</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3"/>
                <w:rFonts w:hint="default"/>
                <w:color w:val="auto"/>
                <w:sz w:val="24"/>
                <w:szCs w:val="24"/>
                <w:highlight w:val="none"/>
                <w:lang w:bidi="ar"/>
              </w:rPr>
              <w:t>墙砖</w:t>
            </w:r>
            <w:r>
              <w:rPr>
                <w:rStyle w:val="614"/>
                <w:rFonts w:ascii="宋体" w:hAnsi="宋体" w:cs="宋体"/>
                <w:color w:val="auto"/>
                <w:sz w:val="24"/>
                <w:szCs w:val="24"/>
                <w:highlight w:val="none"/>
                <w:lang w:bidi="ar"/>
              </w:rPr>
              <w:t>01</w:t>
            </w:r>
            <w:r>
              <w:rPr>
                <w:rStyle w:val="613"/>
                <w:rFonts w:hint="default"/>
                <w:color w:val="auto"/>
                <w:sz w:val="24"/>
                <w:szCs w:val="24"/>
                <w:highlight w:val="none"/>
                <w:lang w:bidi="ar"/>
              </w:rPr>
              <w:t>、外墙墙砖</w:t>
            </w:r>
            <w:r>
              <w:rPr>
                <w:rStyle w:val="614"/>
                <w:rFonts w:ascii="宋体" w:hAnsi="宋体" w:cs="宋体"/>
                <w:color w:val="auto"/>
                <w:sz w:val="24"/>
                <w:szCs w:val="24"/>
                <w:highlight w:val="none"/>
                <w:lang w:bidi="ar"/>
              </w:rPr>
              <w:t>01</w:t>
            </w:r>
            <w:r>
              <w:rPr>
                <w:rStyle w:val="613"/>
                <w:rFonts w:hint="default"/>
                <w:color w:val="auto"/>
                <w:sz w:val="24"/>
                <w:szCs w:val="24"/>
                <w:highlight w:val="none"/>
                <w:lang w:bidi="ar"/>
              </w:rPr>
              <w:t>、墙砖</w:t>
            </w:r>
            <w:r>
              <w:rPr>
                <w:rStyle w:val="614"/>
                <w:rFonts w:ascii="宋体" w:hAnsi="宋体" w:cs="宋体"/>
                <w:color w:val="auto"/>
                <w:sz w:val="24"/>
                <w:szCs w:val="24"/>
                <w:highlight w:val="none"/>
                <w:lang w:bidi="ar"/>
              </w:rPr>
              <w:t>02</w:t>
            </w:r>
            <w:r>
              <w:rPr>
                <w:rStyle w:val="613"/>
                <w:rFonts w:hint="default"/>
                <w:color w:val="auto"/>
                <w:sz w:val="24"/>
                <w:szCs w:val="24"/>
                <w:highlight w:val="none"/>
                <w:lang w:bidi="ar"/>
              </w:rPr>
              <w:t>、墙砖</w:t>
            </w:r>
            <w:r>
              <w:rPr>
                <w:rStyle w:val="614"/>
                <w:rFonts w:ascii="宋体" w:hAnsi="宋体" w:cs="宋体"/>
                <w:color w:val="auto"/>
                <w:sz w:val="24"/>
                <w:szCs w:val="24"/>
                <w:highlight w:val="none"/>
                <w:lang w:bidi="ar"/>
              </w:rPr>
              <w:t>03</w:t>
            </w:r>
            <w:r>
              <w:rPr>
                <w:rStyle w:val="613"/>
                <w:rFonts w:hint="default"/>
                <w:color w:val="auto"/>
                <w:sz w:val="24"/>
                <w:szCs w:val="24"/>
                <w:highlight w:val="none"/>
                <w:lang w:bidi="ar"/>
              </w:rPr>
              <w:t>、墙砖</w:t>
            </w:r>
            <w:r>
              <w:rPr>
                <w:rStyle w:val="614"/>
                <w:rFonts w:ascii="宋体" w:hAnsi="宋体" w:cs="宋体"/>
                <w:color w:val="auto"/>
                <w:sz w:val="24"/>
                <w:szCs w:val="24"/>
                <w:highlight w:val="none"/>
                <w:lang w:bidi="ar"/>
              </w:rPr>
              <w:t>04</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2"/>
                <w:rFonts w:hint="default" w:ascii="宋体" w:hAnsi="宋体" w:eastAsia="宋体" w:cs="宋体"/>
                <w:color w:val="auto"/>
                <w:sz w:val="24"/>
                <w:szCs w:val="24"/>
                <w:highlight w:val="none"/>
                <w:lang w:bidi="ar"/>
              </w:rPr>
              <w:t>顺辉、</w:t>
            </w:r>
            <w:r>
              <w:rPr>
                <w:rStyle w:val="611"/>
                <w:rFonts w:hint="default" w:ascii="宋体" w:hAnsi="宋体" w:eastAsia="宋体" w:cs="宋体"/>
                <w:color w:val="auto"/>
                <w:sz w:val="24"/>
                <w:szCs w:val="24"/>
                <w:highlight w:val="none"/>
                <w:lang w:bidi="ar"/>
              </w:rPr>
              <w:t>西班牙德赛斯超薄岩板、</w:t>
            </w:r>
          </w:p>
          <w:p>
            <w:pPr>
              <w:pStyle w:val="2"/>
              <w:rPr>
                <w:color w:val="auto"/>
                <w:highlight w:val="none"/>
              </w:rPr>
            </w:pPr>
          </w:p>
          <w:p>
            <w:pPr>
              <w:pStyle w:val="2"/>
              <w:rPr>
                <w:color w:val="auto"/>
                <w:highlight w:val="none"/>
              </w:rPr>
            </w:pPr>
          </w:p>
          <w:p>
            <w:pPr>
              <w:widowControl/>
              <w:spacing w:line="360" w:lineRule="auto"/>
              <w:jc w:val="center"/>
              <w:textAlignment w:val="center"/>
              <w:rPr>
                <w:rFonts w:ascii="宋体" w:hAnsi="宋体" w:cs="宋体"/>
                <w:color w:val="auto"/>
                <w:sz w:val="24"/>
                <w:szCs w:val="24"/>
                <w:highlight w:val="none"/>
              </w:rPr>
            </w:pPr>
            <w:r>
              <w:rPr>
                <w:rStyle w:val="611"/>
                <w:rFonts w:hint="default" w:ascii="宋体" w:hAnsi="宋体" w:eastAsia="宋体" w:cs="宋体"/>
                <w:color w:val="auto"/>
                <w:sz w:val="24"/>
                <w:szCs w:val="24"/>
                <w:highlight w:val="none"/>
                <w:lang w:bidi="ar"/>
              </w:rPr>
              <w:t>Laminam 薄瓷板、Techlam 陶瓷薄板、</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高晶板</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星立方、腾石、穗龙牌、安雅达</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由招标人确认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陶瓷马赛克</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2"/>
                <w:rFonts w:hint="default" w:ascii="宋体" w:hAnsi="宋体" w:eastAsia="宋体" w:cs="宋体"/>
                <w:color w:val="auto"/>
                <w:sz w:val="24"/>
                <w:szCs w:val="24"/>
                <w:highlight w:val="none"/>
                <w:lang w:bidi="ar"/>
              </w:rPr>
              <w:t>强盛达、</w:t>
            </w:r>
            <w:r>
              <w:rPr>
                <w:rStyle w:val="611"/>
                <w:rFonts w:hint="default" w:ascii="宋体" w:hAnsi="宋体" w:eastAsia="宋体" w:cs="宋体"/>
                <w:color w:val="auto"/>
                <w:sz w:val="24"/>
                <w:szCs w:val="24"/>
                <w:highlight w:val="none"/>
                <w:lang w:bidi="ar"/>
              </w:rPr>
              <w:t>双欧</w:t>
            </w:r>
            <w:r>
              <w:rPr>
                <w:rStyle w:val="610"/>
                <w:rFonts w:hint="default"/>
                <w:color w:val="auto"/>
                <w:sz w:val="24"/>
                <w:szCs w:val="24"/>
                <w:highlight w:val="none"/>
                <w:lang w:bidi="ar"/>
              </w:rPr>
              <w:t>、卡赛迪、蒂通陶</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石膏板</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2"/>
                <w:rFonts w:hint="default" w:ascii="宋体" w:hAnsi="宋体" w:eastAsia="宋体" w:cs="宋体"/>
                <w:color w:val="auto"/>
                <w:sz w:val="24"/>
                <w:szCs w:val="24"/>
                <w:highlight w:val="none"/>
                <w:lang w:bidi="ar"/>
              </w:rPr>
              <w:t>可耐福、</w:t>
            </w:r>
            <w:r>
              <w:rPr>
                <w:rStyle w:val="611"/>
                <w:rFonts w:hint="default" w:ascii="宋体" w:hAnsi="宋体" w:eastAsia="宋体" w:cs="宋体"/>
                <w:color w:val="auto"/>
                <w:sz w:val="24"/>
                <w:szCs w:val="24"/>
                <w:highlight w:val="none"/>
                <w:lang w:bidi="ar"/>
              </w:rPr>
              <w:t>龙牌BNBM</w:t>
            </w:r>
            <w:r>
              <w:rPr>
                <w:rStyle w:val="610"/>
                <w:rFonts w:hint="default"/>
                <w:color w:val="auto"/>
                <w:sz w:val="24"/>
                <w:szCs w:val="24"/>
                <w:highlight w:val="none"/>
                <w:lang w:bidi="ar"/>
              </w:rPr>
              <w:t>、博罗、穗龙牌</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硅酸钙板</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2"/>
                <w:rFonts w:hint="default" w:ascii="宋体" w:hAnsi="宋体" w:eastAsia="宋体" w:cs="宋体"/>
                <w:color w:val="auto"/>
                <w:sz w:val="24"/>
                <w:szCs w:val="24"/>
                <w:highlight w:val="none"/>
                <w:lang w:bidi="ar"/>
              </w:rPr>
              <w:t>雄塑、</w:t>
            </w:r>
            <w:r>
              <w:rPr>
                <w:rStyle w:val="611"/>
                <w:rFonts w:hint="default" w:ascii="宋体" w:hAnsi="宋体" w:eastAsia="宋体" w:cs="宋体"/>
                <w:color w:val="auto"/>
                <w:sz w:val="24"/>
                <w:szCs w:val="24"/>
                <w:highlight w:val="none"/>
                <w:lang w:bidi="ar"/>
              </w:rPr>
              <w:t>龙牌BNBM</w:t>
            </w:r>
            <w:r>
              <w:rPr>
                <w:rStyle w:val="615"/>
                <w:rFonts w:hint="default"/>
                <w:color w:val="auto"/>
                <w:sz w:val="24"/>
                <w:szCs w:val="24"/>
                <w:highlight w:val="none"/>
                <w:lang w:bidi="ar"/>
              </w:rPr>
              <w:t>、金福、艾特</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人造石（混合丙烯酸树脂氢氧化铝板石）</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富美家、豪美思、杜邦可丽</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耐擦洗无机抗菌涂料</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立邦、多乐士、杜邦</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石材</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进口优质石材（由甲方确认）</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全钢活动地板</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汇丽、向利品牌、沈飞、奥斯曼</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硬木防火地板</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瑞嘉、金刚鹦鹉、圣象、博典、四合</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地毯</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山花、海马、华德</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地胶板</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得嘉、法国洁福、荷兰福尔波forbo、美国阿姆斯壮、瑞士LI&amp;CO-卡洛林</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树脂板</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富美家、瑞欣、普丽</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壁布</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广州奇优、杜邦、达明壁布、台湾MOMA墙布、瑞阁壁布</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不锈钢板</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鞍钢、浦项（张家港）、广钢、攀钢、宝钢</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铝板方通、复合蜂窝铝板、铝板</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欧朗德、众旺、南海华狮龙、乐思龙、阿鲁克邦、佳美、广州龙牌、铭斯朗</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岩棉板</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PAROCPA帕洛克岩棉天花板、丹麦ROCKFON洛克风岩棉天花、法国EUROCOUSTIC优声岩棉天花、阿姆斯壮</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钢质防火门</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宇宙、广东胜捷、广东蓝盾、三山、广州白云南粤</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不锈钢玻璃门</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宇宙、广东蓝盾、广州白云南粤、广州荷安</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五金配件</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喜多美、英格索兰、史丹利、多麦克斯、美和</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电控调光玻璃</w:t>
            </w:r>
          </w:p>
        </w:tc>
        <w:tc>
          <w:tcPr>
            <w:tcW w:w="1854" w:type="pct"/>
            <w:tcMar>
              <w:top w:w="12" w:type="dxa"/>
              <w:left w:w="12" w:type="dxa"/>
              <w:right w:w="12" w:type="dxa"/>
            </w:tcMar>
            <w:vAlign w:val="center"/>
          </w:tcPr>
          <w:p>
            <w:pPr>
              <w:widowControl/>
              <w:spacing w:line="360" w:lineRule="auto"/>
              <w:jc w:val="center"/>
              <w:textAlignment w:val="center"/>
              <w:rPr>
                <w:rStyle w:val="611"/>
                <w:rFonts w:hint="default" w:ascii="宋体" w:hAnsi="宋体" w:eastAsia="宋体" w:cs="宋体"/>
                <w:color w:val="auto"/>
                <w:sz w:val="24"/>
                <w:szCs w:val="24"/>
                <w:highlight w:val="none"/>
                <w:lang w:bidi="ar"/>
              </w:rPr>
            </w:pPr>
            <w:r>
              <w:rPr>
                <w:rStyle w:val="611"/>
                <w:rFonts w:hint="default" w:ascii="宋体" w:hAnsi="宋体" w:eastAsia="宋体" w:cs="宋体"/>
                <w:color w:val="auto"/>
                <w:sz w:val="24"/>
                <w:szCs w:val="24"/>
                <w:highlight w:val="none"/>
                <w:lang w:bidi="ar"/>
              </w:rPr>
              <w:t>川鸿、明事达、玻利科爱、新富瑞</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医用气密封门（含电动门）</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日本良明、上海GMT、多玛、基太思、欧尼克</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铅防护门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欧尼克、美必盛、青木、路遥、路平</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成品铅砖、铅板、硫酸钡水泥</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巨鑫、拜克、龙鑫</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传递窗</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轩胜、浩东、智迪锐</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铅防护观察窗</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轩胜、浩东、智迪锐</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7"/>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成品防辐射注射窗、铅屏风</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巨鑫、拜克、龙鑫</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5000" w:type="pct"/>
            <w:gridSpan w:val="4"/>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机电安装工程部分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序号</w:t>
            </w: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设备材料名称</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推荐品牌（或相当于）</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1464" w:type="pct"/>
            <w:gridSpan w:val="2"/>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一、强电部分</w:t>
            </w:r>
          </w:p>
        </w:tc>
        <w:tc>
          <w:tcPr>
            <w:tcW w:w="1854" w:type="pct"/>
            <w:tcMar>
              <w:top w:w="12" w:type="dxa"/>
              <w:left w:w="12" w:type="dxa"/>
              <w:right w:w="12" w:type="dxa"/>
            </w:tcMar>
            <w:vAlign w:val="center"/>
          </w:tcPr>
          <w:p>
            <w:pPr>
              <w:spacing w:line="360" w:lineRule="auto"/>
              <w:jc w:val="center"/>
              <w:textAlignment w:val="baseline"/>
              <w:rPr>
                <w:rFonts w:ascii="宋体" w:hAnsi="宋体" w:cs="宋体"/>
                <w:color w:val="auto"/>
                <w:sz w:val="24"/>
                <w:szCs w:val="24"/>
                <w:highlight w:val="none"/>
              </w:rPr>
            </w:pPr>
          </w:p>
        </w:tc>
        <w:tc>
          <w:tcPr>
            <w:tcW w:w="1681" w:type="pct"/>
            <w:tcMar>
              <w:top w:w="12" w:type="dxa"/>
              <w:left w:w="12" w:type="dxa"/>
              <w:right w:w="12" w:type="dxa"/>
            </w:tcMar>
            <w:vAlign w:val="center"/>
          </w:tcPr>
          <w:p>
            <w:pPr>
              <w:spacing w:line="360" w:lineRule="auto"/>
              <w:jc w:val="center"/>
              <w:textAlignment w:val="baseline"/>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配电箱</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南海侨汇、旺洪电器、白云电器、东莞基业、南洋</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配电箱内断路器、开关</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 xml:space="preserve"> ABB、西门子、施耐德（德国合资）</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排气扇</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绿岛风、</w:t>
            </w:r>
            <w:r>
              <w:rPr>
                <w:rFonts w:ascii="宋体" w:hAnsi="宋体" w:cs="宋体"/>
                <w:color w:val="auto"/>
                <w:kern w:val="0"/>
                <w:sz w:val="24"/>
                <w:szCs w:val="24"/>
                <w:highlight w:val="none"/>
                <w:lang w:bidi="ar"/>
              </w:rPr>
              <w:t>TCL、东松三雄、正野</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开关、插座</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施耐德、西门子、</w:t>
            </w:r>
            <w:r>
              <w:rPr>
                <w:rFonts w:ascii="宋体" w:hAnsi="宋体" w:cs="宋体"/>
                <w:color w:val="auto"/>
                <w:kern w:val="0"/>
                <w:sz w:val="24"/>
                <w:szCs w:val="24"/>
                <w:highlight w:val="none"/>
                <w:lang w:bidi="ar"/>
              </w:rPr>
              <w:t>TCL-罗格朗、西蒙</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桥架、金属软管、电气配管、线槽</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一通、韦恩、文兴、鹏升、半径、西钢</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低烟无卤电力电缆、电线、控制电缆</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荔湾、庆丰、广东电缆厂</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多功能电表（智能仪表，需接入能耗系统）</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欧美龙、珠海派诺、合众科林、溯高美、柏诚</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信号线、控制线</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ascii="宋体" w:hAnsi="宋体" w:cs="宋体"/>
                <w:color w:val="auto"/>
                <w:kern w:val="0"/>
                <w:sz w:val="24"/>
                <w:szCs w:val="24"/>
                <w:highlight w:val="none"/>
                <w:lang w:bidi="ar"/>
              </w:rPr>
              <w:t>UPS电源</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山特、艾默生、西门子、易事特</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ascii="宋体" w:hAnsi="宋体" w:cs="宋体"/>
                <w:color w:val="auto"/>
                <w:kern w:val="0"/>
                <w:sz w:val="24"/>
                <w:szCs w:val="24"/>
                <w:highlight w:val="none"/>
                <w:lang w:bidi="ar"/>
              </w:rPr>
              <w:t>UPS间UPS输出配电柜元件</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山特、西门子、</w:t>
            </w:r>
            <w:r>
              <w:rPr>
                <w:rFonts w:ascii="宋体" w:hAnsi="宋体" w:cs="宋体"/>
                <w:color w:val="auto"/>
                <w:kern w:val="0"/>
                <w:sz w:val="24"/>
                <w:szCs w:val="24"/>
                <w:highlight w:val="none"/>
                <w:lang w:bidi="ar"/>
              </w:rPr>
              <w:t>ABB、施耐德</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numPr>
                <w:ilvl w:val="0"/>
                <w:numId w:val="8"/>
              </w:numPr>
              <w:spacing w:line="360" w:lineRule="auto"/>
              <w:jc w:val="center"/>
              <w:textAlignment w:val="baseline"/>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ascii="宋体" w:hAnsi="宋体" w:cs="宋体"/>
                <w:color w:val="auto"/>
                <w:kern w:val="0"/>
                <w:sz w:val="24"/>
                <w:szCs w:val="24"/>
                <w:highlight w:val="none"/>
                <w:lang w:bidi="ar"/>
              </w:rPr>
              <w:t>IT电源</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柯力玛、本德尔、施耐德、</w:t>
            </w:r>
            <w:r>
              <w:rPr>
                <w:rFonts w:ascii="宋体" w:hAnsi="宋体" w:cs="宋体"/>
                <w:color w:val="auto"/>
                <w:kern w:val="0"/>
                <w:sz w:val="24"/>
                <w:szCs w:val="24"/>
                <w:highlight w:val="none"/>
                <w:lang w:bidi="ar"/>
              </w:rPr>
              <w:t>ABB</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柔性矿物绝缘电缆</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南洋电缆、上海高桥、广州澳通电线电缆、北京华远高科电缆、安徽上缆防火科技</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双电源切换开关</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德力西、正泰、</w:t>
            </w:r>
            <w:r>
              <w:rPr>
                <w:rFonts w:ascii="宋体" w:hAnsi="宋体" w:cs="宋体"/>
                <w:color w:val="auto"/>
                <w:kern w:val="0"/>
                <w:sz w:val="24"/>
                <w:szCs w:val="24"/>
                <w:highlight w:val="none"/>
                <w:lang w:bidi="ar"/>
              </w:rPr>
              <w:t>ASCO、施耐德、ABB、西门子</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控制与保护开关（</w:t>
            </w:r>
            <w:r>
              <w:rPr>
                <w:rFonts w:ascii="宋体" w:hAnsi="宋体" w:cs="宋体"/>
                <w:color w:val="auto"/>
                <w:kern w:val="0"/>
                <w:sz w:val="24"/>
                <w:szCs w:val="24"/>
                <w:highlight w:val="none"/>
                <w:lang w:bidi="ar"/>
              </w:rPr>
              <w:t>CPS）</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德力西、正泰、浙江中凯、江苏远泰、扬州派沃</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照明灯具</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佛山照明、三雄、飞利浦照明、欧普照明</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紫外线灭菌灯</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台夏、华东、双欢</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39" w:type="pct"/>
            <w:tcMar>
              <w:top w:w="12" w:type="dxa"/>
              <w:left w:w="12" w:type="dxa"/>
              <w:right w:w="12" w:type="dxa"/>
            </w:tcMar>
            <w:vAlign w:val="center"/>
          </w:tcPr>
          <w:p>
            <w:pPr>
              <w:widowControl/>
              <w:numPr>
                <w:ilvl w:val="0"/>
                <w:numId w:val="8"/>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LED净化灯具</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台夏、华东、双欢</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1464" w:type="pct"/>
            <w:gridSpan w:val="2"/>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二、弱电系统</w:t>
            </w:r>
          </w:p>
        </w:tc>
        <w:tc>
          <w:tcPr>
            <w:tcW w:w="1854" w:type="pct"/>
            <w:tcMar>
              <w:top w:w="12" w:type="dxa"/>
              <w:left w:w="12" w:type="dxa"/>
              <w:right w:w="12" w:type="dxa"/>
            </w:tcMar>
            <w:vAlign w:val="center"/>
          </w:tcPr>
          <w:p>
            <w:pPr>
              <w:spacing w:line="360" w:lineRule="auto"/>
              <w:jc w:val="center"/>
              <w:textAlignment w:val="baseline"/>
              <w:rPr>
                <w:rFonts w:ascii="宋体" w:hAnsi="宋体" w:cs="宋体"/>
                <w:color w:val="auto"/>
                <w:sz w:val="24"/>
                <w:szCs w:val="24"/>
                <w:highlight w:val="none"/>
              </w:rPr>
            </w:pPr>
          </w:p>
        </w:tc>
        <w:tc>
          <w:tcPr>
            <w:tcW w:w="1681" w:type="pct"/>
            <w:tcMar>
              <w:top w:w="12" w:type="dxa"/>
              <w:left w:w="12" w:type="dxa"/>
              <w:right w:w="12" w:type="dxa"/>
            </w:tcMar>
            <w:vAlign w:val="center"/>
          </w:tcPr>
          <w:p>
            <w:pPr>
              <w:spacing w:line="360" w:lineRule="auto"/>
              <w:jc w:val="center"/>
              <w:textAlignment w:val="baseline"/>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机柜</w:t>
            </w:r>
            <w:r>
              <w:rPr>
                <w:rFonts w:ascii="宋体" w:hAnsi="宋体" w:cs="宋体"/>
                <w:color w:val="auto"/>
                <w:kern w:val="0"/>
                <w:sz w:val="24"/>
                <w:szCs w:val="24"/>
                <w:highlight w:val="none"/>
                <w:lang w:bidi="ar"/>
              </w:rPr>
              <w:t>42U</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顺通、金盾、博顺兴、威乐</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配线架、光纤、超六类非屏蔽双绞线、插座</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美国康普、美国康宁、美国西蒙</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普通灯具、光源</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三雄、飞利浦、索恩、松下、欧司朗</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应急照明灯具、集中控制集中电源</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三雄、西默、飞利浦、泛海三江、雷士</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镀锌钢管、电线管</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一通、珠江、宏际、广州钢管厂</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情景开关（</w:t>
            </w:r>
            <w:r>
              <w:rPr>
                <w:rFonts w:ascii="宋体" w:hAnsi="宋体" w:cs="宋体"/>
                <w:color w:val="auto"/>
                <w:kern w:val="0"/>
                <w:sz w:val="24"/>
                <w:szCs w:val="24"/>
                <w:highlight w:val="none"/>
                <w:lang w:bidi="ar"/>
              </w:rPr>
              <w:t>I-BUS智能面板开关）</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施耐德、ABB</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核心交换机、接入层交换机、</w:t>
            </w:r>
            <w:r>
              <w:rPr>
                <w:rFonts w:ascii="宋体" w:hAnsi="宋体" w:cs="宋体"/>
                <w:color w:val="auto"/>
                <w:kern w:val="0"/>
                <w:sz w:val="24"/>
                <w:szCs w:val="24"/>
                <w:highlight w:val="none"/>
                <w:lang w:bidi="ar"/>
              </w:rPr>
              <w:t>POE交换机、流量汇聚分流设备、</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思科、华为、H3C</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服务器</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联想、戴尔、IBM</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防火墙</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华为、深信服、思科</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无线</w:t>
            </w:r>
            <w:r>
              <w:rPr>
                <w:rFonts w:ascii="宋体" w:hAnsi="宋体" w:cs="宋体"/>
                <w:color w:val="auto"/>
                <w:kern w:val="0"/>
                <w:sz w:val="24"/>
                <w:szCs w:val="24"/>
                <w:highlight w:val="none"/>
                <w:lang w:bidi="ar"/>
              </w:rPr>
              <w:t>AP、无线控制器</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华为、cisco 、H3C</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网络存储设备</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海康威视、霍尼韦尔、华为</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储存硬盘</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希捷、西部数据、东芝</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六类配线架、理线架、模块、光纤配线架、理线架</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康普、德特威勒、泛达(Panduit)、施耐德</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光纤、尾纤、耦合器</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康普、德特威勒、泛达(Panduit)、施耐德</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信息插座</w:t>
            </w:r>
          </w:p>
        </w:tc>
        <w:tc>
          <w:tcPr>
            <w:tcW w:w="1854" w:type="pct"/>
            <w:tcMar>
              <w:top w:w="12" w:type="dxa"/>
              <w:left w:w="12" w:type="dxa"/>
              <w:right w:w="12" w:type="dxa"/>
            </w:tcMar>
            <w:vAlign w:val="center"/>
          </w:tcPr>
          <w:p>
            <w:pPr>
              <w:widowControl/>
              <w:spacing w:line="360" w:lineRule="auto"/>
              <w:jc w:val="center"/>
              <w:textAlignment w:val="center"/>
              <w:rPr>
                <w:rStyle w:val="615"/>
                <w:rFonts w:hint="default"/>
                <w:color w:val="auto"/>
                <w:sz w:val="24"/>
                <w:szCs w:val="24"/>
                <w:highlight w:val="none"/>
                <w:lang w:bidi="ar"/>
              </w:rPr>
            </w:pPr>
            <w:r>
              <w:rPr>
                <w:rStyle w:val="615"/>
                <w:rFonts w:hint="default"/>
                <w:color w:val="auto"/>
                <w:sz w:val="24"/>
                <w:szCs w:val="24"/>
                <w:highlight w:val="none"/>
                <w:lang w:bidi="ar"/>
              </w:rPr>
              <w:t>康普、德特威勒、泛达(Panduit)、施耐德</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彩色半球固定摄像机</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海康威视、霍尼韦尔、博世</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9"/>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门禁控制器、读卡器、电锁（带门磁开关）</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霍尼韦尔、海康威视、博世</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1464" w:type="pct"/>
            <w:gridSpan w:val="2"/>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三、通风空调系统</w:t>
            </w:r>
          </w:p>
        </w:tc>
        <w:tc>
          <w:tcPr>
            <w:tcW w:w="1854" w:type="pct"/>
            <w:tcMar>
              <w:top w:w="12" w:type="dxa"/>
              <w:left w:w="12" w:type="dxa"/>
              <w:right w:w="12" w:type="dxa"/>
            </w:tcMar>
            <w:vAlign w:val="center"/>
          </w:tcPr>
          <w:p>
            <w:pPr>
              <w:spacing w:line="360" w:lineRule="auto"/>
              <w:jc w:val="center"/>
              <w:textAlignment w:val="baseline"/>
              <w:rPr>
                <w:rFonts w:ascii="宋体" w:hAnsi="宋体" w:cs="宋体"/>
                <w:color w:val="auto"/>
                <w:sz w:val="24"/>
                <w:szCs w:val="24"/>
                <w:highlight w:val="none"/>
              </w:rPr>
            </w:pPr>
          </w:p>
        </w:tc>
        <w:tc>
          <w:tcPr>
            <w:tcW w:w="1681" w:type="pct"/>
            <w:tcMar>
              <w:top w:w="12" w:type="dxa"/>
              <w:left w:w="12" w:type="dxa"/>
              <w:right w:w="12" w:type="dxa"/>
            </w:tcMar>
            <w:vAlign w:val="center"/>
          </w:tcPr>
          <w:p>
            <w:pPr>
              <w:spacing w:line="360" w:lineRule="auto"/>
              <w:jc w:val="center"/>
              <w:textAlignment w:val="baseline"/>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新风柜机、风机盘管、温控器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特灵、开利、约克</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numPr>
                <w:ilvl w:val="0"/>
                <w:numId w:val="10"/>
              </w:numPr>
              <w:spacing w:line="360" w:lineRule="auto"/>
              <w:jc w:val="center"/>
              <w:textAlignment w:val="baseline"/>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医用空气处理机组、风冷热泵机组</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雅士、天加、清华同方</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风口、风阀、消声器、散流器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云丰、百成、南方</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截止阀、电动二通阀</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帕弗米沃、上海冠龙、永泉、天津塘沽</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镀锌焊接钢管、无缝钢管</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广州钢管厂、珠江钢管厂、荣钢、广东华捷</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冷凝水管</w:t>
            </w:r>
            <w:r>
              <w:rPr>
                <w:rFonts w:ascii="宋体" w:hAnsi="宋体" w:cs="宋体"/>
                <w:color w:val="auto"/>
                <w:kern w:val="0"/>
                <w:sz w:val="24"/>
                <w:szCs w:val="24"/>
                <w:highlight w:val="none"/>
                <w:lang w:bidi="ar"/>
              </w:rPr>
              <w:t>UPVC</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广东联塑、上海逸通、上海瑞好、浙江尤尼克</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镀锌薄钢板</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攀钢、韶钢、鞍钢</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水泵</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Style w:val="617"/>
                <w:rFonts w:hint="default"/>
                <w:color w:val="auto"/>
                <w:sz w:val="24"/>
                <w:szCs w:val="24"/>
                <w:highlight w:val="none"/>
                <w:lang w:bidi="ar"/>
              </w:rPr>
              <w:t>荏原</w:t>
            </w:r>
            <w:r>
              <w:rPr>
                <w:rStyle w:val="613"/>
                <w:rFonts w:hint="default"/>
                <w:color w:val="auto"/>
                <w:sz w:val="24"/>
                <w:szCs w:val="24"/>
                <w:highlight w:val="none"/>
                <w:lang w:bidi="ar"/>
              </w:rPr>
              <w:t>、</w:t>
            </w:r>
            <w:r>
              <w:rPr>
                <w:rStyle w:val="617"/>
                <w:rFonts w:hint="default"/>
                <w:color w:val="auto"/>
                <w:sz w:val="24"/>
                <w:szCs w:val="24"/>
                <w:highlight w:val="none"/>
                <w:lang w:bidi="ar"/>
              </w:rPr>
              <w:t>格兰富</w:t>
            </w:r>
            <w:r>
              <w:rPr>
                <w:rStyle w:val="613"/>
                <w:rFonts w:hint="default"/>
                <w:color w:val="auto"/>
                <w:sz w:val="24"/>
                <w:szCs w:val="24"/>
                <w:highlight w:val="none"/>
                <w:lang w:bidi="ar"/>
              </w:rPr>
              <w:t>、</w:t>
            </w:r>
            <w:r>
              <w:rPr>
                <w:rStyle w:val="617"/>
                <w:rFonts w:hint="default"/>
                <w:color w:val="auto"/>
                <w:sz w:val="24"/>
                <w:szCs w:val="24"/>
                <w:highlight w:val="none"/>
                <w:lang w:bidi="ar"/>
              </w:rPr>
              <w:t>KSB</w:t>
            </w:r>
            <w:r>
              <w:rPr>
                <w:rStyle w:val="613"/>
                <w:rFonts w:hint="default"/>
                <w:color w:val="auto"/>
                <w:sz w:val="24"/>
                <w:szCs w:val="24"/>
                <w:highlight w:val="none"/>
                <w:lang w:bidi="ar"/>
              </w:rPr>
              <w:t xml:space="preserve">、华盛顿  </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平衡阀、闸阀</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欧特莱、西门子、霍尼韦尔、特灵、欧文托普</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空调水阀门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欧特莱、伯梅德、日本大和、</w:t>
            </w:r>
            <w:r>
              <w:rPr>
                <w:rFonts w:ascii="宋体" w:hAnsi="宋体" w:cs="宋体"/>
                <w:color w:val="auto"/>
                <w:kern w:val="0"/>
                <w:sz w:val="24"/>
                <w:szCs w:val="24"/>
                <w:highlight w:val="none"/>
                <w:lang w:bidi="ar"/>
              </w:rPr>
              <w:t>TA</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空调水</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电动阀门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欧特莱、伯梅德、日本大和、</w:t>
            </w:r>
            <w:r>
              <w:rPr>
                <w:rFonts w:ascii="宋体" w:hAnsi="宋体" w:cs="宋体"/>
                <w:color w:val="auto"/>
                <w:kern w:val="0"/>
                <w:sz w:val="24"/>
                <w:szCs w:val="24"/>
                <w:highlight w:val="none"/>
                <w:lang w:bidi="ar"/>
              </w:rPr>
              <w:t>TA</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通风机、送排风机、补风机、排烟机等风机</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德通、亚绿太、</w:t>
            </w:r>
            <w:r>
              <w:rPr>
                <w:rFonts w:ascii="宋体" w:hAnsi="宋体" w:cs="宋体"/>
                <w:color w:val="auto"/>
                <w:kern w:val="0"/>
                <w:sz w:val="24"/>
                <w:szCs w:val="24"/>
                <w:highlight w:val="none"/>
                <w:lang w:bidi="ar"/>
              </w:rPr>
              <w:t>BNN、亿利达、沃克、科禄格</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通风排烟风管</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攀钢、广钢、韶钢、鞍钢</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阀门、</w:t>
            </w:r>
            <w:r>
              <w:rPr>
                <w:rFonts w:ascii="宋体" w:hAnsi="宋体" w:cs="宋体"/>
                <w:color w:val="auto"/>
                <w:kern w:val="0"/>
                <w:sz w:val="24"/>
                <w:szCs w:val="24"/>
                <w:highlight w:val="none"/>
                <w:lang w:bidi="ar"/>
              </w:rPr>
              <w:t>Y型过滤器、止回阀、不锈钢波纹管</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欧特莱、帕弗米沃、上海冠龙、永泉</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智能化冷、热计量装置</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柏诚、艾科、海峰、捷先</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保温材料（</w:t>
            </w:r>
            <w:r>
              <w:rPr>
                <w:rFonts w:ascii="宋体" w:hAnsi="宋体" w:cs="宋体"/>
                <w:color w:val="auto"/>
                <w:kern w:val="0"/>
                <w:sz w:val="24"/>
                <w:szCs w:val="24"/>
                <w:highlight w:val="none"/>
                <w:lang w:bidi="ar"/>
              </w:rPr>
              <w:t>B1级橡塑复合隔热材料）</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阿乐斯、华美、福乐斯、河北金威</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精密空调</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世图兹、克莱门特、斯泰科、艾默生、雷诺威</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循环净化空调机组</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雅士、天加、清华同方</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电热式加湿器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诺谛、卡乐、嘉乐斯乐、思探德、瑞华诺曼</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活性炭过滤装置</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美埃、博阳、金国</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定风量调节装置</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皇家、妥思、巴科尔</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变频器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ABB</w:t>
            </w:r>
            <w:r>
              <w:rPr>
                <w:rFonts w:hint="eastAsia" w:ascii="宋体" w:hAnsi="宋体" w:cs="宋体"/>
                <w:color w:val="auto"/>
                <w:kern w:val="0"/>
                <w:sz w:val="24"/>
                <w:szCs w:val="24"/>
                <w:highlight w:val="none"/>
                <w:lang w:bidi="ar"/>
              </w:rPr>
              <w:t>、西门子、施耐德</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空调控制系统</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恒朗、施嘉得、高东</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空调控制主要元器件</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西门子、霍尼韦尔、江森</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0"/>
              </w:numPr>
              <w:spacing w:line="360" w:lineRule="auto"/>
              <w:jc w:val="center"/>
              <w:textAlignment w:val="center"/>
              <w:rPr>
                <w:rFonts w:ascii="宋体" w:hAnsi="宋体" w:cs="宋体"/>
                <w:color w:val="auto"/>
                <w:kern w:val="0"/>
                <w:sz w:val="24"/>
                <w:szCs w:val="24"/>
                <w:highlight w:val="none"/>
                <w:lang w:bidi="ar"/>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高效过滤器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美埃、</w:t>
            </w:r>
            <w:r>
              <w:rPr>
                <w:rFonts w:ascii="宋体" w:hAnsi="宋体" w:cs="宋体"/>
                <w:color w:val="auto"/>
                <w:kern w:val="0"/>
                <w:sz w:val="24"/>
                <w:szCs w:val="24"/>
                <w:highlight w:val="none"/>
                <w:lang w:bidi="ar"/>
              </w:rPr>
              <w:t>AAF、剑桥</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1464" w:type="pct"/>
            <w:gridSpan w:val="2"/>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四、给排水系统</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p>
        </w:tc>
        <w:tc>
          <w:tcPr>
            <w:tcW w:w="1681" w:type="pct"/>
            <w:tcMar>
              <w:top w:w="12" w:type="dxa"/>
              <w:left w:w="12" w:type="dxa"/>
              <w:right w:w="12" w:type="dxa"/>
            </w:tcMar>
            <w:vAlign w:val="center"/>
          </w:tcPr>
          <w:p>
            <w:pPr>
              <w:spacing w:line="360" w:lineRule="auto"/>
              <w:jc w:val="center"/>
              <w:textAlignment w:val="baseline"/>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坐式大便器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美标、科勒、</w:t>
            </w:r>
            <w:r>
              <w:rPr>
                <w:rFonts w:ascii="宋体" w:hAnsi="宋体" w:cs="宋体"/>
                <w:color w:val="auto"/>
                <w:kern w:val="0"/>
                <w:sz w:val="24"/>
                <w:szCs w:val="24"/>
                <w:highlight w:val="none"/>
                <w:lang w:bidi="ar"/>
              </w:rPr>
              <w:t>TOTO</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地漏、清扫口</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喜多美、联塑、美标、科勒、</w:t>
            </w:r>
            <w:r>
              <w:rPr>
                <w:rFonts w:ascii="宋体" w:hAnsi="宋体" w:cs="宋体"/>
                <w:color w:val="auto"/>
                <w:kern w:val="0"/>
                <w:sz w:val="24"/>
                <w:szCs w:val="24"/>
                <w:highlight w:val="none"/>
                <w:lang w:bidi="ar"/>
              </w:rPr>
              <w:t>TOTO</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不锈钢管</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润泰、珠江、广州钢管厂、联塑</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阀门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喜多美、冠龙阀门</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、良精、宁波埃美柯</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即热式电淋浴器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史密斯、约克、美欧达（</w:t>
            </w:r>
            <w:r>
              <w:rPr>
                <w:rFonts w:ascii="宋体" w:hAnsi="宋体" w:cs="宋体"/>
                <w:color w:val="auto"/>
                <w:kern w:val="0"/>
                <w:sz w:val="24"/>
                <w:szCs w:val="24"/>
                <w:highlight w:val="none"/>
                <w:lang w:bidi="ar"/>
              </w:rPr>
              <w:t>MOUDA）、尚仕龙</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内外涂塑镀锌钢管</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广州钢管厂、珠江钢管厂、荣钢、广东华捷</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ascii="宋体" w:hAnsi="宋体" w:cs="宋体"/>
                <w:color w:val="auto"/>
                <w:kern w:val="0"/>
                <w:sz w:val="24"/>
                <w:szCs w:val="24"/>
                <w:highlight w:val="none"/>
                <w:lang w:bidi="ar"/>
              </w:rPr>
              <w:t>PPR塑料管、PP静音排水塑料管、波纹管、UPVC雨水管</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广东联塑、上海逸通、上海瑞好、浙江尤尼克</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阀门、闸阀、止回阀、截止阀、浮球阀组</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福建恒广、帕弗米沃、上海冠龙、永泉、天津塘沽、埃美柯</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水表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符合市政要求的国内优质品牌</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卫生洁具（含龙头、地漏等配件。感应龙头、部件使用</w:t>
            </w:r>
            <w:r>
              <w:rPr>
                <w:rFonts w:ascii="宋体" w:hAnsi="宋体" w:cs="宋体"/>
                <w:color w:val="auto"/>
                <w:kern w:val="0"/>
                <w:sz w:val="24"/>
                <w:szCs w:val="24"/>
                <w:highlight w:val="none"/>
                <w:lang w:bidi="ar"/>
              </w:rPr>
              <w:t>220V供电）</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科勒、</w:t>
            </w:r>
            <w:r>
              <w:rPr>
                <w:rFonts w:ascii="宋体" w:hAnsi="宋体" w:cs="宋体"/>
                <w:color w:val="auto"/>
                <w:kern w:val="0"/>
                <w:sz w:val="24"/>
                <w:szCs w:val="24"/>
                <w:highlight w:val="none"/>
                <w:lang w:bidi="ar"/>
              </w:rPr>
              <w:t>TOTO、美标</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按招标人、图纸及技术要求。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热水铜管</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联塑、浙江天力、上海海量、尼必克</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智能化远传式水表（能进入医院现有平台）</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埃美柯、三川、宁波水表</w:t>
            </w:r>
            <w:r>
              <w:rPr>
                <w:rFonts w:ascii="宋体" w:hAnsi="宋体" w:cs="宋体"/>
                <w:color w:val="auto"/>
                <w:kern w:val="0"/>
                <w:sz w:val="24"/>
                <w:szCs w:val="24"/>
                <w:highlight w:val="none"/>
                <w:lang w:bidi="ar"/>
              </w:rPr>
              <w:t xml:space="preserve">  </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水泵</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黄埔供水、上海祈能、山东双轮、广州广一</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阀门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欧特莱、广州越海、帕弗米沃、上海冠龙、精嘉</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全铜截止阀</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欧特莱、钻石、广州亿田、宁波埃美柯</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电动阀</w:t>
            </w:r>
            <w:r>
              <w:rPr>
                <w:rFonts w:ascii="宋体" w:hAnsi="宋体" w:cs="宋体"/>
                <w:color w:val="auto"/>
                <w:kern w:val="0"/>
                <w:sz w:val="24"/>
                <w:szCs w:val="24"/>
                <w:highlight w:val="none"/>
                <w:lang w:bidi="ar"/>
              </w:rPr>
              <w:t xml:space="preserve">  </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欧特莱、西门子、施耐德、霍尼韦尔</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水箱</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国内优质</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热水保温材料</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阿乐斯、福乐斯、华美、河北金威</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橡胶软接头</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上海沪强、上海松江、广州华侨</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1"/>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地上式消防栓</w:t>
            </w:r>
            <w:r>
              <w:rPr>
                <w:rFonts w:ascii="宋体" w:hAnsi="宋体" w:cs="宋体"/>
                <w:color w:val="auto"/>
                <w:kern w:val="0"/>
                <w:sz w:val="24"/>
                <w:szCs w:val="24"/>
                <w:highlight w:val="none"/>
                <w:lang w:bidi="ar"/>
              </w:rPr>
              <w:t>(双出口)</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广东平安消防、广东胜捷、闽山、泰昌</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1464" w:type="pct"/>
            <w:gridSpan w:val="2"/>
            <w:tcMar>
              <w:top w:w="12" w:type="dxa"/>
              <w:left w:w="12" w:type="dxa"/>
              <w:right w:w="12" w:type="dxa"/>
            </w:tcMar>
            <w:vAlign w:val="center"/>
          </w:tcPr>
          <w:p>
            <w:pPr>
              <w:widowControl/>
              <w:spacing w:line="360" w:lineRule="auto"/>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五、通风工程</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p>
        </w:tc>
        <w:tc>
          <w:tcPr>
            <w:tcW w:w="1681" w:type="pct"/>
            <w:tcMar>
              <w:top w:w="12" w:type="dxa"/>
              <w:left w:w="12" w:type="dxa"/>
              <w:right w:w="12" w:type="dxa"/>
            </w:tcMar>
            <w:vAlign w:val="center"/>
          </w:tcPr>
          <w:p>
            <w:pPr>
              <w:spacing w:line="360" w:lineRule="auto"/>
              <w:jc w:val="center"/>
              <w:textAlignment w:val="baseline"/>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2"/>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多联机室内机</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特灵、约克、开利</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2"/>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成品风管</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康美风、联众、科风</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2"/>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风口、百叶</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耀安实业</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、正野、东莞飞达</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2"/>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防火阀、调节阀</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南海南方</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、科禄格、东莞飞达</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39" w:type="pct"/>
            <w:tcMar>
              <w:top w:w="12" w:type="dxa"/>
              <w:left w:w="12" w:type="dxa"/>
              <w:right w:w="12" w:type="dxa"/>
            </w:tcMar>
            <w:vAlign w:val="center"/>
          </w:tcPr>
          <w:p>
            <w:pPr>
              <w:widowControl/>
              <w:numPr>
                <w:ilvl w:val="0"/>
                <w:numId w:val="12"/>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消声器</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东莞飞达、广东科风、科禄格</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39" w:type="pct"/>
            <w:tcMar>
              <w:top w:w="12" w:type="dxa"/>
              <w:left w:w="12" w:type="dxa"/>
              <w:right w:w="12" w:type="dxa"/>
            </w:tcMar>
            <w:vAlign w:val="center"/>
          </w:tcPr>
          <w:p>
            <w:pPr>
              <w:widowControl/>
              <w:numPr>
                <w:ilvl w:val="0"/>
                <w:numId w:val="12"/>
              </w:numPr>
              <w:spacing w:line="360" w:lineRule="auto"/>
              <w:jc w:val="center"/>
              <w:textAlignment w:val="center"/>
              <w:rPr>
                <w:rFonts w:ascii="宋体" w:hAnsi="宋体" w:cs="宋体"/>
                <w:color w:val="auto"/>
                <w:sz w:val="24"/>
                <w:szCs w:val="24"/>
                <w:highlight w:val="none"/>
              </w:rPr>
            </w:pPr>
          </w:p>
        </w:tc>
        <w:tc>
          <w:tcPr>
            <w:tcW w:w="1125"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保温材料（玻璃棉）</w:t>
            </w:r>
          </w:p>
        </w:tc>
        <w:tc>
          <w:tcPr>
            <w:tcW w:w="1854" w:type="pct"/>
            <w:tcMar>
              <w:top w:w="12" w:type="dxa"/>
              <w:left w:w="12" w:type="dxa"/>
              <w:right w:w="12" w:type="dxa"/>
            </w:tcMar>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凯门福乐斯、广州华德、福乐斯</w:t>
            </w:r>
          </w:p>
        </w:tc>
        <w:tc>
          <w:tcPr>
            <w:tcW w:w="1681" w:type="pct"/>
            <w:tcMar>
              <w:top w:w="12" w:type="dxa"/>
              <w:left w:w="12" w:type="dxa"/>
              <w:right w:w="12" w:type="dxa"/>
            </w:tcMar>
            <w:vAlign w:val="center"/>
          </w:tcPr>
          <w:p>
            <w:pPr>
              <w:widowControl/>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按图纸及技术要求</w:t>
            </w:r>
          </w:p>
        </w:tc>
      </w:tr>
    </w:tbl>
    <w:p>
      <w:pPr>
        <w:spacing w:line="480" w:lineRule="exact"/>
        <w:jc w:val="center"/>
        <w:rPr>
          <w:rFonts w:ascii="Arial" w:hAnsi="Arial" w:cs="Arial"/>
          <w:b/>
          <w:bCs/>
          <w:color w:val="auto"/>
          <w:kern w:val="0"/>
          <w:sz w:val="32"/>
          <w:szCs w:val="32"/>
          <w:highlight w:val="none"/>
        </w:rPr>
      </w:pPr>
      <w:r>
        <w:rPr>
          <w:rFonts w:ascii="Arial" w:hAnsi="Arial" w:cs="Arial"/>
          <w:b/>
          <w:bCs/>
          <w:color w:val="auto"/>
          <w:kern w:val="0"/>
          <w:sz w:val="32"/>
          <w:szCs w:val="32"/>
          <w:highlight w:val="none"/>
        </w:rPr>
        <w:t xml:space="preserve"> </w:t>
      </w:r>
    </w:p>
    <w:p>
      <w:pPr>
        <w:pStyle w:val="30"/>
        <w:rPr>
          <w:rFonts w:ascii="Arial" w:hAnsi="Arial" w:cs="Arial"/>
          <w:color w:val="auto"/>
          <w:highlight w:val="none"/>
        </w:rPr>
      </w:pPr>
    </w:p>
    <w:p>
      <w:pPr>
        <w:pStyle w:val="136"/>
        <w:spacing w:before="156" w:after="120"/>
        <w:jc w:val="left"/>
        <w:outlineLvl w:val="9"/>
        <w:rPr>
          <w:rFonts w:ascii="Arial" w:hAnsi="Arial" w:eastAsia="宋体" w:cs="Arial"/>
          <w:b w:val="0"/>
          <w:color w:val="auto"/>
          <w:spacing w:val="0"/>
          <w:kern w:val="2"/>
          <w:sz w:val="21"/>
          <w:szCs w:val="21"/>
          <w:highlight w:val="none"/>
        </w:rPr>
      </w:pPr>
      <w:bookmarkStart w:id="65" w:name="_Toc101266304"/>
      <w:r>
        <w:rPr>
          <w:rFonts w:hint="eastAsia" w:ascii="Arial" w:hAnsi="Arial" w:eastAsia="宋体" w:cs="Arial"/>
          <w:b w:val="0"/>
          <w:color w:val="auto"/>
          <w:spacing w:val="0"/>
          <w:kern w:val="2"/>
          <w:sz w:val="21"/>
          <w:szCs w:val="21"/>
          <w:highlight w:val="none"/>
        </w:rPr>
        <w:t>注：1.</w:t>
      </w:r>
      <w:r>
        <w:rPr>
          <w:rFonts w:ascii="Arial" w:hAnsi="Arial" w:eastAsia="宋体" w:cs="Arial"/>
          <w:b w:val="0"/>
          <w:color w:val="auto"/>
          <w:spacing w:val="0"/>
          <w:kern w:val="2"/>
          <w:sz w:val="21"/>
          <w:szCs w:val="21"/>
          <w:highlight w:val="none"/>
        </w:rPr>
        <w:t xml:space="preserve"> </w:t>
      </w:r>
      <w:r>
        <w:rPr>
          <w:rFonts w:hint="eastAsia" w:ascii="Arial" w:hAnsi="Arial" w:eastAsia="宋体" w:cs="Arial"/>
          <w:b w:val="0"/>
          <w:color w:val="auto"/>
          <w:spacing w:val="0"/>
          <w:kern w:val="2"/>
          <w:sz w:val="21"/>
          <w:szCs w:val="21"/>
          <w:highlight w:val="none"/>
        </w:rPr>
        <w:t>本表中选用的主要材料、设备由投标人视本工程具体实际情况自行填报；</w:t>
      </w:r>
      <w:bookmarkEnd w:id="65"/>
    </w:p>
    <w:p>
      <w:pPr>
        <w:pStyle w:val="136"/>
        <w:spacing w:before="156" w:after="120"/>
        <w:jc w:val="left"/>
        <w:outlineLvl w:val="9"/>
        <w:rPr>
          <w:rFonts w:ascii="Arial" w:hAnsi="Arial" w:eastAsia="宋体" w:cs="Arial"/>
          <w:b w:val="0"/>
          <w:color w:val="auto"/>
          <w:spacing w:val="0"/>
          <w:kern w:val="2"/>
          <w:sz w:val="21"/>
          <w:szCs w:val="21"/>
          <w:highlight w:val="none"/>
        </w:rPr>
      </w:pPr>
      <w:bookmarkStart w:id="66" w:name="_Toc101266305"/>
      <w:r>
        <w:rPr>
          <w:rFonts w:ascii="Arial" w:hAnsi="Arial" w:eastAsia="宋体" w:cs="Arial"/>
          <w:b w:val="0"/>
          <w:color w:val="auto"/>
          <w:spacing w:val="0"/>
          <w:kern w:val="2"/>
          <w:sz w:val="21"/>
          <w:szCs w:val="21"/>
          <w:highlight w:val="none"/>
        </w:rPr>
        <w:t xml:space="preserve">2. </w:t>
      </w:r>
      <w:r>
        <w:rPr>
          <w:rFonts w:hint="eastAsia" w:ascii="Arial" w:hAnsi="Arial" w:eastAsia="宋体" w:cs="Arial"/>
          <w:b w:val="0"/>
          <w:color w:val="auto"/>
          <w:spacing w:val="0"/>
          <w:kern w:val="2"/>
          <w:sz w:val="21"/>
          <w:szCs w:val="21"/>
          <w:highlight w:val="none"/>
        </w:rPr>
        <w:t>投标人若在技术标投标文件中选用的材料、设备与经济标投标文件中选用材料、设备不一致的，中标后，招标人有权选用质量性能较优、质量档次高的品牌/生产厂家，投标人不能因此向招标人要求调整价差；</w:t>
      </w:r>
      <w:bookmarkEnd w:id="66"/>
    </w:p>
    <w:p>
      <w:pPr>
        <w:pStyle w:val="136"/>
        <w:spacing w:beforeLines="0" w:after="120"/>
        <w:jc w:val="left"/>
        <w:outlineLvl w:val="9"/>
        <w:rPr>
          <w:rFonts w:ascii="Arial" w:hAnsi="Arial" w:eastAsia="宋体" w:cs="Arial"/>
          <w:b w:val="0"/>
          <w:color w:val="auto"/>
          <w:spacing w:val="0"/>
          <w:kern w:val="2"/>
          <w:sz w:val="21"/>
          <w:szCs w:val="21"/>
          <w:highlight w:val="none"/>
        </w:rPr>
      </w:pPr>
      <w:bookmarkStart w:id="67" w:name="_Toc101266306"/>
      <w:r>
        <w:rPr>
          <w:rFonts w:ascii="Arial" w:hAnsi="Arial" w:eastAsia="宋体" w:cs="Arial"/>
          <w:b w:val="0"/>
          <w:color w:val="auto"/>
          <w:spacing w:val="0"/>
          <w:kern w:val="2"/>
          <w:sz w:val="21"/>
          <w:szCs w:val="21"/>
          <w:highlight w:val="none"/>
        </w:rPr>
        <w:t xml:space="preserve">3. </w:t>
      </w:r>
      <w:r>
        <w:rPr>
          <w:rFonts w:hint="eastAsia" w:ascii="Arial" w:hAnsi="Arial" w:eastAsia="宋体" w:cs="Arial"/>
          <w:b w:val="0"/>
          <w:color w:val="auto"/>
          <w:spacing w:val="0"/>
          <w:kern w:val="2"/>
          <w:sz w:val="21"/>
          <w:szCs w:val="21"/>
          <w:highlight w:val="none"/>
        </w:rPr>
        <w:t>投标人选用的材料设备品牌或生产厂家应按上述《材料设备推荐品牌或厂家（或相当于）清单》或优于《材料设备推荐品牌或厂家（或相当于）清单》档次和质量的产品进行选用填报。如选用相当于或优于招标文件中推荐品牌（厂家）的，需提供有效的证明材料，有效证明材料需能充分证明其选用品牌的质量档次相当于或优于招标文件要求，且在采购前必须经招标人审批同意，否则，视为自行更换品牌，按招标文件和合同规定承担违约责任。</w:t>
      </w:r>
      <w:bookmarkEnd w:id="67"/>
    </w:p>
    <w:p>
      <w:pPr>
        <w:pStyle w:val="136"/>
        <w:spacing w:beforeLines="0" w:after="120"/>
        <w:jc w:val="left"/>
        <w:outlineLvl w:val="9"/>
        <w:rPr>
          <w:rFonts w:ascii="Arial" w:hAnsi="Arial" w:eastAsia="宋体" w:cs="Arial"/>
          <w:b w:val="0"/>
          <w:color w:val="auto"/>
          <w:spacing w:val="0"/>
          <w:kern w:val="2"/>
          <w:sz w:val="24"/>
          <w:szCs w:val="24"/>
          <w:highlight w:val="none"/>
        </w:rPr>
      </w:pPr>
    </w:p>
    <w:p>
      <w:pPr>
        <w:pStyle w:val="136"/>
        <w:spacing w:beforeLines="0" w:after="120"/>
        <w:jc w:val="left"/>
        <w:outlineLvl w:val="9"/>
        <w:rPr>
          <w:rFonts w:ascii="Arial" w:hAnsi="Arial" w:eastAsia="宋体" w:cs="Arial"/>
          <w:b w:val="0"/>
          <w:color w:val="auto"/>
          <w:spacing w:val="0"/>
          <w:kern w:val="2"/>
          <w:sz w:val="24"/>
          <w:szCs w:val="24"/>
          <w:highlight w:val="none"/>
        </w:rPr>
      </w:pPr>
    </w:p>
    <w:p>
      <w:pPr>
        <w:pStyle w:val="136"/>
        <w:spacing w:beforeLines="0" w:after="120"/>
        <w:jc w:val="left"/>
        <w:rPr>
          <w:rFonts w:ascii="Arial" w:hAnsi="Arial" w:eastAsia="宋体" w:cs="Arial"/>
          <w:b w:val="0"/>
          <w:color w:val="auto"/>
          <w:spacing w:val="0"/>
          <w:kern w:val="2"/>
          <w:sz w:val="24"/>
          <w:szCs w:val="24"/>
          <w:highlight w:val="none"/>
        </w:rPr>
      </w:pPr>
      <w:bookmarkStart w:id="68" w:name="_Toc101266307"/>
      <w:r>
        <w:rPr>
          <w:rFonts w:hint="eastAsia" w:ascii="Arial" w:hAnsi="Arial" w:eastAsia="宋体" w:cs="Arial"/>
          <w:b w:val="0"/>
          <w:color w:val="auto"/>
          <w:spacing w:val="0"/>
          <w:kern w:val="2"/>
          <w:sz w:val="24"/>
          <w:szCs w:val="24"/>
          <w:highlight w:val="none"/>
        </w:rPr>
        <w:t>附件八：施工组织设计</w:t>
      </w:r>
      <w:bookmarkEnd w:id="68"/>
    </w:p>
    <w:p>
      <w:pPr>
        <w:spacing w:line="480" w:lineRule="exact"/>
        <w:rPr>
          <w:rFonts w:ascii="Arial" w:hAnsi="Arial" w:cs="Arial"/>
          <w:b/>
          <w:bCs/>
          <w:color w:val="auto"/>
          <w:kern w:val="0"/>
          <w:sz w:val="32"/>
          <w:szCs w:val="32"/>
          <w:highlight w:val="none"/>
        </w:rPr>
      </w:pPr>
    </w:p>
    <w:p>
      <w:pPr>
        <w:rPr>
          <w:rFonts w:ascii="Arial" w:hAnsi="Arial" w:cs="Arial"/>
          <w:color w:val="auto"/>
          <w:highlight w:val="none"/>
        </w:rPr>
      </w:pPr>
      <w:r>
        <w:rPr>
          <w:rFonts w:hint="eastAsia" w:ascii="Arial" w:hAnsi="Arial" w:cs="Arial"/>
          <w:color w:val="auto"/>
          <w:highlight w:val="none"/>
        </w:rPr>
        <w:t>按照招标文件技术标详细审查评分表内评审内容提供。</w:t>
      </w: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2"/>
        <w:rPr>
          <w:rFonts w:ascii="Arial" w:hAnsi="Arial" w:cs="Arial"/>
          <w:color w:val="auto"/>
          <w:highlight w:val="none"/>
        </w:rPr>
      </w:pPr>
    </w:p>
    <w:p>
      <w:pPr>
        <w:pStyle w:val="136"/>
        <w:spacing w:beforeLines="0" w:after="120"/>
        <w:jc w:val="left"/>
        <w:outlineLvl w:val="9"/>
        <w:rPr>
          <w:rFonts w:ascii="Arial" w:hAnsi="Arial" w:cs="Arial"/>
          <w:color w:val="auto"/>
          <w:highlight w:val="none"/>
        </w:rPr>
      </w:pPr>
      <w:r>
        <w:rPr>
          <w:rFonts w:ascii="Arial" w:hAnsi="Arial" w:cs="Arial"/>
          <w:color w:val="auto"/>
          <w:highlight w:val="none"/>
        </w:rPr>
        <w:br w:type="page"/>
      </w:r>
    </w:p>
    <w:p>
      <w:pPr>
        <w:pStyle w:val="136"/>
        <w:spacing w:beforeLines="0" w:after="120"/>
        <w:jc w:val="left"/>
        <w:rPr>
          <w:rFonts w:ascii="Arial" w:hAnsi="Arial" w:eastAsia="宋体" w:cs="Arial"/>
          <w:b w:val="0"/>
          <w:color w:val="auto"/>
          <w:spacing w:val="0"/>
          <w:kern w:val="2"/>
          <w:sz w:val="24"/>
          <w:szCs w:val="24"/>
          <w:highlight w:val="none"/>
        </w:rPr>
      </w:pPr>
      <w:r>
        <w:rPr>
          <w:rFonts w:hint="eastAsia" w:ascii="Arial" w:hAnsi="Arial" w:eastAsia="宋体" w:cs="Arial"/>
          <w:b w:val="0"/>
          <w:color w:val="auto"/>
          <w:spacing w:val="0"/>
          <w:kern w:val="2"/>
          <w:sz w:val="24"/>
          <w:szCs w:val="24"/>
          <w:highlight w:val="none"/>
        </w:rPr>
        <w:t>附件九：施工项目管理团队人员信息表</w:t>
      </w:r>
    </w:p>
    <w:tbl>
      <w:tblPr>
        <w:tblStyle w:val="54"/>
        <w:tblW w:w="9000" w:type="dxa"/>
        <w:jc w:val="center"/>
        <w:tblLayout w:type="autofit"/>
        <w:tblCellMar>
          <w:top w:w="0" w:type="dxa"/>
          <w:left w:w="108" w:type="dxa"/>
          <w:bottom w:w="0" w:type="dxa"/>
          <w:right w:w="108" w:type="dxa"/>
        </w:tblCellMar>
      </w:tblPr>
      <w:tblGrid>
        <w:gridCol w:w="696"/>
        <w:gridCol w:w="1534"/>
        <w:gridCol w:w="1927"/>
        <w:gridCol w:w="1780"/>
        <w:gridCol w:w="3069"/>
      </w:tblGrid>
      <w:tr>
        <w:tblPrEx>
          <w:tblCellMar>
            <w:top w:w="0" w:type="dxa"/>
            <w:left w:w="108" w:type="dxa"/>
            <w:bottom w:w="0" w:type="dxa"/>
            <w:right w:w="108" w:type="dxa"/>
          </w:tblCellMar>
        </w:tblPrEx>
        <w:trPr>
          <w:trHeight w:val="1137" w:hRule="atLeast"/>
          <w:jc w:val="center"/>
        </w:trPr>
        <w:tc>
          <w:tcPr>
            <w:tcW w:w="9000" w:type="dxa"/>
            <w:gridSpan w:val="5"/>
            <w:tcBorders>
              <w:top w:val="nil"/>
              <w:left w:val="nil"/>
              <w:bottom w:val="single" w:color="auto" w:sz="4" w:space="0"/>
              <w:right w:val="nil"/>
            </w:tcBorders>
            <w:shd w:val="clear" w:color="auto" w:fill="auto"/>
            <w:noWrap/>
            <w:vAlign w:val="center"/>
          </w:tcPr>
          <w:p>
            <w:pPr>
              <w:widowControl/>
              <w:jc w:val="center"/>
              <w:rPr>
                <w:rFonts w:ascii="方正大标宋简体" w:hAnsi="等线" w:eastAsia="方正大标宋简体" w:cs="宋体"/>
                <w:b/>
                <w:bCs/>
                <w:color w:val="auto"/>
                <w:kern w:val="0"/>
                <w:sz w:val="24"/>
                <w:szCs w:val="32"/>
                <w:highlight w:val="none"/>
              </w:rPr>
            </w:pPr>
            <w:r>
              <w:rPr>
                <w:rFonts w:hint="eastAsia" w:ascii="方正大标宋简体" w:hAnsi="等线" w:eastAsia="方正大标宋简体" w:cs="宋体"/>
                <w:b/>
                <w:bCs/>
                <w:color w:val="auto"/>
                <w:kern w:val="0"/>
                <w:sz w:val="24"/>
                <w:szCs w:val="32"/>
                <w:highlight w:val="none"/>
              </w:rPr>
              <w:t>施工项目管理团队人员信息表</w:t>
            </w:r>
          </w:p>
        </w:tc>
      </w:tr>
      <w:tr>
        <w:tblPrEx>
          <w:tblCellMar>
            <w:top w:w="0" w:type="dxa"/>
            <w:left w:w="108" w:type="dxa"/>
            <w:bottom w:w="0" w:type="dxa"/>
            <w:right w:w="108" w:type="dxa"/>
          </w:tblCellMar>
        </w:tblPrEx>
        <w:trPr>
          <w:trHeight w:val="976"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序号</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姓名</w:t>
            </w:r>
          </w:p>
        </w:tc>
        <w:tc>
          <w:tcPr>
            <w:tcW w:w="19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岗位</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职称</w:t>
            </w:r>
          </w:p>
        </w:tc>
        <w:tc>
          <w:tcPr>
            <w:tcW w:w="306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职称证书或资格证书编号</w:t>
            </w:r>
          </w:p>
        </w:tc>
      </w:tr>
      <w:tr>
        <w:tblPrEx>
          <w:tblCellMar>
            <w:top w:w="0" w:type="dxa"/>
            <w:left w:w="108" w:type="dxa"/>
            <w:bottom w:w="0" w:type="dxa"/>
            <w:right w:w="108" w:type="dxa"/>
          </w:tblCellMar>
        </w:tblPrEx>
        <w:trPr>
          <w:trHeight w:val="564" w:hRule="atLeast"/>
          <w:jc w:val="center"/>
        </w:trPr>
        <w:tc>
          <w:tcPr>
            <w:tcW w:w="6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ascii="仿宋" w:hAnsi="仿宋" w:eastAsia="仿宋" w:cs="宋体"/>
                <w:color w:val="auto"/>
                <w:kern w:val="0"/>
                <w:sz w:val="24"/>
                <w:szCs w:val="28"/>
                <w:highlight w:val="none"/>
              </w:rPr>
              <w:t>1</w:t>
            </w:r>
          </w:p>
        </w:tc>
        <w:tc>
          <w:tcPr>
            <w:tcW w:w="15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92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宋体" w:hAnsi="宋体" w:cs="宋体"/>
                <w:color w:val="auto"/>
                <w:szCs w:val="21"/>
                <w:highlight w:val="none"/>
                <w:shd w:val="clear" w:color="auto" w:fill="FFFFFF"/>
              </w:rPr>
              <w:t>技术负责人</w:t>
            </w:r>
            <w:r>
              <w:rPr>
                <w:rFonts w:hint="eastAsia" w:ascii="仿宋" w:hAnsi="仿宋" w:eastAsia="仿宋" w:cs="宋体"/>
                <w:color w:val="auto"/>
                <w:kern w:val="0"/>
                <w:sz w:val="24"/>
                <w:szCs w:val="28"/>
                <w:highlight w:val="none"/>
              </w:rPr>
              <w:t>　</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06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64" w:hRule="atLeast"/>
          <w:jc w:val="center"/>
        </w:trPr>
        <w:tc>
          <w:tcPr>
            <w:tcW w:w="6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ascii="仿宋" w:hAnsi="仿宋" w:eastAsia="仿宋" w:cs="宋体"/>
                <w:color w:val="auto"/>
                <w:kern w:val="0"/>
                <w:sz w:val="24"/>
                <w:szCs w:val="28"/>
                <w:highlight w:val="none"/>
              </w:rPr>
              <w:t>2</w:t>
            </w:r>
          </w:p>
        </w:tc>
        <w:tc>
          <w:tcPr>
            <w:tcW w:w="15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92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宋体" w:hAnsi="宋体" w:cs="宋体"/>
                <w:color w:val="auto"/>
                <w:szCs w:val="21"/>
                <w:highlight w:val="none"/>
                <w:shd w:val="clear" w:color="auto" w:fill="FFFFFF"/>
              </w:rPr>
              <w:t>质量负责人</w:t>
            </w:r>
            <w:r>
              <w:rPr>
                <w:rFonts w:hint="eastAsia" w:ascii="仿宋" w:hAnsi="仿宋" w:eastAsia="仿宋" w:cs="宋体"/>
                <w:color w:val="auto"/>
                <w:kern w:val="0"/>
                <w:sz w:val="24"/>
                <w:szCs w:val="28"/>
                <w:highlight w:val="none"/>
              </w:rPr>
              <w:t>　</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06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64" w:hRule="atLeast"/>
          <w:jc w:val="center"/>
        </w:trPr>
        <w:tc>
          <w:tcPr>
            <w:tcW w:w="6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ascii="仿宋" w:hAnsi="仿宋" w:eastAsia="仿宋" w:cs="宋体"/>
                <w:color w:val="auto"/>
                <w:kern w:val="0"/>
                <w:sz w:val="24"/>
                <w:szCs w:val="28"/>
                <w:highlight w:val="none"/>
              </w:rPr>
              <w:t>3</w:t>
            </w:r>
          </w:p>
        </w:tc>
        <w:tc>
          <w:tcPr>
            <w:tcW w:w="15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92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r>
              <w:rPr>
                <w:rFonts w:hint="eastAsia" w:ascii="宋体" w:hAnsi="宋体" w:cs="宋体"/>
                <w:color w:val="auto"/>
                <w:szCs w:val="21"/>
                <w:highlight w:val="none"/>
                <w:shd w:val="clear" w:color="auto" w:fill="FFFFFF"/>
              </w:rPr>
              <w:t>安全负责人</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06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64" w:hRule="atLeast"/>
          <w:jc w:val="center"/>
        </w:trPr>
        <w:tc>
          <w:tcPr>
            <w:tcW w:w="6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ascii="仿宋" w:hAnsi="仿宋" w:eastAsia="仿宋" w:cs="宋体"/>
                <w:color w:val="auto"/>
                <w:kern w:val="0"/>
                <w:sz w:val="24"/>
                <w:szCs w:val="28"/>
                <w:highlight w:val="none"/>
              </w:rPr>
              <w:t>4</w:t>
            </w:r>
          </w:p>
        </w:tc>
        <w:tc>
          <w:tcPr>
            <w:tcW w:w="15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92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06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64" w:hRule="atLeast"/>
          <w:jc w:val="center"/>
        </w:trPr>
        <w:tc>
          <w:tcPr>
            <w:tcW w:w="6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ascii="仿宋" w:hAnsi="仿宋" w:eastAsia="仿宋" w:cs="宋体"/>
                <w:color w:val="auto"/>
                <w:kern w:val="0"/>
                <w:sz w:val="24"/>
                <w:szCs w:val="28"/>
                <w:highlight w:val="none"/>
              </w:rPr>
              <w:t>5</w:t>
            </w:r>
          </w:p>
        </w:tc>
        <w:tc>
          <w:tcPr>
            <w:tcW w:w="15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92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06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64" w:hRule="atLeast"/>
          <w:jc w:val="center"/>
        </w:trPr>
        <w:tc>
          <w:tcPr>
            <w:tcW w:w="6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ascii="仿宋" w:hAnsi="仿宋" w:eastAsia="仿宋" w:cs="宋体"/>
                <w:color w:val="auto"/>
                <w:kern w:val="0"/>
                <w:sz w:val="24"/>
                <w:szCs w:val="28"/>
                <w:highlight w:val="none"/>
              </w:rPr>
              <w:t>6</w:t>
            </w:r>
          </w:p>
        </w:tc>
        <w:tc>
          <w:tcPr>
            <w:tcW w:w="15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92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06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64" w:hRule="atLeast"/>
          <w:jc w:val="center"/>
        </w:trPr>
        <w:tc>
          <w:tcPr>
            <w:tcW w:w="6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w:t>
            </w:r>
          </w:p>
        </w:tc>
        <w:tc>
          <w:tcPr>
            <w:tcW w:w="15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92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06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727" w:hRule="atLeast"/>
          <w:jc w:val="center"/>
        </w:trPr>
        <w:tc>
          <w:tcPr>
            <w:tcW w:w="90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auto"/>
                <w:highlight w:val="none"/>
              </w:rPr>
            </w:pPr>
            <w:r>
              <w:rPr>
                <w:rFonts w:hint="eastAsia"/>
                <w:color w:val="auto"/>
                <w:highlight w:val="none"/>
              </w:rPr>
              <w:t>备注：</w:t>
            </w:r>
          </w:p>
          <w:p>
            <w:pPr>
              <w:pStyle w:val="30"/>
              <w:rPr>
                <w:color w:val="auto"/>
                <w:highlight w:val="none"/>
              </w:rPr>
            </w:pPr>
          </w:p>
          <w:p>
            <w:pPr>
              <w:widowControl/>
              <w:jc w:val="left"/>
              <w:rPr>
                <w:color w:val="auto"/>
                <w:highlight w:val="none"/>
              </w:rPr>
            </w:pPr>
            <w:r>
              <w:rPr>
                <w:rFonts w:hint="eastAsia"/>
                <w:color w:val="auto"/>
                <w:highlight w:val="none"/>
              </w:rPr>
              <w:t>1、“岗位”要求（除项目负责人和专职安全员外）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pStyle w:val="30"/>
              <w:rPr>
                <w:color w:val="auto"/>
                <w:highlight w:val="none"/>
              </w:rPr>
            </w:pPr>
          </w:p>
          <w:p>
            <w:pPr>
              <w:widowControl/>
              <w:jc w:val="left"/>
              <w:rPr>
                <w:color w:val="auto"/>
                <w:highlight w:val="none"/>
              </w:rPr>
            </w:pPr>
            <w:r>
              <w:rPr>
                <w:rFonts w:hint="eastAsia"/>
                <w:color w:val="auto"/>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pStyle w:val="30"/>
              <w:rPr>
                <w:color w:val="auto"/>
                <w:highlight w:val="none"/>
              </w:rPr>
            </w:pPr>
          </w:p>
          <w:p>
            <w:pPr>
              <w:widowControl/>
              <w:jc w:val="left"/>
              <w:rPr>
                <w:color w:val="auto"/>
                <w:highlight w:val="none"/>
              </w:rPr>
            </w:pPr>
            <w:r>
              <w:rPr>
                <w:rFonts w:hint="eastAsia"/>
                <w:color w:val="auto"/>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pStyle w:val="30"/>
              <w:rPr>
                <w:color w:val="auto"/>
                <w:highlight w:val="none"/>
              </w:rPr>
            </w:pPr>
          </w:p>
        </w:tc>
      </w:tr>
    </w:tbl>
    <w:p>
      <w:pPr>
        <w:rPr>
          <w:color w:val="auto"/>
          <w:highlight w:val="none"/>
        </w:rPr>
      </w:pPr>
    </w:p>
    <w:p>
      <w:pPr>
        <w:rPr>
          <w:rFonts w:ascii="Arial" w:hAnsi="Arial" w:cs="Arial"/>
          <w:color w:val="auto"/>
          <w:sz w:val="24"/>
          <w:szCs w:val="24"/>
          <w:highlight w:val="none"/>
        </w:rPr>
      </w:pPr>
      <w:r>
        <w:rPr>
          <w:rFonts w:ascii="Arial" w:hAnsi="Arial" w:cs="Arial"/>
          <w:color w:val="auto"/>
          <w:sz w:val="24"/>
          <w:szCs w:val="24"/>
          <w:highlight w:val="none"/>
        </w:rPr>
        <w:br w:type="page"/>
      </w:r>
      <w:bookmarkStart w:id="69" w:name="_Toc101266308"/>
      <w:bookmarkStart w:id="70" w:name="_Toc2272568"/>
      <w:r>
        <w:rPr>
          <w:rFonts w:hint="eastAsia" w:ascii="Arial" w:hAnsi="Arial" w:cs="Arial"/>
          <w:color w:val="auto"/>
          <w:sz w:val="24"/>
          <w:szCs w:val="24"/>
          <w:highlight w:val="none"/>
        </w:rPr>
        <w:t>附件十</w:t>
      </w:r>
    </w:p>
    <w:p>
      <w:pPr>
        <w:pStyle w:val="50"/>
        <w:widowControl/>
        <w:shd w:val="clear" w:color="auto" w:fill="FFFFFF"/>
        <w:spacing w:before="156" w:after="156" w:line="360" w:lineRule="atLeast"/>
        <w:jc w:val="center"/>
        <w:rPr>
          <w:rFonts w:ascii="宋体" w:hAnsi="宋体" w:cs="宋体"/>
          <w:b/>
          <w:bCs/>
          <w:color w:val="auto"/>
          <w:spacing w:val="4"/>
          <w:sz w:val="28"/>
          <w:szCs w:val="28"/>
          <w:highlight w:val="none"/>
          <w:shd w:val="clear" w:color="auto" w:fill="FFFFFF"/>
        </w:rPr>
      </w:pPr>
      <w:r>
        <w:rPr>
          <w:rFonts w:hint="eastAsia" w:ascii="宋体" w:hAnsi="宋体" w:cs="宋体"/>
          <w:b/>
          <w:bCs/>
          <w:color w:val="auto"/>
          <w:spacing w:val="4"/>
          <w:sz w:val="28"/>
          <w:szCs w:val="28"/>
          <w:highlight w:val="none"/>
          <w:shd w:val="clear" w:color="auto" w:fill="FFFFFF"/>
        </w:rPr>
        <w:t>联合体工作协议</w:t>
      </w:r>
    </w:p>
    <w:p>
      <w:pPr>
        <w:widowControl/>
        <w:jc w:val="left"/>
        <w:rPr>
          <w:color w:val="auto"/>
          <w:highlight w:val="none"/>
        </w:rPr>
      </w:pPr>
      <w:r>
        <w:rPr>
          <w:rFonts w:hint="eastAsia" w:ascii="宋体" w:hAnsi="宋体" w:cs="宋体"/>
          <w:color w:val="auto"/>
          <w:kern w:val="0"/>
          <w:sz w:val="24"/>
          <w:szCs w:val="24"/>
          <w:highlight w:val="none"/>
          <w:lang w:bidi="ar"/>
        </w:rPr>
        <w:t>投标项目名称：</w:t>
      </w:r>
      <w:r>
        <w:rPr>
          <w:rFonts w:ascii="宋体" w:hAnsi="宋体" w:cs="宋体"/>
          <w:color w:val="auto"/>
          <w:kern w:val="0"/>
          <w:sz w:val="24"/>
          <w:szCs w:val="24"/>
          <w:highlight w:val="none"/>
          <w:lang w:bidi="ar"/>
        </w:rPr>
        <w:t xml:space="preserve">            </w:t>
      </w:r>
    </w:p>
    <w:p>
      <w:pPr>
        <w:widowControl/>
        <w:jc w:val="left"/>
        <w:rPr>
          <w:color w:val="auto"/>
          <w:highlight w:val="none"/>
        </w:rPr>
      </w:pPr>
      <w:r>
        <w:rPr>
          <w:rFonts w:hint="eastAsia" w:ascii="宋体" w:hAnsi="宋体" w:cs="宋体"/>
          <w:color w:val="auto"/>
          <w:kern w:val="0"/>
          <w:sz w:val="24"/>
          <w:szCs w:val="24"/>
          <w:highlight w:val="none"/>
          <w:lang w:bidi="ar"/>
        </w:rPr>
        <w:t>致：</w:t>
      </w:r>
      <w:r>
        <w:rPr>
          <w:rFonts w:ascii="宋体" w:hAnsi="宋体" w:cs="宋体"/>
          <w:color w:val="auto"/>
          <w:kern w:val="0"/>
          <w:sz w:val="24"/>
          <w:szCs w:val="24"/>
          <w:highlight w:val="none"/>
          <w:lang w:bidi="ar"/>
        </w:rPr>
        <w:t xml:space="preserve"> （招标人、招标代理机构名称） </w:t>
      </w:r>
    </w:p>
    <w:p>
      <w:pPr>
        <w:pStyle w:val="50"/>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 </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自愿组成联合体，共同参加</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投标。现就联合体投标事宜订立如下协议。</w:t>
      </w:r>
    </w:p>
    <w:p>
      <w:pPr>
        <w:pStyle w:val="50"/>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1、</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为联合体主办方。</w:t>
      </w:r>
    </w:p>
    <w:p>
      <w:pPr>
        <w:pStyle w:val="50"/>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pStyle w:val="50"/>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3、联合体将严格按照招标文件的各项要求，递交投标文件，履行合同，并对外承担连带责任。</w:t>
      </w:r>
    </w:p>
    <w:p>
      <w:pPr>
        <w:pStyle w:val="50"/>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4、联合体各成员单位内部的职责分工如下：</w:t>
      </w:r>
    </w:p>
    <w:p>
      <w:pPr>
        <w:pStyle w:val="50"/>
        <w:widowControl/>
        <w:shd w:val="clear" w:color="auto" w:fill="FFFFFF"/>
        <w:spacing w:line="360" w:lineRule="atLeast"/>
        <w:ind w:firstLine="420"/>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①</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：作为本项目总负责单位（联合体主办方），除负责本项目的机电工程工作外，还对本招标项目的进度、质量、安全、投资控制、管理、协调等负全责，具体按合同要求。</w:t>
      </w:r>
    </w:p>
    <w:p>
      <w:pPr>
        <w:pStyle w:val="50"/>
        <w:widowControl/>
        <w:shd w:val="clear" w:color="auto" w:fill="FFFFFF"/>
        <w:spacing w:line="360" w:lineRule="atLeast"/>
        <w:ind w:firstLine="420"/>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②</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：主要承担本项目的</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工作，具体按合同要求。</w:t>
      </w:r>
    </w:p>
    <w:p>
      <w:pPr>
        <w:pStyle w:val="50"/>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5、本协议书自签署之日起生效，合同履行完毕后自动失效。</w:t>
      </w:r>
    </w:p>
    <w:p>
      <w:pPr>
        <w:pStyle w:val="50"/>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6、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pStyle w:val="50"/>
        <w:widowControl/>
        <w:shd w:val="clear" w:color="auto" w:fill="FFFFFF"/>
        <w:spacing w:line="360" w:lineRule="atLeast"/>
        <w:rPr>
          <w:rFonts w:ascii="宋体" w:hAnsi="宋体" w:cs="宋体"/>
          <w:color w:val="auto"/>
          <w:sz w:val="21"/>
          <w:szCs w:val="21"/>
          <w:highlight w:val="none"/>
          <w:shd w:val="clear" w:color="auto" w:fill="FFFFFF"/>
        </w:rPr>
      </w:pPr>
    </w:p>
    <w:p>
      <w:pPr>
        <w:pStyle w:val="50"/>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主办方名称：</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（盖单位章）</w:t>
      </w:r>
    </w:p>
    <w:p>
      <w:pPr>
        <w:pStyle w:val="50"/>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法定代表人：</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（签字或盖章）</w:t>
      </w:r>
    </w:p>
    <w:p>
      <w:pPr>
        <w:pStyle w:val="50"/>
        <w:widowControl/>
        <w:shd w:val="clear" w:color="auto" w:fill="FFFFFF"/>
        <w:spacing w:line="360" w:lineRule="atLeast"/>
        <w:rPr>
          <w:rFonts w:ascii="宋体" w:hAnsi="宋体" w:cs="宋体"/>
          <w:color w:val="auto"/>
          <w:sz w:val="21"/>
          <w:szCs w:val="21"/>
          <w:highlight w:val="none"/>
          <w:shd w:val="clear" w:color="auto" w:fill="FFFFFF"/>
        </w:rPr>
      </w:pPr>
    </w:p>
    <w:p>
      <w:pPr>
        <w:pStyle w:val="50"/>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成员名称：</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（盖单位章）</w:t>
      </w:r>
    </w:p>
    <w:p>
      <w:pPr>
        <w:pStyle w:val="50"/>
        <w:widowControl/>
        <w:shd w:val="clear" w:color="auto" w:fill="FFFFFF"/>
        <w:spacing w:line="360" w:lineRule="atLeast"/>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法定代表人：</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（签字或盖章）</w:t>
      </w:r>
    </w:p>
    <w:p>
      <w:pPr>
        <w:pStyle w:val="50"/>
        <w:widowControl/>
        <w:shd w:val="clear" w:color="auto" w:fill="FFFFFF"/>
        <w:spacing w:line="360" w:lineRule="atLeast"/>
        <w:rPr>
          <w:rFonts w:ascii="宋体" w:hAnsi="宋体" w:cs="宋体"/>
          <w:color w:val="auto"/>
          <w:sz w:val="21"/>
          <w:szCs w:val="21"/>
          <w:highlight w:val="none"/>
          <w:shd w:val="clear" w:color="auto" w:fill="FFFFFF"/>
        </w:rPr>
      </w:pPr>
    </w:p>
    <w:p>
      <w:pPr>
        <w:pStyle w:val="50"/>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成员名称：</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（盖单位章）</w:t>
      </w:r>
    </w:p>
    <w:p>
      <w:pPr>
        <w:pStyle w:val="50"/>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法定代表人：</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（签字或盖章）</w:t>
      </w:r>
    </w:p>
    <w:p>
      <w:pPr>
        <w:pStyle w:val="50"/>
        <w:widowControl/>
        <w:shd w:val="clear" w:color="auto" w:fill="FFFFFF"/>
        <w:spacing w:line="360" w:lineRule="atLeast"/>
        <w:rPr>
          <w:rFonts w:ascii="宋体" w:hAnsi="宋体" w:cs="宋体"/>
          <w:color w:val="auto"/>
          <w:sz w:val="21"/>
          <w:szCs w:val="21"/>
          <w:highlight w:val="none"/>
          <w:shd w:val="clear" w:color="auto" w:fill="FFFFFF"/>
        </w:rPr>
      </w:pPr>
    </w:p>
    <w:p>
      <w:pPr>
        <w:pStyle w:val="50"/>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年</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月</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日</w:t>
      </w:r>
    </w:p>
    <w:p>
      <w:pPr>
        <w:pStyle w:val="50"/>
        <w:widowControl/>
        <w:shd w:val="clear" w:color="auto" w:fill="FFFFFF"/>
        <w:rPr>
          <w:rFonts w:ascii="宋体" w:hAnsi="宋体" w:cs="宋体"/>
          <w:b/>
          <w:bCs/>
          <w:color w:val="auto"/>
          <w:sz w:val="21"/>
          <w:szCs w:val="21"/>
          <w:highlight w:val="none"/>
          <w:shd w:val="clear" w:color="auto" w:fill="FFFFFF"/>
        </w:rPr>
      </w:pPr>
    </w:p>
    <w:p>
      <w:pPr>
        <w:pStyle w:val="50"/>
        <w:widowControl/>
        <w:shd w:val="clear" w:color="auto" w:fill="FFFFFF"/>
        <w:rPr>
          <w:rFonts w:ascii="微软雅黑" w:hAnsi="微软雅黑" w:eastAsia="微软雅黑" w:cs="微软雅黑"/>
          <w:color w:val="auto"/>
          <w:szCs w:val="24"/>
          <w:highlight w:val="none"/>
        </w:rPr>
      </w:pPr>
      <w:r>
        <w:rPr>
          <w:rFonts w:hint="eastAsia" w:ascii="宋体" w:hAnsi="宋体" w:cs="宋体"/>
          <w:b/>
          <w:bCs/>
          <w:color w:val="auto"/>
          <w:sz w:val="21"/>
          <w:szCs w:val="21"/>
          <w:highlight w:val="none"/>
          <w:shd w:val="clear" w:color="auto" w:fill="FFFFFF"/>
        </w:rPr>
        <w:t>注：单独投标的，无需提交本协议书。</w:t>
      </w:r>
    </w:p>
    <w:p>
      <w:pPr>
        <w:rPr>
          <w:rFonts w:ascii="Arial" w:hAnsi="Arial" w:cs="Arial"/>
          <w:color w:val="auto"/>
          <w:sz w:val="24"/>
          <w:szCs w:val="24"/>
          <w:highlight w:val="none"/>
        </w:rPr>
      </w:pPr>
      <w:r>
        <w:rPr>
          <w:rFonts w:ascii="Arial" w:hAnsi="Arial" w:cs="Arial"/>
          <w:color w:val="auto"/>
          <w:sz w:val="24"/>
          <w:szCs w:val="24"/>
          <w:highlight w:val="none"/>
        </w:rPr>
        <w:br w:type="page"/>
      </w:r>
    </w:p>
    <w:p>
      <w:pPr>
        <w:tabs>
          <w:tab w:val="left" w:pos="720"/>
        </w:tabs>
        <w:snapToGrid w:val="0"/>
        <w:spacing w:line="360" w:lineRule="auto"/>
        <w:rPr>
          <w:rStyle w:val="69"/>
          <w:rFonts w:cs="Arial"/>
          <w:color w:val="auto"/>
          <w:highlight w:val="none"/>
        </w:rPr>
      </w:pPr>
      <w:r>
        <w:rPr>
          <w:rStyle w:val="69"/>
          <w:rFonts w:hint="eastAsia" w:cs="Arial"/>
          <w:color w:val="auto"/>
          <w:highlight w:val="none"/>
        </w:rPr>
        <w:t>第五章</w:t>
      </w:r>
      <w:r>
        <w:rPr>
          <w:rStyle w:val="69"/>
          <w:rFonts w:cs="Arial"/>
          <w:color w:val="auto"/>
          <w:highlight w:val="none"/>
        </w:rPr>
        <w:t xml:space="preserve">  </w:t>
      </w:r>
      <w:r>
        <w:rPr>
          <w:rStyle w:val="69"/>
          <w:rFonts w:hint="eastAsia" w:cs="Arial"/>
          <w:color w:val="auto"/>
          <w:highlight w:val="none"/>
        </w:rPr>
        <w:t>技术条件（工程建设标准）</w:t>
      </w:r>
      <w:bookmarkEnd w:id="69"/>
      <w:bookmarkEnd w:id="70"/>
    </w:p>
    <w:p>
      <w:pPr>
        <w:rPr>
          <w:rFonts w:ascii="Arial" w:hAnsi="Arial" w:cs="Arial"/>
          <w:b/>
          <w:color w:val="auto"/>
          <w:sz w:val="24"/>
          <w:szCs w:val="24"/>
          <w:highlight w:val="none"/>
        </w:rPr>
      </w:pPr>
      <w:r>
        <w:rPr>
          <w:rFonts w:hint="eastAsia" w:ascii="Arial" w:hAnsi="Arial" w:cs="Arial"/>
          <w:color w:val="auto"/>
          <w:sz w:val="24"/>
          <w:szCs w:val="24"/>
          <w:highlight w:val="none"/>
        </w:rPr>
        <w:t>注：详见附件1。</w:t>
      </w:r>
    </w:p>
    <w:p>
      <w:pPr>
        <w:pStyle w:val="4"/>
        <w:rPr>
          <w:rFonts w:cs="Arial"/>
          <w:color w:val="auto"/>
          <w:highlight w:val="none"/>
        </w:rPr>
      </w:pPr>
      <w:r>
        <w:rPr>
          <w:rFonts w:cs="Arial"/>
          <w:color w:val="auto"/>
          <w:sz w:val="24"/>
          <w:szCs w:val="24"/>
          <w:highlight w:val="none"/>
        </w:rPr>
        <w:br w:type="page"/>
      </w:r>
      <w:bookmarkStart w:id="71" w:name="_Toc101266309"/>
      <w:bookmarkStart w:id="72" w:name="_Toc2272569"/>
      <w:r>
        <w:rPr>
          <w:rFonts w:hint="eastAsia" w:cs="Arial"/>
          <w:color w:val="auto"/>
          <w:highlight w:val="none"/>
        </w:rPr>
        <w:t>第六章</w:t>
      </w:r>
      <w:r>
        <w:rPr>
          <w:rFonts w:cs="Arial"/>
          <w:color w:val="auto"/>
          <w:highlight w:val="none"/>
        </w:rPr>
        <w:t xml:space="preserve">  </w:t>
      </w:r>
      <w:r>
        <w:rPr>
          <w:rFonts w:hint="eastAsia" w:cs="Arial"/>
          <w:color w:val="auto"/>
          <w:highlight w:val="none"/>
        </w:rPr>
        <w:t>图纸及勘察资料</w:t>
      </w:r>
      <w:bookmarkEnd w:id="71"/>
      <w:bookmarkEnd w:id="72"/>
    </w:p>
    <w:p>
      <w:pPr>
        <w:rPr>
          <w:rFonts w:ascii="Arial" w:hAnsi="Arial" w:cs="Arial"/>
          <w:b/>
          <w:color w:val="auto"/>
          <w:sz w:val="24"/>
          <w:szCs w:val="24"/>
          <w:highlight w:val="none"/>
        </w:rPr>
      </w:pPr>
      <w:r>
        <w:rPr>
          <w:rFonts w:hint="eastAsia" w:ascii="Arial" w:hAnsi="Arial" w:cs="Arial"/>
          <w:color w:val="auto"/>
          <w:sz w:val="24"/>
          <w:szCs w:val="24"/>
          <w:highlight w:val="none"/>
        </w:rPr>
        <w:t>注：本章由招标人自行制定，另册。</w:t>
      </w:r>
    </w:p>
    <w:p>
      <w:pPr>
        <w:pStyle w:val="4"/>
        <w:rPr>
          <w:rFonts w:cs="Arial"/>
          <w:color w:val="auto"/>
          <w:highlight w:val="none"/>
        </w:rPr>
      </w:pPr>
      <w:r>
        <w:rPr>
          <w:rFonts w:cs="Arial"/>
          <w:color w:val="auto"/>
          <w:sz w:val="24"/>
          <w:szCs w:val="24"/>
          <w:highlight w:val="none"/>
        </w:rPr>
        <w:br w:type="page"/>
      </w:r>
      <w:bookmarkStart w:id="73" w:name="_Toc2272570"/>
      <w:bookmarkStart w:id="74" w:name="_Toc101266310"/>
      <w:r>
        <w:rPr>
          <w:rFonts w:hint="eastAsia" w:cs="Arial"/>
          <w:color w:val="auto"/>
          <w:highlight w:val="none"/>
        </w:rPr>
        <w:t>第七章</w:t>
      </w:r>
      <w:r>
        <w:rPr>
          <w:rFonts w:cs="Arial"/>
          <w:color w:val="auto"/>
          <w:highlight w:val="none"/>
        </w:rPr>
        <w:t xml:space="preserve">  </w:t>
      </w:r>
      <w:r>
        <w:rPr>
          <w:rFonts w:hint="eastAsia" w:cs="Arial"/>
          <w:color w:val="auto"/>
          <w:highlight w:val="none"/>
        </w:rPr>
        <w:t>工程量清单</w:t>
      </w:r>
      <w:bookmarkEnd w:id="73"/>
      <w:bookmarkEnd w:id="74"/>
    </w:p>
    <w:p>
      <w:pPr>
        <w:rPr>
          <w:rFonts w:ascii="Arial" w:hAnsi="Arial" w:cs="Arial"/>
          <w:b/>
          <w:color w:val="auto"/>
          <w:sz w:val="24"/>
          <w:szCs w:val="24"/>
          <w:highlight w:val="none"/>
        </w:rPr>
      </w:pPr>
      <w:r>
        <w:rPr>
          <w:rFonts w:hint="eastAsia" w:ascii="Arial" w:hAnsi="Arial" w:cs="Arial"/>
          <w:color w:val="auto"/>
          <w:sz w:val="24"/>
          <w:szCs w:val="24"/>
          <w:highlight w:val="none"/>
        </w:rPr>
        <w:t>注：本章由招标人自行制定，另册。</w:t>
      </w:r>
    </w:p>
    <w:p>
      <w:pPr>
        <w:pStyle w:val="2"/>
        <w:spacing w:after="0" w:line="360" w:lineRule="auto"/>
        <w:ind w:left="-2" w:leftChars="-1" w:firstLine="960" w:firstLineChars="400"/>
        <w:rPr>
          <w:rFonts w:ascii="Arial" w:hAnsi="Arial" w:cs="Arial"/>
          <w:color w:val="auto"/>
          <w:sz w:val="24"/>
          <w:highlight w:val="none"/>
        </w:rPr>
      </w:pPr>
    </w:p>
    <w:p>
      <w:pPr>
        <w:rPr>
          <w:rFonts w:cs="Arial"/>
          <w:color w:val="auto"/>
          <w:highlight w:val="none"/>
        </w:rPr>
      </w:pPr>
    </w:p>
    <w:p>
      <w:pPr>
        <w:pStyle w:val="4"/>
        <w:rPr>
          <w:rFonts w:cs="Arial"/>
          <w:color w:val="auto"/>
          <w:highlight w:val="none"/>
        </w:rPr>
      </w:pPr>
      <w:r>
        <w:rPr>
          <w:rFonts w:cs="Arial"/>
          <w:color w:val="auto"/>
          <w:sz w:val="24"/>
          <w:szCs w:val="24"/>
          <w:highlight w:val="none"/>
        </w:rPr>
        <w:br w:type="page"/>
      </w:r>
      <w:bookmarkStart w:id="75" w:name="_Toc101266311"/>
      <w:bookmarkStart w:id="76" w:name="_Toc2272571"/>
      <w:r>
        <w:rPr>
          <w:rFonts w:hint="eastAsia" w:cs="Arial"/>
          <w:color w:val="auto"/>
          <w:highlight w:val="none"/>
        </w:rPr>
        <w:t>第八章</w:t>
      </w:r>
      <w:r>
        <w:rPr>
          <w:rFonts w:cs="Arial"/>
          <w:color w:val="auto"/>
          <w:highlight w:val="none"/>
        </w:rPr>
        <w:t xml:space="preserve">  </w:t>
      </w:r>
      <w:r>
        <w:rPr>
          <w:rFonts w:hint="eastAsia" w:cs="Arial"/>
          <w:color w:val="auto"/>
          <w:highlight w:val="none"/>
        </w:rPr>
        <w:t>最高投标限价</w:t>
      </w:r>
      <w:bookmarkEnd w:id="75"/>
      <w:bookmarkEnd w:id="76"/>
    </w:p>
    <w:p>
      <w:pPr>
        <w:spacing w:line="360" w:lineRule="auto"/>
        <w:ind w:firstLine="480"/>
        <w:rPr>
          <w:rFonts w:ascii="Arial" w:hAnsi="Arial" w:cs="Arial"/>
          <w:color w:val="auto"/>
          <w:sz w:val="24"/>
          <w:szCs w:val="24"/>
          <w:highlight w:val="none"/>
        </w:rPr>
      </w:pPr>
      <w:r>
        <w:rPr>
          <w:rFonts w:hint="eastAsia" w:ascii="Arial" w:hAnsi="Arial" w:cs="Arial"/>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Arial" w:hAnsi="Arial" w:cs="Arial"/>
          <w:color w:val="auto"/>
          <w:sz w:val="24"/>
          <w:szCs w:val="24"/>
          <w:highlight w:val="none"/>
          <w:u w:val="single"/>
        </w:rPr>
      </w:pPr>
    </w:p>
    <w:tbl>
      <w:tblPr>
        <w:tblStyle w:val="5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5" w:hRule="atLeast"/>
        </w:trPr>
        <w:tc>
          <w:tcPr>
            <w:tcW w:w="8528" w:type="dxa"/>
          </w:tcPr>
          <w:p>
            <w:pPr>
              <w:spacing w:line="600" w:lineRule="exact"/>
              <w:jc w:val="center"/>
              <w:rPr>
                <w:rFonts w:ascii="Arial" w:hAnsi="Arial" w:cs="Arial"/>
                <w:b/>
                <w:color w:val="auto"/>
                <w:spacing w:val="60"/>
                <w:sz w:val="44"/>
                <w:szCs w:val="44"/>
                <w:highlight w:val="none"/>
              </w:rPr>
            </w:pPr>
            <w:r>
              <w:rPr>
                <w:rFonts w:hint="eastAsia" w:ascii="Arial" w:hAnsi="Arial" w:cs="Arial"/>
                <w:b/>
                <w:color w:val="auto"/>
                <w:spacing w:val="60"/>
                <w:sz w:val="44"/>
                <w:szCs w:val="44"/>
                <w:highlight w:val="none"/>
              </w:rPr>
              <w:t>最高投标限价公布函</w:t>
            </w:r>
          </w:p>
          <w:p>
            <w:pPr>
              <w:spacing w:line="600" w:lineRule="exact"/>
              <w:jc w:val="center"/>
              <w:rPr>
                <w:rFonts w:ascii="Arial" w:hAnsi="Arial" w:cs="Arial"/>
                <w:b/>
                <w:color w:val="auto"/>
                <w:spacing w:val="60"/>
                <w:sz w:val="44"/>
                <w:szCs w:val="44"/>
                <w:highlight w:val="none"/>
              </w:rPr>
            </w:pPr>
            <w:r>
              <w:rPr>
                <w:rFonts w:hint="eastAsia" w:ascii="Arial" w:hAnsi="Arial" w:cs="Arial"/>
                <w:b/>
                <w:color w:val="auto"/>
                <w:spacing w:val="60"/>
                <w:sz w:val="44"/>
                <w:szCs w:val="44"/>
                <w:highlight w:val="none"/>
              </w:rPr>
              <w:t>（参考格式）</w:t>
            </w:r>
          </w:p>
          <w:p>
            <w:pPr>
              <w:spacing w:line="360" w:lineRule="auto"/>
              <w:rPr>
                <w:rFonts w:ascii="Arial" w:hAnsi="Arial" w:cs="Arial"/>
                <w:color w:val="auto"/>
                <w:szCs w:val="21"/>
                <w:highlight w:val="none"/>
              </w:rPr>
            </w:pPr>
          </w:p>
          <w:p>
            <w:pPr>
              <w:spacing w:line="360" w:lineRule="auto"/>
              <w:rPr>
                <w:rFonts w:ascii="Arial" w:hAnsi="Arial" w:cs="Arial"/>
                <w:color w:val="auto"/>
                <w:sz w:val="24"/>
                <w:szCs w:val="24"/>
                <w:highlight w:val="none"/>
              </w:rPr>
            </w:pPr>
            <w:r>
              <w:rPr>
                <w:rFonts w:hint="eastAsia" w:ascii="Arial" w:hAnsi="Arial" w:cs="Arial"/>
                <w:color w:val="auto"/>
                <w:sz w:val="24"/>
                <w:szCs w:val="24"/>
                <w:highlight w:val="none"/>
              </w:rPr>
              <w:t>工程名称：</w:t>
            </w:r>
            <w:r>
              <w:rPr>
                <w:rFonts w:ascii="Arial" w:hAnsi="Arial" w:cs="Arial"/>
                <w:color w:val="auto"/>
                <w:sz w:val="24"/>
                <w:szCs w:val="24"/>
                <w:highlight w:val="none"/>
                <w:u w:val="single"/>
              </w:rPr>
              <w:t xml:space="preserve">                                                            </w:t>
            </w:r>
          </w:p>
          <w:p>
            <w:pPr>
              <w:spacing w:line="360" w:lineRule="auto"/>
              <w:rPr>
                <w:rFonts w:ascii="Arial" w:hAnsi="Arial" w:cs="Arial"/>
                <w:color w:val="auto"/>
                <w:sz w:val="24"/>
                <w:szCs w:val="24"/>
                <w:highlight w:val="none"/>
              </w:rPr>
            </w:pPr>
            <w:r>
              <w:rPr>
                <w:rFonts w:hint="eastAsia" w:ascii="Arial" w:hAnsi="Arial" w:cs="Arial"/>
                <w:color w:val="auto"/>
                <w:sz w:val="24"/>
                <w:szCs w:val="24"/>
                <w:highlight w:val="none"/>
              </w:rPr>
              <w:t>最高投标限价（元）：</w:t>
            </w:r>
            <w:r>
              <w:rPr>
                <w:rFonts w:ascii="Arial" w:hAnsi="Arial" w:cs="Arial"/>
                <w:color w:val="auto"/>
                <w:sz w:val="24"/>
                <w:szCs w:val="24"/>
                <w:highlight w:val="none"/>
                <w:u w:val="single"/>
              </w:rPr>
              <w:t xml:space="preserve">                                                   </w:t>
            </w:r>
          </w:p>
          <w:p>
            <w:pPr>
              <w:spacing w:line="360" w:lineRule="auto"/>
              <w:ind w:firstLine="480" w:firstLineChars="200"/>
              <w:rPr>
                <w:rFonts w:ascii="Arial" w:hAnsi="Arial" w:cs="Arial"/>
                <w:color w:val="auto"/>
                <w:sz w:val="24"/>
                <w:szCs w:val="24"/>
                <w:highlight w:val="none"/>
                <w:u w:val="single"/>
              </w:rPr>
            </w:pPr>
            <w:r>
              <w:rPr>
                <w:rFonts w:hint="eastAsia" w:ascii="Arial" w:hAnsi="Arial" w:cs="Arial"/>
                <w:color w:val="auto"/>
                <w:sz w:val="24"/>
                <w:szCs w:val="24"/>
                <w:highlight w:val="none"/>
              </w:rPr>
              <w:t>分部分项工程费（元）：</w:t>
            </w:r>
            <w:r>
              <w:rPr>
                <w:rFonts w:ascii="Arial" w:hAnsi="Arial" w:cs="Arial"/>
                <w:color w:val="auto"/>
                <w:sz w:val="24"/>
                <w:szCs w:val="24"/>
                <w:highlight w:val="none"/>
                <w:u w:val="single"/>
              </w:rPr>
              <w:t xml:space="preserve">                                             </w:t>
            </w:r>
          </w:p>
          <w:p>
            <w:pPr>
              <w:spacing w:line="360" w:lineRule="auto"/>
              <w:ind w:firstLine="480" w:firstLineChars="200"/>
              <w:rPr>
                <w:rFonts w:ascii="Arial" w:hAnsi="Arial" w:cs="Arial"/>
                <w:color w:val="auto"/>
                <w:sz w:val="24"/>
                <w:szCs w:val="24"/>
                <w:highlight w:val="none"/>
                <w:u w:val="single"/>
              </w:rPr>
            </w:pPr>
            <w:r>
              <w:rPr>
                <w:rFonts w:hint="eastAsia" w:ascii="Arial" w:hAnsi="Arial" w:cs="Arial"/>
                <w:color w:val="auto"/>
                <w:sz w:val="24"/>
                <w:szCs w:val="24"/>
                <w:highlight w:val="none"/>
              </w:rPr>
              <w:t>措施项目费（元）：</w:t>
            </w:r>
            <w:r>
              <w:rPr>
                <w:rFonts w:ascii="Arial" w:hAnsi="Arial" w:cs="Arial"/>
                <w:color w:val="auto"/>
                <w:sz w:val="24"/>
                <w:szCs w:val="24"/>
                <w:highlight w:val="none"/>
                <w:u w:val="single"/>
              </w:rPr>
              <w:t xml:space="preserve">                                                 </w:t>
            </w:r>
          </w:p>
          <w:p>
            <w:pPr>
              <w:spacing w:line="360" w:lineRule="auto"/>
              <w:ind w:firstLine="960" w:firstLineChars="400"/>
              <w:rPr>
                <w:rFonts w:ascii="Arial" w:hAnsi="Arial" w:cs="Arial"/>
                <w:color w:val="auto"/>
                <w:sz w:val="24"/>
                <w:szCs w:val="24"/>
                <w:highlight w:val="none"/>
                <w:u w:val="single"/>
              </w:rPr>
            </w:pPr>
            <w:r>
              <w:rPr>
                <w:rFonts w:hint="eastAsia" w:ascii="Arial" w:hAnsi="Arial" w:cs="Arial"/>
                <w:color w:val="auto"/>
                <w:sz w:val="24"/>
                <w:szCs w:val="24"/>
                <w:highlight w:val="none"/>
              </w:rPr>
              <w:t>其中绿色施工安全防护措施费（元）：</w:t>
            </w:r>
            <w:r>
              <w:rPr>
                <w:rFonts w:ascii="Arial" w:hAnsi="Arial" w:cs="Arial"/>
                <w:color w:val="auto"/>
                <w:sz w:val="24"/>
                <w:szCs w:val="24"/>
                <w:highlight w:val="none"/>
                <w:u w:val="single"/>
              </w:rPr>
              <w:t xml:space="preserve">                             </w:t>
            </w:r>
          </w:p>
          <w:p>
            <w:pPr>
              <w:spacing w:line="360" w:lineRule="auto"/>
              <w:ind w:firstLine="723" w:firstLineChars="300"/>
              <w:rPr>
                <w:rFonts w:ascii="Arial" w:hAnsi="Arial" w:cs="Arial"/>
                <w:color w:val="auto"/>
                <w:sz w:val="24"/>
                <w:szCs w:val="24"/>
                <w:highlight w:val="none"/>
              </w:rPr>
            </w:pPr>
            <w:r>
              <w:rPr>
                <w:rFonts w:hint="eastAsia" w:ascii="Arial" w:hAnsi="Arial" w:cs="Arial"/>
                <w:b/>
                <w:color w:val="auto"/>
                <w:sz w:val="24"/>
                <w:szCs w:val="24"/>
                <w:highlight w:val="none"/>
              </w:rPr>
              <w:t>（详细列明各专业工程绿色施工安全防护措施费）</w:t>
            </w:r>
          </w:p>
          <w:p>
            <w:pPr>
              <w:spacing w:line="360" w:lineRule="auto"/>
              <w:ind w:firstLine="480" w:firstLineChars="200"/>
              <w:rPr>
                <w:rFonts w:ascii="Arial" w:hAnsi="Arial" w:cs="Arial"/>
                <w:color w:val="auto"/>
                <w:sz w:val="24"/>
                <w:szCs w:val="24"/>
                <w:highlight w:val="none"/>
                <w:u w:val="single"/>
              </w:rPr>
            </w:pPr>
            <w:r>
              <w:rPr>
                <w:rFonts w:hint="eastAsia" w:ascii="Arial" w:hAnsi="Arial" w:cs="Arial"/>
                <w:color w:val="auto"/>
                <w:sz w:val="24"/>
                <w:szCs w:val="24"/>
                <w:highlight w:val="none"/>
              </w:rPr>
              <w:t>其他项目费（元）：</w:t>
            </w:r>
            <w:r>
              <w:rPr>
                <w:rFonts w:ascii="Arial" w:hAnsi="Arial" w:cs="Arial"/>
                <w:color w:val="auto"/>
                <w:sz w:val="24"/>
                <w:szCs w:val="24"/>
                <w:highlight w:val="none"/>
                <w:u w:val="single"/>
              </w:rPr>
              <w:t xml:space="preserve">                                                 </w:t>
            </w:r>
          </w:p>
          <w:p>
            <w:pPr>
              <w:spacing w:line="360" w:lineRule="auto"/>
              <w:ind w:firstLine="960" w:firstLineChars="400"/>
              <w:rPr>
                <w:rFonts w:ascii="Arial" w:hAnsi="Arial" w:cs="Arial"/>
                <w:color w:val="auto"/>
                <w:sz w:val="24"/>
                <w:szCs w:val="24"/>
                <w:highlight w:val="none"/>
                <w:u w:val="single"/>
              </w:rPr>
            </w:pPr>
            <w:r>
              <w:rPr>
                <w:rFonts w:hint="eastAsia" w:ascii="Arial" w:hAnsi="Arial" w:cs="Arial"/>
                <w:color w:val="auto"/>
                <w:sz w:val="24"/>
                <w:szCs w:val="24"/>
                <w:highlight w:val="none"/>
              </w:rPr>
              <w:t>其中暂列金额（元）：</w:t>
            </w:r>
            <w:r>
              <w:rPr>
                <w:rFonts w:ascii="Arial" w:hAnsi="Arial" w:cs="Arial"/>
                <w:color w:val="auto"/>
                <w:sz w:val="24"/>
                <w:szCs w:val="24"/>
                <w:highlight w:val="none"/>
                <w:u w:val="single"/>
              </w:rPr>
              <w:t xml:space="preserve">                                           </w:t>
            </w:r>
          </w:p>
          <w:p>
            <w:pPr>
              <w:spacing w:line="360" w:lineRule="auto"/>
              <w:ind w:firstLine="723" w:firstLineChars="300"/>
              <w:rPr>
                <w:rFonts w:ascii="Arial" w:hAnsi="Arial" w:cs="Arial"/>
                <w:color w:val="auto"/>
                <w:sz w:val="24"/>
                <w:szCs w:val="24"/>
                <w:highlight w:val="none"/>
              </w:rPr>
            </w:pPr>
            <w:r>
              <w:rPr>
                <w:rFonts w:hint="eastAsia" w:ascii="Arial" w:hAnsi="Arial" w:cs="Arial"/>
                <w:b/>
                <w:color w:val="auto"/>
                <w:sz w:val="24"/>
                <w:szCs w:val="24"/>
                <w:highlight w:val="none"/>
              </w:rPr>
              <w:t>（详细列明各专业工程暂列金额）</w:t>
            </w:r>
          </w:p>
          <w:p>
            <w:pPr>
              <w:spacing w:line="360" w:lineRule="auto"/>
              <w:ind w:firstLine="480" w:firstLineChars="200"/>
              <w:rPr>
                <w:rFonts w:ascii="Arial" w:hAnsi="Arial" w:cs="Arial"/>
                <w:color w:val="auto"/>
                <w:sz w:val="24"/>
                <w:szCs w:val="24"/>
                <w:highlight w:val="none"/>
                <w:u w:val="single"/>
              </w:rPr>
            </w:pPr>
            <w:r>
              <w:rPr>
                <w:rFonts w:hint="eastAsia" w:ascii="Arial" w:hAnsi="Arial" w:cs="Arial"/>
                <w:color w:val="auto"/>
                <w:sz w:val="24"/>
                <w:szCs w:val="24"/>
                <w:highlight w:val="none"/>
              </w:rPr>
              <w:t>规费（元）：</w:t>
            </w:r>
            <w:r>
              <w:rPr>
                <w:rFonts w:ascii="Arial" w:hAnsi="Arial" w:cs="Arial"/>
                <w:color w:val="auto"/>
                <w:sz w:val="24"/>
                <w:szCs w:val="24"/>
                <w:highlight w:val="none"/>
                <w:u w:val="single"/>
              </w:rPr>
              <w:t xml:space="preserve">                                                       </w:t>
            </w:r>
          </w:p>
          <w:p>
            <w:pPr>
              <w:spacing w:line="360" w:lineRule="auto"/>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税金（元）：</w:t>
            </w:r>
            <w:r>
              <w:rPr>
                <w:rFonts w:ascii="Arial" w:hAnsi="Arial" w:cs="Arial"/>
                <w:color w:val="auto"/>
                <w:sz w:val="24"/>
                <w:szCs w:val="24"/>
                <w:highlight w:val="none"/>
                <w:u w:val="single"/>
              </w:rPr>
              <w:t xml:space="preserve">                                                       </w:t>
            </w:r>
          </w:p>
          <w:p>
            <w:pPr>
              <w:widowControl/>
              <w:spacing w:before="75" w:after="75" w:line="360" w:lineRule="auto"/>
              <w:ind w:firstLine="480" w:firstLineChars="200"/>
              <w:jc w:val="left"/>
              <w:rPr>
                <w:rFonts w:ascii="Arial" w:hAnsi="Arial" w:cs="Arial"/>
                <w:color w:val="auto"/>
                <w:kern w:val="0"/>
                <w:sz w:val="24"/>
                <w:szCs w:val="24"/>
                <w:highlight w:val="none"/>
              </w:rPr>
            </w:pPr>
          </w:p>
          <w:p>
            <w:pPr>
              <w:widowControl/>
              <w:spacing w:before="75" w:after="75" w:line="360" w:lineRule="auto"/>
              <w:ind w:firstLine="960" w:firstLineChars="400"/>
              <w:jc w:val="left"/>
              <w:rPr>
                <w:rFonts w:ascii="Arial" w:hAnsi="Arial" w:cs="Arial"/>
                <w:color w:val="auto"/>
                <w:kern w:val="0"/>
                <w:sz w:val="24"/>
                <w:szCs w:val="24"/>
                <w:highlight w:val="none"/>
              </w:rPr>
            </w:pPr>
            <w:r>
              <w:rPr>
                <w:rFonts w:hint="eastAsia" w:ascii="Arial" w:hAnsi="Arial" w:cs="Arial"/>
                <w:color w:val="auto"/>
                <w:kern w:val="0"/>
                <w:sz w:val="24"/>
                <w:szCs w:val="24"/>
                <w:highlight w:val="none"/>
              </w:rPr>
              <w:t>对公开招标工程，</w:t>
            </w:r>
            <w:r>
              <w:rPr>
                <w:rFonts w:hint="eastAsia" w:ascii="Arial" w:hAnsi="Arial" w:cs="Arial"/>
                <w:color w:val="auto"/>
                <w:sz w:val="24"/>
                <w:szCs w:val="24"/>
                <w:highlight w:val="none"/>
              </w:rPr>
              <w:t>投标人须按照公布的绿色施工安全防护措施费、</w:t>
            </w:r>
            <w:r>
              <w:rPr>
                <w:rFonts w:hint="eastAsia" w:ascii="Arial" w:hAnsi="Arial" w:cs="Arial"/>
                <w:color w:val="auto"/>
                <w:kern w:val="0"/>
                <w:sz w:val="24"/>
                <w:szCs w:val="24"/>
                <w:highlight w:val="none"/>
              </w:rPr>
              <w:t>暂</w:t>
            </w:r>
          </w:p>
          <w:p>
            <w:pPr>
              <w:widowControl/>
              <w:spacing w:before="75" w:after="75" w:line="360" w:lineRule="auto"/>
              <w:ind w:firstLine="480" w:firstLineChars="200"/>
              <w:jc w:val="left"/>
              <w:rPr>
                <w:rFonts w:ascii="Arial" w:hAnsi="Arial" w:cs="Arial"/>
                <w:color w:val="auto"/>
                <w:kern w:val="0"/>
                <w:sz w:val="24"/>
                <w:szCs w:val="24"/>
                <w:highlight w:val="none"/>
              </w:rPr>
            </w:pPr>
            <w:r>
              <w:rPr>
                <w:rFonts w:hint="eastAsia" w:ascii="Arial" w:hAnsi="Arial" w:cs="Arial"/>
                <w:color w:val="auto"/>
                <w:kern w:val="0"/>
                <w:sz w:val="24"/>
                <w:szCs w:val="24"/>
                <w:highlight w:val="none"/>
              </w:rPr>
              <w:t>列金额报价。</w:t>
            </w:r>
          </w:p>
          <w:p>
            <w:pPr>
              <w:widowControl/>
              <w:spacing w:before="75" w:after="75" w:line="360" w:lineRule="auto"/>
              <w:ind w:firstLine="5640" w:firstLineChars="2350"/>
              <w:jc w:val="left"/>
              <w:rPr>
                <w:rFonts w:ascii="Arial" w:hAnsi="Arial" w:cs="Arial"/>
                <w:b/>
                <w:color w:val="auto"/>
                <w:spacing w:val="60"/>
                <w:sz w:val="24"/>
                <w:szCs w:val="24"/>
                <w:highlight w:val="none"/>
              </w:rPr>
            </w:pPr>
            <w:r>
              <w:rPr>
                <w:rFonts w:hint="eastAsia" w:ascii="Arial" w:hAnsi="Arial" w:cs="Arial"/>
                <w:color w:val="auto"/>
                <w:sz w:val="24"/>
                <w:szCs w:val="24"/>
                <w:highlight w:val="none"/>
              </w:rPr>
              <w:t>招标单位（盖章）</w:t>
            </w:r>
            <w:r>
              <w:rPr>
                <w:rFonts w:ascii="Arial" w:hAnsi="Arial" w:cs="Arial"/>
                <w:b/>
                <w:color w:val="auto"/>
                <w:spacing w:val="60"/>
                <w:sz w:val="24"/>
                <w:szCs w:val="24"/>
                <w:highlight w:val="none"/>
              </w:rPr>
              <w:t xml:space="preserve">              </w:t>
            </w:r>
          </w:p>
          <w:p>
            <w:pPr>
              <w:widowControl/>
              <w:spacing w:before="75" w:after="75" w:line="360" w:lineRule="auto"/>
              <w:ind w:firstLine="5880" w:firstLineChars="2450"/>
              <w:jc w:val="left"/>
              <w:rPr>
                <w:rFonts w:ascii="Arial" w:hAnsi="Arial" w:cs="Arial"/>
                <w:b/>
                <w:color w:val="auto"/>
                <w:spacing w:val="60"/>
                <w:sz w:val="44"/>
                <w:szCs w:val="44"/>
                <w:highlight w:val="none"/>
              </w:rPr>
            </w:pPr>
            <w:r>
              <w:rPr>
                <w:rFonts w:hint="eastAsia" w:ascii="Arial" w:hAnsi="Arial" w:cs="Arial"/>
                <w:color w:val="auto"/>
                <w:kern w:val="0"/>
                <w:sz w:val="24"/>
                <w:szCs w:val="24"/>
                <w:highlight w:val="none"/>
              </w:rPr>
              <w:t>年</w:t>
            </w:r>
            <w:r>
              <w:rPr>
                <w:rFonts w:ascii="Arial" w:hAnsi="Arial" w:cs="Arial"/>
                <w:color w:val="auto"/>
                <w:kern w:val="0"/>
                <w:sz w:val="24"/>
                <w:szCs w:val="24"/>
                <w:highlight w:val="none"/>
              </w:rPr>
              <w:t xml:space="preserve">  </w:t>
            </w:r>
            <w:r>
              <w:rPr>
                <w:rFonts w:hint="eastAsia" w:ascii="Arial" w:hAnsi="Arial" w:cs="Arial"/>
                <w:color w:val="auto"/>
                <w:kern w:val="0"/>
                <w:sz w:val="24"/>
                <w:szCs w:val="24"/>
                <w:highlight w:val="none"/>
              </w:rPr>
              <w:t>月</w:t>
            </w:r>
            <w:r>
              <w:rPr>
                <w:rFonts w:ascii="Arial" w:hAnsi="Arial" w:cs="Arial"/>
                <w:color w:val="auto"/>
                <w:kern w:val="0"/>
                <w:sz w:val="24"/>
                <w:szCs w:val="24"/>
                <w:highlight w:val="none"/>
              </w:rPr>
              <w:t xml:space="preserve">  </w:t>
            </w:r>
            <w:r>
              <w:rPr>
                <w:rFonts w:hint="eastAsia" w:ascii="Arial" w:hAnsi="Arial" w:cs="Arial"/>
                <w:color w:val="auto"/>
                <w:kern w:val="0"/>
                <w:sz w:val="24"/>
                <w:szCs w:val="24"/>
                <w:highlight w:val="none"/>
              </w:rPr>
              <w:t>日</w:t>
            </w:r>
          </w:p>
        </w:tc>
      </w:tr>
    </w:tbl>
    <w:p>
      <w:pPr>
        <w:spacing w:line="360" w:lineRule="auto"/>
        <w:ind w:firstLine="480"/>
        <w:rPr>
          <w:rFonts w:ascii="Arial" w:hAnsi="Arial" w:cs="Arial"/>
          <w:color w:val="auto"/>
          <w:sz w:val="24"/>
          <w:szCs w:val="24"/>
          <w:highlight w:val="none"/>
          <w:u w:val="single"/>
        </w:rPr>
      </w:pPr>
    </w:p>
    <w:p>
      <w:pPr>
        <w:pStyle w:val="30"/>
        <w:rPr>
          <w:color w:val="auto"/>
          <w:highlight w:val="none"/>
        </w:rPr>
      </w:pPr>
      <w:r>
        <w:rPr>
          <w:color w:val="auto"/>
          <w:highlight w:val="none"/>
        </w:rPr>
        <w:br w:type="page"/>
      </w:r>
    </w:p>
    <w:p>
      <w:pPr>
        <w:spacing w:line="360" w:lineRule="auto"/>
        <w:outlineLvl w:val="0"/>
        <w:rPr>
          <w:rFonts w:ascii="Arial" w:hAnsi="Arial" w:cs="Arial"/>
          <w:color w:val="auto"/>
          <w:sz w:val="24"/>
          <w:szCs w:val="24"/>
          <w:highlight w:val="none"/>
        </w:rPr>
      </w:pPr>
      <w:r>
        <w:rPr>
          <w:rFonts w:hint="eastAsia" w:ascii="Arial" w:hAnsi="Arial" w:cs="Arial"/>
          <w:color w:val="auto"/>
          <w:sz w:val="24"/>
          <w:szCs w:val="24"/>
          <w:highlight w:val="none"/>
        </w:rPr>
        <w:t>附件1技术条件</w:t>
      </w:r>
    </w:p>
    <w:p>
      <w:pPr>
        <w:pStyle w:val="6"/>
        <w:snapToGrid w:val="0"/>
        <w:spacing w:before="0" w:after="0" w:line="440" w:lineRule="exact"/>
        <w:textAlignment w:val="baseline"/>
        <w:rPr>
          <w:rFonts w:cs="Arial"/>
          <w:color w:val="auto"/>
          <w:sz w:val="28"/>
          <w:szCs w:val="28"/>
          <w:highlight w:val="none"/>
        </w:rPr>
      </w:pPr>
      <w:r>
        <w:rPr>
          <w:rFonts w:cs="Arial"/>
          <w:color w:val="auto"/>
          <w:sz w:val="28"/>
          <w:szCs w:val="28"/>
          <w:highlight w:val="none"/>
        </w:rPr>
        <w:t>工程招标内容及技术要求</w:t>
      </w:r>
    </w:p>
    <w:p>
      <w:pPr>
        <w:snapToGrid w:val="0"/>
        <w:textAlignment w:val="baseline"/>
        <w:rPr>
          <w:rFonts w:ascii="Arial" w:hAnsi="Arial" w:cs="Arial"/>
          <w:color w:val="auto"/>
          <w:sz w:val="20"/>
          <w:highlight w:val="none"/>
        </w:rPr>
      </w:pPr>
    </w:p>
    <w:p>
      <w:pPr>
        <w:widowControl/>
        <w:numPr>
          <w:ilvl w:val="0"/>
          <w:numId w:val="13"/>
        </w:numPr>
        <w:jc w:val="left"/>
        <w:outlineLvl w:val="1"/>
        <w:rPr>
          <w:rFonts w:ascii="宋体" w:hAnsi="宋体"/>
          <w:b/>
          <w:color w:val="auto"/>
          <w:sz w:val="24"/>
          <w:szCs w:val="24"/>
          <w:highlight w:val="none"/>
        </w:rPr>
      </w:pPr>
      <w:r>
        <w:rPr>
          <w:rFonts w:hint="eastAsia" w:ascii="宋体" w:hAnsi="宋体"/>
          <w:b/>
          <w:color w:val="auto"/>
          <w:sz w:val="24"/>
          <w:szCs w:val="24"/>
          <w:highlight w:val="none"/>
        </w:rPr>
        <w:t>项目总体说明</w:t>
      </w:r>
    </w:p>
    <w:p>
      <w:pPr>
        <w:widowControl/>
        <w:numPr>
          <w:ilvl w:val="1"/>
          <w:numId w:val="13"/>
        </w:numPr>
        <w:jc w:val="left"/>
        <w:outlineLvl w:val="2"/>
        <w:rPr>
          <w:rFonts w:ascii="宋体" w:hAnsi="宋体"/>
          <w:b/>
          <w:color w:val="auto"/>
          <w:sz w:val="24"/>
          <w:szCs w:val="24"/>
          <w:highlight w:val="none"/>
        </w:rPr>
      </w:pPr>
      <w:r>
        <w:rPr>
          <w:rFonts w:hint="eastAsia" w:ascii="宋体" w:hAnsi="宋体"/>
          <w:b/>
          <w:color w:val="auto"/>
          <w:sz w:val="24"/>
          <w:szCs w:val="24"/>
          <w:highlight w:val="none"/>
        </w:rPr>
        <w:t>项目概况</w:t>
      </w:r>
    </w:p>
    <w:p>
      <w:pPr>
        <w:ind w:left="420"/>
        <w:outlineLvl w:val="3"/>
        <w:rPr>
          <w:rFonts w:ascii="宋体" w:hAnsi="宋体"/>
          <w:color w:val="auto"/>
          <w:sz w:val="24"/>
          <w:szCs w:val="24"/>
          <w:highlight w:val="none"/>
        </w:rPr>
      </w:pPr>
      <w:r>
        <w:rPr>
          <w:rFonts w:ascii="宋体" w:hAnsi="宋体"/>
          <w:color w:val="auto"/>
          <w:sz w:val="24"/>
          <w:szCs w:val="24"/>
          <w:highlight w:val="none"/>
        </w:rPr>
        <w:t>1.1本工程为</w:t>
      </w:r>
      <w:r>
        <w:rPr>
          <w:rFonts w:hint="eastAsia" w:ascii="宋体" w:hAnsi="宋体" w:cs="宋体"/>
          <w:color w:val="auto"/>
          <w:sz w:val="24"/>
          <w:szCs w:val="24"/>
          <w:highlight w:val="none"/>
        </w:rPr>
        <w:t>医学综合楼地下室放射防护与热室洁净专项工程</w:t>
      </w:r>
      <w:r>
        <w:rPr>
          <w:rFonts w:hint="eastAsia" w:ascii="宋体" w:hAnsi="宋体"/>
          <w:color w:val="auto"/>
          <w:sz w:val="24"/>
          <w:szCs w:val="24"/>
          <w:highlight w:val="none"/>
        </w:rPr>
        <w:t>。</w:t>
      </w:r>
    </w:p>
    <w:p>
      <w:pPr>
        <w:ind w:left="420"/>
        <w:rPr>
          <w:rFonts w:ascii="宋体" w:hAnsi="宋体"/>
          <w:color w:val="auto"/>
          <w:sz w:val="24"/>
          <w:szCs w:val="24"/>
          <w:highlight w:val="none"/>
        </w:rPr>
      </w:pPr>
      <w:r>
        <w:rPr>
          <w:rFonts w:hint="eastAsia" w:ascii="宋体" w:hAnsi="宋体"/>
          <w:color w:val="auto"/>
          <w:sz w:val="24"/>
          <w:szCs w:val="24"/>
          <w:highlight w:val="none"/>
        </w:rPr>
        <w:t>本项目共包含三个区域：</w:t>
      </w:r>
    </w:p>
    <w:p>
      <w:pPr>
        <w:ind w:left="42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1）地下一层回旋加速器及热室区域，包含回旋加速器室、配电间、操作间、热室及上述区域内的功能辅助用房；面积约450㎡。</w:t>
      </w:r>
    </w:p>
    <w:p>
      <w:pPr>
        <w:widowControl/>
        <w:numPr>
          <w:ilvl w:val="0"/>
          <w:numId w:val="14"/>
        </w:numPr>
        <w:ind w:left="400"/>
        <w:jc w:val="left"/>
        <w:rPr>
          <w:rFonts w:ascii="宋体" w:hAnsi="宋体"/>
          <w:color w:val="auto"/>
          <w:sz w:val="24"/>
          <w:szCs w:val="24"/>
          <w:highlight w:val="none"/>
        </w:rPr>
      </w:pPr>
      <w:r>
        <w:rPr>
          <w:rFonts w:hint="eastAsia" w:ascii="宋体" w:hAnsi="宋体"/>
          <w:color w:val="auto"/>
          <w:sz w:val="24"/>
          <w:szCs w:val="24"/>
          <w:highlight w:val="none"/>
        </w:rPr>
        <w:t>地下一层</w:t>
      </w:r>
      <w:r>
        <w:rPr>
          <w:rFonts w:ascii="宋体" w:hAnsi="宋体"/>
          <w:color w:val="auto"/>
          <w:sz w:val="24"/>
          <w:szCs w:val="24"/>
          <w:highlight w:val="none"/>
        </w:rPr>
        <w:t>PET-CT检查区域的放射防护，包含PET-CT1、PET-CT2、PET等候区、注射区及功能辅助用房的放射防护工程；面积约542㎡。</w:t>
      </w:r>
    </w:p>
    <w:p>
      <w:pPr>
        <w:widowControl/>
        <w:numPr>
          <w:ilvl w:val="0"/>
          <w:numId w:val="14"/>
        </w:numPr>
        <w:ind w:left="400"/>
        <w:jc w:val="left"/>
        <w:rPr>
          <w:rFonts w:ascii="宋体" w:hAnsi="宋体"/>
          <w:color w:val="auto"/>
          <w:sz w:val="24"/>
          <w:szCs w:val="24"/>
          <w:highlight w:val="none"/>
        </w:rPr>
      </w:pPr>
      <w:r>
        <w:rPr>
          <w:rFonts w:hint="eastAsia" w:ascii="宋体" w:hAnsi="宋体"/>
          <w:color w:val="auto"/>
          <w:sz w:val="24"/>
          <w:szCs w:val="24"/>
          <w:highlight w:val="none"/>
        </w:rPr>
        <w:t>地下四层放射治疗区域的放射防护，包含直线加速器</w:t>
      </w:r>
      <w:r>
        <w:rPr>
          <w:rFonts w:ascii="宋体" w:hAnsi="宋体"/>
          <w:color w:val="auto"/>
          <w:sz w:val="24"/>
          <w:szCs w:val="24"/>
          <w:highlight w:val="none"/>
        </w:rPr>
        <w:t>1、直线加速器2、直线加速器3、CT模拟定位1、CT模拟定位2</w:t>
      </w:r>
      <w:r>
        <w:rPr>
          <w:rFonts w:hint="eastAsia" w:ascii="宋体" w:hAnsi="宋体"/>
          <w:color w:val="auto"/>
          <w:sz w:val="24"/>
          <w:szCs w:val="24"/>
          <w:highlight w:val="none"/>
        </w:rPr>
        <w:t>等</w:t>
      </w:r>
      <w:r>
        <w:rPr>
          <w:rFonts w:ascii="宋体" w:hAnsi="宋体"/>
          <w:color w:val="auto"/>
          <w:sz w:val="24"/>
          <w:szCs w:val="24"/>
          <w:highlight w:val="none"/>
        </w:rPr>
        <w:t>5个机房的放射防护工程；面积约662㎡。</w:t>
      </w:r>
    </w:p>
    <w:p>
      <w:pPr>
        <w:tabs>
          <w:tab w:val="left" w:pos="993"/>
        </w:tabs>
        <w:adjustRightInd w:val="0"/>
        <w:snapToGrid w:val="0"/>
        <w:ind w:firstLine="480" w:firstLineChars="200"/>
        <w:outlineLvl w:val="3"/>
        <w:rPr>
          <w:rFonts w:ascii="宋体" w:hAnsi="宋体" w:cs="宋体"/>
          <w:color w:val="auto"/>
          <w:sz w:val="24"/>
          <w:szCs w:val="24"/>
          <w:highlight w:val="none"/>
        </w:rPr>
      </w:pPr>
      <w:r>
        <w:rPr>
          <w:rFonts w:ascii="宋体" w:hAnsi="宋体" w:cs="宋体"/>
          <w:color w:val="auto"/>
          <w:sz w:val="24"/>
          <w:szCs w:val="24"/>
          <w:highlight w:val="none"/>
        </w:rPr>
        <w:t>1.2</w:t>
      </w:r>
      <w:r>
        <w:rPr>
          <w:rFonts w:hint="eastAsia" w:ascii="宋体" w:hAnsi="宋体" w:cs="宋体"/>
          <w:color w:val="auto"/>
          <w:sz w:val="24"/>
          <w:szCs w:val="24"/>
          <w:highlight w:val="none"/>
        </w:rPr>
        <w:t>具体施工范围涉及专业为：</w:t>
      </w:r>
    </w:p>
    <w:p>
      <w:pPr>
        <w:adjustRightInd w:val="0"/>
        <w:snapToGrid w:val="0"/>
        <w:ind w:left="456" w:leftChars="217"/>
        <w:rPr>
          <w:rFonts w:ascii="宋体" w:hAnsi="宋体" w:cs="宋体"/>
          <w:color w:val="auto"/>
          <w:sz w:val="24"/>
          <w:szCs w:val="24"/>
          <w:highlight w:val="none"/>
        </w:rPr>
      </w:pPr>
      <w:r>
        <w:rPr>
          <w:rFonts w:hint="eastAsia" w:ascii="宋体" w:hAnsi="宋体"/>
          <w:color w:val="auto"/>
          <w:sz w:val="24"/>
          <w:szCs w:val="24"/>
          <w:highlight w:val="none"/>
        </w:rPr>
        <w:t>地下一层回旋加速器及热室区域包含</w:t>
      </w:r>
      <w:r>
        <w:rPr>
          <w:rFonts w:hint="eastAsia" w:ascii="宋体" w:hAnsi="宋体" w:cs="宋体"/>
          <w:color w:val="auto"/>
          <w:sz w:val="24"/>
          <w:szCs w:val="24"/>
          <w:highlight w:val="none"/>
        </w:rPr>
        <w:t>装饰装修、通风空调（含净化空调）、空调自控、强弱电、给排水及</w:t>
      </w:r>
      <w:r>
        <w:rPr>
          <w:rFonts w:hint="eastAsia" w:ascii="宋体" w:hAnsi="宋体"/>
          <w:color w:val="auto"/>
          <w:sz w:val="24"/>
          <w:szCs w:val="24"/>
          <w:highlight w:val="none"/>
        </w:rPr>
        <w:t>放射防护工程等</w:t>
      </w:r>
      <w:r>
        <w:rPr>
          <w:rFonts w:hint="eastAsia" w:ascii="宋体" w:hAnsi="宋体" w:cs="宋体"/>
          <w:color w:val="auto"/>
          <w:sz w:val="24"/>
          <w:szCs w:val="24"/>
          <w:highlight w:val="none"/>
        </w:rPr>
        <w:t>；</w:t>
      </w:r>
    </w:p>
    <w:p>
      <w:pPr>
        <w:adjustRightInd w:val="0"/>
        <w:snapToGrid w:val="0"/>
        <w:ind w:left="456" w:leftChars="217"/>
        <w:rPr>
          <w:rFonts w:ascii="宋体" w:hAnsi="宋体"/>
          <w:color w:val="auto"/>
          <w:sz w:val="24"/>
          <w:szCs w:val="24"/>
          <w:highlight w:val="none"/>
        </w:rPr>
      </w:pPr>
      <w:r>
        <w:rPr>
          <w:rFonts w:hint="eastAsia" w:ascii="宋体" w:hAnsi="宋体"/>
          <w:color w:val="auto"/>
          <w:sz w:val="24"/>
          <w:szCs w:val="24"/>
          <w:highlight w:val="none"/>
        </w:rPr>
        <w:t>地下一层</w:t>
      </w:r>
      <w:r>
        <w:rPr>
          <w:rFonts w:ascii="宋体" w:hAnsi="宋体"/>
          <w:color w:val="auto"/>
          <w:sz w:val="24"/>
          <w:szCs w:val="24"/>
          <w:highlight w:val="none"/>
        </w:rPr>
        <w:t>PET-CT检查区域包含防护门窗及其它放射防护设施施工；</w:t>
      </w:r>
    </w:p>
    <w:p>
      <w:pPr>
        <w:adjustRightInd w:val="0"/>
        <w:snapToGrid w:val="0"/>
        <w:ind w:left="456" w:leftChars="217"/>
        <w:rPr>
          <w:rFonts w:ascii="宋体" w:hAnsi="宋体"/>
          <w:color w:val="auto"/>
          <w:sz w:val="24"/>
          <w:szCs w:val="24"/>
          <w:highlight w:val="none"/>
        </w:rPr>
      </w:pPr>
      <w:r>
        <w:rPr>
          <w:rFonts w:hint="eastAsia" w:ascii="宋体" w:hAnsi="宋体"/>
          <w:color w:val="auto"/>
          <w:sz w:val="24"/>
          <w:szCs w:val="24"/>
          <w:highlight w:val="none"/>
        </w:rPr>
        <w:t>地下四层放射治疗区域包含防护门窗及其它放射防护设施施工；</w:t>
      </w:r>
    </w:p>
    <w:p>
      <w:pPr>
        <w:adjustRightInd w:val="0"/>
        <w:snapToGrid w:val="0"/>
        <w:ind w:left="456" w:leftChars="217"/>
        <w:rPr>
          <w:rFonts w:ascii="宋体" w:hAnsi="宋体"/>
          <w:color w:val="auto"/>
          <w:sz w:val="24"/>
          <w:szCs w:val="24"/>
          <w:highlight w:val="none"/>
        </w:rPr>
      </w:pPr>
      <w:r>
        <w:rPr>
          <w:rFonts w:hint="eastAsia" w:ascii="宋体" w:hAnsi="宋体"/>
          <w:color w:val="auto"/>
          <w:sz w:val="24"/>
          <w:szCs w:val="24"/>
          <w:highlight w:val="none"/>
        </w:rPr>
        <w:t>以上区域详见图纸非阴影范围，净化级别均按国家规范设置。</w:t>
      </w:r>
    </w:p>
    <w:p>
      <w:pPr>
        <w:adjustRightInd w:val="0"/>
        <w:snapToGrid w:val="0"/>
        <w:ind w:firstLine="482" w:firstLineChars="200"/>
        <w:outlineLvl w:val="2"/>
        <w:rPr>
          <w:rFonts w:ascii="宋体" w:hAnsi="宋体" w:cs="宋体"/>
          <w:b/>
          <w:color w:val="auto"/>
          <w:sz w:val="24"/>
          <w:szCs w:val="24"/>
          <w:highlight w:val="none"/>
        </w:rPr>
      </w:pPr>
      <w:r>
        <w:rPr>
          <w:rFonts w:ascii="宋体" w:hAnsi="宋体" w:cs="宋体"/>
          <w:b/>
          <w:color w:val="auto"/>
          <w:sz w:val="24"/>
          <w:szCs w:val="24"/>
          <w:highlight w:val="none"/>
        </w:rPr>
        <w:t>2</w:t>
      </w:r>
      <w:r>
        <w:rPr>
          <w:rFonts w:hint="eastAsia" w:ascii="宋体" w:hAnsi="宋体" w:cs="宋体"/>
          <w:b/>
          <w:color w:val="auto"/>
          <w:sz w:val="24"/>
          <w:szCs w:val="24"/>
          <w:highlight w:val="none"/>
        </w:rPr>
        <w:t>、范围内各专业施工界面划分</w:t>
      </w:r>
    </w:p>
    <w:p>
      <w:pPr>
        <w:adjustRightInd w:val="0"/>
        <w:snapToGrid w:val="0"/>
        <w:ind w:firstLine="472" w:firstLineChars="196"/>
        <w:outlineLvl w:val="3"/>
        <w:rPr>
          <w:rFonts w:ascii="宋体" w:hAnsi="宋体" w:cs="宋体"/>
          <w:b/>
          <w:color w:val="auto"/>
          <w:sz w:val="24"/>
          <w:szCs w:val="24"/>
          <w:highlight w:val="none"/>
        </w:rPr>
      </w:pPr>
      <w:r>
        <w:rPr>
          <w:rFonts w:ascii="宋体" w:hAnsi="宋体" w:cs="宋体"/>
          <w:b/>
          <w:color w:val="auto"/>
          <w:sz w:val="24"/>
          <w:szCs w:val="24"/>
          <w:highlight w:val="none"/>
        </w:rPr>
        <w:t>2.1</w:t>
      </w:r>
      <w:r>
        <w:rPr>
          <w:rFonts w:hint="eastAsia" w:ascii="宋体" w:hAnsi="宋体" w:cs="宋体"/>
          <w:b/>
          <w:color w:val="auto"/>
          <w:sz w:val="24"/>
          <w:szCs w:val="24"/>
          <w:highlight w:val="none"/>
        </w:rPr>
        <w:t>装饰界面（图纸中画定的范围线为准）：</w:t>
      </w:r>
    </w:p>
    <w:p>
      <w:pPr>
        <w:tabs>
          <w:tab w:val="left" w:pos="993"/>
        </w:tabs>
        <w:adjustRightInd w:val="0"/>
        <w:snapToGrid w:val="0"/>
        <w:ind w:left="42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1）施工范围内的各类家具，如更衣柜、护士台、办公家具、治疗台、处置台、污洗打包台面等均由招标方负责；</w:t>
      </w:r>
    </w:p>
    <w:p>
      <w:pPr>
        <w:tabs>
          <w:tab w:val="left" w:pos="993"/>
        </w:tabs>
        <w:adjustRightInd w:val="0"/>
        <w:snapToGrid w:val="0"/>
        <w:ind w:left="42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2）施工范围内的内部承重结构、楼（电）梯厅、管井以及各类土建墙体砌筑、土建墙体抹平压光、地面找平、沉降缝封堵等，均由招标方负责；</w:t>
      </w:r>
    </w:p>
    <w:p>
      <w:pPr>
        <w:tabs>
          <w:tab w:val="left" w:pos="993"/>
        </w:tabs>
        <w:adjustRightInd w:val="0"/>
        <w:snapToGrid w:val="0"/>
        <w:ind w:left="42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3）净化机房内的地面找平及防水、墙体砌筑、装饰装修、照明灯具、楼板及顶板风管等预留洞开孔或封堵、设备基础及</w:t>
      </w:r>
      <w:r>
        <w:rPr>
          <w:rFonts w:hint="eastAsia" w:ascii="宋体" w:hAnsi="宋体"/>
          <w:color w:val="auto"/>
          <w:spacing w:val="-6"/>
          <w:sz w:val="24"/>
          <w:szCs w:val="24"/>
          <w:highlight w:val="none"/>
        </w:rPr>
        <w:t>排水地漏</w:t>
      </w:r>
      <w:r>
        <w:rPr>
          <w:rFonts w:hint="eastAsia" w:ascii="宋体" w:hAnsi="宋体"/>
          <w:color w:val="auto"/>
          <w:sz w:val="24"/>
          <w:szCs w:val="24"/>
          <w:highlight w:val="none"/>
        </w:rPr>
        <w:t>等由招标方负责；</w:t>
      </w:r>
    </w:p>
    <w:p>
      <w:pPr>
        <w:tabs>
          <w:tab w:val="left" w:pos="993"/>
        </w:tabs>
        <w:adjustRightInd w:val="0"/>
        <w:snapToGrid w:val="0"/>
        <w:ind w:left="42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4）除图纸已标注及工程量清单已有项目外，施工范围内及交界处的其他消防设施均由招标方负责。</w:t>
      </w:r>
    </w:p>
    <w:p>
      <w:pPr>
        <w:tabs>
          <w:tab w:val="left" w:pos="993"/>
        </w:tabs>
        <w:adjustRightInd w:val="0"/>
        <w:snapToGrid w:val="0"/>
        <w:ind w:left="42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5）地下一层回旋加速器及热室区域、地下一层PET-CT检查区域、地下四层放射治疗区域，界面范围内有门窗编号的门窗由中标方负责施工。</w:t>
      </w:r>
    </w:p>
    <w:p>
      <w:pPr>
        <w:tabs>
          <w:tab w:val="left" w:pos="993"/>
        </w:tabs>
        <w:adjustRightInd w:val="0"/>
        <w:snapToGrid w:val="0"/>
        <w:ind w:left="426"/>
        <w:rPr>
          <w:rFonts w:ascii="宋体" w:hAnsi="宋体"/>
          <w:color w:val="auto"/>
          <w:sz w:val="24"/>
          <w:szCs w:val="24"/>
          <w:highlight w:val="none"/>
        </w:rPr>
      </w:pPr>
    </w:p>
    <w:p>
      <w:pPr>
        <w:tabs>
          <w:tab w:val="left" w:pos="993"/>
        </w:tabs>
        <w:adjustRightInd w:val="0"/>
        <w:snapToGrid w:val="0"/>
        <w:ind w:left="426"/>
        <w:rPr>
          <w:rFonts w:ascii="宋体" w:hAnsi="宋体"/>
          <w:color w:val="auto"/>
          <w:sz w:val="24"/>
          <w:szCs w:val="24"/>
          <w:highlight w:val="none"/>
        </w:rPr>
      </w:pPr>
    </w:p>
    <w:p>
      <w:pPr>
        <w:tabs>
          <w:tab w:val="left" w:pos="993"/>
        </w:tabs>
        <w:adjustRightInd w:val="0"/>
        <w:snapToGrid w:val="0"/>
        <w:ind w:left="426"/>
        <w:outlineLvl w:val="3"/>
        <w:rPr>
          <w:rFonts w:ascii="宋体" w:hAnsi="宋体" w:cs="宋体"/>
          <w:b/>
          <w:color w:val="auto"/>
          <w:sz w:val="24"/>
          <w:szCs w:val="24"/>
          <w:highlight w:val="none"/>
        </w:rPr>
      </w:pPr>
      <w:r>
        <w:rPr>
          <w:rFonts w:ascii="宋体" w:hAnsi="宋体" w:cs="宋体"/>
          <w:b/>
          <w:color w:val="auto"/>
          <w:sz w:val="24"/>
          <w:szCs w:val="24"/>
          <w:highlight w:val="none"/>
        </w:rPr>
        <w:t>2.2</w:t>
      </w:r>
      <w:r>
        <w:rPr>
          <w:rFonts w:hint="eastAsia" w:ascii="宋体" w:hAnsi="宋体" w:cs="宋体"/>
          <w:b/>
          <w:color w:val="auto"/>
          <w:sz w:val="24"/>
          <w:szCs w:val="24"/>
          <w:highlight w:val="none"/>
        </w:rPr>
        <w:t>空调界面</w:t>
      </w:r>
    </w:p>
    <w:p>
      <w:pPr>
        <w:tabs>
          <w:tab w:val="left" w:pos="993"/>
        </w:tabs>
        <w:adjustRightInd w:val="0"/>
        <w:snapToGrid w:val="0"/>
        <w:ind w:left="42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1）施工范围内各种大型设备的基础（大型设备是指洁净等空调机组、</w:t>
      </w:r>
      <w:r>
        <w:rPr>
          <w:rFonts w:hint="eastAsia" w:ascii="宋体" w:hAnsi="宋体" w:cs="宋体"/>
          <w:color w:val="auto"/>
          <w:sz w:val="24"/>
          <w:szCs w:val="24"/>
          <w:highlight w:val="none"/>
        </w:rPr>
        <w:t>氟系统室外机</w:t>
      </w:r>
      <w:r>
        <w:rPr>
          <w:rFonts w:hint="eastAsia" w:ascii="宋体" w:hAnsi="宋体"/>
          <w:color w:val="auto"/>
          <w:sz w:val="24"/>
          <w:szCs w:val="24"/>
          <w:highlight w:val="none"/>
        </w:rPr>
        <w:t>等）等各类专业医疗和实验设备均由招标方提供，中标方负责配合安装等相关工作。</w:t>
      </w:r>
    </w:p>
    <w:p>
      <w:pPr>
        <w:tabs>
          <w:tab w:val="left" w:pos="993"/>
        </w:tabs>
        <w:adjustRightInd w:val="0"/>
        <w:snapToGrid w:val="0"/>
        <w:ind w:left="426"/>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olor w:val="auto"/>
          <w:sz w:val="24"/>
          <w:szCs w:val="24"/>
          <w:highlight w:val="none"/>
        </w:rPr>
        <w:t>地下一层回旋加速器及热室区全年冷热源由大楼提供</w:t>
      </w:r>
      <w:r>
        <w:rPr>
          <w:rFonts w:ascii="宋体" w:hAnsi="宋体"/>
          <w:color w:val="auto"/>
          <w:sz w:val="24"/>
          <w:szCs w:val="24"/>
          <w:highlight w:val="none"/>
        </w:rPr>
        <w:t>,招标方负责将空调冷热水管送至负一层管井出口200mm处</w:t>
      </w:r>
      <w:r>
        <w:rPr>
          <w:rFonts w:hint="eastAsia" w:ascii="宋体" w:hAnsi="宋体" w:cs="宋体"/>
          <w:color w:val="auto"/>
          <w:sz w:val="24"/>
          <w:szCs w:val="24"/>
          <w:highlight w:val="none"/>
        </w:rPr>
        <w:t>。其后部分由中标方负责完成。</w:t>
      </w:r>
    </w:p>
    <w:p>
      <w:pPr>
        <w:tabs>
          <w:tab w:val="left" w:pos="993"/>
        </w:tabs>
        <w:adjustRightInd w:val="0"/>
        <w:snapToGrid w:val="0"/>
        <w:ind w:left="426"/>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3）空调机组的冷凝水管路由中标方择点排出。招标方在设备机房预留冷凝水排水接口（加湿冷凝水采用铸铁地漏及铸铁管）。</w:t>
      </w:r>
    </w:p>
    <w:p>
      <w:pPr>
        <w:tabs>
          <w:tab w:val="left" w:pos="993"/>
        </w:tabs>
        <w:adjustRightInd w:val="0"/>
        <w:snapToGrid w:val="0"/>
        <w:ind w:left="426"/>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4）楼板风管预留孔洞及加固等由招标</w:t>
      </w:r>
      <w:r>
        <w:rPr>
          <w:rFonts w:hint="eastAsia" w:ascii="宋体" w:hAnsi="宋体"/>
          <w:color w:val="auto"/>
          <w:sz w:val="24"/>
          <w:szCs w:val="24"/>
          <w:highlight w:val="none"/>
        </w:rPr>
        <w:t>方</w:t>
      </w:r>
      <w:r>
        <w:rPr>
          <w:rFonts w:hint="eastAsia" w:ascii="宋体" w:hAnsi="宋体" w:cs="宋体"/>
          <w:color w:val="auto"/>
          <w:sz w:val="24"/>
          <w:szCs w:val="24"/>
          <w:highlight w:val="none"/>
        </w:rPr>
        <w:t>负责。</w:t>
      </w:r>
    </w:p>
    <w:p>
      <w:pPr>
        <w:pStyle w:val="30"/>
        <w:rPr>
          <w:color w:val="auto"/>
          <w:highlight w:val="none"/>
        </w:rPr>
      </w:pPr>
    </w:p>
    <w:p>
      <w:pPr>
        <w:tabs>
          <w:tab w:val="left" w:pos="993"/>
        </w:tabs>
        <w:adjustRightInd w:val="0"/>
        <w:snapToGrid w:val="0"/>
        <w:ind w:left="426"/>
        <w:outlineLvl w:val="3"/>
        <w:rPr>
          <w:rFonts w:ascii="宋体" w:hAnsi="宋体"/>
          <w:b/>
          <w:color w:val="auto"/>
          <w:sz w:val="24"/>
          <w:szCs w:val="24"/>
          <w:highlight w:val="none"/>
        </w:rPr>
      </w:pPr>
      <w:r>
        <w:rPr>
          <w:rFonts w:ascii="宋体" w:hAnsi="宋体"/>
          <w:b/>
          <w:color w:val="auto"/>
          <w:sz w:val="24"/>
          <w:szCs w:val="24"/>
          <w:highlight w:val="none"/>
        </w:rPr>
        <w:t>2.3</w:t>
      </w:r>
      <w:r>
        <w:rPr>
          <w:rFonts w:hint="eastAsia" w:ascii="宋体" w:hAnsi="宋体" w:cs="宋体"/>
          <w:b/>
          <w:color w:val="auto"/>
          <w:sz w:val="24"/>
          <w:szCs w:val="24"/>
          <w:highlight w:val="none"/>
        </w:rPr>
        <w:t>电气界面</w:t>
      </w:r>
    </w:p>
    <w:p>
      <w:pPr>
        <w:tabs>
          <w:tab w:val="left" w:pos="993"/>
        </w:tabs>
        <w:adjustRightInd w:val="0"/>
        <w:snapToGrid w:val="0"/>
        <w:ind w:left="42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楼层总配电箱由招标方提供，总配电箱前端进线电缆由招标方采购、安装；并由招标方引入总配电箱。总配电箱其后属工程范围内的配电箱、桥架、线管、电源线、照明、插座等全部由中标方采购、安装（应急照明灯、疏散指示灯等消防电系统及净化机房内的照明、插座配电除外）。</w:t>
      </w:r>
    </w:p>
    <w:p>
      <w:pPr>
        <w:tabs>
          <w:tab w:val="left" w:pos="993"/>
        </w:tabs>
        <w:adjustRightInd w:val="0"/>
        <w:snapToGrid w:val="0"/>
        <w:ind w:left="426"/>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2）综合布线系统：网络、电话均采用6</w:t>
      </w:r>
      <w:r>
        <w:rPr>
          <w:rFonts w:hint="eastAsia" w:ascii="宋体" w:hAnsi="宋体" w:cs="宋体"/>
          <w:color w:val="auto"/>
          <w:sz w:val="24"/>
          <w:szCs w:val="24"/>
          <w:highlight w:val="none"/>
        </w:rPr>
        <w:t>类双绞线，所有布线预留至本层对应弱电井接入该层数据配线架和语音配线架，弱电井内配线架及设备均在本次招标范围。</w:t>
      </w:r>
    </w:p>
    <w:p>
      <w:pPr>
        <w:pStyle w:val="3"/>
        <w:rPr>
          <w:rFonts w:ascii="宋体" w:hAnsi="宋体"/>
          <w:color w:val="auto"/>
          <w:sz w:val="24"/>
          <w:szCs w:val="24"/>
          <w:highlight w:val="none"/>
        </w:rPr>
      </w:pPr>
    </w:p>
    <w:p>
      <w:pPr>
        <w:tabs>
          <w:tab w:val="left" w:pos="993"/>
        </w:tabs>
        <w:adjustRightInd w:val="0"/>
        <w:snapToGrid w:val="0"/>
        <w:ind w:left="426"/>
        <w:outlineLvl w:val="3"/>
        <w:rPr>
          <w:rFonts w:ascii="宋体" w:hAnsi="宋体" w:cs="宋体"/>
          <w:color w:val="auto"/>
          <w:sz w:val="24"/>
          <w:szCs w:val="24"/>
          <w:highlight w:val="none"/>
        </w:rPr>
      </w:pPr>
      <w:r>
        <w:rPr>
          <w:rFonts w:ascii="宋体" w:hAnsi="宋体" w:cs="宋体"/>
          <w:b/>
          <w:bCs/>
          <w:color w:val="auto"/>
          <w:sz w:val="24"/>
          <w:szCs w:val="24"/>
          <w:highlight w:val="none"/>
        </w:rPr>
        <w:t>2.4给排水界面</w:t>
      </w:r>
    </w:p>
    <w:p>
      <w:pPr>
        <w:widowControl/>
        <w:numPr>
          <w:ilvl w:val="0"/>
          <w:numId w:val="15"/>
        </w:numPr>
        <w:adjustRightInd w:val="0"/>
        <w:snapToGrid w:val="0"/>
        <w:ind w:left="496" w:leftChars="236"/>
        <w:jc w:val="left"/>
        <w:rPr>
          <w:rFonts w:ascii="宋体" w:hAnsi="宋体" w:cs="宋体"/>
          <w:color w:val="auto"/>
          <w:sz w:val="24"/>
          <w:szCs w:val="24"/>
          <w:highlight w:val="none"/>
        </w:rPr>
      </w:pPr>
      <w:r>
        <w:rPr>
          <w:rFonts w:hint="eastAsia" w:ascii="宋体" w:hAnsi="宋体" w:cs="宋体"/>
          <w:color w:val="auto"/>
          <w:sz w:val="24"/>
          <w:szCs w:val="24"/>
          <w:highlight w:val="none"/>
        </w:rPr>
        <w:t>招标范围内所有洁具由中标方负责。</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2）招标</w:t>
      </w:r>
      <w:r>
        <w:rPr>
          <w:rFonts w:hint="eastAsia" w:ascii="宋体" w:hAnsi="宋体"/>
          <w:color w:val="auto"/>
          <w:sz w:val="24"/>
          <w:szCs w:val="24"/>
          <w:highlight w:val="none"/>
        </w:rPr>
        <w:t>方</w:t>
      </w:r>
      <w:r>
        <w:rPr>
          <w:rFonts w:hint="eastAsia" w:ascii="宋体" w:hAnsi="宋体" w:cs="宋体"/>
          <w:color w:val="auto"/>
          <w:sz w:val="24"/>
          <w:szCs w:val="24"/>
          <w:highlight w:val="none"/>
        </w:rPr>
        <w:t>负责排水立管敷设，中标方就近接入排水立管，中标方负责其后洁具及相关设施与排水立管之间的连接。</w:t>
      </w:r>
    </w:p>
    <w:p>
      <w:pPr>
        <w:adjustRightInd w:val="0"/>
        <w:snapToGrid w:val="0"/>
        <w:ind w:left="496" w:leftChars="236"/>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3）招标</w:t>
      </w:r>
      <w:r>
        <w:rPr>
          <w:rFonts w:hint="eastAsia" w:ascii="宋体" w:hAnsi="宋体"/>
          <w:color w:val="auto"/>
          <w:sz w:val="24"/>
          <w:szCs w:val="24"/>
          <w:highlight w:val="none"/>
        </w:rPr>
        <w:t>方</w:t>
      </w:r>
      <w:r>
        <w:rPr>
          <w:rFonts w:hint="eastAsia" w:ascii="宋体" w:hAnsi="宋体" w:cs="宋体"/>
          <w:color w:val="auto"/>
          <w:sz w:val="24"/>
          <w:szCs w:val="24"/>
          <w:highlight w:val="none"/>
        </w:rPr>
        <w:t>负责在净化施工区域附近提供符合饮用水水质标准的给水支管，并预留阀门，其后的管道由中标方负责施工。</w:t>
      </w:r>
    </w:p>
    <w:p>
      <w:pPr>
        <w:tabs>
          <w:tab w:val="left" w:pos="993"/>
        </w:tabs>
        <w:adjustRightInd w:val="0"/>
        <w:snapToGrid w:val="0"/>
        <w:ind w:left="426"/>
        <w:rPr>
          <w:rFonts w:ascii="宋体" w:hAnsi="宋体" w:cs="宋体"/>
          <w:color w:val="auto"/>
          <w:sz w:val="24"/>
          <w:szCs w:val="24"/>
          <w:highlight w:val="none"/>
        </w:rPr>
      </w:pPr>
    </w:p>
    <w:p>
      <w:pPr>
        <w:tabs>
          <w:tab w:val="left" w:pos="993"/>
        </w:tabs>
        <w:adjustRightInd w:val="0"/>
        <w:snapToGrid w:val="0"/>
        <w:ind w:left="426"/>
        <w:outlineLvl w:val="3"/>
        <w:rPr>
          <w:rFonts w:ascii="宋体" w:hAnsi="宋体" w:cs="宋体"/>
          <w:b/>
          <w:color w:val="auto"/>
          <w:sz w:val="24"/>
          <w:szCs w:val="24"/>
          <w:highlight w:val="none"/>
        </w:rPr>
      </w:pPr>
      <w:r>
        <w:rPr>
          <w:rFonts w:ascii="宋体" w:hAnsi="宋体" w:cs="宋体"/>
          <w:b/>
          <w:color w:val="auto"/>
          <w:sz w:val="24"/>
          <w:szCs w:val="24"/>
          <w:highlight w:val="none"/>
        </w:rPr>
        <w:t>2.5消防界面</w:t>
      </w:r>
    </w:p>
    <w:p>
      <w:pPr>
        <w:tabs>
          <w:tab w:val="left" w:pos="993"/>
        </w:tabs>
        <w:adjustRightInd w:val="0"/>
        <w:snapToGrid w:val="0"/>
        <w:ind w:left="426"/>
        <w:rPr>
          <w:rFonts w:ascii="宋体" w:hAnsi="宋体" w:cs="宋体"/>
          <w:b/>
          <w:color w:val="auto"/>
          <w:sz w:val="24"/>
          <w:szCs w:val="24"/>
          <w:highlight w:val="none"/>
        </w:rPr>
      </w:pPr>
      <w:r>
        <w:rPr>
          <w:rFonts w:hint="eastAsia" w:ascii="宋体" w:hAnsi="宋体"/>
          <w:color w:val="auto"/>
          <w:sz w:val="24"/>
          <w:szCs w:val="24"/>
          <w:highlight w:val="none"/>
        </w:rPr>
        <w:t>地下一层回旋加速器及热室区域的防火门由中标方负责施工。</w:t>
      </w:r>
    </w:p>
    <w:p>
      <w:pPr>
        <w:adjustRightInd w:val="0"/>
        <w:snapToGrid w:val="0"/>
        <w:ind w:left="496" w:leftChars="236"/>
        <w:rPr>
          <w:rFonts w:ascii="宋体" w:hAnsi="宋体" w:cs="宋体"/>
          <w:color w:val="auto"/>
          <w:sz w:val="24"/>
          <w:szCs w:val="24"/>
          <w:highlight w:val="none"/>
        </w:rPr>
      </w:pPr>
      <w:r>
        <w:rPr>
          <w:rFonts w:hint="eastAsia" w:ascii="宋体" w:hAnsi="宋体" w:cs="宋体"/>
          <w:color w:val="auto"/>
          <w:sz w:val="24"/>
          <w:szCs w:val="24"/>
          <w:highlight w:val="none"/>
        </w:rPr>
        <w:t>其他区域所有消防系统均不在本次施工范围内。消防系统包括防火隔墙、防火门窗、消防排烟、消防喷淋、烟感报警、</w:t>
      </w:r>
      <w:r>
        <w:rPr>
          <w:rFonts w:hint="eastAsia" w:ascii="宋体" w:hAnsi="宋体"/>
          <w:color w:val="auto"/>
          <w:sz w:val="24"/>
          <w:szCs w:val="24"/>
          <w:highlight w:val="none"/>
        </w:rPr>
        <w:t>应急照明灯、疏散指示灯</w:t>
      </w:r>
      <w:r>
        <w:rPr>
          <w:rFonts w:hint="eastAsia" w:ascii="宋体" w:hAnsi="宋体" w:cs="宋体"/>
          <w:color w:val="auto"/>
          <w:sz w:val="24"/>
          <w:szCs w:val="24"/>
          <w:highlight w:val="none"/>
        </w:rPr>
        <w:t>等，由中标方配合消防单位施工直至完成最终的消防调试验收。</w:t>
      </w:r>
    </w:p>
    <w:p>
      <w:pPr>
        <w:adjustRightInd w:val="0"/>
        <w:snapToGrid w:val="0"/>
        <w:ind w:left="496" w:leftChars="236"/>
        <w:rPr>
          <w:rFonts w:ascii="宋体" w:hAnsi="宋体" w:cs="宋体"/>
          <w:color w:val="auto"/>
          <w:sz w:val="24"/>
          <w:szCs w:val="24"/>
          <w:highlight w:val="none"/>
        </w:rPr>
      </w:pPr>
    </w:p>
    <w:p>
      <w:pPr>
        <w:adjustRightInd w:val="0"/>
        <w:snapToGrid w:val="0"/>
        <w:ind w:left="496" w:leftChars="236"/>
        <w:outlineLvl w:val="2"/>
        <w:rPr>
          <w:rFonts w:ascii="宋体" w:hAnsi="宋体" w:cs="宋体"/>
          <w:color w:val="auto"/>
          <w:sz w:val="24"/>
          <w:szCs w:val="24"/>
          <w:highlight w:val="none"/>
        </w:rPr>
      </w:pPr>
      <w:r>
        <w:rPr>
          <w:rFonts w:ascii="宋体" w:hAnsi="宋体"/>
          <w:b/>
          <w:color w:val="auto"/>
          <w:sz w:val="24"/>
          <w:szCs w:val="24"/>
          <w:highlight w:val="none"/>
        </w:rPr>
        <w:t>3</w:t>
      </w:r>
      <w:r>
        <w:rPr>
          <w:rFonts w:hint="eastAsia" w:ascii="宋体" w:hAnsi="宋体"/>
          <w:b/>
          <w:color w:val="auto"/>
          <w:sz w:val="24"/>
          <w:szCs w:val="24"/>
          <w:highlight w:val="none"/>
        </w:rPr>
        <w:t>、招标工程技术标准和总体要求：</w:t>
      </w:r>
    </w:p>
    <w:p>
      <w:pPr>
        <w:adjustRightInd w:val="0"/>
        <w:snapToGrid w:val="0"/>
        <w:ind w:left="496" w:leftChars="236"/>
        <w:outlineLvl w:val="3"/>
        <w:rPr>
          <w:rFonts w:ascii="宋体" w:hAnsi="宋体" w:cs="宋体"/>
          <w:color w:val="auto"/>
          <w:sz w:val="24"/>
          <w:szCs w:val="24"/>
          <w:highlight w:val="none"/>
        </w:rPr>
      </w:pPr>
      <w:r>
        <w:rPr>
          <w:rFonts w:ascii="宋体" w:hAnsi="宋体"/>
          <w:color w:val="auto"/>
          <w:sz w:val="24"/>
          <w:szCs w:val="24"/>
          <w:highlight w:val="none"/>
        </w:rPr>
        <w:t>3.1 范围内所有设备和材料所涉及的设计标准、规范，产品标准、规范，工程标准、规范等</w:t>
      </w:r>
      <w:r>
        <w:rPr>
          <w:rFonts w:hint="eastAsia" w:ascii="宋体" w:hAnsi="宋体" w:cs="宋体"/>
          <w:color w:val="auto"/>
          <w:sz w:val="24"/>
          <w:szCs w:val="24"/>
          <w:highlight w:val="none"/>
        </w:rPr>
        <w:t>。</w:t>
      </w:r>
    </w:p>
    <w:p>
      <w:pPr>
        <w:adjustRightInd w:val="0"/>
        <w:snapToGrid w:val="0"/>
        <w:ind w:firstLine="480" w:firstLineChars="200"/>
        <w:outlineLvl w:val="3"/>
        <w:rPr>
          <w:rFonts w:ascii="宋体" w:hAnsi="宋体" w:cs="宋体"/>
          <w:color w:val="auto"/>
          <w:sz w:val="24"/>
          <w:szCs w:val="24"/>
          <w:highlight w:val="none"/>
        </w:rPr>
      </w:pPr>
      <w:r>
        <w:rPr>
          <w:rFonts w:ascii="宋体" w:hAnsi="宋体" w:cs="宋体"/>
          <w:color w:val="auto"/>
          <w:sz w:val="24"/>
          <w:szCs w:val="24"/>
          <w:highlight w:val="none"/>
        </w:rPr>
        <w:t>3.2</w:t>
      </w:r>
      <w:r>
        <w:rPr>
          <w:rFonts w:hint="eastAsia" w:ascii="宋体" w:hAnsi="宋体" w:cs="宋体"/>
          <w:color w:val="auto"/>
          <w:sz w:val="24"/>
          <w:szCs w:val="24"/>
          <w:highlight w:val="none"/>
        </w:rPr>
        <w:t>本工程</w:t>
      </w:r>
      <w:r>
        <w:rPr>
          <w:rFonts w:hint="eastAsia" w:ascii="宋体" w:hAnsi="宋体"/>
          <w:color w:val="auto"/>
          <w:sz w:val="24"/>
          <w:szCs w:val="24"/>
          <w:highlight w:val="none"/>
        </w:rPr>
        <w:t>必须符合中华人民共和国相应的标准和规范要求。包括但不限于：</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《电离辐射防护与辐射源安全基本标准》</w:t>
      </w:r>
      <w:r>
        <w:rPr>
          <w:rFonts w:ascii="宋体" w:hAnsi="宋体" w:cs="宋体"/>
          <w:color w:val="auto"/>
          <w:sz w:val="24"/>
          <w:szCs w:val="24"/>
          <w:highlight w:val="none"/>
        </w:rPr>
        <w:t xml:space="preserve"> GB18871-2002；</w:t>
      </w:r>
    </w:p>
    <w:p>
      <w:pPr>
        <w:pStyle w:val="30"/>
        <w:numPr>
          <w:ilvl w:val="0"/>
          <w:numId w:val="16"/>
        </w:numPr>
        <w:rPr>
          <w:color w:val="auto"/>
          <w:highlight w:val="none"/>
        </w:rPr>
      </w:pPr>
      <w:r>
        <w:rPr>
          <w:rFonts w:hint="eastAsia" w:hAnsi="宋体" w:cs="宋体"/>
          <w:color w:val="auto"/>
          <w:sz w:val="24"/>
          <w:szCs w:val="24"/>
          <w:highlight w:val="none"/>
        </w:rPr>
        <w:t>《核医学放射防护要求》（</w:t>
      </w:r>
      <w:r>
        <w:rPr>
          <w:rFonts w:hAnsi="宋体" w:cs="宋体"/>
          <w:color w:val="auto"/>
          <w:sz w:val="24"/>
          <w:szCs w:val="24"/>
          <w:highlight w:val="none"/>
        </w:rPr>
        <w:t>GBZ 120-2020）</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《工业企业设计卫生标准》</w:t>
      </w:r>
      <w:r>
        <w:rPr>
          <w:rFonts w:ascii="宋体" w:hAnsi="宋体" w:cs="宋体"/>
          <w:color w:val="auto"/>
          <w:sz w:val="24"/>
          <w:szCs w:val="24"/>
          <w:highlight w:val="none"/>
        </w:rPr>
        <w:t xml:space="preserve"> GBZ1-2010；</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《工作场所有害因素职业接触限值第</w:t>
      </w:r>
      <w:r>
        <w:rPr>
          <w:rFonts w:ascii="宋体" w:hAnsi="宋体" w:cs="宋体"/>
          <w:color w:val="auto"/>
          <w:sz w:val="24"/>
          <w:szCs w:val="24"/>
          <w:highlight w:val="none"/>
        </w:rPr>
        <w:t xml:space="preserve">1部分: </w:t>
      </w:r>
      <w:r>
        <w:rPr>
          <w:rFonts w:hint="eastAsia" w:ascii="宋体" w:hAnsi="宋体" w:cs="宋体"/>
          <w:color w:val="auto"/>
          <w:sz w:val="24"/>
          <w:szCs w:val="24"/>
          <w:highlight w:val="none"/>
        </w:rPr>
        <w:t>化学有害因素》</w:t>
      </w:r>
      <w:r>
        <w:rPr>
          <w:rFonts w:ascii="宋体" w:hAnsi="宋体" w:cs="宋体"/>
          <w:color w:val="auto"/>
          <w:sz w:val="24"/>
          <w:szCs w:val="24"/>
          <w:highlight w:val="none"/>
        </w:rPr>
        <w:t xml:space="preserve"> GBZ 2.1-2019；</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《工作场所有害因素职业接限值第</w:t>
      </w:r>
      <w:r>
        <w:rPr>
          <w:rFonts w:ascii="宋体" w:hAnsi="宋体" w:cs="宋体"/>
          <w:color w:val="auto"/>
          <w:sz w:val="24"/>
          <w:szCs w:val="24"/>
          <w:highlight w:val="none"/>
        </w:rPr>
        <w:t>2部分:物理因素》 GBZ 2.2-2007；</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《职业性外射个人剂量监测规范》</w:t>
      </w:r>
      <w:r>
        <w:rPr>
          <w:rFonts w:ascii="宋体" w:hAnsi="宋体" w:cs="宋体"/>
          <w:color w:val="auto"/>
          <w:sz w:val="24"/>
          <w:szCs w:val="24"/>
          <w:highlight w:val="none"/>
        </w:rPr>
        <w:t>GBZ128-2016；</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《放射诊断放射防护要求》</w:t>
      </w:r>
      <w:r>
        <w:rPr>
          <w:rFonts w:ascii="宋体" w:hAnsi="宋体" w:cs="宋体"/>
          <w:color w:val="auto"/>
          <w:sz w:val="24"/>
          <w:szCs w:val="24"/>
          <w:highlight w:val="none"/>
        </w:rPr>
        <w:t xml:space="preserve"> GBZ 130-2020；</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《工作场所职业病危害警示标识》</w:t>
      </w:r>
      <w:r>
        <w:rPr>
          <w:rFonts w:ascii="宋体" w:hAnsi="宋体" w:cs="宋体"/>
          <w:color w:val="auto"/>
          <w:sz w:val="24"/>
          <w:szCs w:val="24"/>
          <w:highlight w:val="none"/>
        </w:rPr>
        <w:t xml:space="preserve"> GBZ158-2003；</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《放射治疗机房的辐射屏蔽规范</w:t>
      </w:r>
      <w:r>
        <w:rPr>
          <w:rFonts w:ascii="宋体" w:hAnsi="宋体" w:cs="宋体"/>
          <w:color w:val="auto"/>
          <w:sz w:val="24"/>
          <w:szCs w:val="24"/>
          <w:highlight w:val="none"/>
        </w:rPr>
        <w:t>-第1部分:一般原则》 GZ/T201.1-2007；</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《放射治疗机房的辐射屏蔽规范</w:t>
      </w:r>
      <w:r>
        <w:rPr>
          <w:rFonts w:ascii="宋体" w:hAnsi="宋体" w:cs="宋体"/>
          <w:color w:val="auto"/>
          <w:sz w:val="24"/>
          <w:szCs w:val="24"/>
          <w:highlight w:val="none"/>
        </w:rPr>
        <w:t xml:space="preserve">-第2部分: </w:t>
      </w:r>
      <w:r>
        <w:rPr>
          <w:rFonts w:hint="eastAsia" w:ascii="宋体" w:hAnsi="宋体" w:cs="宋体"/>
          <w:color w:val="auto"/>
          <w:sz w:val="24"/>
          <w:szCs w:val="24"/>
          <w:highlight w:val="none"/>
        </w:rPr>
        <w:t>电子直线加速器放射治疗机房》</w:t>
      </w:r>
      <w:r>
        <w:rPr>
          <w:rFonts w:ascii="宋体" w:hAnsi="宋体" w:cs="宋体"/>
          <w:color w:val="auto"/>
          <w:sz w:val="24"/>
          <w:szCs w:val="24"/>
          <w:highlight w:val="none"/>
        </w:rPr>
        <w:t xml:space="preserve"> GBZ/T 201.2-2011；</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《建设项目职业病危害放射防护评价规范一</w:t>
      </w:r>
      <w:r>
        <w:rPr>
          <w:rFonts w:ascii="宋体" w:hAnsi="宋体" w:cs="宋体"/>
          <w:color w:val="auto"/>
          <w:sz w:val="24"/>
          <w:szCs w:val="24"/>
          <w:highlight w:val="none"/>
        </w:rPr>
        <w:t xml:space="preserve">-第2部分: </w:t>
      </w:r>
      <w:r>
        <w:rPr>
          <w:rFonts w:hint="eastAsia" w:ascii="宋体" w:hAnsi="宋体" w:cs="宋体"/>
          <w:color w:val="auto"/>
          <w:sz w:val="24"/>
          <w:szCs w:val="24"/>
          <w:highlight w:val="none"/>
        </w:rPr>
        <w:t>放射治疗装置》</w:t>
      </w:r>
      <w:r>
        <w:rPr>
          <w:rFonts w:ascii="宋体" w:hAnsi="宋体" w:cs="宋体"/>
          <w:color w:val="auto"/>
          <w:sz w:val="24"/>
          <w:szCs w:val="24"/>
          <w:highlight w:val="none"/>
        </w:rPr>
        <w:t xml:space="preserve"> BZ/T2202-2009；</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X射线计算机断层摄影放射防护要求》GBZ165-2012；</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《医用放射性废物的卫生防护管理》</w:t>
      </w:r>
      <w:r>
        <w:rPr>
          <w:rFonts w:ascii="宋体" w:hAnsi="宋体" w:cs="宋体"/>
          <w:color w:val="auto"/>
          <w:sz w:val="24"/>
          <w:szCs w:val="24"/>
          <w:highlight w:val="none"/>
        </w:rPr>
        <w:t xml:space="preserve"> GBZ133-2009；</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《建筑内部装修设计防火规范》</w:t>
      </w:r>
      <w:r>
        <w:rPr>
          <w:rFonts w:ascii="宋体" w:hAnsi="宋体" w:cs="宋体"/>
          <w:color w:val="auto"/>
          <w:sz w:val="24"/>
          <w:szCs w:val="24"/>
          <w:highlight w:val="none"/>
        </w:rPr>
        <w:t xml:space="preserve"> GB50222-2017；</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《建筑设计防火规范》</w:t>
      </w:r>
      <w:r>
        <w:rPr>
          <w:rFonts w:ascii="宋体" w:hAnsi="宋体" w:cs="宋体"/>
          <w:color w:val="auto"/>
          <w:sz w:val="24"/>
          <w:szCs w:val="24"/>
          <w:highlight w:val="none"/>
        </w:rPr>
        <w:t xml:space="preserve"> GB50016-2014 (2018版)；</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《建筑装饰装修工程质量验收标准》</w:t>
      </w:r>
      <w:r>
        <w:rPr>
          <w:rFonts w:ascii="宋体" w:hAnsi="宋体" w:cs="宋体"/>
          <w:color w:val="auto"/>
          <w:sz w:val="24"/>
          <w:szCs w:val="24"/>
          <w:highlight w:val="none"/>
        </w:rPr>
        <w:t xml:space="preserve"> GB 50210-2018；</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《建筑给水排水设计标准》</w:t>
      </w:r>
      <w:r>
        <w:rPr>
          <w:rFonts w:ascii="宋体" w:hAnsi="宋体" w:cs="宋体"/>
          <w:color w:val="auto"/>
          <w:sz w:val="24"/>
          <w:szCs w:val="24"/>
          <w:highlight w:val="none"/>
        </w:rPr>
        <w:t xml:space="preserve"> GB-50015-2019；</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《建筑给水排水及采暖工程施工质量验收规范》</w:t>
      </w:r>
      <w:r>
        <w:rPr>
          <w:rFonts w:ascii="宋体" w:hAnsi="宋体" w:cs="宋体"/>
          <w:color w:val="auto"/>
          <w:sz w:val="24"/>
          <w:szCs w:val="24"/>
          <w:highlight w:val="none"/>
        </w:rPr>
        <w:t xml:space="preserve"> GB 50242-2002；</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《医院洁净手术部建筑技术规范》</w:t>
      </w:r>
      <w:r>
        <w:rPr>
          <w:rFonts w:ascii="宋体" w:hAnsi="宋体" w:cs="宋体"/>
          <w:color w:val="auto"/>
          <w:sz w:val="24"/>
          <w:szCs w:val="24"/>
          <w:highlight w:val="none"/>
        </w:rPr>
        <w:t xml:space="preserve"> GB 50333-2013</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《药品生产质量管理规范》</w:t>
      </w:r>
      <w:r>
        <w:rPr>
          <w:rFonts w:ascii="宋体" w:hAnsi="宋体" w:cs="宋体"/>
          <w:color w:val="auto"/>
          <w:sz w:val="24"/>
          <w:szCs w:val="24"/>
          <w:highlight w:val="none"/>
        </w:rPr>
        <w:t xml:space="preserve"> 2010版GMP</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《洁净室施工及验收规范》</w:t>
      </w:r>
      <w:r>
        <w:rPr>
          <w:rFonts w:ascii="宋体" w:hAnsi="宋体" w:cs="宋体"/>
          <w:color w:val="auto"/>
          <w:sz w:val="24"/>
          <w:szCs w:val="24"/>
          <w:highlight w:val="none"/>
        </w:rPr>
        <w:t xml:space="preserve"> GB 50591-2010</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《综合医院建筑设计规范》</w:t>
      </w:r>
      <w:r>
        <w:rPr>
          <w:rFonts w:ascii="宋体" w:hAnsi="宋体" w:cs="宋体"/>
          <w:color w:val="auto"/>
          <w:sz w:val="24"/>
          <w:szCs w:val="24"/>
          <w:highlight w:val="none"/>
        </w:rPr>
        <w:t>GB 50139-2014</w:t>
      </w:r>
    </w:p>
    <w:p>
      <w:pPr>
        <w:widowControl/>
        <w:numPr>
          <w:ilvl w:val="0"/>
          <w:numId w:val="16"/>
        </w:numPr>
        <w:adjustRightInd w:val="0"/>
        <w:snapToGrid w:val="0"/>
        <w:jc w:val="left"/>
        <w:rPr>
          <w:rFonts w:ascii="宋体" w:hAnsi="宋体"/>
          <w:color w:val="auto"/>
          <w:sz w:val="24"/>
          <w:szCs w:val="24"/>
          <w:highlight w:val="none"/>
        </w:rPr>
      </w:pPr>
      <w:r>
        <w:rPr>
          <w:rFonts w:hint="eastAsia" w:ascii="宋体" w:hAnsi="宋体" w:cs="宋体"/>
          <w:color w:val="auto"/>
          <w:sz w:val="24"/>
          <w:szCs w:val="24"/>
          <w:highlight w:val="none"/>
        </w:rPr>
        <w:t>《生物安全实验室建筑技术规范》</w:t>
      </w:r>
      <w:r>
        <w:rPr>
          <w:rFonts w:ascii="宋体" w:hAnsi="宋体" w:cs="宋体"/>
          <w:color w:val="auto"/>
          <w:sz w:val="24"/>
          <w:szCs w:val="24"/>
          <w:highlight w:val="none"/>
        </w:rPr>
        <w:t xml:space="preserve"> GB 50346-2011 </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《通风与空调工程施工质量验收规范》</w:t>
      </w:r>
      <w:r>
        <w:rPr>
          <w:rFonts w:ascii="宋体" w:hAnsi="宋体" w:cs="宋体"/>
          <w:color w:val="auto"/>
          <w:sz w:val="24"/>
          <w:szCs w:val="24"/>
          <w:highlight w:val="none"/>
        </w:rPr>
        <w:t xml:space="preserve"> GB 50243-2016 </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《医药工业洁净厂房设计规范》</w:t>
      </w:r>
      <w:r>
        <w:rPr>
          <w:rFonts w:ascii="宋体" w:hAnsi="宋体" w:cs="宋体"/>
          <w:color w:val="auto"/>
          <w:sz w:val="24"/>
          <w:szCs w:val="24"/>
          <w:highlight w:val="none"/>
        </w:rPr>
        <w:t>GB 50457-2019</w:t>
      </w:r>
    </w:p>
    <w:p>
      <w:pPr>
        <w:widowControl/>
        <w:numPr>
          <w:ilvl w:val="0"/>
          <w:numId w:val="16"/>
        </w:numPr>
        <w:adjustRightInd w:val="0"/>
        <w:snapToGrid w:val="0"/>
        <w:jc w:val="left"/>
        <w:rPr>
          <w:rFonts w:ascii="宋体" w:hAnsi="宋体"/>
          <w:color w:val="auto"/>
          <w:sz w:val="24"/>
          <w:szCs w:val="24"/>
          <w:highlight w:val="none"/>
        </w:rPr>
      </w:pPr>
      <w:r>
        <w:rPr>
          <w:rFonts w:hint="eastAsia" w:ascii="宋体" w:hAnsi="宋体" w:cs="宋体"/>
          <w:color w:val="auto"/>
          <w:sz w:val="24"/>
          <w:szCs w:val="24"/>
          <w:highlight w:val="none"/>
        </w:rPr>
        <w:t>《公共建筑节能设计标准》</w:t>
      </w:r>
      <w:r>
        <w:rPr>
          <w:rFonts w:ascii="宋体" w:hAnsi="宋体" w:cs="宋体"/>
          <w:color w:val="auto"/>
          <w:sz w:val="24"/>
          <w:szCs w:val="24"/>
          <w:highlight w:val="none"/>
        </w:rPr>
        <w:t xml:space="preserve"> GB 50189-2015</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《建筑机电工程抗震设计规范》</w:t>
      </w:r>
      <w:r>
        <w:rPr>
          <w:rFonts w:ascii="宋体" w:hAnsi="宋体" w:cs="宋体"/>
          <w:color w:val="auto"/>
          <w:sz w:val="24"/>
          <w:szCs w:val="24"/>
          <w:highlight w:val="none"/>
        </w:rPr>
        <w:t>GB 50981-2014</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《民用建筑电气设计标准》</w:t>
      </w:r>
      <w:r>
        <w:rPr>
          <w:rFonts w:ascii="宋体" w:hAnsi="宋体" w:cs="宋体"/>
          <w:color w:val="auto"/>
          <w:sz w:val="24"/>
          <w:szCs w:val="24"/>
          <w:highlight w:val="none"/>
        </w:rPr>
        <w:t>GB51348-2019</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《低压配电设计规范》</w:t>
      </w:r>
      <w:r>
        <w:rPr>
          <w:rFonts w:ascii="宋体" w:hAnsi="宋体" w:cs="宋体"/>
          <w:color w:val="auto"/>
          <w:sz w:val="24"/>
          <w:szCs w:val="24"/>
          <w:highlight w:val="none"/>
        </w:rPr>
        <w:t>GB50054-2011</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《建筑照明设计标准》</w:t>
      </w:r>
      <w:r>
        <w:rPr>
          <w:rFonts w:ascii="宋体" w:hAnsi="宋体" w:cs="宋体"/>
          <w:color w:val="auto"/>
          <w:sz w:val="24"/>
          <w:szCs w:val="24"/>
          <w:highlight w:val="none"/>
        </w:rPr>
        <w:t>GB50034-2013</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《智能建筑设计标准》</w:t>
      </w:r>
      <w:r>
        <w:rPr>
          <w:rFonts w:ascii="宋体" w:hAnsi="宋体" w:cs="宋体"/>
          <w:color w:val="auto"/>
          <w:sz w:val="24"/>
          <w:szCs w:val="24"/>
          <w:highlight w:val="none"/>
        </w:rPr>
        <w:t>GB/T50314-2015</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《综合医院建筑设计规范》</w:t>
      </w:r>
      <w:r>
        <w:rPr>
          <w:rFonts w:ascii="宋体" w:hAnsi="宋体" w:cs="宋体"/>
          <w:color w:val="auto"/>
          <w:sz w:val="24"/>
          <w:szCs w:val="24"/>
          <w:highlight w:val="none"/>
        </w:rPr>
        <w:t>GB51039-2014</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《医疗建筑电气设计规范》</w:t>
      </w:r>
      <w:r>
        <w:rPr>
          <w:rFonts w:ascii="宋体" w:hAnsi="宋体" w:cs="宋体"/>
          <w:color w:val="auto"/>
          <w:sz w:val="24"/>
          <w:szCs w:val="24"/>
          <w:highlight w:val="none"/>
        </w:rPr>
        <w:t xml:space="preserve">JGJ312-2013 </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《综合布线系统工程设计规范》</w:t>
      </w:r>
      <w:r>
        <w:rPr>
          <w:rFonts w:ascii="宋体" w:hAnsi="宋体" w:cs="宋体"/>
          <w:color w:val="auto"/>
          <w:sz w:val="24"/>
          <w:szCs w:val="24"/>
          <w:highlight w:val="none"/>
        </w:rPr>
        <w:t>GB50311-2016；</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《民用闭路监视电视系统工程技术规范》</w:t>
      </w:r>
      <w:r>
        <w:rPr>
          <w:rFonts w:ascii="宋体" w:hAnsi="宋体" w:cs="宋体"/>
          <w:color w:val="auto"/>
          <w:sz w:val="24"/>
          <w:szCs w:val="24"/>
          <w:highlight w:val="none"/>
        </w:rPr>
        <w:t>GB50198－2011；</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《视频安防监控系统工程设计规范》</w:t>
      </w:r>
      <w:r>
        <w:rPr>
          <w:rFonts w:ascii="宋体" w:hAnsi="宋体" w:cs="宋体"/>
          <w:color w:val="auto"/>
          <w:sz w:val="24"/>
          <w:szCs w:val="24"/>
          <w:highlight w:val="none"/>
        </w:rPr>
        <w:t>GB50395-2007；</w:t>
      </w:r>
    </w:p>
    <w:p>
      <w:pPr>
        <w:widowControl/>
        <w:numPr>
          <w:ilvl w:val="0"/>
          <w:numId w:val="16"/>
        </w:num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现行国家、当地有关建筑设计规范和规定</w:t>
      </w:r>
    </w:p>
    <w:p>
      <w:pPr>
        <w:pStyle w:val="30"/>
        <w:rPr>
          <w:rFonts w:hAnsi="宋体" w:cs="宋体"/>
          <w:color w:val="auto"/>
          <w:sz w:val="24"/>
          <w:szCs w:val="24"/>
          <w:highlight w:val="none"/>
        </w:rPr>
      </w:pPr>
      <w:r>
        <w:rPr>
          <w:rFonts w:hint="eastAsia" w:hAnsi="宋体" w:cs="宋体"/>
          <w:color w:val="auto"/>
          <w:sz w:val="24"/>
          <w:szCs w:val="24"/>
          <w:highlight w:val="none"/>
        </w:rPr>
        <w:t>注：如国家更新上述法规、标准、规范等，则以最新版为准。</w:t>
      </w:r>
    </w:p>
    <w:p>
      <w:pPr>
        <w:pStyle w:val="30"/>
        <w:rPr>
          <w:rFonts w:hAnsi="宋体" w:cs="宋体"/>
          <w:color w:val="auto"/>
          <w:sz w:val="24"/>
          <w:szCs w:val="24"/>
          <w:highlight w:val="none"/>
        </w:rPr>
      </w:pPr>
    </w:p>
    <w:p>
      <w:pPr>
        <w:adjustRightInd/>
        <w:snapToGrid/>
        <w:spacing w:line="360" w:lineRule="auto"/>
        <w:ind w:firstLine="480" w:firstLineChars="200"/>
        <w:rPr>
          <w:rFonts w:ascii="宋体" w:hAnsi="宋体" w:cs="宋体"/>
          <w:color w:val="auto"/>
          <w:sz w:val="24"/>
          <w:szCs w:val="24"/>
          <w:highlight w:val="none"/>
        </w:rPr>
      </w:pPr>
    </w:p>
    <w:p>
      <w:pPr>
        <w:tabs>
          <w:tab w:val="left" w:pos="426"/>
        </w:tabs>
        <w:adjustRightInd w:val="0"/>
        <w:snapToGrid w:val="0"/>
        <w:ind w:left="480"/>
        <w:outlineLvl w:val="1"/>
        <w:rPr>
          <w:rFonts w:ascii="宋体" w:hAnsi="宋体" w:cs="宋体"/>
          <w:b/>
          <w:color w:val="auto"/>
          <w:sz w:val="24"/>
          <w:szCs w:val="24"/>
          <w:highlight w:val="none"/>
        </w:rPr>
      </w:pPr>
      <w:r>
        <w:rPr>
          <w:rFonts w:hint="eastAsia" w:ascii="宋体" w:hAnsi="宋体" w:cs="宋体"/>
          <w:b/>
          <w:color w:val="auto"/>
          <w:sz w:val="24"/>
          <w:szCs w:val="24"/>
          <w:highlight w:val="none"/>
        </w:rPr>
        <w:t>二、技术规格与要求</w:t>
      </w:r>
    </w:p>
    <w:p>
      <w:pPr>
        <w:widowControl/>
        <w:numPr>
          <w:ilvl w:val="0"/>
          <w:numId w:val="17"/>
        </w:numPr>
        <w:adjustRightInd w:val="0"/>
        <w:snapToGrid w:val="0"/>
        <w:ind w:left="567" w:hanging="141"/>
        <w:jc w:val="left"/>
        <w:outlineLvl w:val="2"/>
        <w:rPr>
          <w:rFonts w:ascii="宋体" w:hAnsi="宋体"/>
          <w:b/>
          <w:color w:val="auto"/>
          <w:sz w:val="24"/>
          <w:szCs w:val="24"/>
          <w:highlight w:val="none"/>
        </w:rPr>
      </w:pPr>
      <w:r>
        <w:rPr>
          <w:rFonts w:hint="eastAsia" w:ascii="宋体" w:hAnsi="宋体" w:cs="宋体"/>
          <w:b/>
          <w:color w:val="auto"/>
          <w:sz w:val="24"/>
          <w:szCs w:val="24"/>
          <w:highlight w:val="none"/>
        </w:rPr>
        <w:t>净化装饰设计要求</w:t>
      </w:r>
    </w:p>
    <w:p>
      <w:pPr>
        <w:adjustRightInd w:val="0"/>
        <w:snapToGrid w:val="0"/>
        <w:ind w:left="422"/>
        <w:outlineLvl w:val="3"/>
        <w:rPr>
          <w:rFonts w:ascii="宋体" w:hAnsi="宋体"/>
          <w:b/>
          <w:color w:val="auto"/>
          <w:sz w:val="24"/>
          <w:szCs w:val="24"/>
          <w:highlight w:val="none"/>
        </w:rPr>
      </w:pPr>
      <w:r>
        <w:rPr>
          <w:rFonts w:ascii="宋体" w:hAnsi="宋体" w:cs="宋体"/>
          <w:b/>
          <w:color w:val="auto"/>
          <w:sz w:val="24"/>
          <w:szCs w:val="24"/>
          <w:highlight w:val="none"/>
        </w:rPr>
        <w:t>1.1总体要求：</w:t>
      </w:r>
    </w:p>
    <w:p>
      <w:pPr>
        <w:adjustRightInd w:val="0"/>
        <w:snapToGrid w:val="0"/>
        <w:ind w:left="354"/>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1）建筑装饰应遵循GB 50333-2013</w:t>
      </w:r>
      <w:r>
        <w:rPr>
          <w:rFonts w:hint="eastAsia" w:ascii="宋体" w:hAnsi="宋体" w:cs="宋体"/>
          <w:color w:val="auto"/>
          <w:sz w:val="24"/>
          <w:szCs w:val="24"/>
          <w:highlight w:val="none"/>
        </w:rPr>
        <w:t>第</w:t>
      </w:r>
      <w:r>
        <w:rPr>
          <w:rFonts w:ascii="宋体" w:hAnsi="宋体" w:cs="宋体"/>
          <w:color w:val="auto"/>
          <w:sz w:val="24"/>
          <w:szCs w:val="24"/>
          <w:highlight w:val="none"/>
        </w:rPr>
        <w:t>7.3.1</w:t>
      </w:r>
      <w:r>
        <w:rPr>
          <w:rFonts w:hint="eastAsia" w:ascii="宋体" w:hAnsi="宋体" w:cs="宋体"/>
          <w:color w:val="auto"/>
          <w:sz w:val="24"/>
          <w:szCs w:val="24"/>
          <w:highlight w:val="none"/>
        </w:rPr>
        <w:t>条以及第</w:t>
      </w:r>
      <w:r>
        <w:rPr>
          <w:rFonts w:ascii="宋体" w:hAnsi="宋体" w:cs="宋体"/>
          <w:color w:val="auto"/>
          <w:sz w:val="24"/>
          <w:szCs w:val="24"/>
          <w:highlight w:val="none"/>
        </w:rPr>
        <w:t>7.3.9</w:t>
      </w:r>
      <w:r>
        <w:rPr>
          <w:rFonts w:hint="eastAsia" w:ascii="宋体" w:hAnsi="宋体" w:cs="宋体"/>
          <w:color w:val="auto"/>
          <w:sz w:val="24"/>
          <w:szCs w:val="24"/>
          <w:highlight w:val="none"/>
        </w:rPr>
        <w:t>条的规定，不产尘、不易积尘、耐腐蚀、</w:t>
      </w:r>
      <w:r>
        <w:rPr>
          <w:rFonts w:hint="eastAsia" w:ascii="宋体" w:hAnsi="宋体"/>
          <w:color w:val="auto"/>
          <w:sz w:val="24"/>
          <w:szCs w:val="24"/>
          <w:highlight w:val="none"/>
        </w:rPr>
        <w:t>耐碰撞、不开裂、</w:t>
      </w:r>
      <w:r>
        <w:rPr>
          <w:rFonts w:hint="eastAsia" w:ascii="宋体" w:hAnsi="宋体" w:cs="宋体"/>
          <w:color w:val="auto"/>
          <w:sz w:val="24"/>
          <w:szCs w:val="24"/>
          <w:highlight w:val="none"/>
        </w:rPr>
        <w:t>防潮防霉、易清洁</w:t>
      </w:r>
      <w:r>
        <w:rPr>
          <w:rFonts w:hint="eastAsia" w:ascii="宋体" w:hAnsi="宋体"/>
          <w:color w:val="auto"/>
          <w:sz w:val="24"/>
          <w:szCs w:val="24"/>
          <w:highlight w:val="none"/>
        </w:rPr>
        <w:t>、环保节能</w:t>
      </w:r>
      <w:r>
        <w:rPr>
          <w:rFonts w:hint="eastAsia" w:ascii="宋体" w:hAnsi="宋体" w:cs="宋体"/>
          <w:color w:val="auto"/>
          <w:sz w:val="24"/>
          <w:szCs w:val="24"/>
          <w:highlight w:val="none"/>
        </w:rPr>
        <w:t>和符合防火要求的总原则。</w:t>
      </w:r>
    </w:p>
    <w:p>
      <w:pPr>
        <w:adjustRightInd w:val="0"/>
        <w:snapToGrid w:val="0"/>
        <w:ind w:left="354"/>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2）地面应平整，采用耐磨、防滑、耐腐蚀、易清洁、环保、不易起尘与不开裂的材料制作。</w:t>
      </w:r>
    </w:p>
    <w:p>
      <w:pPr>
        <w:adjustRightInd w:val="0"/>
        <w:snapToGrid w:val="0"/>
        <w:ind w:left="354"/>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3）墙面应使用不易开裂、阻燃、易清洗和耐碰撞的材料。净化区内与室内空气直接接触的外露材料不得使用木材和石膏。</w:t>
      </w:r>
    </w:p>
    <w:p>
      <w:pPr>
        <w:adjustRightInd w:val="0"/>
        <w:snapToGrid w:val="0"/>
        <w:ind w:left="354"/>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4）所有墙面的阳角处均设置R50铝合金阳角线至吊顶。</w:t>
      </w:r>
    </w:p>
    <w:p>
      <w:pPr>
        <w:adjustRightInd w:val="0"/>
        <w:snapToGrid w:val="0"/>
        <w:ind w:left="425"/>
        <w:outlineLvl w:val="3"/>
        <w:rPr>
          <w:rFonts w:ascii="宋体" w:hAnsi="宋体" w:cs="宋体"/>
          <w:b/>
          <w:color w:val="auto"/>
          <w:sz w:val="24"/>
          <w:szCs w:val="24"/>
          <w:highlight w:val="none"/>
        </w:rPr>
      </w:pPr>
      <w:r>
        <w:rPr>
          <w:rFonts w:ascii="宋体" w:hAnsi="宋体" w:cs="宋体"/>
          <w:b/>
          <w:color w:val="auto"/>
          <w:sz w:val="24"/>
          <w:szCs w:val="24"/>
          <w:highlight w:val="none"/>
        </w:rPr>
        <w:t>1.2各区域装饰技术要求：</w:t>
      </w:r>
    </w:p>
    <w:p>
      <w:pPr>
        <w:adjustRightInd w:val="0"/>
        <w:snapToGrid w:val="0"/>
        <w:ind w:left="354"/>
        <w:rPr>
          <w:rFonts w:ascii="宋体" w:hAnsi="宋体"/>
          <w:color w:val="auto"/>
          <w:sz w:val="24"/>
          <w:szCs w:val="24"/>
          <w:highlight w:val="none"/>
        </w:rPr>
      </w:pPr>
      <w:r>
        <w:rPr>
          <w:rFonts w:ascii="宋体" w:hAnsi="宋体" w:cs="宋体"/>
          <w:b/>
          <w:color w:val="auto"/>
          <w:sz w:val="24"/>
          <w:szCs w:val="24"/>
          <w:highlight w:val="none"/>
        </w:rPr>
        <w:t>1.2.1</w:t>
      </w:r>
      <w:r>
        <w:rPr>
          <w:rFonts w:hint="eastAsia" w:ascii="宋体" w:hAnsi="宋体" w:cs="宋体"/>
          <w:color w:val="auto"/>
          <w:sz w:val="24"/>
          <w:szCs w:val="24"/>
          <w:highlight w:val="none"/>
        </w:rPr>
        <w:t>地下一层回旋加速器及热室区：</w:t>
      </w:r>
    </w:p>
    <w:p>
      <w:pPr>
        <w:widowControl/>
        <w:numPr>
          <w:ilvl w:val="0"/>
          <w:numId w:val="18"/>
        </w:numPr>
        <w:adjustRightInd w:val="0"/>
        <w:snapToGrid w:val="0"/>
        <w:ind w:left="372" w:leftChars="177" w:firstLine="52" w:firstLineChars="22"/>
        <w:jc w:val="left"/>
        <w:rPr>
          <w:rFonts w:ascii="宋体" w:hAnsi="宋体" w:cs="宋体"/>
          <w:color w:val="auto"/>
          <w:sz w:val="24"/>
          <w:szCs w:val="24"/>
          <w:highlight w:val="none"/>
        </w:rPr>
      </w:pPr>
      <w:r>
        <w:rPr>
          <w:rFonts w:hint="eastAsia" w:ascii="宋体" w:hAnsi="宋体" w:cs="宋体"/>
          <w:color w:val="auto"/>
          <w:sz w:val="24"/>
          <w:szCs w:val="24"/>
          <w:highlight w:val="none"/>
        </w:rPr>
        <w:t>墙面：热室、缓冲间墙面，</w:t>
      </w:r>
      <w:r>
        <w:rPr>
          <w:rFonts w:ascii="宋体" w:hAnsi="宋体" w:cs="宋体"/>
          <w:color w:val="auto"/>
          <w:sz w:val="24"/>
          <w:szCs w:val="24"/>
          <w:highlight w:val="none"/>
        </w:rPr>
        <w:t>75轻钢龙骨+8mm硅酸钙板+6mm无机预涂板，面层高度到吊顶，基层板和龙骨高度至吊顶上100mm。靠土建墙位置25方管龙骨+8mm硅酸钙板+6mm无机预涂板。污物间、洗衣间、淋浴、洁具等湿区用房，土建墙基层处理后贴300*600mm</w:t>
      </w:r>
      <w:r>
        <w:rPr>
          <w:rFonts w:hint="eastAsia" w:ascii="宋体" w:hAnsi="宋体" w:cs="宋体"/>
          <w:color w:val="auto"/>
          <w:sz w:val="24"/>
          <w:szCs w:val="24"/>
          <w:highlight w:val="none"/>
        </w:rPr>
        <w:t>墙砖，墙砖高度至吊顶上</w:t>
      </w:r>
      <w:r>
        <w:rPr>
          <w:rFonts w:ascii="宋体" w:hAnsi="宋体" w:cs="宋体"/>
          <w:color w:val="auto"/>
          <w:sz w:val="24"/>
          <w:szCs w:val="24"/>
          <w:highlight w:val="none"/>
        </w:rPr>
        <w:t>100mm。湿区墙面采用2mm厚聚氨酯涂膜防水层处理，上墙高度为1800mm。回旋加速器室墙面，饰面刷抗菌涂料三遍，防静电环氧自流平上墙高1000mm。除上述外的其它工作区域采用25方管龙骨+8mm硅酸钙板+6mm无机预涂板，库房和有防火要求的走道龙骨隔墙，龙骨和基层板高度至楼板底（填岩棉，容重100kg/m3)；</w:t>
      </w:r>
    </w:p>
    <w:p>
      <w:pPr>
        <w:widowControl/>
        <w:numPr>
          <w:ilvl w:val="0"/>
          <w:numId w:val="18"/>
        </w:numPr>
        <w:adjustRightInd w:val="0"/>
        <w:snapToGrid w:val="0"/>
        <w:ind w:left="372" w:leftChars="177" w:firstLine="52" w:firstLineChars="22"/>
        <w:jc w:val="left"/>
        <w:rPr>
          <w:rFonts w:ascii="宋体" w:hAnsi="宋体" w:cs="宋体"/>
          <w:color w:val="auto"/>
          <w:sz w:val="24"/>
          <w:szCs w:val="24"/>
          <w:highlight w:val="none"/>
        </w:rPr>
      </w:pPr>
      <w:r>
        <w:rPr>
          <w:rFonts w:hint="eastAsia" w:ascii="宋体" w:hAnsi="宋体" w:cs="宋体"/>
          <w:color w:val="auto"/>
          <w:sz w:val="24"/>
          <w:szCs w:val="24"/>
          <w:highlight w:val="none"/>
        </w:rPr>
        <w:t>吊顶：污物间、洗衣间、淋浴、洁具等湿区用房采用铝扣板专用龙骨（非上人型）</w:t>
      </w:r>
      <w:r>
        <w:rPr>
          <w:rFonts w:ascii="宋体" w:hAnsi="宋体" w:cs="宋体"/>
          <w:color w:val="auto"/>
          <w:sz w:val="24"/>
          <w:szCs w:val="24"/>
          <w:highlight w:val="none"/>
        </w:rPr>
        <w:t>+600*600*0.8mm铝扣板，吊顶高度为2600mm。回旋加速器室顶面，直刷防菌涂料。除上述外的其它工作区域采用60型上人轻钢龙骨+6mm硅酸钙板+6mm厚无机预涂板，接缝采用耐候密封胶处理</w:t>
      </w:r>
      <w:r>
        <w:rPr>
          <w:rFonts w:hint="eastAsia" w:ascii="宋体" w:hAnsi="宋体" w:cs="宋体"/>
          <w:color w:val="auto"/>
          <w:sz w:val="24"/>
          <w:szCs w:val="24"/>
          <w:highlight w:val="none"/>
        </w:rPr>
        <w:t>，吊顶高度为</w:t>
      </w:r>
      <w:r>
        <w:rPr>
          <w:rFonts w:ascii="宋体" w:hAnsi="宋体" w:cs="宋体"/>
          <w:color w:val="auto"/>
          <w:sz w:val="24"/>
          <w:szCs w:val="24"/>
          <w:highlight w:val="none"/>
        </w:rPr>
        <w:t>2600mm。防护区域需按防辐射防护需求增加管线引出需做铅板防护，进出回旋加速器机房、热室的新风管、排风管600mm长段需设置6mm厚铅皮防护包裹。PF-0-06~PF-0-09排风主管在天面管井引出至排风机软接前段风管(含排风处理箱、消声器)设置6mm厚铅皮进行防护包裹，</w:t>
      </w:r>
      <w:r>
        <w:rPr>
          <w:rFonts w:ascii="MS Mincho" w:hAnsi="MS Mincho" w:eastAsia="MS Mincho" w:cs="MS Mincho"/>
          <w:color w:val="auto"/>
          <w:sz w:val="24"/>
          <w:szCs w:val="24"/>
          <w:highlight w:val="none"/>
        </w:rPr>
        <w:t>∅</w:t>
      </w:r>
      <w:r>
        <w:rPr>
          <w:rFonts w:ascii="宋体" w:hAnsi="宋体" w:cs="宋体"/>
          <w:color w:val="auto"/>
          <w:sz w:val="24"/>
          <w:szCs w:val="24"/>
          <w:highlight w:val="none"/>
        </w:rPr>
        <w:t>89钢套管，进回旋加速器室600mm长段采用6mm厚铅皮防护包裹。核医学排风下方需制作防护箱体置于楼板下方，尺寸1500*1800*5800</w:t>
      </w:r>
      <w:r>
        <w:rPr>
          <w:color w:val="auto"/>
          <w:highlight w:val="none"/>
        </w:rPr>
        <w:t>mm</w:t>
      </w:r>
      <w:r>
        <w:rPr>
          <w:rFonts w:hint="eastAsia" w:ascii="宋体" w:hAnsi="宋体" w:cs="宋体"/>
          <w:color w:val="auto"/>
          <w:sz w:val="24"/>
          <w:szCs w:val="24"/>
          <w:highlight w:val="none"/>
        </w:rPr>
        <w:t>，材质</w:t>
      </w:r>
      <w:r>
        <w:rPr>
          <w:rFonts w:ascii="宋体" w:hAnsi="宋体" w:cs="宋体"/>
          <w:color w:val="auto"/>
          <w:sz w:val="24"/>
          <w:szCs w:val="24"/>
          <w:highlight w:val="none"/>
        </w:rPr>
        <w:t>304不锈钢板，整体加有6mmpb的铅板；</w:t>
      </w:r>
    </w:p>
    <w:p>
      <w:pPr>
        <w:widowControl/>
        <w:numPr>
          <w:ilvl w:val="0"/>
          <w:numId w:val="18"/>
        </w:numPr>
        <w:adjustRightInd w:val="0"/>
        <w:snapToGrid w:val="0"/>
        <w:ind w:left="372" w:leftChars="177" w:firstLine="52" w:firstLineChars="22"/>
        <w:jc w:val="left"/>
        <w:rPr>
          <w:rFonts w:ascii="宋体" w:hAnsi="宋体" w:cs="宋体"/>
          <w:color w:val="auto"/>
          <w:sz w:val="24"/>
          <w:szCs w:val="24"/>
          <w:highlight w:val="none"/>
        </w:rPr>
      </w:pPr>
      <w:r>
        <w:rPr>
          <w:rFonts w:hint="eastAsia" w:ascii="宋体" w:hAnsi="宋体" w:cs="宋体"/>
          <w:color w:val="auto"/>
          <w:sz w:val="24"/>
          <w:szCs w:val="24"/>
          <w:highlight w:val="none"/>
        </w:rPr>
        <w:t>地面：污物间、洗衣间、淋浴、洁具等湿区用房，地面采用</w:t>
      </w:r>
      <w:r>
        <w:rPr>
          <w:rFonts w:ascii="宋体" w:hAnsi="宋体" w:cs="宋体"/>
          <w:color w:val="auto"/>
          <w:sz w:val="24"/>
          <w:szCs w:val="24"/>
          <w:highlight w:val="none"/>
        </w:rPr>
        <w:t>600×600mm</w:t>
      </w:r>
      <w:r>
        <w:rPr>
          <w:rFonts w:hint="eastAsia" w:ascii="宋体" w:hAnsi="宋体" w:cs="宋体"/>
          <w:color w:val="auto"/>
          <w:sz w:val="24"/>
          <w:szCs w:val="24"/>
          <w:highlight w:val="none"/>
        </w:rPr>
        <w:t>防滑地砖，</w:t>
      </w:r>
      <w:r>
        <w:rPr>
          <w:rFonts w:ascii="宋体" w:hAnsi="宋体" w:cs="宋体"/>
          <w:color w:val="auto"/>
          <w:sz w:val="24"/>
          <w:szCs w:val="24"/>
          <w:highlight w:val="none"/>
        </w:rPr>
        <w:t>2mm厚聚氨酯涂膜防水层处理，燃烧性能等级A，厚度10mm，湿区与非湿区交接处，设置20mm厚人造大理石门槛石。回旋加速器室地面防静电环氧自流平。热室、缓冲间及除上述外的其他工作区域采用2mm抗静电PVC卷材，所有接缝处采用同质材料焊接，与墙面均为圆弧连接</w:t>
      </w:r>
      <w:r>
        <w:rPr>
          <w:rFonts w:hint="eastAsia" w:ascii="宋体" w:hAnsi="宋体" w:cs="宋体"/>
          <w:color w:val="auto"/>
          <w:sz w:val="24"/>
          <w:szCs w:val="24"/>
          <w:highlight w:val="none"/>
        </w:rPr>
        <w:t>，踢脚材质同地面材质，高度</w:t>
      </w:r>
      <w:r>
        <w:rPr>
          <w:rFonts w:ascii="宋体" w:hAnsi="宋体" w:cs="宋体"/>
          <w:color w:val="auto"/>
          <w:sz w:val="24"/>
          <w:szCs w:val="24"/>
          <w:highlight w:val="none"/>
        </w:rPr>
        <w:t>100mm</w:t>
      </w:r>
      <w:r>
        <w:rPr>
          <w:rFonts w:hint="eastAsia" w:ascii="宋体" w:hAnsi="宋体" w:cs="宋体"/>
          <w:color w:val="auto"/>
          <w:sz w:val="24"/>
          <w:szCs w:val="24"/>
          <w:highlight w:val="none"/>
        </w:rPr>
        <w:t>，带压条热室地沟需采用成品铅砖防护，顶部铅砖防护厚度</w:t>
      </w:r>
      <w:r>
        <w:rPr>
          <w:rFonts w:ascii="宋体" w:hAnsi="宋体" w:cs="宋体"/>
          <w:color w:val="auto"/>
          <w:sz w:val="24"/>
          <w:szCs w:val="24"/>
          <w:highlight w:val="none"/>
        </w:rPr>
        <w:t>50mmPb，左右侧铅砖防护厚度30mmPb,地沟上盖304不锈钢地沟盖板（宽度270mm，厚度50mm，现场定制，底支撑钢架为45*25mm不锈钢方钢，盖板面焊2mm厚不锈钢板）</w:t>
      </w:r>
      <w:r>
        <w:rPr>
          <w:rFonts w:hint="eastAsia" w:ascii="宋体" w:hAnsi="宋体" w:cs="宋体"/>
          <w:color w:val="auto"/>
          <w:sz w:val="24"/>
          <w:szCs w:val="24"/>
          <w:highlight w:val="none"/>
        </w:rPr>
        <w:t>。</w:t>
      </w:r>
    </w:p>
    <w:p>
      <w:pPr>
        <w:widowControl/>
        <w:numPr>
          <w:ilvl w:val="0"/>
          <w:numId w:val="18"/>
        </w:numPr>
        <w:adjustRightInd w:val="0"/>
        <w:snapToGrid w:val="0"/>
        <w:ind w:left="372" w:leftChars="177" w:firstLine="52" w:firstLineChars="22"/>
        <w:jc w:val="left"/>
        <w:rPr>
          <w:rFonts w:ascii="宋体" w:hAnsi="宋体" w:cs="宋体"/>
          <w:color w:val="auto"/>
          <w:sz w:val="24"/>
          <w:szCs w:val="24"/>
          <w:highlight w:val="none"/>
        </w:rPr>
      </w:pPr>
      <w:r>
        <w:rPr>
          <w:rFonts w:hint="eastAsia" w:ascii="宋体" w:hAnsi="宋体" w:cs="宋体"/>
          <w:color w:val="auto"/>
          <w:sz w:val="24"/>
          <w:szCs w:val="24"/>
          <w:highlight w:val="none"/>
        </w:rPr>
        <w:t>门窗：回旋加速器室采用</w:t>
      </w:r>
      <w:r>
        <w:rPr>
          <w:rFonts w:ascii="宋体" w:hAnsi="宋体" w:cs="宋体"/>
          <w:color w:val="auto"/>
          <w:sz w:val="24"/>
          <w:szCs w:val="24"/>
          <w:highlight w:val="none"/>
        </w:rPr>
        <w:t>10mmPb</w:t>
      </w:r>
      <w:r>
        <w:rPr>
          <w:rFonts w:hint="eastAsia" w:ascii="宋体" w:hAnsi="宋体" w:cs="宋体"/>
          <w:color w:val="auto"/>
          <w:sz w:val="24"/>
          <w:szCs w:val="24"/>
          <w:highlight w:val="none"/>
        </w:rPr>
        <w:t>防护当量的电动门，污物间采用</w:t>
      </w:r>
      <w:r>
        <w:rPr>
          <w:rFonts w:ascii="宋体" w:hAnsi="宋体" w:cs="宋体"/>
          <w:color w:val="auto"/>
          <w:sz w:val="24"/>
          <w:szCs w:val="24"/>
          <w:highlight w:val="none"/>
        </w:rPr>
        <w:t>10mmPb</w:t>
      </w:r>
      <w:r>
        <w:rPr>
          <w:rFonts w:hint="eastAsia" w:ascii="宋体" w:hAnsi="宋体" w:cs="宋体"/>
          <w:color w:val="auto"/>
          <w:sz w:val="24"/>
          <w:szCs w:val="24"/>
          <w:highlight w:val="none"/>
        </w:rPr>
        <w:t>防护当量的手动门；热室区域及其配套的缓冲等辅助用房采用</w:t>
      </w:r>
      <w:r>
        <w:rPr>
          <w:rFonts w:ascii="宋体" w:hAnsi="宋体" w:cs="宋体"/>
          <w:color w:val="auto"/>
          <w:sz w:val="24"/>
          <w:szCs w:val="24"/>
          <w:highlight w:val="none"/>
        </w:rPr>
        <w:t>6mmPb</w:t>
      </w:r>
      <w:r>
        <w:rPr>
          <w:rFonts w:hint="eastAsia" w:ascii="宋体" w:hAnsi="宋体" w:cs="宋体"/>
          <w:color w:val="auto"/>
          <w:sz w:val="24"/>
          <w:szCs w:val="24"/>
          <w:highlight w:val="none"/>
        </w:rPr>
        <w:t>防护当量的防护门窗。防护门要求面板材料为静电喷涂彩钢板，包边材料为</w:t>
      </w:r>
      <w:r>
        <w:rPr>
          <w:rFonts w:ascii="宋体" w:hAnsi="宋体" w:cs="宋体"/>
          <w:color w:val="auto"/>
          <w:sz w:val="24"/>
          <w:szCs w:val="24"/>
          <w:highlight w:val="none"/>
        </w:rPr>
        <w:t>304#1.5mm厚黑色不锈钢，中带或防撞带材料为1.5mm不锈钢砂光板。</w:t>
      </w:r>
    </w:p>
    <w:p>
      <w:pPr>
        <w:adjustRightInd w:val="0"/>
        <w:snapToGrid w:val="0"/>
        <w:ind w:left="372" w:leftChars="177" w:firstLine="53" w:firstLineChars="22"/>
        <w:rPr>
          <w:rFonts w:ascii="宋体" w:hAnsi="宋体" w:cs="宋体"/>
          <w:b/>
          <w:color w:val="auto"/>
          <w:sz w:val="24"/>
          <w:szCs w:val="24"/>
          <w:highlight w:val="none"/>
        </w:rPr>
      </w:pPr>
      <w:r>
        <w:rPr>
          <w:rFonts w:ascii="宋体" w:hAnsi="宋体" w:cs="宋体"/>
          <w:b/>
          <w:color w:val="auto"/>
          <w:sz w:val="24"/>
          <w:szCs w:val="24"/>
          <w:highlight w:val="none"/>
        </w:rPr>
        <w:t>1.2.2</w:t>
      </w:r>
      <w:r>
        <w:rPr>
          <w:rFonts w:hint="eastAsia" w:ascii="宋体" w:hAnsi="宋体"/>
          <w:color w:val="auto"/>
          <w:sz w:val="24"/>
          <w:szCs w:val="24"/>
          <w:highlight w:val="none"/>
        </w:rPr>
        <w:t>地下一层</w:t>
      </w:r>
      <w:r>
        <w:rPr>
          <w:rFonts w:ascii="宋体" w:hAnsi="宋体"/>
          <w:color w:val="auto"/>
          <w:sz w:val="24"/>
          <w:szCs w:val="24"/>
          <w:highlight w:val="none"/>
        </w:rPr>
        <w:t>PET-CT检查区域放射防护</w:t>
      </w:r>
    </w:p>
    <w:p>
      <w:pPr>
        <w:widowControl/>
        <w:numPr>
          <w:ilvl w:val="0"/>
          <w:numId w:val="19"/>
        </w:numPr>
        <w:adjustRightInd w:val="0"/>
        <w:snapToGrid w:val="0"/>
        <w:ind w:left="372" w:leftChars="177" w:firstLine="52" w:firstLineChars="22"/>
        <w:jc w:val="left"/>
        <w:rPr>
          <w:rFonts w:ascii="宋体" w:hAnsi="宋体" w:cs="宋体"/>
          <w:color w:val="auto"/>
          <w:sz w:val="24"/>
          <w:szCs w:val="24"/>
          <w:highlight w:val="none"/>
        </w:rPr>
      </w:pPr>
      <w:r>
        <w:rPr>
          <w:rFonts w:hint="eastAsia" w:ascii="宋体" w:hAnsi="宋体" w:cs="宋体"/>
          <w:color w:val="auto"/>
          <w:sz w:val="24"/>
          <w:szCs w:val="24"/>
          <w:highlight w:val="none"/>
        </w:rPr>
        <w:t>墙面：</w:t>
      </w:r>
      <w:r>
        <w:rPr>
          <w:rFonts w:hint="eastAsia" w:ascii="宋体" w:hAnsi="宋体"/>
          <w:color w:val="auto"/>
          <w:sz w:val="24"/>
          <w:szCs w:val="24"/>
          <w:highlight w:val="none"/>
        </w:rPr>
        <w:t>留观北墙、南墙，</w:t>
      </w:r>
      <w:r>
        <w:rPr>
          <w:rFonts w:ascii="宋体" w:hAnsi="宋体"/>
          <w:color w:val="auto"/>
          <w:sz w:val="24"/>
          <w:szCs w:val="24"/>
          <w:highlight w:val="none"/>
        </w:rPr>
        <w:t>PET-CT1、控制室北墙，PET等候3、4东墙，等候区卫生间北墙、东墙、西墙，PET等候5、6、7、8南墙、东墙、西墙，诊室北墙、卫生间西墙，墙面40mm厚4.0mmpb硫酸涂料材料，每2mmpb抹灰一次，挂铁丝网丝径0.9mm，网孔70mm</w:t>
      </w:r>
      <w:r>
        <w:rPr>
          <w:rFonts w:hint="eastAsia" w:ascii="宋体" w:hAnsi="宋体" w:cs="宋体"/>
          <w:color w:val="auto"/>
          <w:sz w:val="24"/>
          <w:szCs w:val="24"/>
          <w:highlight w:val="none"/>
        </w:rPr>
        <w:t>×</w:t>
      </w:r>
      <w:r>
        <w:rPr>
          <w:rFonts w:ascii="宋体" w:hAnsi="宋体"/>
          <w:color w:val="auto"/>
          <w:sz w:val="24"/>
          <w:szCs w:val="24"/>
          <w:highlight w:val="none"/>
        </w:rPr>
        <w:t>70mm铁丝网。</w:t>
      </w:r>
    </w:p>
    <w:p>
      <w:pPr>
        <w:widowControl/>
        <w:numPr>
          <w:ilvl w:val="0"/>
          <w:numId w:val="19"/>
        </w:numPr>
        <w:adjustRightInd w:val="0"/>
        <w:snapToGrid w:val="0"/>
        <w:ind w:left="372" w:leftChars="177" w:firstLine="52" w:firstLineChars="22"/>
        <w:jc w:val="left"/>
        <w:rPr>
          <w:rFonts w:ascii="宋体" w:hAnsi="宋体" w:cs="宋体"/>
          <w:color w:val="auto"/>
          <w:sz w:val="24"/>
          <w:szCs w:val="24"/>
          <w:highlight w:val="none"/>
        </w:rPr>
      </w:pPr>
      <w:r>
        <w:rPr>
          <w:rFonts w:hint="eastAsia" w:ascii="宋体" w:hAnsi="宋体" w:cs="宋体"/>
          <w:color w:val="auto"/>
          <w:sz w:val="24"/>
          <w:szCs w:val="24"/>
          <w:highlight w:val="none"/>
        </w:rPr>
        <w:t>吊顶：</w:t>
      </w:r>
      <w:r>
        <w:rPr>
          <w:rFonts w:ascii="宋体" w:hAnsi="宋体"/>
          <w:color w:val="auto"/>
          <w:sz w:val="24"/>
          <w:szCs w:val="24"/>
          <w:highlight w:val="none"/>
        </w:rPr>
        <w:t>PET-CT1、留观、病人走道、注射区，顶面40mm厚4.0mmpb硫酸涂料材料每2mmpb抹灰一次，挂铁丝网丝径0.9mm，网孔70mm</w:t>
      </w:r>
      <w:r>
        <w:rPr>
          <w:rFonts w:hint="eastAsia" w:ascii="宋体" w:hAnsi="宋体" w:cs="宋体"/>
          <w:color w:val="auto"/>
          <w:sz w:val="24"/>
          <w:szCs w:val="24"/>
          <w:highlight w:val="none"/>
        </w:rPr>
        <w:t>×</w:t>
      </w:r>
      <w:r>
        <w:rPr>
          <w:rFonts w:ascii="宋体" w:hAnsi="宋体"/>
          <w:color w:val="auto"/>
          <w:sz w:val="24"/>
          <w:szCs w:val="24"/>
          <w:highlight w:val="none"/>
        </w:rPr>
        <w:t>70mm铁丝网。防护区域需按防辐射防护需求增加管线引出需做铅板防护</w:t>
      </w:r>
      <w:r>
        <w:rPr>
          <w:rFonts w:hint="eastAsia" w:ascii="宋体" w:hAnsi="宋体"/>
          <w:color w:val="auto"/>
          <w:sz w:val="24"/>
          <w:szCs w:val="24"/>
          <w:highlight w:val="none"/>
        </w:rPr>
        <w:t>。</w:t>
      </w:r>
    </w:p>
    <w:p>
      <w:pPr>
        <w:widowControl/>
        <w:numPr>
          <w:ilvl w:val="0"/>
          <w:numId w:val="19"/>
        </w:numPr>
        <w:adjustRightInd w:val="0"/>
        <w:snapToGrid w:val="0"/>
        <w:ind w:left="372" w:leftChars="177" w:firstLine="52" w:firstLineChars="22"/>
        <w:jc w:val="left"/>
        <w:rPr>
          <w:rFonts w:ascii="宋体" w:hAnsi="宋体" w:cs="宋体"/>
          <w:color w:val="auto"/>
          <w:sz w:val="24"/>
          <w:szCs w:val="24"/>
          <w:highlight w:val="none"/>
        </w:rPr>
      </w:pPr>
      <w:r>
        <w:rPr>
          <w:rFonts w:hint="eastAsia" w:ascii="宋体" w:hAnsi="宋体" w:cs="宋体"/>
          <w:color w:val="auto"/>
          <w:sz w:val="24"/>
          <w:szCs w:val="24"/>
          <w:highlight w:val="none"/>
        </w:rPr>
        <w:t>门窗：</w:t>
      </w:r>
      <w:r>
        <w:rPr>
          <w:rFonts w:ascii="宋体" w:hAnsi="宋体" w:cs="宋体"/>
          <w:color w:val="auto"/>
          <w:sz w:val="24"/>
          <w:szCs w:val="24"/>
          <w:highlight w:val="none"/>
        </w:rPr>
        <w:t>PET-CT室、PET等候室等采用10mmPb防护当量的</w:t>
      </w:r>
      <w:r>
        <w:rPr>
          <w:rFonts w:hint="eastAsia" w:ascii="宋体" w:hAnsi="宋体" w:cs="宋体"/>
          <w:color w:val="auto"/>
          <w:sz w:val="24"/>
          <w:szCs w:val="24"/>
          <w:highlight w:val="none"/>
        </w:rPr>
        <w:t>防护门，抢救室、留观室、储源室等采用</w:t>
      </w:r>
      <w:r>
        <w:rPr>
          <w:rFonts w:ascii="宋体" w:hAnsi="宋体" w:cs="宋体"/>
          <w:color w:val="auto"/>
          <w:sz w:val="24"/>
          <w:szCs w:val="24"/>
          <w:highlight w:val="none"/>
        </w:rPr>
        <w:t>6mmPb防护当量的防护门窗。防护门要求面板材料为静电喷涂彩钢板，包边材料为304#1.5mm厚黑色不锈钢，中带或防撞带材料为1.5mm不锈钢砂光板。</w:t>
      </w:r>
      <w:r>
        <w:rPr>
          <w:rFonts w:hint="eastAsia" w:ascii="宋体" w:hAnsi="宋体" w:cs="宋体"/>
          <w:color w:val="auto"/>
          <w:sz w:val="24"/>
          <w:szCs w:val="24"/>
          <w:highlight w:val="none"/>
        </w:rPr>
        <w:t>等候室、留观室内设同级别防护的铅屏风，铅屏风高度</w:t>
      </w:r>
      <w:r>
        <w:rPr>
          <w:rFonts w:ascii="宋体" w:hAnsi="宋体" w:cs="宋体"/>
          <w:color w:val="auto"/>
          <w:sz w:val="24"/>
          <w:szCs w:val="24"/>
          <w:highlight w:val="none"/>
        </w:rPr>
        <w:t>1200mm高。控制室与PET-CT室之间设同级别防护的防护窗。</w:t>
      </w:r>
    </w:p>
    <w:p>
      <w:pPr>
        <w:adjustRightInd w:val="0"/>
        <w:snapToGrid w:val="0"/>
        <w:ind w:left="372" w:leftChars="177" w:firstLine="53" w:firstLineChars="22"/>
        <w:rPr>
          <w:rFonts w:ascii="宋体" w:hAnsi="宋体" w:cs="宋体"/>
          <w:b/>
          <w:color w:val="auto"/>
          <w:sz w:val="24"/>
          <w:szCs w:val="24"/>
          <w:highlight w:val="none"/>
        </w:rPr>
      </w:pPr>
      <w:r>
        <w:rPr>
          <w:rFonts w:ascii="宋体" w:hAnsi="宋体" w:cs="宋体"/>
          <w:b/>
          <w:color w:val="auto"/>
          <w:sz w:val="24"/>
          <w:szCs w:val="24"/>
          <w:highlight w:val="none"/>
        </w:rPr>
        <w:t>1.2.3</w:t>
      </w:r>
      <w:r>
        <w:rPr>
          <w:rFonts w:hint="eastAsia" w:ascii="宋体" w:hAnsi="宋体"/>
          <w:color w:val="auto"/>
          <w:sz w:val="24"/>
          <w:szCs w:val="24"/>
          <w:highlight w:val="none"/>
        </w:rPr>
        <w:t>地下四层放射治疗区域放射防护</w:t>
      </w:r>
    </w:p>
    <w:p>
      <w:pPr>
        <w:adjustRightInd w:val="0"/>
        <w:snapToGrid w:val="0"/>
        <w:ind w:left="418" w:leftChars="19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1）墙面：CT模拟定位1、2北墙、南墙、西墙，墙面30mm厚3.0mmpb硫酸涂料材料每1.5mmpb抹灰一次，挂铁丝网丝径0.9mm，网孔70mmX70mm铁丝网；</w:t>
      </w:r>
    </w:p>
    <w:p>
      <w:pPr>
        <w:adjustRightInd w:val="0"/>
        <w:snapToGrid w:val="0"/>
        <w:ind w:left="418" w:leftChars="19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2）吊顶：CT模拟定位1、2，顶面40mm厚4.0mmpb硫酸涂料材料每2mmpb抹灰一次，挂铁丝网丝径0.9mm，网孔70mmX70mm铁丝网。防护区域需按防辐射防护需求增加管线引出需做铅板防护</w:t>
      </w:r>
      <w:r>
        <w:rPr>
          <w:rFonts w:hint="eastAsia" w:ascii="宋体" w:hAnsi="宋体" w:cs="宋体"/>
          <w:color w:val="auto"/>
          <w:sz w:val="24"/>
          <w:szCs w:val="24"/>
          <w:highlight w:val="none"/>
        </w:rPr>
        <w:t>。</w:t>
      </w:r>
    </w:p>
    <w:p>
      <w:pPr>
        <w:adjustRightInd w:val="0"/>
        <w:snapToGrid w:val="0"/>
        <w:ind w:left="418" w:leftChars="19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3）门窗：直线加速器室采用18mmPb加100mm厚含硼聚乙烯</w:t>
      </w:r>
      <w:r>
        <w:rPr>
          <w:rFonts w:hint="eastAsia" w:ascii="宋体" w:hAnsi="宋体" w:cs="宋体"/>
          <w:color w:val="auto"/>
          <w:sz w:val="24"/>
          <w:szCs w:val="24"/>
          <w:highlight w:val="none"/>
        </w:rPr>
        <w:t>防护当量的电动防护门，</w:t>
      </w:r>
      <w:r>
        <w:rPr>
          <w:rFonts w:ascii="宋体" w:hAnsi="宋体" w:cs="宋体"/>
          <w:color w:val="auto"/>
          <w:sz w:val="24"/>
          <w:szCs w:val="24"/>
          <w:highlight w:val="none"/>
        </w:rPr>
        <w:t>CT模拟定位室采用3mmPb</w:t>
      </w:r>
      <w:r>
        <w:rPr>
          <w:rFonts w:hint="eastAsia" w:ascii="宋体" w:hAnsi="宋体" w:cs="宋体"/>
          <w:color w:val="auto"/>
          <w:sz w:val="24"/>
          <w:szCs w:val="24"/>
          <w:highlight w:val="none"/>
        </w:rPr>
        <w:t>防护当量的防护门窗。防护门要求面板材料为静电喷涂彩钢板，包边材料为</w:t>
      </w:r>
      <w:r>
        <w:rPr>
          <w:rFonts w:ascii="宋体" w:hAnsi="宋体" w:cs="宋体"/>
          <w:color w:val="auto"/>
          <w:sz w:val="24"/>
          <w:szCs w:val="24"/>
          <w:highlight w:val="none"/>
        </w:rPr>
        <w:t>304#1.5mm厚黑色不锈钢，中带或防撞带材料为1.5mm不锈钢砂光板。控制室与CT模拟定位室之间设同级别防护的防护窗。</w:t>
      </w:r>
    </w:p>
    <w:p>
      <w:pPr>
        <w:pStyle w:val="3"/>
        <w:rPr>
          <w:rFonts w:ascii="宋体" w:hAnsi="宋体"/>
          <w:color w:val="auto"/>
          <w:sz w:val="24"/>
          <w:szCs w:val="24"/>
          <w:highlight w:val="none"/>
        </w:rPr>
      </w:pPr>
    </w:p>
    <w:p>
      <w:pPr>
        <w:adjustRightInd w:val="0"/>
        <w:snapToGrid w:val="0"/>
        <w:ind w:firstLine="482" w:firstLineChars="200"/>
        <w:outlineLvl w:val="2"/>
        <w:rPr>
          <w:rFonts w:ascii="宋体" w:hAnsi="宋体" w:cs="宋体"/>
          <w:b/>
          <w:color w:val="auto"/>
          <w:sz w:val="24"/>
          <w:szCs w:val="24"/>
          <w:highlight w:val="none"/>
        </w:rPr>
      </w:pPr>
      <w:r>
        <w:rPr>
          <w:rFonts w:ascii="宋体" w:hAnsi="宋体" w:cs="宋体"/>
          <w:b/>
          <w:color w:val="auto"/>
          <w:sz w:val="24"/>
          <w:szCs w:val="24"/>
          <w:highlight w:val="none"/>
        </w:rPr>
        <w:t>2.净化空调设计要求</w:t>
      </w:r>
    </w:p>
    <w:p>
      <w:pPr>
        <w:tabs>
          <w:tab w:val="left" w:pos="567"/>
        </w:tabs>
        <w:adjustRightInd w:val="0"/>
        <w:snapToGrid w:val="0"/>
        <w:ind w:left="425"/>
        <w:outlineLvl w:val="3"/>
        <w:rPr>
          <w:rFonts w:ascii="宋体" w:hAnsi="宋体"/>
          <w:b/>
          <w:color w:val="auto"/>
          <w:sz w:val="24"/>
          <w:szCs w:val="24"/>
          <w:highlight w:val="none"/>
        </w:rPr>
      </w:pPr>
      <w:r>
        <w:rPr>
          <w:rFonts w:ascii="宋体" w:hAnsi="宋体" w:cs="宋体"/>
          <w:b/>
          <w:color w:val="auto"/>
          <w:sz w:val="24"/>
          <w:szCs w:val="24"/>
          <w:highlight w:val="none"/>
        </w:rPr>
        <w:t>2.1整体要求：</w:t>
      </w:r>
    </w:p>
    <w:p>
      <w:pPr>
        <w:adjustRightInd w:val="0"/>
        <w:snapToGrid w:val="0"/>
        <w:ind w:left="372" w:leftChars="177" w:firstLine="480" w:firstLineChars="200"/>
        <w:rPr>
          <w:rFonts w:ascii="宋体" w:hAnsi="宋体"/>
          <w:color w:val="auto"/>
          <w:sz w:val="24"/>
          <w:szCs w:val="24"/>
          <w:highlight w:val="none"/>
        </w:rPr>
      </w:pPr>
      <w:r>
        <w:rPr>
          <w:rFonts w:hint="eastAsia" w:ascii="宋体" w:hAnsi="宋体" w:cs="宋体"/>
          <w:color w:val="auto"/>
          <w:sz w:val="24"/>
          <w:szCs w:val="24"/>
          <w:highlight w:val="none"/>
        </w:rPr>
        <w:t>净化空调系统应使洁净区域处于受控状态，应既能保证洁净区域整体控制，又能使各洁净区灵活使用。</w:t>
      </w:r>
    </w:p>
    <w:p>
      <w:pPr>
        <w:widowControl/>
        <w:numPr>
          <w:ilvl w:val="0"/>
          <w:numId w:val="20"/>
        </w:numPr>
        <w:adjustRightInd w:val="0"/>
        <w:snapToGrid w:val="0"/>
        <w:ind w:firstLine="6"/>
        <w:jc w:val="left"/>
        <w:rPr>
          <w:rFonts w:ascii="宋体" w:hAnsi="宋体"/>
          <w:bCs/>
          <w:color w:val="auto"/>
          <w:sz w:val="24"/>
          <w:szCs w:val="24"/>
          <w:highlight w:val="none"/>
        </w:rPr>
      </w:pPr>
      <w:r>
        <w:rPr>
          <w:rFonts w:hint="eastAsia" w:ascii="宋体" w:hAnsi="宋体"/>
          <w:bCs/>
          <w:color w:val="auto"/>
          <w:sz w:val="24"/>
          <w:szCs w:val="24"/>
          <w:highlight w:val="none"/>
        </w:rPr>
        <w:t>室外设计参数（广州市）：</w:t>
      </w:r>
    </w:p>
    <w:p>
      <w:pPr>
        <w:adjustRightInd w:val="0"/>
        <w:snapToGrid w:val="0"/>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夏季室外空调干球温度：</w:t>
      </w:r>
      <w:r>
        <w:rPr>
          <w:rFonts w:ascii="宋体" w:hAnsi="宋体" w:cs="宋体"/>
          <w:color w:val="auto"/>
          <w:sz w:val="24"/>
          <w:szCs w:val="24"/>
          <w:highlight w:val="none"/>
        </w:rPr>
        <w:t>34.2℃</w:t>
      </w:r>
    </w:p>
    <w:p>
      <w:pPr>
        <w:adjustRightInd w:val="0"/>
        <w:snapToGrid w:val="0"/>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夏季室外空调湿球温度：</w:t>
      </w:r>
      <w:r>
        <w:rPr>
          <w:rFonts w:ascii="宋体" w:hAnsi="宋体" w:cs="宋体"/>
          <w:color w:val="auto"/>
          <w:sz w:val="24"/>
          <w:szCs w:val="24"/>
          <w:highlight w:val="none"/>
        </w:rPr>
        <w:t>27.8℃</w:t>
      </w:r>
    </w:p>
    <w:p>
      <w:pPr>
        <w:adjustRightInd w:val="0"/>
        <w:snapToGrid w:val="0"/>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冬季室外空调干球温度：</w:t>
      </w:r>
      <w:r>
        <w:rPr>
          <w:rFonts w:ascii="宋体" w:hAnsi="宋体" w:cs="宋体"/>
          <w:color w:val="auto"/>
          <w:sz w:val="24"/>
          <w:szCs w:val="24"/>
          <w:highlight w:val="none"/>
        </w:rPr>
        <w:t>5.2℃</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冬季室外空调相对湿度：</w:t>
      </w:r>
      <w:r>
        <w:rPr>
          <w:rFonts w:ascii="宋体" w:hAnsi="宋体" w:cs="宋体"/>
          <w:color w:val="auto"/>
          <w:sz w:val="24"/>
          <w:szCs w:val="24"/>
          <w:highlight w:val="none"/>
        </w:rPr>
        <w:t>72%</w:t>
      </w:r>
    </w:p>
    <w:p>
      <w:pPr>
        <w:adjustRightInd w:val="0"/>
        <w:snapToGrid w:val="0"/>
        <w:ind w:firstLine="480" w:firstLineChars="200"/>
        <w:rPr>
          <w:rFonts w:ascii="宋体" w:hAnsi="宋体"/>
          <w:color w:val="auto"/>
          <w:sz w:val="24"/>
          <w:szCs w:val="24"/>
          <w:highlight w:val="none"/>
        </w:rPr>
      </w:pPr>
    </w:p>
    <w:p>
      <w:pPr>
        <w:widowControl/>
        <w:numPr>
          <w:ilvl w:val="0"/>
          <w:numId w:val="20"/>
        </w:numPr>
        <w:adjustRightInd w:val="0"/>
        <w:snapToGrid w:val="0"/>
        <w:ind w:firstLine="6"/>
        <w:jc w:val="left"/>
        <w:rPr>
          <w:rFonts w:ascii="宋体" w:hAnsi="宋体"/>
          <w:bCs/>
          <w:color w:val="auto"/>
          <w:sz w:val="24"/>
          <w:szCs w:val="24"/>
          <w:highlight w:val="none"/>
        </w:rPr>
      </w:pPr>
      <w:r>
        <w:rPr>
          <w:rFonts w:hint="eastAsia" w:ascii="宋体" w:hAnsi="宋体"/>
          <w:bCs/>
          <w:color w:val="auto"/>
          <w:sz w:val="24"/>
          <w:szCs w:val="24"/>
          <w:highlight w:val="none"/>
        </w:rPr>
        <w:t>洁净区域用房主要技术指标</w:t>
      </w:r>
    </w:p>
    <w:p>
      <w:pPr>
        <w:adjustRightInd w:val="0"/>
        <w:snapToGrid w:val="0"/>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表</w:t>
      </w:r>
      <w:r>
        <w:rPr>
          <w:rFonts w:ascii="宋体" w:hAnsi="宋体" w:cs="宋体"/>
          <w:color w:val="auto"/>
          <w:sz w:val="24"/>
          <w:szCs w:val="24"/>
          <w:highlight w:val="none"/>
        </w:rPr>
        <w:t xml:space="preserve">1.1  </w:t>
      </w:r>
      <w:r>
        <w:rPr>
          <w:rFonts w:hint="eastAsia" w:ascii="宋体" w:hAnsi="宋体" w:cs="宋体"/>
          <w:color w:val="auto"/>
          <w:sz w:val="24"/>
          <w:szCs w:val="24"/>
          <w:highlight w:val="none"/>
        </w:rPr>
        <w:t>洁净区域用房主要技术指标</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77"/>
        <w:gridCol w:w="1042"/>
        <w:gridCol w:w="879"/>
        <w:gridCol w:w="825"/>
        <w:gridCol w:w="1044"/>
        <w:gridCol w:w="1589"/>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jc w:val="center"/>
        </w:trPr>
        <w:tc>
          <w:tcPr>
            <w:tcW w:w="2477" w:type="dxa"/>
            <w:vMerge w:val="restart"/>
            <w:vAlign w:val="center"/>
          </w:tcPr>
          <w:p>
            <w:pPr>
              <w:snapToGrid w:val="0"/>
              <w:ind w:right="-25" w:rightChars="-12"/>
              <w:jc w:val="center"/>
              <w:rPr>
                <w:rFonts w:ascii="宋体" w:hAnsi="宋体"/>
                <w:color w:val="auto"/>
                <w:sz w:val="24"/>
                <w:szCs w:val="24"/>
                <w:highlight w:val="none"/>
              </w:rPr>
            </w:pPr>
            <w:r>
              <w:rPr>
                <w:rFonts w:hint="eastAsia" w:ascii="宋体" w:hAnsi="宋体" w:cs="宋体"/>
                <w:color w:val="auto"/>
                <w:sz w:val="24"/>
                <w:szCs w:val="24"/>
                <w:highlight w:val="none"/>
              </w:rPr>
              <w:t>名称</w:t>
            </w:r>
          </w:p>
        </w:tc>
        <w:tc>
          <w:tcPr>
            <w:tcW w:w="1042" w:type="dxa"/>
            <w:vMerge w:val="restart"/>
            <w:vAlign w:val="center"/>
          </w:tcPr>
          <w:p>
            <w:pPr>
              <w:snapToGrid w:val="0"/>
              <w:ind w:right="-25" w:rightChars="-12"/>
              <w:jc w:val="center"/>
              <w:rPr>
                <w:rFonts w:ascii="宋体" w:hAnsi="宋体"/>
                <w:color w:val="auto"/>
                <w:sz w:val="24"/>
                <w:szCs w:val="24"/>
                <w:highlight w:val="none"/>
              </w:rPr>
            </w:pPr>
            <w:r>
              <w:rPr>
                <w:rFonts w:hint="eastAsia" w:ascii="宋体" w:hAnsi="宋体" w:cs="宋体"/>
                <w:color w:val="auto"/>
                <w:sz w:val="24"/>
                <w:szCs w:val="24"/>
                <w:highlight w:val="none"/>
              </w:rPr>
              <w:t>室内压力</w:t>
            </w:r>
          </w:p>
        </w:tc>
        <w:tc>
          <w:tcPr>
            <w:tcW w:w="879" w:type="dxa"/>
            <w:vMerge w:val="restart"/>
            <w:vAlign w:val="center"/>
          </w:tcPr>
          <w:p>
            <w:pPr>
              <w:snapToGrid w:val="0"/>
              <w:ind w:right="-25" w:rightChars="-12"/>
              <w:jc w:val="center"/>
              <w:rPr>
                <w:rFonts w:ascii="宋体" w:hAnsi="宋体"/>
                <w:color w:val="auto"/>
                <w:sz w:val="24"/>
                <w:szCs w:val="24"/>
                <w:highlight w:val="none"/>
              </w:rPr>
            </w:pPr>
            <w:r>
              <w:rPr>
                <w:rFonts w:hint="eastAsia" w:ascii="宋体" w:hAnsi="宋体" w:cs="宋体"/>
                <w:color w:val="auto"/>
                <w:sz w:val="24"/>
                <w:szCs w:val="24"/>
                <w:highlight w:val="none"/>
              </w:rPr>
              <w:t>最小换</w:t>
            </w:r>
          </w:p>
          <w:p>
            <w:pPr>
              <w:snapToGrid w:val="0"/>
              <w:ind w:right="-25" w:rightChars="-12"/>
              <w:jc w:val="center"/>
              <w:rPr>
                <w:rFonts w:ascii="宋体" w:hAnsi="宋体"/>
                <w:color w:val="auto"/>
                <w:sz w:val="24"/>
                <w:szCs w:val="24"/>
                <w:highlight w:val="none"/>
              </w:rPr>
            </w:pPr>
            <w:r>
              <w:rPr>
                <w:rFonts w:hint="eastAsia" w:ascii="宋体" w:hAnsi="宋体" w:cs="宋体"/>
                <w:color w:val="auto"/>
                <w:sz w:val="24"/>
                <w:szCs w:val="24"/>
                <w:highlight w:val="none"/>
              </w:rPr>
              <w:t>气次数（次</w:t>
            </w:r>
            <w:r>
              <w:rPr>
                <w:rFonts w:ascii="宋体" w:hAnsi="宋体" w:cs="宋体"/>
                <w:color w:val="auto"/>
                <w:sz w:val="24"/>
                <w:szCs w:val="24"/>
                <w:highlight w:val="none"/>
              </w:rPr>
              <w:t>/h</w:t>
            </w:r>
            <w:r>
              <w:rPr>
                <w:rFonts w:hint="eastAsia" w:ascii="宋体" w:hAnsi="宋体" w:cs="宋体"/>
                <w:color w:val="auto"/>
                <w:sz w:val="24"/>
                <w:szCs w:val="24"/>
                <w:highlight w:val="none"/>
              </w:rPr>
              <w:t>）</w:t>
            </w:r>
          </w:p>
        </w:tc>
        <w:tc>
          <w:tcPr>
            <w:tcW w:w="825" w:type="dxa"/>
            <w:vMerge w:val="restart"/>
            <w:vAlign w:val="center"/>
          </w:tcPr>
          <w:p>
            <w:pPr>
              <w:snapToGrid w:val="0"/>
              <w:ind w:right="-25" w:rightChars="-12"/>
              <w:jc w:val="center"/>
              <w:rPr>
                <w:rFonts w:ascii="宋体" w:hAnsi="宋体" w:cs="宋体"/>
                <w:color w:val="auto"/>
                <w:sz w:val="24"/>
                <w:szCs w:val="24"/>
                <w:highlight w:val="none"/>
              </w:rPr>
            </w:pPr>
            <w:r>
              <w:rPr>
                <w:rFonts w:hint="eastAsia" w:ascii="宋体" w:hAnsi="宋体" w:cs="宋体"/>
                <w:color w:val="auto"/>
                <w:sz w:val="24"/>
                <w:szCs w:val="24"/>
                <w:highlight w:val="none"/>
              </w:rPr>
              <w:t>温度</w:t>
            </w:r>
          </w:p>
          <w:p>
            <w:pPr>
              <w:snapToGrid w:val="0"/>
              <w:ind w:right="-25" w:rightChars="-12"/>
              <w:jc w:val="center"/>
              <w:rPr>
                <w:rFonts w:ascii="宋体" w:hAnsi="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ascii="宋体" w:hAnsi="宋体" w:cs="宋体"/>
                <w:color w:val="auto"/>
                <w:sz w:val="24"/>
                <w:szCs w:val="24"/>
                <w:highlight w:val="none"/>
              </w:rPr>
              <w:t>)</w:t>
            </w:r>
          </w:p>
        </w:tc>
        <w:tc>
          <w:tcPr>
            <w:tcW w:w="1044" w:type="dxa"/>
            <w:vMerge w:val="restart"/>
            <w:vAlign w:val="center"/>
          </w:tcPr>
          <w:p>
            <w:pPr>
              <w:snapToGrid w:val="0"/>
              <w:ind w:right="-25" w:rightChars="-12"/>
              <w:jc w:val="center"/>
              <w:rPr>
                <w:rFonts w:ascii="宋体" w:hAnsi="宋体"/>
                <w:color w:val="auto"/>
                <w:sz w:val="24"/>
                <w:szCs w:val="24"/>
                <w:highlight w:val="none"/>
              </w:rPr>
            </w:pPr>
            <w:r>
              <w:rPr>
                <w:rFonts w:hint="eastAsia" w:ascii="宋体" w:hAnsi="宋体" w:cs="宋体"/>
                <w:color w:val="auto"/>
                <w:sz w:val="24"/>
                <w:szCs w:val="24"/>
                <w:highlight w:val="none"/>
              </w:rPr>
              <w:t>相对湿度</w:t>
            </w:r>
            <w:r>
              <w:rPr>
                <w:rFonts w:ascii="宋体" w:hAnsi="宋体" w:cs="宋体"/>
                <w:color w:val="auto"/>
                <w:sz w:val="24"/>
                <w:szCs w:val="24"/>
                <w:highlight w:val="none"/>
              </w:rPr>
              <w:t>(%)</w:t>
            </w:r>
          </w:p>
        </w:tc>
        <w:tc>
          <w:tcPr>
            <w:tcW w:w="1610" w:type="dxa"/>
            <w:gridSpan w:val="2"/>
            <w:vAlign w:val="center"/>
          </w:tcPr>
          <w:p>
            <w:pPr>
              <w:snapToGrid w:val="0"/>
              <w:ind w:right="-25" w:rightChars="-12"/>
              <w:jc w:val="center"/>
              <w:rPr>
                <w:rFonts w:ascii="宋体" w:hAnsi="宋体" w:cs="宋体"/>
                <w:color w:val="auto"/>
                <w:sz w:val="24"/>
                <w:szCs w:val="24"/>
                <w:highlight w:val="none"/>
              </w:rPr>
            </w:pPr>
            <w:r>
              <w:rPr>
                <w:rFonts w:hint="eastAsia" w:ascii="宋体" w:hAnsi="宋体" w:cs="宋体"/>
                <w:color w:val="auto"/>
                <w:sz w:val="24"/>
                <w:szCs w:val="24"/>
                <w:highlight w:val="none"/>
              </w:rPr>
              <w:t>最小新风量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cantSplit/>
          <w:trHeight w:val="653" w:hRule="atLeast"/>
          <w:jc w:val="center"/>
        </w:trPr>
        <w:tc>
          <w:tcPr>
            <w:tcW w:w="2477" w:type="dxa"/>
            <w:vMerge w:val="continue"/>
            <w:vAlign w:val="center"/>
          </w:tcPr>
          <w:p>
            <w:pPr>
              <w:snapToGrid w:val="0"/>
              <w:ind w:right="-25" w:rightChars="-12"/>
              <w:rPr>
                <w:rFonts w:ascii="宋体" w:hAnsi="宋体"/>
                <w:color w:val="auto"/>
                <w:sz w:val="24"/>
                <w:szCs w:val="24"/>
                <w:highlight w:val="none"/>
              </w:rPr>
            </w:pPr>
          </w:p>
        </w:tc>
        <w:tc>
          <w:tcPr>
            <w:tcW w:w="1042" w:type="dxa"/>
            <w:vMerge w:val="continue"/>
            <w:vAlign w:val="center"/>
          </w:tcPr>
          <w:p>
            <w:pPr>
              <w:snapToGrid w:val="0"/>
              <w:ind w:right="-25" w:rightChars="-12"/>
              <w:jc w:val="center"/>
              <w:rPr>
                <w:rFonts w:ascii="宋体" w:hAnsi="宋体"/>
                <w:color w:val="auto"/>
                <w:sz w:val="24"/>
                <w:szCs w:val="24"/>
                <w:highlight w:val="none"/>
              </w:rPr>
            </w:pPr>
          </w:p>
        </w:tc>
        <w:tc>
          <w:tcPr>
            <w:tcW w:w="879" w:type="dxa"/>
            <w:vMerge w:val="continue"/>
            <w:vAlign w:val="center"/>
          </w:tcPr>
          <w:p>
            <w:pPr>
              <w:snapToGrid w:val="0"/>
              <w:ind w:right="-25" w:rightChars="-12"/>
              <w:rPr>
                <w:rFonts w:ascii="宋体" w:hAnsi="宋体"/>
                <w:color w:val="auto"/>
                <w:sz w:val="24"/>
                <w:szCs w:val="24"/>
                <w:highlight w:val="none"/>
              </w:rPr>
            </w:pPr>
          </w:p>
        </w:tc>
        <w:tc>
          <w:tcPr>
            <w:tcW w:w="825" w:type="dxa"/>
            <w:vMerge w:val="continue"/>
            <w:vAlign w:val="center"/>
          </w:tcPr>
          <w:p>
            <w:pPr>
              <w:snapToGrid w:val="0"/>
              <w:ind w:right="-25" w:rightChars="-12"/>
              <w:rPr>
                <w:rFonts w:ascii="宋体" w:hAnsi="宋体"/>
                <w:color w:val="auto"/>
                <w:sz w:val="24"/>
                <w:szCs w:val="24"/>
                <w:highlight w:val="none"/>
              </w:rPr>
            </w:pPr>
          </w:p>
        </w:tc>
        <w:tc>
          <w:tcPr>
            <w:tcW w:w="1044" w:type="dxa"/>
            <w:vMerge w:val="continue"/>
            <w:vAlign w:val="center"/>
          </w:tcPr>
          <w:p>
            <w:pPr>
              <w:snapToGrid w:val="0"/>
              <w:ind w:right="-25" w:rightChars="-12"/>
              <w:rPr>
                <w:rFonts w:ascii="宋体" w:hAnsi="宋体"/>
                <w:color w:val="auto"/>
                <w:sz w:val="24"/>
                <w:szCs w:val="24"/>
                <w:highlight w:val="none"/>
              </w:rPr>
            </w:pPr>
          </w:p>
        </w:tc>
        <w:tc>
          <w:tcPr>
            <w:tcW w:w="1589" w:type="dxa"/>
            <w:vAlign w:val="center"/>
          </w:tcPr>
          <w:p>
            <w:pPr>
              <w:snapToGrid w:val="0"/>
              <w:ind w:right="-25" w:rightChars="-12"/>
              <w:jc w:val="center"/>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次</w:t>
            </w:r>
            <w:r>
              <w:rPr>
                <w:rFonts w:ascii="宋体" w:hAnsi="宋体" w:cs="宋体"/>
                <w:color w:val="auto"/>
                <w:sz w:val="24"/>
                <w:szCs w:val="24"/>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356" w:hRule="atLeast"/>
          <w:jc w:val="center"/>
        </w:trPr>
        <w:tc>
          <w:tcPr>
            <w:tcW w:w="2477" w:type="dxa"/>
            <w:vAlign w:val="center"/>
          </w:tcPr>
          <w:p>
            <w:pPr>
              <w:snapToGrid w:val="0"/>
              <w:ind w:right="-25" w:rightChars="-12"/>
              <w:jc w:val="center"/>
              <w:rPr>
                <w:rFonts w:ascii="宋体" w:hAnsi="宋体"/>
                <w:color w:val="auto"/>
                <w:sz w:val="24"/>
                <w:szCs w:val="24"/>
                <w:highlight w:val="none"/>
              </w:rPr>
            </w:pPr>
            <w:r>
              <w:rPr>
                <w:rFonts w:hint="eastAsia" w:ascii="宋体" w:hAnsi="宋体" w:cs="宋体"/>
                <w:color w:val="auto"/>
                <w:sz w:val="24"/>
                <w:szCs w:val="24"/>
                <w:highlight w:val="none"/>
              </w:rPr>
              <w:t>洁净区（</w:t>
            </w:r>
            <w:r>
              <w:rPr>
                <w:rFonts w:ascii="宋体" w:hAnsi="宋体" w:cs="宋体"/>
                <w:color w:val="auto"/>
                <w:sz w:val="24"/>
                <w:szCs w:val="24"/>
                <w:highlight w:val="none"/>
              </w:rPr>
              <w:t>C级）</w:t>
            </w:r>
          </w:p>
        </w:tc>
        <w:tc>
          <w:tcPr>
            <w:tcW w:w="1042" w:type="dxa"/>
            <w:vAlign w:val="center"/>
          </w:tcPr>
          <w:p>
            <w:pPr>
              <w:snapToGrid w:val="0"/>
              <w:ind w:right="-25" w:rightChars="-12"/>
              <w:jc w:val="center"/>
              <w:rPr>
                <w:rFonts w:ascii="宋体" w:hAnsi="宋体"/>
                <w:color w:val="auto"/>
                <w:sz w:val="24"/>
                <w:szCs w:val="24"/>
                <w:highlight w:val="none"/>
              </w:rPr>
            </w:pPr>
            <w:r>
              <w:rPr>
                <w:rFonts w:hint="eastAsia" w:ascii="宋体" w:hAnsi="宋体" w:cs="宋体"/>
                <w:color w:val="auto"/>
                <w:sz w:val="24"/>
                <w:szCs w:val="24"/>
                <w:highlight w:val="none"/>
              </w:rPr>
              <w:t>正</w:t>
            </w:r>
          </w:p>
        </w:tc>
        <w:tc>
          <w:tcPr>
            <w:tcW w:w="879" w:type="dxa"/>
            <w:vAlign w:val="center"/>
          </w:tcPr>
          <w:p>
            <w:pPr>
              <w:snapToGrid w:val="0"/>
              <w:ind w:right="-25" w:rightChars="-12"/>
              <w:jc w:val="center"/>
              <w:rPr>
                <w:rFonts w:ascii="宋体" w:hAnsi="宋体"/>
                <w:color w:val="auto"/>
                <w:sz w:val="24"/>
                <w:szCs w:val="24"/>
                <w:highlight w:val="none"/>
              </w:rPr>
            </w:pPr>
            <w:r>
              <w:rPr>
                <w:rFonts w:ascii="宋体" w:hAnsi="宋体" w:cs="宋体"/>
                <w:color w:val="auto"/>
                <w:sz w:val="24"/>
                <w:szCs w:val="24"/>
                <w:highlight w:val="none"/>
              </w:rPr>
              <w:t>20</w:t>
            </w:r>
          </w:p>
        </w:tc>
        <w:tc>
          <w:tcPr>
            <w:tcW w:w="825" w:type="dxa"/>
            <w:vAlign w:val="center"/>
          </w:tcPr>
          <w:p>
            <w:pPr>
              <w:snapToGrid w:val="0"/>
              <w:ind w:right="-25" w:rightChars="-12"/>
              <w:jc w:val="center"/>
              <w:rPr>
                <w:rFonts w:ascii="宋体" w:hAnsi="宋体"/>
                <w:color w:val="auto"/>
                <w:sz w:val="24"/>
                <w:szCs w:val="24"/>
                <w:highlight w:val="none"/>
              </w:rPr>
            </w:pPr>
            <w:r>
              <w:rPr>
                <w:rFonts w:ascii="宋体" w:hAnsi="宋体" w:cs="宋体"/>
                <w:color w:val="auto"/>
                <w:sz w:val="24"/>
                <w:szCs w:val="24"/>
                <w:highlight w:val="none"/>
              </w:rPr>
              <w:t>20～24</w:t>
            </w:r>
          </w:p>
        </w:tc>
        <w:tc>
          <w:tcPr>
            <w:tcW w:w="1044" w:type="dxa"/>
            <w:vAlign w:val="center"/>
          </w:tcPr>
          <w:p>
            <w:pPr>
              <w:snapToGrid w:val="0"/>
              <w:ind w:right="-25" w:rightChars="-12"/>
              <w:jc w:val="center"/>
              <w:rPr>
                <w:rFonts w:ascii="宋体" w:hAnsi="宋体"/>
                <w:color w:val="auto"/>
                <w:sz w:val="24"/>
                <w:szCs w:val="24"/>
                <w:highlight w:val="none"/>
              </w:rPr>
            </w:pPr>
            <w:r>
              <w:rPr>
                <w:rFonts w:ascii="宋体" w:hAnsi="宋体" w:cs="宋体"/>
                <w:color w:val="auto"/>
                <w:sz w:val="24"/>
                <w:szCs w:val="24"/>
                <w:highlight w:val="none"/>
              </w:rPr>
              <w:t>30～60</w:t>
            </w:r>
          </w:p>
        </w:tc>
        <w:tc>
          <w:tcPr>
            <w:tcW w:w="1589" w:type="dxa"/>
            <w:vAlign w:val="center"/>
          </w:tcPr>
          <w:p>
            <w:pPr>
              <w:snapToGrid w:val="0"/>
              <w:ind w:right="-25" w:rightChars="-12"/>
              <w:jc w:val="center"/>
              <w:rPr>
                <w:rFonts w:ascii="宋体" w:hAnsi="宋体" w:cs="宋体"/>
                <w:color w:val="auto"/>
                <w:sz w:val="24"/>
                <w:szCs w:val="24"/>
                <w:highlight w:val="none"/>
              </w:rPr>
            </w:pPr>
            <w:r>
              <w:rPr>
                <w:rFonts w:hint="eastAsia" w:ascii="宋体" w:hAnsi="宋体" w:cs="宋体"/>
                <w:color w:val="auto"/>
                <w:sz w:val="24"/>
                <w:szCs w:val="24"/>
                <w:highlight w:val="none"/>
              </w:rPr>
              <w:t>全新风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356" w:hRule="atLeast"/>
          <w:jc w:val="center"/>
        </w:trPr>
        <w:tc>
          <w:tcPr>
            <w:tcW w:w="2477" w:type="dxa"/>
            <w:vAlign w:val="center"/>
          </w:tcPr>
          <w:p>
            <w:pPr>
              <w:snapToGrid w:val="0"/>
              <w:ind w:right="-25" w:rightChars="-12"/>
              <w:jc w:val="center"/>
              <w:rPr>
                <w:rFonts w:ascii="宋体" w:hAnsi="宋体"/>
                <w:color w:val="auto"/>
                <w:sz w:val="24"/>
                <w:szCs w:val="24"/>
                <w:highlight w:val="none"/>
              </w:rPr>
            </w:pPr>
            <w:r>
              <w:rPr>
                <w:rFonts w:hint="eastAsia" w:ascii="宋体" w:hAnsi="宋体" w:cs="宋体"/>
                <w:color w:val="auto"/>
                <w:sz w:val="24"/>
                <w:szCs w:val="24"/>
                <w:highlight w:val="none"/>
              </w:rPr>
              <w:t>配电间</w:t>
            </w:r>
          </w:p>
        </w:tc>
        <w:tc>
          <w:tcPr>
            <w:tcW w:w="1042" w:type="dxa"/>
            <w:vAlign w:val="center"/>
          </w:tcPr>
          <w:p>
            <w:pPr>
              <w:snapToGrid w:val="0"/>
              <w:ind w:right="-25" w:rightChars="-12"/>
              <w:jc w:val="center"/>
              <w:rPr>
                <w:rFonts w:ascii="宋体" w:hAnsi="宋体"/>
                <w:color w:val="auto"/>
                <w:sz w:val="24"/>
                <w:szCs w:val="24"/>
                <w:highlight w:val="none"/>
              </w:rPr>
            </w:pPr>
            <w:r>
              <w:rPr>
                <w:rFonts w:ascii="宋体" w:hAnsi="宋体"/>
                <w:color w:val="auto"/>
                <w:sz w:val="24"/>
                <w:szCs w:val="24"/>
                <w:highlight w:val="none"/>
              </w:rPr>
              <w:t>-</w:t>
            </w:r>
          </w:p>
        </w:tc>
        <w:tc>
          <w:tcPr>
            <w:tcW w:w="879" w:type="dxa"/>
            <w:vAlign w:val="center"/>
          </w:tcPr>
          <w:p>
            <w:pPr>
              <w:snapToGrid w:val="0"/>
              <w:ind w:right="-25" w:rightChars="-12"/>
              <w:jc w:val="center"/>
              <w:rPr>
                <w:rFonts w:ascii="宋体" w:hAnsi="宋体"/>
                <w:color w:val="auto"/>
                <w:sz w:val="24"/>
                <w:szCs w:val="24"/>
                <w:highlight w:val="none"/>
              </w:rPr>
            </w:pPr>
            <w:r>
              <w:rPr>
                <w:rFonts w:ascii="宋体" w:hAnsi="宋体" w:cs="宋体"/>
                <w:color w:val="auto"/>
                <w:sz w:val="24"/>
                <w:szCs w:val="24"/>
                <w:highlight w:val="none"/>
              </w:rPr>
              <w:t>-</w:t>
            </w:r>
          </w:p>
        </w:tc>
        <w:tc>
          <w:tcPr>
            <w:tcW w:w="825" w:type="dxa"/>
            <w:vAlign w:val="center"/>
          </w:tcPr>
          <w:p>
            <w:pPr>
              <w:snapToGrid w:val="0"/>
              <w:ind w:right="-25" w:rightChars="-12"/>
              <w:jc w:val="center"/>
              <w:rPr>
                <w:rFonts w:ascii="宋体" w:hAnsi="宋体"/>
                <w:color w:val="auto"/>
                <w:sz w:val="24"/>
                <w:szCs w:val="24"/>
                <w:highlight w:val="none"/>
              </w:rPr>
            </w:pPr>
            <w:r>
              <w:rPr>
                <w:rFonts w:ascii="宋体" w:hAnsi="宋体" w:cs="宋体"/>
                <w:color w:val="auto"/>
                <w:sz w:val="24"/>
                <w:szCs w:val="24"/>
                <w:highlight w:val="none"/>
              </w:rPr>
              <w:t>17～25</w:t>
            </w:r>
          </w:p>
        </w:tc>
        <w:tc>
          <w:tcPr>
            <w:tcW w:w="1044" w:type="dxa"/>
            <w:vAlign w:val="center"/>
          </w:tcPr>
          <w:p>
            <w:pPr>
              <w:snapToGrid w:val="0"/>
              <w:ind w:right="-25" w:rightChars="-12"/>
              <w:jc w:val="center"/>
              <w:rPr>
                <w:rFonts w:ascii="宋体" w:hAnsi="宋体"/>
                <w:color w:val="auto"/>
                <w:sz w:val="24"/>
                <w:szCs w:val="24"/>
                <w:highlight w:val="none"/>
              </w:rPr>
            </w:pPr>
            <w:r>
              <w:rPr>
                <w:rFonts w:ascii="宋体" w:hAnsi="宋体" w:cs="宋体"/>
                <w:color w:val="auto"/>
                <w:sz w:val="24"/>
                <w:szCs w:val="24"/>
                <w:highlight w:val="none"/>
              </w:rPr>
              <w:t>30～65</w:t>
            </w:r>
          </w:p>
        </w:tc>
        <w:tc>
          <w:tcPr>
            <w:tcW w:w="1589" w:type="dxa"/>
            <w:vAlign w:val="center"/>
          </w:tcPr>
          <w:p>
            <w:pPr>
              <w:snapToGrid w:val="0"/>
              <w:ind w:right="-25" w:rightChars="-12"/>
              <w:jc w:val="center"/>
              <w:rPr>
                <w:rFonts w:ascii="宋体" w:hAnsi="宋体" w:cs="宋体"/>
                <w:color w:val="auto"/>
                <w:sz w:val="24"/>
                <w:szCs w:val="24"/>
                <w:highlight w:val="none"/>
              </w:rPr>
            </w:pPr>
            <w:r>
              <w:rPr>
                <w:rFonts w:ascii="宋体" w:hAnsi="宋体" w:cs="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30" w:hRule="atLeast"/>
          <w:jc w:val="center"/>
        </w:trPr>
        <w:tc>
          <w:tcPr>
            <w:tcW w:w="2477" w:type="dxa"/>
            <w:vAlign w:val="center"/>
          </w:tcPr>
          <w:p>
            <w:pPr>
              <w:snapToGrid w:val="0"/>
              <w:ind w:right="-25" w:rightChars="-12"/>
              <w:jc w:val="center"/>
              <w:rPr>
                <w:rFonts w:ascii="宋体" w:hAnsi="宋体"/>
                <w:color w:val="auto"/>
                <w:sz w:val="24"/>
                <w:szCs w:val="24"/>
                <w:highlight w:val="none"/>
              </w:rPr>
            </w:pPr>
            <w:r>
              <w:rPr>
                <w:rFonts w:hint="eastAsia" w:ascii="宋体" w:hAnsi="宋体" w:cs="宋体"/>
                <w:color w:val="auto"/>
                <w:sz w:val="24"/>
                <w:szCs w:val="24"/>
                <w:highlight w:val="none"/>
              </w:rPr>
              <w:t>加速器间</w:t>
            </w:r>
          </w:p>
        </w:tc>
        <w:tc>
          <w:tcPr>
            <w:tcW w:w="1042" w:type="dxa"/>
            <w:vAlign w:val="center"/>
          </w:tcPr>
          <w:p>
            <w:pPr>
              <w:snapToGrid w:val="0"/>
              <w:ind w:right="-25" w:rightChars="-12"/>
              <w:jc w:val="center"/>
              <w:rPr>
                <w:rFonts w:ascii="宋体" w:hAnsi="宋体"/>
                <w:color w:val="auto"/>
                <w:sz w:val="24"/>
                <w:szCs w:val="24"/>
                <w:highlight w:val="none"/>
              </w:rPr>
            </w:pPr>
            <w:r>
              <w:rPr>
                <w:rFonts w:ascii="宋体" w:hAnsi="宋体" w:cs="宋体"/>
                <w:color w:val="auto"/>
                <w:sz w:val="24"/>
                <w:szCs w:val="24"/>
                <w:highlight w:val="none"/>
              </w:rPr>
              <w:t>-</w:t>
            </w:r>
          </w:p>
        </w:tc>
        <w:tc>
          <w:tcPr>
            <w:tcW w:w="879" w:type="dxa"/>
            <w:vAlign w:val="center"/>
          </w:tcPr>
          <w:p>
            <w:pPr>
              <w:snapToGrid w:val="0"/>
              <w:ind w:right="-25" w:rightChars="-12"/>
              <w:jc w:val="center"/>
              <w:rPr>
                <w:rFonts w:ascii="宋体" w:hAnsi="宋体"/>
                <w:color w:val="auto"/>
                <w:sz w:val="24"/>
                <w:szCs w:val="24"/>
                <w:highlight w:val="none"/>
              </w:rPr>
            </w:pPr>
            <w:r>
              <w:rPr>
                <w:rFonts w:ascii="宋体" w:hAnsi="宋体" w:cs="宋体"/>
                <w:color w:val="auto"/>
                <w:sz w:val="24"/>
                <w:szCs w:val="24"/>
                <w:highlight w:val="none"/>
              </w:rPr>
              <w:t>6</w:t>
            </w:r>
          </w:p>
        </w:tc>
        <w:tc>
          <w:tcPr>
            <w:tcW w:w="825" w:type="dxa"/>
            <w:vAlign w:val="center"/>
          </w:tcPr>
          <w:p>
            <w:pPr>
              <w:snapToGrid w:val="0"/>
              <w:ind w:right="-25" w:rightChars="-12"/>
              <w:jc w:val="center"/>
              <w:rPr>
                <w:rFonts w:ascii="宋体" w:hAnsi="宋体"/>
                <w:color w:val="auto"/>
                <w:sz w:val="24"/>
                <w:szCs w:val="24"/>
                <w:highlight w:val="none"/>
              </w:rPr>
            </w:pPr>
            <w:r>
              <w:rPr>
                <w:rFonts w:ascii="宋体" w:hAnsi="宋体" w:cs="宋体"/>
                <w:color w:val="auto"/>
                <w:sz w:val="24"/>
                <w:szCs w:val="24"/>
                <w:highlight w:val="none"/>
              </w:rPr>
              <w:t>17～30</w:t>
            </w:r>
          </w:p>
        </w:tc>
        <w:tc>
          <w:tcPr>
            <w:tcW w:w="1044" w:type="dxa"/>
            <w:vAlign w:val="center"/>
          </w:tcPr>
          <w:p>
            <w:pPr>
              <w:snapToGrid w:val="0"/>
              <w:ind w:right="-25" w:rightChars="-12"/>
              <w:jc w:val="center"/>
              <w:rPr>
                <w:rFonts w:ascii="宋体" w:hAnsi="宋体"/>
                <w:color w:val="auto"/>
                <w:sz w:val="24"/>
                <w:szCs w:val="24"/>
                <w:highlight w:val="none"/>
              </w:rPr>
            </w:pPr>
            <w:r>
              <w:rPr>
                <w:rFonts w:ascii="宋体" w:hAnsi="宋体" w:cs="宋体"/>
                <w:color w:val="auto"/>
                <w:sz w:val="24"/>
                <w:szCs w:val="24"/>
                <w:highlight w:val="none"/>
              </w:rPr>
              <w:t>30～65</w:t>
            </w:r>
          </w:p>
        </w:tc>
        <w:tc>
          <w:tcPr>
            <w:tcW w:w="1589" w:type="dxa"/>
            <w:vAlign w:val="center"/>
          </w:tcPr>
          <w:p>
            <w:pPr>
              <w:snapToGrid w:val="0"/>
              <w:ind w:right="-25" w:rightChars="-12"/>
              <w:jc w:val="center"/>
              <w:rPr>
                <w:rFonts w:ascii="宋体" w:hAnsi="宋体" w:cs="宋体"/>
                <w:color w:val="auto"/>
                <w:sz w:val="24"/>
                <w:szCs w:val="24"/>
                <w:highlight w:val="none"/>
              </w:rPr>
            </w:pPr>
            <w:r>
              <w:rPr>
                <w:rFonts w:ascii="宋体" w:hAnsi="宋体" w:cs="宋体"/>
                <w:color w:val="auto"/>
                <w:sz w:val="24"/>
                <w:szCs w:val="24"/>
                <w:highlight w:val="none"/>
              </w:rPr>
              <w:t>3</w:t>
            </w:r>
          </w:p>
        </w:tc>
      </w:tr>
    </w:tbl>
    <w:p>
      <w:pPr>
        <w:adjustRightInd w:val="0"/>
        <w:snapToGrid w:val="0"/>
        <w:ind w:firstLine="482" w:firstLineChars="200"/>
        <w:outlineLvl w:val="3"/>
        <w:rPr>
          <w:rFonts w:ascii="宋体" w:hAnsi="宋体"/>
          <w:b/>
          <w:bCs/>
          <w:color w:val="auto"/>
          <w:sz w:val="24"/>
          <w:szCs w:val="24"/>
          <w:highlight w:val="none"/>
        </w:rPr>
      </w:pPr>
      <w:r>
        <w:rPr>
          <w:rFonts w:ascii="宋体" w:hAnsi="宋体"/>
          <w:b/>
          <w:bCs/>
          <w:color w:val="auto"/>
          <w:sz w:val="24"/>
          <w:szCs w:val="24"/>
          <w:highlight w:val="none"/>
        </w:rPr>
        <w:t>2.2地下一层回旋加速器及热室区技术要求</w:t>
      </w:r>
    </w:p>
    <w:p>
      <w:pPr>
        <w:adjustRightInd w:val="0"/>
        <w:snapToGrid w:val="0"/>
        <w:ind w:firstLine="482" w:firstLineChars="200"/>
        <w:rPr>
          <w:rFonts w:ascii="宋体" w:hAnsi="宋体"/>
          <w:b/>
          <w:bCs/>
          <w:color w:val="auto"/>
          <w:sz w:val="24"/>
          <w:szCs w:val="24"/>
          <w:highlight w:val="none"/>
        </w:rPr>
      </w:pPr>
      <w:r>
        <w:rPr>
          <w:rFonts w:ascii="宋体" w:hAnsi="宋体"/>
          <w:b/>
          <w:bCs/>
          <w:color w:val="auto"/>
          <w:sz w:val="24"/>
          <w:szCs w:val="24"/>
          <w:highlight w:val="none"/>
        </w:rPr>
        <w:t>2.2.1净化空调系统配置要求：</w:t>
      </w:r>
    </w:p>
    <w:p>
      <w:pPr>
        <w:widowControl/>
        <w:numPr>
          <w:ilvl w:val="0"/>
          <w:numId w:val="21"/>
        </w:numPr>
        <w:adjustRightInd w:val="0"/>
        <w:snapToGrid w:val="0"/>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热室区及辅助用房</w:t>
      </w:r>
      <w:r>
        <w:rPr>
          <w:rFonts w:hint="eastAsia" w:ascii="宋体" w:hAnsi="宋体"/>
          <w:color w:val="auto"/>
          <w:sz w:val="24"/>
          <w:szCs w:val="24"/>
          <w:highlight w:val="none"/>
        </w:rPr>
        <w:t>区域</w:t>
      </w:r>
      <w:r>
        <w:rPr>
          <w:rFonts w:hint="eastAsia" w:ascii="宋体" w:hAnsi="宋体"/>
          <w:bCs/>
          <w:color w:val="auto"/>
          <w:sz w:val="24"/>
          <w:szCs w:val="24"/>
          <w:highlight w:val="none"/>
        </w:rPr>
        <w:t>配置一台净化全新风直流机组。</w:t>
      </w:r>
    </w:p>
    <w:p>
      <w:pPr>
        <w:adjustRightInd w:val="0"/>
        <w:snapToGrid w:val="0"/>
        <w:ind w:firstLine="480" w:firstLineChars="200"/>
        <w:rPr>
          <w:rFonts w:ascii="宋体" w:hAnsi="宋体"/>
          <w:bCs/>
          <w:color w:val="auto"/>
          <w:sz w:val="24"/>
          <w:szCs w:val="24"/>
          <w:highlight w:val="none"/>
        </w:rPr>
      </w:pPr>
      <w:r>
        <w:rPr>
          <w:rFonts w:ascii="宋体" w:hAnsi="宋体"/>
          <w:bCs/>
          <w:color w:val="auto"/>
          <w:sz w:val="24"/>
          <w:szCs w:val="24"/>
          <w:highlight w:val="none"/>
        </w:rPr>
        <w:t>2）回旋加速器采用恒温恒湿精密空调加新风机组空调系统，新风接大楼预留新风机组。</w:t>
      </w:r>
    </w:p>
    <w:p>
      <w:pPr>
        <w:adjustRightInd w:val="0"/>
        <w:snapToGrid w:val="0"/>
        <w:ind w:firstLine="480" w:firstLineChars="200"/>
        <w:rPr>
          <w:rFonts w:ascii="宋体" w:hAnsi="宋体"/>
          <w:bCs/>
          <w:color w:val="auto"/>
          <w:sz w:val="24"/>
          <w:szCs w:val="24"/>
          <w:highlight w:val="none"/>
        </w:rPr>
      </w:pPr>
      <w:r>
        <w:rPr>
          <w:rFonts w:ascii="宋体" w:hAnsi="宋体"/>
          <w:bCs/>
          <w:color w:val="auto"/>
          <w:sz w:val="24"/>
          <w:szCs w:val="24"/>
          <w:highlight w:val="none"/>
        </w:rPr>
        <w:t>3）配电间配置一台独立恒温恒湿精密空调。</w:t>
      </w:r>
    </w:p>
    <w:p>
      <w:pPr>
        <w:adjustRightInd w:val="0"/>
        <w:snapToGrid w:val="0"/>
        <w:ind w:firstLine="480" w:firstLineChars="200"/>
        <w:rPr>
          <w:rFonts w:ascii="宋体" w:hAnsi="宋体"/>
          <w:color w:val="auto"/>
          <w:sz w:val="24"/>
          <w:szCs w:val="24"/>
          <w:highlight w:val="none"/>
        </w:rPr>
      </w:pPr>
      <w:r>
        <w:rPr>
          <w:rFonts w:ascii="宋体" w:hAnsi="宋体"/>
          <w:color w:val="auto"/>
          <w:sz w:val="24"/>
          <w:szCs w:val="24"/>
          <w:highlight w:val="none"/>
        </w:rPr>
        <w:t>4）通风柜、热室、污物间、回旋加速器等须设置排风系统的地方均设置排风系统。</w:t>
      </w:r>
    </w:p>
    <w:p>
      <w:pPr>
        <w:adjustRightInd w:val="0"/>
        <w:snapToGrid w:val="0"/>
        <w:ind w:firstLine="480" w:firstLineChars="200"/>
        <w:rPr>
          <w:rFonts w:ascii="宋体" w:hAnsi="宋体"/>
          <w:color w:val="auto"/>
          <w:sz w:val="24"/>
          <w:szCs w:val="24"/>
          <w:highlight w:val="none"/>
        </w:rPr>
      </w:pPr>
      <w:r>
        <w:rPr>
          <w:rFonts w:ascii="宋体" w:hAnsi="宋体"/>
          <w:color w:val="auto"/>
          <w:sz w:val="24"/>
          <w:szCs w:val="24"/>
          <w:highlight w:val="none"/>
        </w:rPr>
        <w:t>5）热室、回旋加速器、通风柜、热室辅助区排风设活性碳吸附后高空排放。</w:t>
      </w:r>
    </w:p>
    <w:p>
      <w:pPr>
        <w:adjustRightInd w:val="0"/>
        <w:snapToGrid w:val="0"/>
        <w:ind w:firstLine="482" w:firstLineChars="200"/>
        <w:rPr>
          <w:rFonts w:ascii="宋体" w:hAnsi="宋体"/>
          <w:b/>
          <w:bCs/>
          <w:color w:val="auto"/>
          <w:sz w:val="24"/>
          <w:szCs w:val="24"/>
          <w:highlight w:val="none"/>
        </w:rPr>
      </w:pPr>
      <w:r>
        <w:rPr>
          <w:rFonts w:ascii="宋体" w:hAnsi="宋体"/>
          <w:b/>
          <w:bCs/>
          <w:color w:val="auto"/>
          <w:sz w:val="24"/>
          <w:szCs w:val="24"/>
          <w:highlight w:val="none"/>
        </w:rPr>
        <w:t>2.2.2气流组织设计要求：</w:t>
      </w:r>
    </w:p>
    <w:p>
      <w:pPr>
        <w:widowControl/>
        <w:numPr>
          <w:ilvl w:val="0"/>
          <w:numId w:val="22"/>
        </w:numPr>
        <w:adjustRightInd w:val="0"/>
        <w:snapToGrid w:val="0"/>
        <w:ind w:firstLine="480"/>
        <w:rPr>
          <w:rFonts w:ascii="宋体" w:hAnsi="宋体"/>
          <w:color w:val="auto"/>
          <w:sz w:val="24"/>
          <w:szCs w:val="24"/>
          <w:highlight w:val="none"/>
        </w:rPr>
      </w:pPr>
      <w:r>
        <w:rPr>
          <w:rFonts w:hint="eastAsia" w:ascii="宋体" w:hAnsi="宋体"/>
          <w:bCs/>
          <w:color w:val="auto"/>
          <w:sz w:val="24"/>
          <w:szCs w:val="24"/>
          <w:highlight w:val="none"/>
        </w:rPr>
        <w:t>热室区及辅助用房</w:t>
      </w:r>
      <w:r>
        <w:rPr>
          <w:rFonts w:hint="eastAsia" w:ascii="宋体" w:hAnsi="宋体"/>
          <w:color w:val="auto"/>
          <w:sz w:val="24"/>
          <w:szCs w:val="24"/>
          <w:highlight w:val="none"/>
        </w:rPr>
        <w:t>采用高效送风口送风，上送下排风；</w:t>
      </w:r>
    </w:p>
    <w:p>
      <w:pPr>
        <w:widowControl/>
        <w:numPr>
          <w:ilvl w:val="0"/>
          <w:numId w:val="22"/>
        </w:numPr>
        <w:adjustRightInd w:val="0"/>
        <w:snapToGrid w:val="0"/>
        <w:ind w:firstLine="480"/>
        <w:rPr>
          <w:rFonts w:ascii="宋体" w:hAnsi="宋体"/>
          <w:color w:val="auto"/>
          <w:sz w:val="24"/>
          <w:szCs w:val="24"/>
          <w:highlight w:val="none"/>
        </w:rPr>
      </w:pPr>
      <w:r>
        <w:rPr>
          <w:rFonts w:hint="eastAsia" w:ascii="宋体" w:hAnsi="宋体"/>
          <w:color w:val="auto"/>
          <w:sz w:val="24"/>
          <w:szCs w:val="24"/>
          <w:highlight w:val="none"/>
        </w:rPr>
        <w:t>配电间送风接入高架地板，气流组织为下送上回。</w:t>
      </w:r>
    </w:p>
    <w:p>
      <w:pPr>
        <w:tabs>
          <w:tab w:val="left" w:pos="567"/>
          <w:tab w:val="left" w:pos="993"/>
        </w:tabs>
        <w:adjustRightInd w:val="0"/>
        <w:snapToGrid w:val="0"/>
        <w:ind w:left="425"/>
        <w:rPr>
          <w:rFonts w:ascii="宋体" w:hAnsi="宋体"/>
          <w:b/>
          <w:color w:val="auto"/>
          <w:sz w:val="24"/>
          <w:szCs w:val="24"/>
          <w:highlight w:val="none"/>
        </w:rPr>
      </w:pPr>
      <w:r>
        <w:rPr>
          <w:rFonts w:ascii="宋体" w:hAnsi="宋体"/>
          <w:b/>
          <w:bCs/>
          <w:color w:val="auto"/>
          <w:sz w:val="24"/>
          <w:szCs w:val="24"/>
          <w:highlight w:val="none"/>
        </w:rPr>
        <w:t>2.2</w:t>
      </w:r>
      <w:r>
        <w:rPr>
          <w:rFonts w:ascii="宋体" w:hAnsi="宋体"/>
          <w:b/>
          <w:color w:val="auto"/>
          <w:sz w:val="24"/>
          <w:szCs w:val="24"/>
          <w:highlight w:val="none"/>
        </w:rPr>
        <w:t xml:space="preserve">.3 </w:t>
      </w:r>
      <w:r>
        <w:rPr>
          <w:rFonts w:hint="eastAsia" w:ascii="宋体" w:hAnsi="宋体"/>
          <w:b/>
          <w:color w:val="auto"/>
          <w:sz w:val="24"/>
          <w:szCs w:val="24"/>
          <w:highlight w:val="none"/>
        </w:rPr>
        <w:t>冷热源配置、加湿系统设计要求：</w:t>
      </w:r>
    </w:p>
    <w:p>
      <w:pPr>
        <w:tabs>
          <w:tab w:val="left" w:pos="993"/>
        </w:tabs>
        <w:adjustRightInd w:val="0"/>
        <w:snapToGrid w:val="0"/>
        <w:ind w:firstLine="480" w:firstLineChars="200"/>
        <w:rPr>
          <w:rFonts w:ascii="宋体" w:hAnsi="宋体"/>
          <w:color w:val="auto"/>
          <w:sz w:val="24"/>
          <w:szCs w:val="24"/>
          <w:highlight w:val="none"/>
        </w:rPr>
      </w:pPr>
      <w:r>
        <w:rPr>
          <w:rFonts w:ascii="宋体" w:hAnsi="宋体"/>
          <w:color w:val="auto"/>
          <w:sz w:val="24"/>
          <w:szCs w:val="24"/>
          <w:highlight w:val="none"/>
        </w:rPr>
        <w:t>1）地下一层回旋加速器及热室区全年冷热源由大楼提供，空调水系统采用四管制。冷冻水供回水温度分别为7℃/12℃，热水供回水温度分别为45℃/40℃，招标方负责将空调冷热水管送至负一层管井出口200mm处。</w:t>
      </w:r>
    </w:p>
    <w:p>
      <w:pPr>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bCs/>
          <w:color w:val="auto"/>
          <w:sz w:val="24"/>
          <w:szCs w:val="24"/>
          <w:highlight w:val="none"/>
        </w:rPr>
        <w:t>配电间、回旋加速器</w:t>
      </w:r>
      <w:r>
        <w:rPr>
          <w:rFonts w:hint="eastAsia" w:ascii="宋体" w:hAnsi="宋体"/>
          <w:color w:val="auto"/>
          <w:sz w:val="24"/>
          <w:szCs w:val="24"/>
          <w:highlight w:val="none"/>
        </w:rPr>
        <w:t>设置</w:t>
      </w:r>
      <w:r>
        <w:rPr>
          <w:rFonts w:hint="eastAsia" w:ascii="宋体" w:hAnsi="宋体"/>
          <w:bCs/>
          <w:color w:val="auto"/>
          <w:sz w:val="24"/>
          <w:szCs w:val="24"/>
          <w:highlight w:val="none"/>
        </w:rPr>
        <w:t>恒温恒湿精密空调，</w:t>
      </w:r>
      <w:r>
        <w:rPr>
          <w:rFonts w:hint="eastAsia" w:ascii="宋体" w:hAnsi="宋体"/>
          <w:color w:val="auto"/>
          <w:sz w:val="24"/>
          <w:szCs w:val="24"/>
          <w:highlight w:val="none"/>
        </w:rPr>
        <w:t>室外机设置在首层室外通风良好处。</w:t>
      </w:r>
    </w:p>
    <w:p>
      <w:pPr>
        <w:ind w:firstLine="480" w:firstLineChars="200"/>
        <w:rPr>
          <w:rFonts w:ascii="宋体" w:hAnsi="宋体"/>
          <w:color w:val="auto"/>
          <w:sz w:val="24"/>
          <w:szCs w:val="24"/>
          <w:highlight w:val="none"/>
        </w:rPr>
      </w:pPr>
      <w:r>
        <w:rPr>
          <w:rFonts w:ascii="宋体" w:hAnsi="宋体"/>
          <w:color w:val="auto"/>
          <w:sz w:val="24"/>
          <w:szCs w:val="24"/>
          <w:highlight w:val="none"/>
        </w:rPr>
        <w:t>3）净化空调的加湿采用电极加湿。</w:t>
      </w:r>
    </w:p>
    <w:p>
      <w:pPr>
        <w:tabs>
          <w:tab w:val="left" w:pos="567"/>
        </w:tabs>
        <w:adjustRightInd w:val="0"/>
        <w:snapToGrid w:val="0"/>
        <w:ind w:left="425"/>
        <w:rPr>
          <w:rFonts w:ascii="宋体" w:hAnsi="宋体"/>
          <w:b/>
          <w:color w:val="auto"/>
          <w:sz w:val="24"/>
          <w:szCs w:val="24"/>
          <w:highlight w:val="none"/>
        </w:rPr>
      </w:pPr>
      <w:r>
        <w:rPr>
          <w:rFonts w:ascii="宋体" w:hAnsi="宋体"/>
          <w:b/>
          <w:bCs/>
          <w:color w:val="auto"/>
          <w:sz w:val="24"/>
          <w:szCs w:val="24"/>
          <w:highlight w:val="none"/>
        </w:rPr>
        <w:t>2.2</w:t>
      </w:r>
      <w:r>
        <w:rPr>
          <w:rFonts w:ascii="宋体" w:hAnsi="宋体"/>
          <w:b/>
          <w:color w:val="auto"/>
          <w:sz w:val="24"/>
          <w:szCs w:val="24"/>
          <w:highlight w:val="none"/>
        </w:rPr>
        <w:t xml:space="preserve">.4 </w:t>
      </w:r>
      <w:r>
        <w:rPr>
          <w:rFonts w:hint="eastAsia" w:ascii="宋体" w:hAnsi="宋体"/>
          <w:b/>
          <w:color w:val="auto"/>
          <w:sz w:val="24"/>
          <w:szCs w:val="24"/>
          <w:highlight w:val="none"/>
        </w:rPr>
        <w:t>净化系统过滤器配置要求：</w:t>
      </w:r>
    </w:p>
    <w:p>
      <w:pPr>
        <w:widowControl/>
        <w:numPr>
          <w:ilvl w:val="0"/>
          <w:numId w:val="23"/>
        </w:numPr>
        <w:tabs>
          <w:tab w:val="left" w:pos="0"/>
          <w:tab w:val="left" w:pos="993"/>
        </w:tabs>
        <w:adjustRightInd w:val="0"/>
        <w:snapToGrid w:val="0"/>
        <w:ind w:left="0" w:firstLine="426"/>
        <w:jc w:val="left"/>
        <w:rPr>
          <w:rFonts w:ascii="宋体" w:hAnsi="宋体"/>
          <w:color w:val="auto"/>
          <w:sz w:val="24"/>
          <w:szCs w:val="24"/>
          <w:highlight w:val="none"/>
        </w:rPr>
      </w:pPr>
      <w:r>
        <w:rPr>
          <w:rFonts w:hint="eastAsia" w:ascii="宋体" w:hAnsi="宋体"/>
          <w:bCs/>
          <w:color w:val="auto"/>
          <w:sz w:val="24"/>
          <w:szCs w:val="24"/>
          <w:highlight w:val="none"/>
        </w:rPr>
        <w:t>热室区及辅助用房</w:t>
      </w:r>
      <w:r>
        <w:rPr>
          <w:rFonts w:hint="eastAsia" w:ascii="宋体" w:hAnsi="宋体"/>
          <w:color w:val="auto"/>
          <w:sz w:val="24"/>
          <w:szCs w:val="24"/>
          <w:highlight w:val="none"/>
        </w:rPr>
        <w:t>区域送风末端配置</w:t>
      </w:r>
      <w:r>
        <w:rPr>
          <w:rFonts w:ascii="宋体" w:hAnsi="宋体"/>
          <w:color w:val="auto"/>
          <w:sz w:val="24"/>
          <w:szCs w:val="24"/>
          <w:highlight w:val="none"/>
        </w:rPr>
        <w:t>H13高效过滤器。</w:t>
      </w:r>
    </w:p>
    <w:p>
      <w:pPr>
        <w:widowControl/>
        <w:numPr>
          <w:ilvl w:val="0"/>
          <w:numId w:val="23"/>
        </w:numPr>
        <w:tabs>
          <w:tab w:val="left" w:pos="142"/>
          <w:tab w:val="left" w:pos="993"/>
        </w:tabs>
        <w:adjustRightInd w:val="0"/>
        <w:snapToGrid w:val="0"/>
        <w:ind w:left="372" w:leftChars="177" w:firstLine="0"/>
        <w:jc w:val="left"/>
        <w:rPr>
          <w:rFonts w:ascii="宋体" w:hAnsi="宋体"/>
          <w:color w:val="auto"/>
          <w:sz w:val="24"/>
          <w:szCs w:val="24"/>
          <w:highlight w:val="none"/>
        </w:rPr>
      </w:pPr>
      <w:r>
        <w:rPr>
          <w:rFonts w:hint="eastAsia" w:ascii="宋体" w:hAnsi="宋体"/>
          <w:color w:val="auto"/>
          <w:sz w:val="24"/>
          <w:szCs w:val="24"/>
          <w:highlight w:val="none"/>
        </w:rPr>
        <w:t>排风口配置中效过滤器。</w:t>
      </w:r>
    </w:p>
    <w:p>
      <w:pPr>
        <w:widowControl/>
        <w:numPr>
          <w:ilvl w:val="0"/>
          <w:numId w:val="23"/>
        </w:numPr>
        <w:tabs>
          <w:tab w:val="left" w:pos="0"/>
          <w:tab w:val="left" w:pos="993"/>
        </w:tabs>
        <w:adjustRightInd w:val="0"/>
        <w:snapToGrid w:val="0"/>
        <w:ind w:left="0" w:firstLine="426"/>
        <w:jc w:val="left"/>
        <w:rPr>
          <w:rFonts w:ascii="宋体" w:hAnsi="宋体"/>
          <w:color w:val="auto"/>
          <w:sz w:val="24"/>
          <w:szCs w:val="24"/>
          <w:highlight w:val="none"/>
        </w:rPr>
      </w:pPr>
      <w:r>
        <w:rPr>
          <w:rFonts w:hint="eastAsia" w:ascii="宋体" w:hAnsi="宋体"/>
          <w:color w:val="auto"/>
          <w:sz w:val="24"/>
          <w:szCs w:val="24"/>
          <w:highlight w:val="none"/>
        </w:rPr>
        <w:t>空调机组过滤器配置要求参考空调机组的技术要求。</w:t>
      </w:r>
    </w:p>
    <w:p>
      <w:pPr>
        <w:tabs>
          <w:tab w:val="left" w:pos="567"/>
        </w:tabs>
        <w:adjustRightInd w:val="0"/>
        <w:snapToGrid w:val="0"/>
        <w:ind w:left="425"/>
        <w:rPr>
          <w:rFonts w:ascii="宋体" w:hAnsi="宋体"/>
          <w:b/>
          <w:color w:val="auto"/>
          <w:sz w:val="24"/>
          <w:szCs w:val="24"/>
          <w:highlight w:val="none"/>
        </w:rPr>
      </w:pPr>
      <w:r>
        <w:rPr>
          <w:rFonts w:ascii="宋体" w:hAnsi="宋体"/>
          <w:b/>
          <w:bCs/>
          <w:color w:val="auto"/>
          <w:sz w:val="24"/>
          <w:szCs w:val="24"/>
          <w:highlight w:val="none"/>
        </w:rPr>
        <w:t>2.2</w:t>
      </w:r>
      <w:r>
        <w:rPr>
          <w:rFonts w:ascii="宋体" w:hAnsi="宋体"/>
          <w:b/>
          <w:color w:val="auto"/>
          <w:sz w:val="24"/>
          <w:szCs w:val="24"/>
          <w:highlight w:val="none"/>
        </w:rPr>
        <w:t xml:space="preserve">.5 </w:t>
      </w:r>
      <w:r>
        <w:rPr>
          <w:rFonts w:hint="eastAsia" w:ascii="宋体" w:hAnsi="宋体"/>
          <w:b/>
          <w:color w:val="auto"/>
          <w:sz w:val="24"/>
          <w:szCs w:val="24"/>
          <w:highlight w:val="none"/>
        </w:rPr>
        <w:t>净化空调自动化控制系统设计要求：</w:t>
      </w:r>
    </w:p>
    <w:p>
      <w:pPr>
        <w:widowControl/>
        <w:numPr>
          <w:ilvl w:val="0"/>
          <w:numId w:val="24"/>
        </w:numPr>
        <w:adjustRightInd w:val="0"/>
        <w:snapToGrid w:val="0"/>
        <w:ind w:left="372" w:leftChars="177" w:firstLine="0"/>
        <w:jc w:val="left"/>
        <w:rPr>
          <w:rFonts w:ascii="宋体" w:hAnsi="宋体"/>
          <w:color w:val="auto"/>
          <w:sz w:val="24"/>
          <w:szCs w:val="24"/>
          <w:highlight w:val="none"/>
        </w:rPr>
      </w:pPr>
      <w:r>
        <w:rPr>
          <w:rFonts w:hint="eastAsia" w:ascii="宋体" w:hAnsi="宋体" w:cs="宋体"/>
          <w:color w:val="auto"/>
          <w:sz w:val="24"/>
          <w:szCs w:val="24"/>
          <w:highlight w:val="none"/>
        </w:rPr>
        <w:t>整体要求：采用国际著名品牌多功能控制器、温、湿度传感器、压差开关、风阀执行器、电动比例积分调节阀、变频器等对系统的风量及温湿度进行控制。</w:t>
      </w:r>
    </w:p>
    <w:p>
      <w:pPr>
        <w:widowControl/>
        <w:numPr>
          <w:ilvl w:val="0"/>
          <w:numId w:val="24"/>
        </w:numPr>
        <w:adjustRightInd w:val="0"/>
        <w:snapToGrid w:val="0"/>
        <w:ind w:left="0" w:firstLine="426"/>
        <w:jc w:val="left"/>
        <w:rPr>
          <w:rFonts w:ascii="宋体" w:hAnsi="宋体"/>
          <w:color w:val="auto"/>
          <w:sz w:val="24"/>
          <w:szCs w:val="24"/>
          <w:highlight w:val="none"/>
        </w:rPr>
      </w:pPr>
      <w:r>
        <w:rPr>
          <w:rFonts w:hint="eastAsia" w:ascii="宋体" w:hAnsi="宋体" w:cs="宋体"/>
          <w:color w:val="auto"/>
          <w:sz w:val="24"/>
          <w:szCs w:val="24"/>
          <w:highlight w:val="none"/>
        </w:rPr>
        <w:t>空调控制面板应可以实现以下的控制功能：</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①机组启、停；</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②温度的设定；</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③室内温、湿度的显示；</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④机组启、停指示；</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⑤机组运行指示；</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⑥机组故障指示；</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⑦高效过滤器堵塞报警指示。</w:t>
      </w:r>
    </w:p>
    <w:p>
      <w:pPr>
        <w:widowControl/>
        <w:numPr>
          <w:ilvl w:val="0"/>
          <w:numId w:val="24"/>
        </w:numPr>
        <w:adjustRightInd w:val="0"/>
        <w:snapToGrid w:val="0"/>
        <w:ind w:left="0" w:firstLine="426"/>
        <w:jc w:val="left"/>
        <w:rPr>
          <w:rFonts w:ascii="宋体" w:hAnsi="宋体" w:cs="宋体"/>
          <w:color w:val="auto"/>
          <w:sz w:val="24"/>
          <w:szCs w:val="24"/>
          <w:highlight w:val="none"/>
        </w:rPr>
      </w:pPr>
      <w:r>
        <w:rPr>
          <w:rFonts w:hint="eastAsia" w:ascii="宋体" w:hAnsi="宋体" w:cs="宋体"/>
          <w:color w:val="auto"/>
          <w:sz w:val="24"/>
          <w:szCs w:val="24"/>
          <w:highlight w:val="none"/>
        </w:rPr>
        <w:t>机房控制柜内还应可以实现以下的控制功能：</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①室内控制面板实现的全部功能；</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②风机运行频率显示；</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③中效过滤网堵塞报警、缺风保护报警、风机运行情况及过载报警、洁净用房排风机运行状态显示、加湿器运行状态和故障显示等；</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④手、自动风量调频切换，手动频率设定、半风量值班频率设定；</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⑤冷热水调节阀、加湿器工作状态；</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⑥试灯和功能切换；</w:t>
      </w:r>
    </w:p>
    <w:p>
      <w:pPr>
        <w:adjustRightInd w:val="0"/>
        <w:snapToGrid w:val="0"/>
        <w:ind w:left="454"/>
        <w:rPr>
          <w:rFonts w:ascii="宋体" w:hAnsi="宋体"/>
          <w:color w:val="auto"/>
          <w:sz w:val="24"/>
          <w:szCs w:val="24"/>
          <w:highlight w:val="none"/>
        </w:rPr>
      </w:pPr>
      <w:r>
        <w:rPr>
          <w:rFonts w:hint="eastAsia" w:ascii="宋体" w:hAnsi="宋体"/>
          <w:color w:val="auto"/>
          <w:sz w:val="24"/>
          <w:szCs w:val="24"/>
          <w:highlight w:val="none"/>
        </w:rPr>
        <w:t>⑦各种控制参数（室内温、湿度；变频器频率等）的设定和修改。</w:t>
      </w:r>
    </w:p>
    <w:p>
      <w:pPr>
        <w:tabs>
          <w:tab w:val="left" w:pos="540"/>
          <w:tab w:val="left" w:pos="851"/>
        </w:tabs>
        <w:adjustRightInd w:val="0"/>
        <w:snapToGrid w:val="0"/>
        <w:ind w:left="480"/>
        <w:rPr>
          <w:rFonts w:ascii="宋体" w:hAnsi="宋体"/>
          <w:color w:val="auto"/>
          <w:sz w:val="24"/>
          <w:szCs w:val="24"/>
          <w:highlight w:val="none"/>
        </w:rPr>
      </w:pPr>
    </w:p>
    <w:p>
      <w:pPr>
        <w:tabs>
          <w:tab w:val="left" w:pos="540"/>
          <w:tab w:val="left" w:pos="851"/>
        </w:tabs>
        <w:adjustRightInd w:val="0"/>
        <w:snapToGrid w:val="0"/>
        <w:ind w:left="480"/>
        <w:rPr>
          <w:rFonts w:ascii="宋体" w:hAnsi="宋体"/>
          <w:color w:val="auto"/>
          <w:sz w:val="24"/>
          <w:szCs w:val="24"/>
          <w:highlight w:val="none"/>
        </w:rPr>
      </w:pPr>
    </w:p>
    <w:p>
      <w:pPr>
        <w:adjustRightInd w:val="0"/>
        <w:snapToGrid w:val="0"/>
        <w:outlineLvl w:val="2"/>
        <w:rPr>
          <w:rFonts w:ascii="宋体" w:hAnsi="宋体" w:cs="宋体"/>
          <w:b/>
          <w:color w:val="auto"/>
          <w:sz w:val="24"/>
          <w:szCs w:val="24"/>
          <w:highlight w:val="none"/>
        </w:rPr>
      </w:pPr>
      <w:r>
        <w:rPr>
          <w:rFonts w:ascii="宋体" w:hAnsi="宋体" w:cs="宋体"/>
          <w:b/>
          <w:color w:val="auto"/>
          <w:sz w:val="24"/>
          <w:szCs w:val="24"/>
          <w:highlight w:val="none"/>
        </w:rPr>
        <w:t>3.</w:t>
      </w:r>
      <w:r>
        <w:rPr>
          <w:rFonts w:hint="eastAsia" w:ascii="宋体" w:hAnsi="宋体" w:cs="宋体"/>
          <w:b/>
          <w:color w:val="auto"/>
          <w:sz w:val="24"/>
          <w:szCs w:val="24"/>
          <w:highlight w:val="none"/>
        </w:rPr>
        <w:t>电气系统</w:t>
      </w:r>
    </w:p>
    <w:p>
      <w:pPr>
        <w:adjustRightInd w:val="0"/>
        <w:snapToGrid w:val="0"/>
        <w:outlineLvl w:val="3"/>
        <w:rPr>
          <w:rFonts w:ascii="宋体" w:hAnsi="宋体" w:cs="宋体"/>
          <w:b/>
          <w:color w:val="auto"/>
          <w:sz w:val="24"/>
          <w:szCs w:val="24"/>
          <w:highlight w:val="none"/>
        </w:rPr>
      </w:pPr>
      <w:r>
        <w:rPr>
          <w:rFonts w:ascii="宋体" w:hAnsi="宋体" w:cs="宋体"/>
          <w:b/>
          <w:color w:val="auto"/>
          <w:sz w:val="24"/>
          <w:szCs w:val="24"/>
          <w:highlight w:val="none"/>
        </w:rPr>
        <w:t>3.1地下一层回旋加速器及热室区强电技术设计和要求</w:t>
      </w:r>
    </w:p>
    <w:p>
      <w:pPr>
        <w:adjustRightInd w:val="0"/>
        <w:snapToGrid w:val="0"/>
        <w:rPr>
          <w:rFonts w:ascii="宋体" w:hAnsi="宋体" w:cs="宋体"/>
          <w:b/>
          <w:color w:val="auto"/>
          <w:sz w:val="24"/>
          <w:szCs w:val="24"/>
          <w:highlight w:val="none"/>
        </w:rPr>
      </w:pPr>
      <w:r>
        <w:rPr>
          <w:rFonts w:ascii="宋体" w:hAnsi="宋体" w:cs="宋体"/>
          <w:b/>
          <w:color w:val="auto"/>
          <w:sz w:val="24"/>
          <w:szCs w:val="24"/>
          <w:highlight w:val="none"/>
        </w:rPr>
        <w:t>3.1.1强电系统设计要求</w:t>
      </w:r>
    </w:p>
    <w:p>
      <w:pPr>
        <w:widowControl/>
        <w:numPr>
          <w:ilvl w:val="0"/>
          <w:numId w:val="25"/>
        </w:numPr>
        <w:adjustRightInd w:val="0"/>
        <w:snapToGrid w:val="0"/>
        <w:ind w:left="401" w:hanging="1"/>
        <w:jc w:val="left"/>
        <w:rPr>
          <w:rFonts w:ascii="宋体" w:hAnsi="宋体" w:cs="宋体"/>
          <w:color w:val="auto"/>
          <w:sz w:val="24"/>
          <w:szCs w:val="24"/>
          <w:highlight w:val="none"/>
        </w:rPr>
      </w:pPr>
      <w:r>
        <w:rPr>
          <w:rFonts w:hint="eastAsia" w:ascii="宋体" w:hAnsi="宋体"/>
          <w:color w:val="auto"/>
          <w:sz w:val="24"/>
          <w:szCs w:val="24"/>
          <w:highlight w:val="none"/>
        </w:rPr>
        <w:t>核医学</w:t>
      </w:r>
      <w:r>
        <w:rPr>
          <w:rFonts w:hint="eastAsia" w:ascii="宋体" w:hAnsi="宋体" w:cs="宋体"/>
          <w:color w:val="auto"/>
          <w:sz w:val="24"/>
          <w:szCs w:val="24"/>
          <w:highlight w:val="none"/>
        </w:rPr>
        <w:t>属于一级负荷；必须采用双电源供电。</w:t>
      </w:r>
    </w:p>
    <w:p>
      <w:pPr>
        <w:widowControl/>
        <w:numPr>
          <w:ilvl w:val="0"/>
          <w:numId w:val="25"/>
        </w:numPr>
        <w:adjustRightInd w:val="0"/>
        <w:snapToGrid w:val="0"/>
        <w:ind w:left="401" w:hanging="1"/>
        <w:jc w:val="left"/>
        <w:rPr>
          <w:rFonts w:ascii="宋体" w:hAnsi="宋体" w:cs="宋体"/>
          <w:color w:val="auto"/>
          <w:sz w:val="24"/>
          <w:szCs w:val="24"/>
          <w:highlight w:val="none"/>
        </w:rPr>
      </w:pPr>
      <w:r>
        <w:rPr>
          <w:rFonts w:hint="eastAsia" w:ascii="宋体" w:hAnsi="宋体" w:cs="宋体"/>
          <w:color w:val="auto"/>
          <w:sz w:val="24"/>
          <w:szCs w:val="24"/>
          <w:highlight w:val="none"/>
        </w:rPr>
        <w:t>照明灯具应采用嵌入式洁净气密型照明灯带，禁用普通灯带代替，灯带必须布置在送风口之外。</w:t>
      </w:r>
    </w:p>
    <w:p>
      <w:pPr>
        <w:widowControl/>
        <w:numPr>
          <w:ilvl w:val="0"/>
          <w:numId w:val="25"/>
        </w:numPr>
        <w:adjustRightInd w:val="0"/>
        <w:snapToGrid w:val="0"/>
        <w:ind w:left="401" w:hanging="1"/>
        <w:jc w:val="left"/>
        <w:rPr>
          <w:rFonts w:ascii="宋体" w:hAnsi="宋体" w:cs="宋体"/>
          <w:color w:val="auto"/>
          <w:sz w:val="24"/>
          <w:szCs w:val="24"/>
          <w:highlight w:val="none"/>
        </w:rPr>
      </w:pPr>
      <w:r>
        <w:rPr>
          <w:rFonts w:hint="eastAsia" w:ascii="宋体" w:hAnsi="宋体" w:cs="宋体"/>
          <w:color w:val="auto"/>
          <w:sz w:val="24"/>
          <w:szCs w:val="24"/>
          <w:highlight w:val="none"/>
        </w:rPr>
        <w:t>应采用阻燃及阻燃以上级别电缆、电线。</w:t>
      </w:r>
    </w:p>
    <w:p>
      <w:pPr>
        <w:widowControl/>
        <w:numPr>
          <w:ilvl w:val="0"/>
          <w:numId w:val="25"/>
        </w:numPr>
        <w:adjustRightInd w:val="0"/>
        <w:snapToGrid w:val="0"/>
        <w:ind w:left="401" w:hanging="1"/>
        <w:jc w:val="left"/>
        <w:rPr>
          <w:rFonts w:ascii="宋体" w:hAnsi="宋体" w:cs="宋体"/>
          <w:color w:val="auto"/>
          <w:sz w:val="24"/>
          <w:szCs w:val="24"/>
          <w:highlight w:val="none"/>
        </w:rPr>
      </w:pPr>
      <w:r>
        <w:rPr>
          <w:rFonts w:hint="eastAsia" w:ascii="宋体" w:hAnsi="宋体" w:cs="宋体"/>
          <w:color w:val="auto"/>
          <w:sz w:val="24"/>
          <w:szCs w:val="24"/>
          <w:highlight w:val="none"/>
        </w:rPr>
        <w:t>电缆、电线应采用金属管及金属桥架敷设。</w:t>
      </w:r>
    </w:p>
    <w:p>
      <w:pPr>
        <w:widowControl/>
        <w:numPr>
          <w:ilvl w:val="0"/>
          <w:numId w:val="25"/>
        </w:numPr>
        <w:adjustRightInd w:val="0"/>
        <w:snapToGrid w:val="0"/>
        <w:ind w:left="401" w:hanging="1"/>
        <w:jc w:val="left"/>
        <w:rPr>
          <w:rFonts w:ascii="宋体" w:hAnsi="宋体" w:cs="宋体"/>
          <w:color w:val="auto"/>
          <w:sz w:val="24"/>
          <w:szCs w:val="24"/>
          <w:highlight w:val="none"/>
        </w:rPr>
      </w:pPr>
      <w:r>
        <w:rPr>
          <w:rFonts w:hint="eastAsia" w:ascii="宋体" w:hAnsi="宋体" w:cs="宋体"/>
          <w:color w:val="auto"/>
          <w:sz w:val="24"/>
          <w:szCs w:val="24"/>
          <w:highlight w:val="none"/>
        </w:rPr>
        <w:t>电缆、电线、桥架、套管等材料选材及敷设要符合设计规范标准。</w:t>
      </w:r>
    </w:p>
    <w:p>
      <w:pPr>
        <w:widowControl/>
        <w:numPr>
          <w:ilvl w:val="0"/>
          <w:numId w:val="25"/>
        </w:numPr>
        <w:adjustRightInd w:val="0"/>
        <w:snapToGrid w:val="0"/>
        <w:ind w:left="401" w:hanging="1"/>
        <w:jc w:val="left"/>
        <w:rPr>
          <w:rFonts w:ascii="宋体" w:hAnsi="宋体" w:cs="宋体"/>
          <w:color w:val="auto"/>
          <w:sz w:val="24"/>
          <w:szCs w:val="24"/>
          <w:highlight w:val="none"/>
        </w:rPr>
      </w:pPr>
      <w:r>
        <w:rPr>
          <w:rFonts w:hint="eastAsia" w:ascii="宋体" w:hAnsi="宋体" w:cs="宋体"/>
          <w:color w:val="auto"/>
          <w:sz w:val="24"/>
          <w:szCs w:val="24"/>
          <w:highlight w:val="none"/>
        </w:rPr>
        <w:t>实验室及辅房内设置紫外线灯。</w:t>
      </w:r>
    </w:p>
    <w:p>
      <w:pPr>
        <w:adjustRightInd w:val="0"/>
        <w:snapToGrid w:val="0"/>
        <w:outlineLvl w:val="3"/>
        <w:rPr>
          <w:rFonts w:ascii="宋体" w:hAnsi="宋体" w:cs="宋体"/>
          <w:b/>
          <w:color w:val="auto"/>
          <w:sz w:val="24"/>
          <w:szCs w:val="24"/>
          <w:highlight w:val="none"/>
        </w:rPr>
      </w:pPr>
      <w:r>
        <w:rPr>
          <w:rFonts w:ascii="宋体" w:hAnsi="宋体" w:cs="宋体"/>
          <w:b/>
          <w:color w:val="auto"/>
          <w:sz w:val="24"/>
          <w:szCs w:val="24"/>
          <w:highlight w:val="none"/>
        </w:rPr>
        <w:t>3.2电线、电缆</w:t>
      </w:r>
    </w:p>
    <w:p>
      <w:pPr>
        <w:adjustRightInd w:val="0"/>
        <w:snapToGrid w:val="0"/>
        <w:ind w:left="372" w:leftChars="177"/>
        <w:rPr>
          <w:rFonts w:ascii="宋体" w:hAnsi="宋体" w:cs="宋体"/>
          <w:color w:val="auto"/>
          <w:sz w:val="24"/>
          <w:szCs w:val="24"/>
          <w:highlight w:val="none"/>
        </w:rPr>
      </w:pPr>
      <w:r>
        <w:rPr>
          <w:rFonts w:ascii="宋体" w:hAnsi="宋体" w:cs="宋体"/>
          <w:color w:val="auto"/>
          <w:sz w:val="24"/>
          <w:szCs w:val="24"/>
          <w:highlight w:val="none"/>
        </w:rPr>
        <w:t>1)电线电缆应有国家认可的质量检测机构的检验合格报告。低烟无卤阻燃、耐火电缆应通过国家级相关质量监督检验机构的型式认可检验。</w:t>
      </w:r>
    </w:p>
    <w:p>
      <w:pPr>
        <w:adjustRightInd w:val="0"/>
        <w:snapToGrid w:val="0"/>
        <w:ind w:left="372" w:leftChars="177"/>
        <w:rPr>
          <w:rFonts w:ascii="宋体" w:hAnsi="宋体" w:cs="宋体"/>
          <w:color w:val="auto"/>
          <w:sz w:val="24"/>
          <w:szCs w:val="24"/>
          <w:highlight w:val="none"/>
        </w:rPr>
      </w:pPr>
      <w:r>
        <w:rPr>
          <w:rFonts w:ascii="宋体" w:hAnsi="宋体" w:cs="宋体"/>
          <w:color w:val="auto"/>
          <w:sz w:val="24"/>
          <w:szCs w:val="24"/>
          <w:highlight w:val="none"/>
        </w:rPr>
        <w:t>2)电线、电缆的绝缘材料必须符合电压等级和设计要求。电缆未受到机械外力的损伤，缆线顺直无皱折和扭曲现象。塑料电缆外皮绝缘层无老化和龟裂现象。</w:t>
      </w:r>
    </w:p>
    <w:p>
      <w:pPr>
        <w:adjustRightInd w:val="0"/>
        <w:snapToGrid w:val="0"/>
        <w:ind w:left="372" w:leftChars="177"/>
        <w:rPr>
          <w:rFonts w:ascii="宋体" w:hAnsi="宋体" w:cs="宋体"/>
          <w:color w:val="auto"/>
          <w:sz w:val="24"/>
          <w:szCs w:val="24"/>
          <w:highlight w:val="none"/>
        </w:rPr>
      </w:pPr>
      <w:r>
        <w:rPr>
          <w:rFonts w:ascii="宋体" w:hAnsi="宋体" w:cs="宋体"/>
          <w:color w:val="auto"/>
          <w:sz w:val="24"/>
          <w:szCs w:val="24"/>
          <w:highlight w:val="none"/>
        </w:rPr>
        <w:t>3)低压出线电缆选用WDZ-YJY</w:t>
      </w:r>
      <w:r>
        <w:rPr>
          <w:rFonts w:hint="eastAsia" w:ascii="宋体" w:hAnsi="宋体" w:cs="宋体"/>
          <w:color w:val="auto"/>
          <w:sz w:val="24"/>
          <w:szCs w:val="24"/>
          <w:highlight w:val="none"/>
        </w:rPr>
        <w:t>铜芯无卤低烟阻燃交联聚乙烯绝缘电力电缆。</w:t>
      </w:r>
    </w:p>
    <w:p>
      <w:pPr>
        <w:adjustRightInd w:val="0"/>
        <w:snapToGrid w:val="0"/>
        <w:ind w:left="372" w:leftChars="177"/>
        <w:rPr>
          <w:rFonts w:ascii="宋体" w:hAnsi="宋体" w:cs="宋体"/>
          <w:color w:val="auto"/>
          <w:sz w:val="24"/>
          <w:szCs w:val="24"/>
          <w:highlight w:val="none"/>
        </w:rPr>
      </w:pPr>
      <w:r>
        <w:rPr>
          <w:rFonts w:ascii="宋体" w:hAnsi="宋体" w:cs="宋体"/>
          <w:color w:val="auto"/>
          <w:sz w:val="24"/>
          <w:szCs w:val="24"/>
          <w:highlight w:val="none"/>
        </w:rPr>
        <w:t>4)设计范围内的照明支路，插座之间的导线为WDZ-BYJ</w:t>
      </w:r>
      <w:r>
        <w:rPr>
          <w:rFonts w:hint="eastAsia" w:ascii="宋体" w:hAnsi="宋体" w:cs="宋体"/>
          <w:color w:val="auto"/>
          <w:sz w:val="24"/>
          <w:szCs w:val="24"/>
          <w:highlight w:val="none"/>
        </w:rPr>
        <w:t>，并分别穿</w:t>
      </w:r>
      <w:r>
        <w:rPr>
          <w:rFonts w:ascii="宋体" w:hAnsi="宋体" w:cs="宋体"/>
          <w:color w:val="auto"/>
          <w:sz w:val="24"/>
          <w:szCs w:val="24"/>
          <w:highlight w:val="none"/>
        </w:rPr>
        <w:t>JDG20、25管暗敷设在吊顶或现浇混凝土楼板内。</w:t>
      </w:r>
    </w:p>
    <w:p>
      <w:pPr>
        <w:adjustRightInd w:val="0"/>
        <w:snapToGrid w:val="0"/>
        <w:outlineLvl w:val="3"/>
        <w:rPr>
          <w:rFonts w:ascii="宋体" w:hAnsi="宋体" w:cs="宋体"/>
          <w:b/>
          <w:color w:val="auto"/>
          <w:sz w:val="24"/>
          <w:szCs w:val="24"/>
          <w:highlight w:val="none"/>
        </w:rPr>
      </w:pPr>
      <w:r>
        <w:rPr>
          <w:rFonts w:ascii="宋体" w:hAnsi="宋体" w:cs="宋体"/>
          <w:b/>
          <w:color w:val="auto"/>
          <w:sz w:val="24"/>
          <w:szCs w:val="24"/>
          <w:highlight w:val="none"/>
        </w:rPr>
        <w:t>3.3接地及电气安全</w:t>
      </w:r>
    </w:p>
    <w:p>
      <w:pPr>
        <w:adjustRightInd w:val="0"/>
        <w:snapToGrid w:val="0"/>
        <w:ind w:firstLine="720" w:firstLineChars="300"/>
        <w:rPr>
          <w:rFonts w:ascii="宋体" w:hAnsi="宋体"/>
          <w:color w:val="auto"/>
          <w:sz w:val="24"/>
          <w:szCs w:val="24"/>
          <w:highlight w:val="none"/>
        </w:rPr>
      </w:pPr>
      <w:r>
        <w:rPr>
          <w:rFonts w:hint="eastAsia" w:ascii="宋体" w:hAnsi="宋体"/>
          <w:color w:val="auto"/>
          <w:sz w:val="24"/>
          <w:szCs w:val="24"/>
          <w:highlight w:val="none"/>
        </w:rPr>
        <w:t>供配电</w:t>
      </w:r>
      <w:r>
        <w:rPr>
          <w:rFonts w:hint="eastAsia" w:ascii="宋体" w:hAnsi="宋体" w:cs="宋体"/>
          <w:color w:val="auto"/>
          <w:sz w:val="24"/>
          <w:szCs w:val="24"/>
          <w:highlight w:val="none"/>
        </w:rPr>
        <w:t>应符合</w:t>
      </w:r>
      <w:r>
        <w:rPr>
          <w:rFonts w:ascii="宋体" w:hAnsi="宋体" w:cs="宋体"/>
          <w:color w:val="auto"/>
          <w:sz w:val="24"/>
          <w:szCs w:val="24"/>
          <w:highlight w:val="none"/>
        </w:rPr>
        <w:t>GB 50333-2013</w:t>
      </w:r>
      <w:r>
        <w:rPr>
          <w:rFonts w:hint="eastAsia" w:ascii="宋体" w:hAnsi="宋体" w:cs="宋体"/>
          <w:color w:val="auto"/>
          <w:sz w:val="24"/>
          <w:szCs w:val="24"/>
          <w:highlight w:val="none"/>
        </w:rPr>
        <w:t>第</w:t>
      </w:r>
      <w:r>
        <w:rPr>
          <w:rFonts w:ascii="宋体" w:hAnsi="宋体" w:cs="宋体"/>
          <w:color w:val="auto"/>
          <w:sz w:val="24"/>
          <w:szCs w:val="24"/>
          <w:highlight w:val="none"/>
        </w:rPr>
        <w:t>11</w:t>
      </w:r>
      <w:r>
        <w:rPr>
          <w:rFonts w:hint="eastAsia" w:ascii="宋体" w:hAnsi="宋体" w:cs="宋体"/>
          <w:color w:val="auto"/>
          <w:sz w:val="24"/>
          <w:szCs w:val="24"/>
          <w:highlight w:val="none"/>
        </w:rPr>
        <w:t>章的要求。</w:t>
      </w:r>
    </w:p>
    <w:p>
      <w:pPr>
        <w:adjustRightInd w:val="0"/>
        <w:snapToGrid w:val="0"/>
        <w:ind w:left="372" w:leftChars="177"/>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olor w:val="auto"/>
          <w:sz w:val="24"/>
          <w:szCs w:val="24"/>
          <w:highlight w:val="none"/>
        </w:rPr>
        <w:t>低压配电系统的接地型式为</w:t>
      </w:r>
      <w:r>
        <w:rPr>
          <w:rFonts w:ascii="宋体" w:hAnsi="宋体"/>
          <w:color w:val="auto"/>
          <w:sz w:val="24"/>
          <w:szCs w:val="24"/>
          <w:highlight w:val="none"/>
        </w:rPr>
        <w:t>TN-S系统，系统的工作接地\保护接地\防雷接地等采用共用接地装置，其接地电阻≤1Ω.中性线与PE线在接地点后要严格分开，正常不带电而当绝缘破坏有可能对地呈现电压的一切电气设备的金属外皮均应可靠接地。电气及电子设备的金属外壳、机柜、机架、金属管、槽、屏蔽线缆外层、信息设备防静电接地、安全保护接地、浪涌保护器（SPD）接地端均应以最短的距离与等电位连接网络的接地端子连接。屏蔽布线系统应有良好的接地系统，以满足屏蔽系统的综合性要求</w:t>
      </w:r>
      <w:r>
        <w:rPr>
          <w:rFonts w:hint="eastAsia" w:ascii="宋体" w:hAnsi="宋体" w:cs="宋体"/>
          <w:color w:val="auto"/>
          <w:sz w:val="24"/>
          <w:szCs w:val="24"/>
          <w:highlight w:val="none"/>
        </w:rPr>
        <w:t>。</w:t>
      </w:r>
    </w:p>
    <w:p>
      <w:pPr>
        <w:adjustRightInd w:val="0"/>
        <w:snapToGrid w:val="0"/>
        <w:ind w:left="372" w:leftChars="177"/>
        <w:rPr>
          <w:rFonts w:ascii="宋体" w:hAnsi="宋体" w:cs="宋体"/>
          <w:color w:val="auto"/>
          <w:sz w:val="24"/>
          <w:szCs w:val="24"/>
          <w:highlight w:val="none"/>
        </w:rPr>
      </w:pPr>
      <w:r>
        <w:rPr>
          <w:rFonts w:ascii="宋体" w:hAnsi="宋体" w:cs="宋体"/>
          <w:color w:val="auto"/>
          <w:sz w:val="24"/>
          <w:szCs w:val="24"/>
          <w:highlight w:val="none"/>
        </w:rPr>
        <w:t>2）采用等电位联结，将建筑物内的保护干线/</w:t>
      </w:r>
      <w:r>
        <w:rPr>
          <w:rFonts w:hint="eastAsia" w:ascii="宋体" w:hAnsi="宋体" w:cs="宋体"/>
          <w:color w:val="auto"/>
          <w:sz w:val="24"/>
          <w:szCs w:val="24"/>
          <w:highlight w:val="none"/>
        </w:rPr>
        <w:t>建筑物及构筑等金属构件就近与总等电位联结板进行可靠连接。</w:t>
      </w:r>
    </w:p>
    <w:p>
      <w:pPr>
        <w:adjustRightInd w:val="0"/>
        <w:snapToGrid w:val="0"/>
        <w:ind w:left="372" w:leftChars="177"/>
        <w:rPr>
          <w:rFonts w:ascii="宋体" w:hAnsi="宋体" w:cs="宋体"/>
          <w:color w:val="auto"/>
          <w:sz w:val="24"/>
          <w:szCs w:val="24"/>
          <w:highlight w:val="none"/>
        </w:rPr>
      </w:pPr>
      <w:r>
        <w:rPr>
          <w:rFonts w:ascii="宋体" w:hAnsi="宋体" w:cs="宋体"/>
          <w:color w:val="auto"/>
          <w:sz w:val="24"/>
          <w:szCs w:val="24"/>
          <w:highlight w:val="none"/>
        </w:rPr>
        <w:t>3）等电位联接的端子板与插座的保护线端子或任一装置外导电部分间的连接线的电阻，包括连接点的电阻，不大于0.2</w:t>
      </w:r>
      <w:r>
        <w:rPr>
          <w:rFonts w:hint="eastAsia" w:ascii="宋体" w:hAnsi="宋体" w:cs="宋体"/>
          <w:color w:val="auto"/>
          <w:sz w:val="24"/>
          <w:szCs w:val="24"/>
          <w:highlight w:val="none"/>
        </w:rPr>
        <w:t>Ω。</w:t>
      </w:r>
    </w:p>
    <w:p>
      <w:pPr>
        <w:adjustRightInd w:val="0"/>
        <w:snapToGrid w:val="0"/>
        <w:rPr>
          <w:rFonts w:ascii="宋体" w:hAnsi="宋体" w:cs="宋体"/>
          <w:color w:val="auto"/>
          <w:sz w:val="24"/>
          <w:szCs w:val="24"/>
          <w:highlight w:val="none"/>
        </w:rPr>
      </w:pPr>
    </w:p>
    <w:p>
      <w:pPr>
        <w:adjustRightInd w:val="0"/>
        <w:snapToGrid w:val="0"/>
        <w:outlineLvl w:val="2"/>
        <w:rPr>
          <w:rFonts w:ascii="宋体" w:hAnsi="宋体" w:cs="宋体"/>
          <w:b/>
          <w:color w:val="auto"/>
          <w:sz w:val="24"/>
          <w:szCs w:val="24"/>
          <w:highlight w:val="none"/>
        </w:rPr>
      </w:pPr>
      <w:r>
        <w:rPr>
          <w:rFonts w:ascii="宋体" w:hAnsi="宋体" w:cs="宋体"/>
          <w:b/>
          <w:color w:val="auto"/>
          <w:sz w:val="24"/>
          <w:szCs w:val="24"/>
          <w:highlight w:val="none"/>
        </w:rPr>
        <w:t>4.弱电专业</w:t>
      </w:r>
    </w:p>
    <w:p>
      <w:pPr>
        <w:adjustRightInd w:val="0"/>
        <w:snapToGrid w:val="0"/>
        <w:outlineLvl w:val="3"/>
        <w:rPr>
          <w:rFonts w:ascii="宋体" w:hAnsi="宋体" w:cs="宋体"/>
          <w:b/>
          <w:color w:val="auto"/>
          <w:sz w:val="24"/>
          <w:szCs w:val="24"/>
          <w:highlight w:val="none"/>
        </w:rPr>
      </w:pPr>
      <w:r>
        <w:rPr>
          <w:rFonts w:ascii="宋体" w:hAnsi="宋体" w:cs="宋体"/>
          <w:b/>
          <w:color w:val="auto"/>
          <w:sz w:val="24"/>
          <w:szCs w:val="24"/>
          <w:highlight w:val="none"/>
        </w:rPr>
        <w:t xml:space="preserve">4.1 </w:t>
      </w:r>
      <w:r>
        <w:rPr>
          <w:rFonts w:hint="eastAsia" w:ascii="宋体" w:hAnsi="宋体" w:cs="宋体"/>
          <w:b/>
          <w:color w:val="auto"/>
          <w:sz w:val="24"/>
          <w:szCs w:val="24"/>
          <w:highlight w:val="none"/>
        </w:rPr>
        <w:t>地下一层回旋加速器及热室区弱电技术设计和要求</w:t>
      </w:r>
    </w:p>
    <w:p>
      <w:pPr>
        <w:adjustRightInd w:val="0"/>
        <w:snapToGrid w:val="0"/>
        <w:outlineLvl w:val="3"/>
        <w:rPr>
          <w:rFonts w:ascii="宋体" w:hAnsi="宋体" w:cs="宋体"/>
          <w:b/>
          <w:color w:val="auto"/>
          <w:sz w:val="24"/>
          <w:szCs w:val="24"/>
          <w:highlight w:val="none"/>
        </w:rPr>
      </w:pPr>
      <w:r>
        <w:rPr>
          <w:rFonts w:ascii="宋体" w:hAnsi="宋体" w:cs="宋体"/>
          <w:b/>
          <w:color w:val="auto"/>
          <w:sz w:val="24"/>
          <w:szCs w:val="24"/>
          <w:highlight w:val="none"/>
        </w:rPr>
        <w:t>4.2综合布线系统设计和要求</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1）区域内设置电话、网络布线系统；</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2）操作区设置无线AP；</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3）回旋加速器按建筑平面图要求设置电话、网络终端；</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4）网络、电话均采用6类双绞线，所有布线预留至本层弱电井接入该层数据配线架和语音配线架，弱电井内配线架及设备均在本次招标范围。</w:t>
      </w:r>
    </w:p>
    <w:p>
      <w:pPr>
        <w:adjustRightInd w:val="0"/>
        <w:snapToGrid w:val="0"/>
        <w:outlineLvl w:val="3"/>
        <w:rPr>
          <w:rFonts w:ascii="宋体" w:hAnsi="宋体" w:cs="宋体"/>
          <w:b/>
          <w:color w:val="auto"/>
          <w:sz w:val="24"/>
          <w:szCs w:val="24"/>
          <w:highlight w:val="none"/>
        </w:rPr>
      </w:pPr>
      <w:r>
        <w:rPr>
          <w:rFonts w:ascii="宋体" w:hAnsi="宋体" w:cs="宋体"/>
          <w:b/>
          <w:color w:val="auto"/>
          <w:sz w:val="24"/>
          <w:szCs w:val="24"/>
          <w:highlight w:val="none"/>
        </w:rPr>
        <w:t>4.3视频监控系统设计和要求</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1）区域内设置视频监控系统。</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2）本工程电视监控系统由摄像机、硬盘录像机等主要设备组成。</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3）主要出入口、走廊均设置彩色半球摄像机，电视监控系统主机设置在操作间。</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4）系统通过硬盘录像机进行集中控制和处理，视频图像通过显示器显示。系统可实现记录图像的回放、检索等，同时，监控画面可任意切换，任意分割、任意组合排列。</w:t>
      </w:r>
    </w:p>
    <w:p>
      <w:pPr>
        <w:adjustRightInd w:val="0"/>
        <w:snapToGrid w:val="0"/>
        <w:outlineLvl w:val="3"/>
        <w:rPr>
          <w:rFonts w:ascii="宋体" w:hAnsi="宋体" w:cs="宋体"/>
          <w:b/>
          <w:color w:val="auto"/>
          <w:sz w:val="24"/>
          <w:szCs w:val="24"/>
          <w:highlight w:val="none"/>
        </w:rPr>
      </w:pPr>
      <w:r>
        <w:rPr>
          <w:rFonts w:ascii="宋体" w:hAnsi="宋体" w:cs="宋体"/>
          <w:b/>
          <w:color w:val="auto"/>
          <w:sz w:val="24"/>
          <w:szCs w:val="24"/>
          <w:highlight w:val="none"/>
        </w:rPr>
        <w:t>4.4门禁系统设计和要求</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1）区域内主入口按要求设置门禁。</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2）入口处设置可视对讲门禁系统，人员可以通过呼叫操作站主机经视频确认授权进入或通过刷卡进入。。</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3）其管线的采购、敷设符合国家电气、消防施工技术规范。</w:t>
      </w:r>
    </w:p>
    <w:p>
      <w:pPr>
        <w:adjustRightInd w:val="0"/>
        <w:snapToGrid w:val="0"/>
        <w:ind w:left="372" w:leftChars="177"/>
        <w:rPr>
          <w:rFonts w:ascii="宋体" w:hAnsi="宋体"/>
          <w:color w:val="auto"/>
          <w:sz w:val="24"/>
          <w:szCs w:val="24"/>
          <w:highlight w:val="none"/>
        </w:rPr>
      </w:pPr>
      <w:r>
        <w:rPr>
          <w:rFonts w:ascii="宋体" w:hAnsi="宋体"/>
          <w:color w:val="auto"/>
          <w:sz w:val="24"/>
          <w:szCs w:val="24"/>
          <w:highlight w:val="none"/>
        </w:rPr>
        <w:t>4）在实验室有互锁功能要求的房间，设置互锁门禁系统。正常情况下,房间各门都关闭时可打开任意一扇门,当一扇门被打开后,另外的门自动闭锁,从而达到相邻房间密闭隔离的作用。</w:t>
      </w:r>
    </w:p>
    <w:p>
      <w:pPr>
        <w:adjustRightInd w:val="0"/>
        <w:snapToGrid w:val="0"/>
        <w:outlineLvl w:val="2"/>
        <w:rPr>
          <w:rFonts w:ascii="宋体" w:hAnsi="宋体" w:cs="宋体"/>
          <w:b/>
          <w:color w:val="auto"/>
          <w:sz w:val="24"/>
          <w:szCs w:val="24"/>
          <w:highlight w:val="none"/>
        </w:rPr>
      </w:pPr>
      <w:r>
        <w:rPr>
          <w:rFonts w:ascii="宋体" w:hAnsi="宋体" w:cs="宋体"/>
          <w:b/>
          <w:color w:val="auto"/>
          <w:sz w:val="24"/>
          <w:szCs w:val="24"/>
          <w:highlight w:val="none"/>
        </w:rPr>
        <w:t>5.给排水设计要求</w:t>
      </w:r>
    </w:p>
    <w:p>
      <w:pPr>
        <w:adjustRightInd w:val="0"/>
        <w:snapToGrid w:val="0"/>
        <w:ind w:firstLine="241" w:firstLineChars="100"/>
        <w:outlineLvl w:val="3"/>
        <w:rPr>
          <w:rFonts w:ascii="宋体" w:hAnsi="宋体" w:cs="宋体"/>
          <w:b/>
          <w:color w:val="auto"/>
          <w:sz w:val="24"/>
          <w:szCs w:val="24"/>
          <w:highlight w:val="none"/>
        </w:rPr>
      </w:pPr>
      <w:r>
        <w:rPr>
          <w:rFonts w:ascii="宋体" w:hAnsi="宋体" w:cs="宋体"/>
          <w:b/>
          <w:color w:val="auto"/>
          <w:sz w:val="24"/>
          <w:szCs w:val="24"/>
          <w:highlight w:val="none"/>
        </w:rPr>
        <w:t xml:space="preserve">5.1 </w:t>
      </w:r>
      <w:r>
        <w:rPr>
          <w:rFonts w:hint="eastAsia" w:ascii="宋体" w:hAnsi="宋体" w:cs="宋体"/>
          <w:b/>
          <w:color w:val="auto"/>
          <w:sz w:val="24"/>
          <w:szCs w:val="24"/>
          <w:highlight w:val="none"/>
        </w:rPr>
        <w:t>地下一层回旋加速器及热室区：</w:t>
      </w:r>
    </w:p>
    <w:p>
      <w:pPr>
        <w:tabs>
          <w:tab w:val="left" w:pos="993"/>
        </w:tabs>
        <w:adjustRightInd w:val="0"/>
        <w:snapToGrid w:val="0"/>
        <w:ind w:left="420" w:leftChars="200"/>
        <w:rPr>
          <w:rFonts w:ascii="宋体" w:hAnsi="宋体"/>
          <w:color w:val="auto"/>
          <w:sz w:val="24"/>
          <w:szCs w:val="24"/>
          <w:highlight w:val="none"/>
        </w:rPr>
      </w:pPr>
      <w:r>
        <w:rPr>
          <w:rFonts w:ascii="宋体" w:hAnsi="宋体"/>
          <w:color w:val="auto"/>
          <w:sz w:val="24"/>
          <w:szCs w:val="24"/>
          <w:highlight w:val="none"/>
        </w:rPr>
        <w:t>5.1.1应按GB50333-2013第十章给水排水技术规范要求进行设计、设备采购及安装。</w:t>
      </w:r>
    </w:p>
    <w:p>
      <w:pPr>
        <w:tabs>
          <w:tab w:val="left" w:pos="993"/>
        </w:tabs>
        <w:adjustRightInd w:val="0"/>
        <w:snapToGrid w:val="0"/>
        <w:ind w:left="420" w:leftChars="200"/>
        <w:rPr>
          <w:rFonts w:ascii="宋体" w:hAnsi="宋体"/>
          <w:color w:val="auto"/>
          <w:sz w:val="24"/>
          <w:szCs w:val="24"/>
          <w:highlight w:val="none"/>
        </w:rPr>
      </w:pPr>
      <w:r>
        <w:rPr>
          <w:rFonts w:ascii="宋体" w:hAnsi="宋体"/>
          <w:color w:val="auto"/>
          <w:sz w:val="24"/>
          <w:szCs w:val="24"/>
          <w:highlight w:val="none"/>
        </w:rPr>
        <w:t>5.1.2招标范围内所有洁具由中标方负责，应采用不易积存污物及易于清扫的卫生洁具及附件。</w:t>
      </w:r>
    </w:p>
    <w:p>
      <w:pPr>
        <w:tabs>
          <w:tab w:val="left" w:pos="993"/>
        </w:tabs>
        <w:adjustRightInd w:val="0"/>
        <w:snapToGrid w:val="0"/>
        <w:ind w:left="420" w:leftChars="200"/>
        <w:rPr>
          <w:rFonts w:ascii="宋体" w:hAnsi="宋体"/>
          <w:color w:val="auto"/>
          <w:sz w:val="24"/>
          <w:szCs w:val="24"/>
          <w:highlight w:val="none"/>
        </w:rPr>
      </w:pPr>
      <w:r>
        <w:rPr>
          <w:rFonts w:ascii="宋体" w:hAnsi="宋体"/>
          <w:color w:val="auto"/>
          <w:sz w:val="24"/>
          <w:szCs w:val="24"/>
          <w:highlight w:val="none"/>
        </w:rPr>
        <w:t>5.1.3给水阀门选择：DN≤50mm时采用全铜截止阀，内螺旋连接；DN＞50mm时，采用钢铸闸阀，法兰连接。招标范围内的盥洗设备应同时设置冷热水并设置混水龙头。</w:t>
      </w:r>
    </w:p>
    <w:p>
      <w:pPr>
        <w:tabs>
          <w:tab w:val="left" w:pos="993"/>
        </w:tabs>
        <w:adjustRightInd w:val="0"/>
        <w:snapToGrid w:val="0"/>
        <w:ind w:left="420" w:leftChars="200"/>
        <w:rPr>
          <w:rFonts w:ascii="宋体" w:hAnsi="宋体"/>
          <w:color w:val="auto"/>
          <w:sz w:val="24"/>
          <w:szCs w:val="24"/>
          <w:highlight w:val="none"/>
        </w:rPr>
      </w:pPr>
      <w:r>
        <w:rPr>
          <w:rFonts w:ascii="宋体" w:hAnsi="宋体"/>
          <w:color w:val="auto"/>
          <w:sz w:val="24"/>
          <w:szCs w:val="24"/>
          <w:highlight w:val="none"/>
        </w:rPr>
        <w:t>5.1.4本次招标包括施工区域内的洁具安装及给排水管道安装，不包括施工区域内的消防系统和雨水系统。</w:t>
      </w:r>
    </w:p>
    <w:p>
      <w:pPr>
        <w:tabs>
          <w:tab w:val="left" w:pos="993"/>
        </w:tabs>
        <w:adjustRightInd w:val="0"/>
        <w:snapToGrid w:val="0"/>
        <w:ind w:left="420" w:leftChars="200"/>
        <w:rPr>
          <w:rFonts w:ascii="宋体" w:hAnsi="宋体"/>
          <w:color w:val="auto"/>
          <w:sz w:val="24"/>
          <w:szCs w:val="24"/>
          <w:highlight w:val="none"/>
        </w:rPr>
      </w:pPr>
      <w:r>
        <w:rPr>
          <w:rFonts w:ascii="宋体" w:hAnsi="宋体"/>
          <w:color w:val="auto"/>
          <w:sz w:val="24"/>
          <w:szCs w:val="24"/>
          <w:highlight w:val="none"/>
        </w:rPr>
        <w:t>5.1.5洁净区内的地漏必须为高水封防臭地漏并加密封盖，水封高度不得小于50mm。</w:t>
      </w:r>
    </w:p>
    <w:p>
      <w:pPr>
        <w:tabs>
          <w:tab w:val="left" w:pos="993"/>
        </w:tabs>
        <w:adjustRightInd w:val="0"/>
        <w:snapToGrid w:val="0"/>
        <w:ind w:left="420" w:leftChars="200"/>
        <w:rPr>
          <w:rFonts w:ascii="宋体" w:hAnsi="宋体"/>
          <w:color w:val="auto"/>
          <w:sz w:val="24"/>
          <w:szCs w:val="24"/>
          <w:highlight w:val="none"/>
        </w:rPr>
      </w:pPr>
      <w:r>
        <w:rPr>
          <w:rFonts w:ascii="宋体" w:hAnsi="宋体"/>
          <w:color w:val="auto"/>
          <w:sz w:val="24"/>
          <w:szCs w:val="24"/>
          <w:highlight w:val="none"/>
        </w:rPr>
        <w:t>5.1.6生活给水冷水支管采用PPR生活给水管,冷胶熔连接；材质软化温度不低于80度；淋浴间及洗手盆热水由电热水器提供，该部分电热水器的热水管采用热水型PPR管。</w:t>
      </w:r>
    </w:p>
    <w:p>
      <w:pPr>
        <w:tabs>
          <w:tab w:val="left" w:pos="993"/>
        </w:tabs>
        <w:adjustRightInd w:val="0"/>
        <w:snapToGrid w:val="0"/>
        <w:ind w:left="420" w:leftChars="200"/>
        <w:rPr>
          <w:rFonts w:ascii="宋体" w:hAnsi="宋体"/>
          <w:color w:val="auto"/>
          <w:sz w:val="24"/>
          <w:szCs w:val="24"/>
          <w:highlight w:val="none"/>
        </w:rPr>
      </w:pPr>
      <w:r>
        <w:rPr>
          <w:rFonts w:ascii="宋体" w:hAnsi="宋体"/>
          <w:color w:val="auto"/>
          <w:sz w:val="24"/>
          <w:szCs w:val="24"/>
          <w:highlight w:val="none"/>
        </w:rPr>
        <w:t>5.1.7室内污废水排水管采用质量优良的离心铸铁排水管及管件,采用W型卡箍连接。</w:t>
      </w:r>
    </w:p>
    <w:p>
      <w:pPr>
        <w:autoSpaceDE w:val="0"/>
        <w:autoSpaceDN w:val="0"/>
        <w:spacing w:line="360" w:lineRule="auto"/>
        <w:jc w:val="left"/>
        <w:rPr>
          <w:rFonts w:ascii="宋体" w:hAnsi="宋体" w:cs="宋体"/>
          <w:b/>
          <w:color w:val="auto"/>
          <w:kern w:val="0"/>
          <w:sz w:val="24"/>
          <w:szCs w:val="24"/>
          <w:highlight w:val="none"/>
          <w:lang w:val="zh-CN" w:bidi="zh-CN"/>
        </w:rPr>
      </w:pPr>
    </w:p>
    <w:p>
      <w:pPr>
        <w:spacing w:before="240" w:line="360" w:lineRule="auto"/>
        <w:rPr>
          <w:rFonts w:ascii="宋体" w:hAnsi="宋体" w:cstheme="minorBidi"/>
          <w:color w:val="auto"/>
          <w:sz w:val="24"/>
          <w:szCs w:val="24"/>
          <w:highlight w:val="none"/>
        </w:rPr>
      </w:pPr>
    </w:p>
    <w:p>
      <w:pPr>
        <w:spacing w:line="400" w:lineRule="exact"/>
        <w:ind w:left="420" w:leftChars="200" w:firstLine="480" w:firstLineChars="200"/>
        <w:rPr>
          <w:rFonts w:ascii="宋体" w:hAnsi="宋体" w:cstheme="minorBidi"/>
          <w:color w:val="auto"/>
          <w:sz w:val="24"/>
          <w:szCs w:val="24"/>
          <w:highlight w:val="none"/>
        </w:rPr>
      </w:pPr>
    </w:p>
    <w:p>
      <w:pPr>
        <w:outlineLvl w:val="1"/>
        <w:rPr>
          <w:rFonts w:ascii="宋体" w:hAnsi="宋体" w:cstheme="minorBidi"/>
          <w:b/>
          <w:bCs/>
          <w:color w:val="auto"/>
          <w:sz w:val="24"/>
          <w:szCs w:val="24"/>
          <w:highlight w:val="none"/>
        </w:rPr>
      </w:pPr>
      <w:r>
        <w:rPr>
          <w:rFonts w:hint="eastAsia" w:ascii="宋体" w:hAnsi="宋体" w:cstheme="minorBidi"/>
          <w:b/>
          <w:bCs/>
          <w:color w:val="auto"/>
          <w:sz w:val="24"/>
          <w:szCs w:val="24"/>
          <w:highlight w:val="none"/>
        </w:rPr>
        <w:t>三、主要材料设备技术参数表</w:t>
      </w:r>
    </w:p>
    <w:p>
      <w:pPr>
        <w:pStyle w:val="30"/>
        <w:rPr>
          <w:color w:val="auto"/>
          <w:highlight w:val="none"/>
        </w:rPr>
      </w:pPr>
      <w:r>
        <w:rPr>
          <w:rFonts w:hint="eastAsia" w:hAnsi="宋体" w:cs="宋体"/>
          <w:color w:val="auto"/>
          <w:kern w:val="0"/>
          <w:sz w:val="24"/>
          <w:szCs w:val="24"/>
          <w:highlight w:val="none"/>
        </w:rPr>
        <w:t>注：以下技术参数要求为本项目最低要求</w:t>
      </w:r>
    </w:p>
    <w:p>
      <w:pPr>
        <w:rPr>
          <w:rFonts w:ascii="宋体" w:hAnsi="宋体" w:cstheme="minorBidi"/>
          <w:color w:val="auto"/>
          <w:sz w:val="24"/>
          <w:szCs w:val="24"/>
          <w:highlight w:val="none"/>
        </w:rPr>
      </w:pPr>
    </w:p>
    <w:p>
      <w:pPr>
        <w:autoSpaceDE w:val="0"/>
        <w:autoSpaceDN w:val="0"/>
        <w:jc w:val="left"/>
        <w:outlineLvl w:val="2"/>
        <w:rPr>
          <w:rFonts w:ascii="宋体" w:hAnsi="宋体" w:cs="宋体"/>
          <w:b/>
          <w:bCs/>
          <w:color w:val="auto"/>
          <w:kern w:val="0"/>
          <w:sz w:val="24"/>
          <w:szCs w:val="24"/>
          <w:highlight w:val="none"/>
          <w:lang w:val="zh-CN" w:bidi="zh-CN"/>
        </w:rPr>
      </w:pPr>
      <w:r>
        <w:rPr>
          <w:rFonts w:hint="eastAsia" w:ascii="宋体" w:hAnsi="宋体" w:cs="宋体"/>
          <w:b/>
          <w:bCs/>
          <w:color w:val="auto"/>
          <w:kern w:val="0"/>
          <w:sz w:val="24"/>
          <w:szCs w:val="24"/>
          <w:highlight w:val="none"/>
          <w:lang w:val="zh-CN" w:bidi="zh-CN"/>
        </w:rPr>
        <w:t>（</w:t>
      </w:r>
      <w:r>
        <w:rPr>
          <w:rFonts w:hint="eastAsia" w:ascii="宋体" w:hAnsi="宋体" w:cs="宋体"/>
          <w:b/>
          <w:bCs/>
          <w:color w:val="auto"/>
          <w:kern w:val="0"/>
          <w:sz w:val="24"/>
          <w:szCs w:val="24"/>
          <w:highlight w:val="none"/>
          <w:lang w:bidi="zh-CN"/>
        </w:rPr>
        <w:t>一</w:t>
      </w:r>
      <w:r>
        <w:rPr>
          <w:rFonts w:hint="eastAsia" w:ascii="宋体" w:hAnsi="宋体" w:cs="宋体"/>
          <w:b/>
          <w:bCs/>
          <w:color w:val="auto"/>
          <w:kern w:val="0"/>
          <w:sz w:val="24"/>
          <w:szCs w:val="24"/>
          <w:highlight w:val="none"/>
          <w:lang w:val="zh-CN" w:bidi="zh-CN"/>
        </w:rPr>
        <w:t>）装饰主要设备材料技术、质量要求</w:t>
      </w:r>
    </w:p>
    <w:p>
      <w:pPr>
        <w:autoSpaceDE w:val="0"/>
        <w:autoSpaceDN w:val="0"/>
        <w:ind w:left="432"/>
        <w:jc w:val="left"/>
        <w:rPr>
          <w:rFonts w:ascii="宋体" w:hAnsi="宋体" w:cs="宋体"/>
          <w:color w:val="auto"/>
          <w:kern w:val="0"/>
          <w:sz w:val="24"/>
          <w:szCs w:val="24"/>
          <w:highlight w:val="none"/>
          <w:lang w:val="zh-CN" w:bidi="zh-CN"/>
        </w:rPr>
      </w:pPr>
    </w:p>
    <w:tbl>
      <w:tblPr>
        <w:tblStyle w:val="54"/>
        <w:tblW w:w="8512"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1"/>
        <w:gridCol w:w="1559"/>
        <w:gridCol w:w="6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tblHeader/>
        </w:trPr>
        <w:tc>
          <w:tcPr>
            <w:tcW w:w="851"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序号</w:t>
            </w:r>
          </w:p>
        </w:tc>
        <w:tc>
          <w:tcPr>
            <w:tcW w:w="1559"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产品名称</w:t>
            </w:r>
          </w:p>
        </w:tc>
        <w:tc>
          <w:tcPr>
            <w:tcW w:w="6102"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产品技术要求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51"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1.</w:t>
            </w:r>
          </w:p>
        </w:tc>
        <w:tc>
          <w:tcPr>
            <w:tcW w:w="1559"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防滑地砖</w:t>
            </w:r>
          </w:p>
        </w:tc>
        <w:tc>
          <w:tcPr>
            <w:tcW w:w="6102"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符合设计、国家有关标准、规范、规定要求，产品执行标准：《陶瓷砖》</w:t>
            </w:r>
            <w:r>
              <w:rPr>
                <w:rFonts w:ascii="宋体" w:hAnsi="宋体" w:cstheme="minorBidi"/>
                <w:color w:val="auto"/>
                <w:sz w:val="24"/>
                <w:szCs w:val="24"/>
                <w:highlight w:val="none"/>
              </w:rPr>
              <w:t>GB/T 4100-2015；并符合下列要求：</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、材质及成型方法：材质为瓷质砖；成型方法采用干压法。</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、吸水率：≤</w:t>
            </w:r>
            <w:r>
              <w:rPr>
                <w:rFonts w:ascii="宋体" w:hAnsi="宋体" w:cstheme="minorBidi"/>
                <w:color w:val="auto"/>
                <w:sz w:val="24"/>
                <w:szCs w:val="24"/>
                <w:highlight w:val="none"/>
              </w:rPr>
              <w:t>0.1%</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、尺寸要求：①边长偏差：</w:t>
            </w:r>
            <w:r>
              <w:rPr>
                <w:rFonts w:ascii="宋体" w:hAnsi="宋体" w:cstheme="minorBidi"/>
                <w:color w:val="auto"/>
                <w:sz w:val="24"/>
                <w:szCs w:val="24"/>
                <w:highlight w:val="none"/>
              </w:rPr>
              <w:t>10</w:t>
            </w:r>
            <w:r>
              <w:rPr>
                <w:rFonts w:hint="eastAsia" w:ascii="宋体" w:hAnsi="宋体" w:cstheme="minorBidi"/>
                <w:color w:val="auto"/>
                <w:sz w:val="24"/>
                <w:szCs w:val="24"/>
                <w:highlight w:val="none"/>
              </w:rPr>
              <w:t>块砖平均允许偏差（</w:t>
            </w:r>
            <w:r>
              <w:rPr>
                <w:rFonts w:ascii="宋体" w:hAnsi="宋体" w:cstheme="minorBidi"/>
                <w:color w:val="auto"/>
                <w:sz w:val="24"/>
                <w:szCs w:val="24"/>
                <w:highlight w:val="none"/>
              </w:rPr>
              <w:t>mm</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0.4</w:t>
            </w:r>
            <w:r>
              <w:rPr>
                <w:rFonts w:hint="eastAsia" w:ascii="宋体" w:hAnsi="宋体" w:cstheme="minorBidi"/>
                <w:color w:val="auto"/>
                <w:sz w:val="24"/>
                <w:szCs w:val="24"/>
                <w:highlight w:val="none"/>
              </w:rPr>
              <w:t>；②边直度允许偏差为±</w:t>
            </w:r>
            <w:r>
              <w:rPr>
                <w:rFonts w:ascii="宋体" w:hAnsi="宋体" w:cstheme="minorBidi"/>
                <w:color w:val="auto"/>
                <w:sz w:val="24"/>
                <w:szCs w:val="24"/>
                <w:highlight w:val="none"/>
              </w:rPr>
              <w:t>0.2%</w:t>
            </w:r>
            <w:r>
              <w:rPr>
                <w:rFonts w:hint="eastAsia" w:ascii="宋体" w:hAnsi="宋体" w:cstheme="minorBidi"/>
                <w:color w:val="auto"/>
                <w:sz w:val="24"/>
                <w:szCs w:val="24"/>
                <w:highlight w:val="none"/>
              </w:rPr>
              <w:t>，且最大偏差≤</w:t>
            </w:r>
            <w:r>
              <w:rPr>
                <w:rFonts w:ascii="宋体" w:hAnsi="宋体" w:cstheme="minorBidi"/>
                <w:color w:val="auto"/>
                <w:sz w:val="24"/>
                <w:szCs w:val="24"/>
                <w:highlight w:val="none"/>
              </w:rPr>
              <w:t>0.5mm</w:t>
            </w:r>
            <w:r>
              <w:rPr>
                <w:rFonts w:hint="eastAsia" w:ascii="宋体" w:hAnsi="宋体" w:cstheme="minorBidi"/>
                <w:color w:val="auto"/>
                <w:sz w:val="24"/>
                <w:szCs w:val="24"/>
                <w:highlight w:val="none"/>
              </w:rPr>
              <w:t>；③直角度允许偏差为±</w:t>
            </w:r>
            <w:r>
              <w:rPr>
                <w:rFonts w:ascii="宋体" w:hAnsi="宋体" w:cstheme="minorBidi"/>
                <w:color w:val="auto"/>
                <w:sz w:val="24"/>
                <w:szCs w:val="24"/>
                <w:highlight w:val="none"/>
              </w:rPr>
              <w:t>0.2%</w:t>
            </w:r>
            <w:r>
              <w:rPr>
                <w:rFonts w:hint="eastAsia" w:ascii="宋体" w:hAnsi="宋体" w:cstheme="minorBidi"/>
                <w:color w:val="auto"/>
                <w:sz w:val="24"/>
                <w:szCs w:val="24"/>
                <w:highlight w:val="none"/>
              </w:rPr>
              <w:t>，且最大偏差≤</w:t>
            </w:r>
            <w:r>
              <w:rPr>
                <w:rFonts w:ascii="宋体" w:hAnsi="宋体" w:cstheme="minorBidi"/>
                <w:color w:val="auto"/>
                <w:sz w:val="24"/>
                <w:szCs w:val="24"/>
                <w:highlight w:val="none"/>
              </w:rPr>
              <w:t>0.5mm</w:t>
            </w:r>
            <w:r>
              <w:rPr>
                <w:rFonts w:hint="eastAsia" w:ascii="宋体" w:hAnsi="宋体" w:cstheme="minorBidi"/>
                <w:color w:val="auto"/>
                <w:sz w:val="24"/>
                <w:szCs w:val="24"/>
                <w:highlight w:val="none"/>
              </w:rPr>
              <w:t>；④厚度偏差±</w:t>
            </w:r>
            <w:r>
              <w:rPr>
                <w:rFonts w:ascii="宋体" w:hAnsi="宋体" w:cstheme="minorBidi"/>
                <w:color w:val="auto"/>
                <w:sz w:val="24"/>
                <w:szCs w:val="24"/>
                <w:highlight w:val="none"/>
              </w:rPr>
              <w:t>5%</w:t>
            </w:r>
            <w:r>
              <w:rPr>
                <w:rFonts w:hint="eastAsia" w:ascii="宋体" w:hAnsi="宋体" w:cstheme="minorBidi"/>
                <w:color w:val="auto"/>
                <w:sz w:val="24"/>
                <w:szCs w:val="24"/>
                <w:highlight w:val="none"/>
              </w:rPr>
              <w:t>；⑤表面平整度允许偏差为±</w:t>
            </w:r>
            <w:r>
              <w:rPr>
                <w:rFonts w:ascii="宋体" w:hAnsi="宋体" w:cstheme="minorBidi"/>
                <w:color w:val="auto"/>
                <w:sz w:val="24"/>
                <w:szCs w:val="24"/>
                <w:highlight w:val="none"/>
              </w:rPr>
              <w:t>0.2%</w:t>
            </w:r>
            <w:r>
              <w:rPr>
                <w:rFonts w:hint="eastAsia" w:ascii="宋体" w:hAnsi="宋体" w:cstheme="minorBidi"/>
                <w:color w:val="auto"/>
                <w:sz w:val="24"/>
                <w:szCs w:val="24"/>
                <w:highlight w:val="none"/>
              </w:rPr>
              <w:t>，最大偏差≤</w:t>
            </w:r>
            <w:r>
              <w:rPr>
                <w:rFonts w:ascii="宋体" w:hAnsi="宋体" w:cstheme="minorBidi"/>
                <w:color w:val="auto"/>
                <w:sz w:val="24"/>
                <w:szCs w:val="24"/>
                <w:highlight w:val="none"/>
              </w:rPr>
              <w:t>0.5mm</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4</w:t>
            </w:r>
            <w:r>
              <w:rPr>
                <w:rFonts w:hint="eastAsia" w:ascii="宋体" w:hAnsi="宋体" w:cstheme="minorBidi"/>
                <w:color w:val="auto"/>
                <w:sz w:val="24"/>
                <w:szCs w:val="24"/>
                <w:highlight w:val="none"/>
              </w:rPr>
              <w:t>、表面质量：至少</w:t>
            </w:r>
            <w:r>
              <w:rPr>
                <w:rFonts w:ascii="宋体" w:hAnsi="宋体" w:cstheme="minorBidi"/>
                <w:color w:val="auto"/>
                <w:sz w:val="24"/>
                <w:szCs w:val="24"/>
                <w:highlight w:val="none"/>
              </w:rPr>
              <w:t>95%</w:t>
            </w:r>
            <w:r>
              <w:rPr>
                <w:rFonts w:hint="eastAsia" w:ascii="宋体" w:hAnsi="宋体" w:cstheme="minorBidi"/>
                <w:color w:val="auto"/>
                <w:sz w:val="24"/>
                <w:szCs w:val="24"/>
                <w:highlight w:val="none"/>
              </w:rPr>
              <w:t>以上的砖无明显缺陷；用肉眼观测批量砖与选定样板对比无明显色差。</w:t>
            </w:r>
          </w:p>
          <w:p>
            <w:pPr>
              <w:rPr>
                <w:rFonts w:ascii="宋体" w:hAnsi="宋体" w:cstheme="minorBidi"/>
                <w:color w:val="auto"/>
                <w:sz w:val="24"/>
                <w:szCs w:val="24"/>
                <w:highlight w:val="none"/>
              </w:rPr>
            </w:pPr>
            <w:r>
              <w:rPr>
                <w:rFonts w:ascii="宋体" w:hAnsi="宋体" w:cstheme="minorBidi"/>
                <w:color w:val="auto"/>
                <w:sz w:val="24"/>
                <w:szCs w:val="24"/>
                <w:highlight w:val="none"/>
              </w:rPr>
              <w:t>5</w:t>
            </w:r>
            <w:r>
              <w:rPr>
                <w:rFonts w:hint="eastAsia" w:ascii="宋体" w:hAnsi="宋体" w:cstheme="minorBidi"/>
                <w:color w:val="auto"/>
                <w:sz w:val="24"/>
                <w:szCs w:val="24"/>
                <w:highlight w:val="none"/>
              </w:rPr>
              <w:t>、物理性能要求：①破坏强度（</w:t>
            </w:r>
            <w:r>
              <w:rPr>
                <w:rFonts w:ascii="宋体" w:hAnsi="宋体" w:cstheme="minorBidi"/>
                <w:color w:val="auto"/>
                <w:sz w:val="24"/>
                <w:szCs w:val="24"/>
                <w:highlight w:val="none"/>
              </w:rPr>
              <w:t>N</w:t>
            </w:r>
            <w:r>
              <w:rPr>
                <w:rFonts w:hint="eastAsia" w:ascii="宋体" w:hAnsi="宋体" w:cstheme="minorBidi"/>
                <w:color w:val="auto"/>
                <w:sz w:val="24"/>
                <w:szCs w:val="24"/>
                <w:highlight w:val="none"/>
              </w:rPr>
              <w:t>）：平均值≥</w:t>
            </w:r>
            <w:r>
              <w:rPr>
                <w:rFonts w:ascii="宋体" w:hAnsi="宋体" w:cstheme="minorBidi"/>
                <w:color w:val="auto"/>
                <w:sz w:val="24"/>
                <w:szCs w:val="24"/>
                <w:highlight w:val="none"/>
              </w:rPr>
              <w:t xml:space="preserve">2500 </w:t>
            </w:r>
            <w:r>
              <w:rPr>
                <w:rFonts w:hint="eastAsia" w:ascii="宋体" w:hAnsi="宋体" w:cstheme="minorBidi"/>
                <w:color w:val="auto"/>
                <w:sz w:val="24"/>
                <w:szCs w:val="24"/>
                <w:highlight w:val="none"/>
              </w:rPr>
              <w:t>；②断裂模数（</w:t>
            </w:r>
            <w:r>
              <w:rPr>
                <w:rFonts w:ascii="宋体" w:hAnsi="宋体" w:cstheme="minorBidi"/>
                <w:color w:val="auto"/>
                <w:sz w:val="24"/>
                <w:szCs w:val="24"/>
                <w:highlight w:val="none"/>
              </w:rPr>
              <w:t>MPa</w:t>
            </w:r>
            <w:r>
              <w:rPr>
                <w:rFonts w:hint="eastAsia" w:ascii="宋体" w:hAnsi="宋体" w:cstheme="minorBidi"/>
                <w:color w:val="auto"/>
                <w:sz w:val="24"/>
                <w:szCs w:val="24"/>
                <w:highlight w:val="none"/>
              </w:rPr>
              <w:t>）：平均值≥</w:t>
            </w:r>
            <w:r>
              <w:rPr>
                <w:rFonts w:ascii="宋体" w:hAnsi="宋体" w:cstheme="minorBidi"/>
                <w:color w:val="auto"/>
                <w:sz w:val="24"/>
                <w:szCs w:val="24"/>
                <w:highlight w:val="none"/>
              </w:rPr>
              <w:t>40</w:t>
            </w:r>
            <w:r>
              <w:rPr>
                <w:rFonts w:hint="eastAsia" w:ascii="宋体" w:hAnsi="宋体" w:cstheme="minorBidi"/>
                <w:color w:val="auto"/>
                <w:sz w:val="24"/>
                <w:szCs w:val="24"/>
                <w:highlight w:val="none"/>
              </w:rPr>
              <w:t>。单块值≥</w:t>
            </w:r>
            <w:r>
              <w:rPr>
                <w:rFonts w:ascii="宋体" w:hAnsi="宋体" w:cstheme="minorBidi"/>
                <w:color w:val="auto"/>
                <w:sz w:val="24"/>
                <w:szCs w:val="24"/>
                <w:highlight w:val="none"/>
              </w:rPr>
              <w:t>40</w:t>
            </w:r>
            <w:r>
              <w:rPr>
                <w:rFonts w:hint="eastAsia" w:ascii="宋体" w:hAnsi="宋体" w:cstheme="minorBidi"/>
                <w:color w:val="auto"/>
                <w:sz w:val="24"/>
                <w:szCs w:val="24"/>
                <w:highlight w:val="none"/>
              </w:rPr>
              <w:t>；③有釉砖耐磨（类）</w:t>
            </w:r>
            <w:r>
              <w:rPr>
                <w:rFonts w:ascii="宋体" w:hAnsi="宋体" w:cstheme="minorBidi"/>
                <w:color w:val="auto"/>
                <w:sz w:val="24"/>
                <w:szCs w:val="24"/>
                <w:highlight w:val="none"/>
              </w:rPr>
              <w:t>:3</w:t>
            </w:r>
            <w:r>
              <w:rPr>
                <w:rFonts w:hint="eastAsia" w:ascii="宋体" w:hAnsi="宋体" w:cstheme="minorBidi"/>
                <w:color w:val="auto"/>
                <w:sz w:val="24"/>
                <w:szCs w:val="24"/>
                <w:highlight w:val="none"/>
              </w:rPr>
              <w:t>类（</w:t>
            </w:r>
            <w:r>
              <w:rPr>
                <w:rFonts w:ascii="宋体" w:hAnsi="宋体" w:cstheme="minorBidi"/>
                <w:color w:val="auto"/>
                <w:sz w:val="24"/>
                <w:szCs w:val="24"/>
                <w:highlight w:val="none"/>
              </w:rPr>
              <w:t>750</w:t>
            </w:r>
            <w:r>
              <w:rPr>
                <w:rFonts w:hint="eastAsia" w:ascii="宋体" w:hAnsi="宋体" w:cstheme="minorBidi"/>
                <w:color w:val="auto"/>
                <w:sz w:val="24"/>
                <w:szCs w:val="24"/>
                <w:highlight w:val="none"/>
              </w:rPr>
              <w:t>转）；④抗热震性：无炸裂和裂纹；⑤抗釉裂性：五次后无裂釉；⑥抗冻性：无裂纹和剥落；⑦静磨擦系数：干法</w:t>
            </w:r>
            <w:r>
              <w:rPr>
                <w:rFonts w:ascii="宋体" w:hAnsi="宋体" w:cstheme="minorBidi"/>
                <w:color w:val="auto"/>
                <w:sz w:val="24"/>
                <w:szCs w:val="24"/>
                <w:highlight w:val="none"/>
              </w:rPr>
              <w:t xml:space="preserve"> 0.70</w:t>
            </w:r>
            <w:r>
              <w:rPr>
                <w:rFonts w:hint="eastAsia" w:ascii="宋体" w:hAnsi="宋体" w:cstheme="minorBidi"/>
                <w:color w:val="auto"/>
                <w:sz w:val="24"/>
                <w:szCs w:val="24"/>
                <w:highlight w:val="none"/>
              </w:rPr>
              <w:t>；⑧湿膨胀（</w:t>
            </w:r>
            <w:r>
              <w:rPr>
                <w:rFonts w:ascii="宋体" w:hAnsi="宋体" w:cstheme="minorBidi"/>
                <w:color w:val="auto"/>
                <w:sz w:val="24"/>
                <w:szCs w:val="24"/>
                <w:highlight w:val="none"/>
              </w:rPr>
              <w:t>mm/m</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无；⑨抗冲击性：</w:t>
            </w:r>
            <w:r>
              <w:rPr>
                <w:rFonts w:ascii="宋体" w:hAnsi="宋体" w:cstheme="minorBidi"/>
                <w:color w:val="auto"/>
                <w:sz w:val="24"/>
                <w:szCs w:val="24"/>
                <w:highlight w:val="none"/>
              </w:rPr>
              <w:t>0.85</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6</w:t>
            </w:r>
            <w:r>
              <w:rPr>
                <w:rFonts w:hint="eastAsia" w:ascii="宋体" w:hAnsi="宋体" w:cstheme="minorBidi"/>
                <w:color w:val="auto"/>
                <w:sz w:val="24"/>
                <w:szCs w:val="24"/>
                <w:highlight w:val="none"/>
              </w:rPr>
              <w:t>、化学性能要求：①耐污染性（级）：</w:t>
            </w:r>
            <w:r>
              <w:rPr>
                <w:rFonts w:ascii="宋体" w:hAnsi="宋体" w:cstheme="minorBidi"/>
                <w:color w:val="auto"/>
                <w:sz w:val="24"/>
                <w:szCs w:val="24"/>
                <w:highlight w:val="none"/>
              </w:rPr>
              <w:t>5</w:t>
            </w:r>
            <w:r>
              <w:rPr>
                <w:rFonts w:hint="eastAsia" w:ascii="宋体" w:hAnsi="宋体" w:cstheme="minorBidi"/>
                <w:color w:val="auto"/>
                <w:sz w:val="24"/>
                <w:szCs w:val="24"/>
                <w:highlight w:val="none"/>
              </w:rPr>
              <w:t>；②耐化学腐蚀性：低浓度酸碱</w:t>
            </w:r>
            <w:r>
              <w:rPr>
                <w:rFonts w:ascii="宋体" w:hAnsi="宋体" w:cstheme="minorBidi"/>
                <w:color w:val="auto"/>
                <w:sz w:val="24"/>
                <w:szCs w:val="24"/>
                <w:highlight w:val="none"/>
              </w:rPr>
              <w:t xml:space="preserve"> ULA</w:t>
            </w:r>
            <w:r>
              <w:rPr>
                <w:rFonts w:hint="eastAsia" w:ascii="宋体" w:hAnsi="宋体" w:cstheme="minorBidi"/>
                <w:color w:val="auto"/>
                <w:sz w:val="24"/>
                <w:szCs w:val="24"/>
                <w:highlight w:val="none"/>
              </w:rPr>
              <w:t>级，高浓度酸碱</w:t>
            </w:r>
            <w:r>
              <w:rPr>
                <w:rFonts w:ascii="宋体" w:hAnsi="宋体" w:cstheme="minorBidi"/>
                <w:color w:val="auto"/>
                <w:sz w:val="24"/>
                <w:szCs w:val="24"/>
                <w:highlight w:val="none"/>
              </w:rPr>
              <w:t>UHA</w:t>
            </w:r>
            <w:r>
              <w:rPr>
                <w:rFonts w:hint="eastAsia" w:ascii="宋体" w:hAnsi="宋体" w:cstheme="minorBidi"/>
                <w:color w:val="auto"/>
                <w:sz w:val="24"/>
                <w:szCs w:val="24"/>
                <w:highlight w:val="none"/>
              </w:rPr>
              <w:t>级</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化学试剂及游泳池盐类</w:t>
            </w:r>
            <w:r>
              <w:rPr>
                <w:rFonts w:ascii="宋体" w:hAnsi="宋体" w:cstheme="minorBidi"/>
                <w:color w:val="auto"/>
                <w:sz w:val="24"/>
                <w:szCs w:val="24"/>
                <w:highlight w:val="none"/>
              </w:rPr>
              <w:t xml:space="preserve">GA </w:t>
            </w:r>
            <w:r>
              <w:rPr>
                <w:rFonts w:hint="eastAsia" w:ascii="宋体" w:hAnsi="宋体" w:cstheme="minorBidi"/>
                <w:color w:val="auto"/>
                <w:sz w:val="24"/>
                <w:szCs w:val="24"/>
                <w:highlight w:val="none"/>
              </w:rPr>
              <w:t>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51"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2.</w:t>
            </w:r>
          </w:p>
        </w:tc>
        <w:tc>
          <w:tcPr>
            <w:tcW w:w="1559"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2mm</w:t>
            </w:r>
            <w:r>
              <w:rPr>
                <w:rFonts w:hint="eastAsia" w:ascii="宋体" w:hAnsi="宋体" w:cstheme="minorBidi"/>
                <w:color w:val="auto"/>
                <w:sz w:val="24"/>
                <w:szCs w:val="24"/>
                <w:highlight w:val="none"/>
              </w:rPr>
              <w:t>抗静电同质透心</w:t>
            </w:r>
            <w:r>
              <w:rPr>
                <w:rFonts w:ascii="宋体" w:hAnsi="宋体" w:cstheme="minorBidi"/>
                <w:color w:val="auto"/>
                <w:sz w:val="24"/>
                <w:szCs w:val="24"/>
                <w:highlight w:val="none"/>
              </w:rPr>
              <w:t>PVC</w:t>
            </w:r>
            <w:r>
              <w:rPr>
                <w:rFonts w:hint="eastAsia" w:ascii="宋体" w:hAnsi="宋体" w:cstheme="minorBidi"/>
                <w:color w:val="auto"/>
                <w:sz w:val="24"/>
                <w:szCs w:val="24"/>
                <w:highlight w:val="none"/>
              </w:rPr>
              <w:t>卷材</w:t>
            </w:r>
          </w:p>
        </w:tc>
        <w:tc>
          <w:tcPr>
            <w:tcW w:w="6102" w:type="dxa"/>
          </w:tcPr>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1、</w:t>
            </w:r>
            <w:r>
              <w:rPr>
                <w:rFonts w:hint="eastAsia" w:ascii="宋体" w:hAnsi="宋体" w:cstheme="minorBidi"/>
                <w:color w:val="auto"/>
                <w:sz w:val="24"/>
                <w:szCs w:val="24"/>
                <w:highlight w:val="none"/>
              </w:rPr>
              <w:tab/>
            </w:r>
            <w:r>
              <w:rPr>
                <w:rFonts w:hint="eastAsia" w:ascii="宋体" w:hAnsi="宋体" w:cstheme="minorBidi"/>
                <w:color w:val="auto"/>
                <w:sz w:val="24"/>
                <w:szCs w:val="24"/>
                <w:highlight w:val="none"/>
              </w:rPr>
              <w:t xml:space="preserve">产品厚度：≥2mm </w:t>
            </w:r>
          </w:p>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2、</w:t>
            </w:r>
            <w:r>
              <w:rPr>
                <w:rFonts w:hint="eastAsia" w:ascii="宋体" w:hAnsi="宋体" w:cstheme="minorBidi"/>
                <w:color w:val="auto"/>
                <w:sz w:val="24"/>
                <w:szCs w:val="24"/>
                <w:highlight w:val="none"/>
              </w:rPr>
              <w:tab/>
            </w:r>
            <w:r>
              <w:rPr>
                <w:rFonts w:hint="eastAsia" w:ascii="宋体" w:hAnsi="宋体" w:cstheme="minorBidi"/>
                <w:color w:val="auto"/>
                <w:sz w:val="24"/>
                <w:szCs w:val="24"/>
                <w:highlight w:val="none"/>
              </w:rPr>
              <w:t>燃烧性能：≥B1级</w:t>
            </w:r>
          </w:p>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3、</w:t>
            </w:r>
            <w:r>
              <w:rPr>
                <w:rFonts w:hint="eastAsia" w:ascii="宋体" w:hAnsi="宋体" w:cstheme="minorBidi"/>
                <w:color w:val="auto"/>
                <w:sz w:val="24"/>
                <w:szCs w:val="24"/>
                <w:highlight w:val="none"/>
              </w:rPr>
              <w:tab/>
            </w:r>
            <w:r>
              <w:rPr>
                <w:rFonts w:hint="eastAsia" w:ascii="宋体" w:hAnsi="宋体" w:cstheme="minorBidi"/>
                <w:color w:val="auto"/>
                <w:sz w:val="24"/>
                <w:szCs w:val="24"/>
                <w:highlight w:val="none"/>
              </w:rPr>
              <w:t>耐磨性能：≥T级</w:t>
            </w:r>
          </w:p>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▲4、防滑性能：≥R9级</w:t>
            </w:r>
          </w:p>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▲5、抗真菌性：≥0级</w:t>
            </w:r>
          </w:p>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▲6、耐污染性：≥0级</w:t>
            </w:r>
          </w:p>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7、色牢度：&gt;6</w:t>
            </w:r>
          </w:p>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▲8、环保要求：224项SVHC高关注物质检测</w:t>
            </w:r>
          </w:p>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9、绿色建材政府采购符合证明</w:t>
            </w:r>
          </w:p>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10、国家高新技术企业产品认证</w:t>
            </w:r>
          </w:p>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注：以上加▲标注的认证PVC卷材专业产品品质的重要标准，要求必须提供具有主要参数指标的产品样册、第三方检测报告、认证证书并加盖生产厂家公章。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51"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4.</w:t>
            </w:r>
          </w:p>
        </w:tc>
        <w:tc>
          <w:tcPr>
            <w:tcW w:w="1559"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无机预涂装饰板</w:t>
            </w:r>
          </w:p>
        </w:tc>
        <w:tc>
          <w:tcPr>
            <w:tcW w:w="6102"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符合国家标准规定及环保要求，满足设计要求。</w:t>
            </w:r>
          </w:p>
          <w:p>
            <w:pPr>
              <w:rPr>
                <w:rFonts w:ascii="宋体" w:hAnsi="宋体" w:cstheme="minorBidi"/>
                <w:color w:val="auto"/>
                <w:sz w:val="24"/>
                <w:szCs w:val="24"/>
                <w:highlight w:val="none"/>
              </w:rPr>
            </w:pPr>
            <w:r>
              <w:rPr>
                <w:rFonts w:ascii="宋体" w:hAnsi="宋体" w:cstheme="minorBidi"/>
                <w:color w:val="auto"/>
                <w:sz w:val="24"/>
                <w:szCs w:val="24"/>
                <w:highlight w:val="none"/>
              </w:rPr>
              <w:t>1、基板主要物理特性：（100%</w:t>
            </w:r>
            <w:r>
              <w:rPr>
                <w:rFonts w:hint="eastAsia" w:ascii="宋体" w:hAnsi="宋体" w:cstheme="minorBidi"/>
                <w:color w:val="auto"/>
                <w:sz w:val="24"/>
                <w:szCs w:val="24"/>
                <w:highlight w:val="none"/>
              </w:rPr>
              <w:t>无石棉）；</w:t>
            </w:r>
          </w:p>
          <w:p>
            <w:pPr>
              <w:rPr>
                <w:rFonts w:ascii="宋体" w:hAnsi="宋体" w:cstheme="minorBidi"/>
                <w:color w:val="auto"/>
                <w:sz w:val="24"/>
                <w:szCs w:val="24"/>
                <w:highlight w:val="none"/>
              </w:rPr>
            </w:pPr>
            <w:r>
              <w:rPr>
                <w:rFonts w:ascii="宋体" w:hAnsi="宋体" w:cstheme="minorBidi"/>
                <w:color w:val="auto"/>
                <w:sz w:val="24"/>
                <w:szCs w:val="24"/>
                <w:highlight w:val="none"/>
              </w:rPr>
              <w:t>2、防火性：不燃A1</w:t>
            </w:r>
            <w:r>
              <w:rPr>
                <w:rFonts w:hint="eastAsia" w:ascii="宋体" w:hAnsi="宋体" w:cstheme="minorBidi"/>
                <w:color w:val="auto"/>
                <w:sz w:val="24"/>
                <w:szCs w:val="24"/>
                <w:highlight w:val="none"/>
              </w:rPr>
              <w:t>级材料（</w:t>
            </w:r>
            <w:r>
              <w:rPr>
                <w:rFonts w:ascii="宋体" w:hAnsi="宋体" w:cstheme="minorBidi"/>
                <w:color w:val="auto"/>
                <w:sz w:val="24"/>
                <w:szCs w:val="24"/>
                <w:highlight w:val="none"/>
              </w:rPr>
              <w:t>GB8624-2006</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厚度：</w:t>
            </w:r>
            <w:r>
              <w:rPr>
                <w:rFonts w:ascii="宋体" w:hAnsi="宋体" w:cstheme="minorBidi"/>
                <w:color w:val="auto"/>
                <w:sz w:val="24"/>
                <w:szCs w:val="24"/>
                <w:highlight w:val="none"/>
              </w:rPr>
              <w:t>6 mm</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密度：</w:t>
            </w:r>
            <w:r>
              <w:rPr>
                <w:rFonts w:ascii="宋体" w:hAnsi="宋体" w:cstheme="minorBidi"/>
                <w:color w:val="auto"/>
                <w:sz w:val="24"/>
                <w:szCs w:val="24"/>
                <w:highlight w:val="none"/>
              </w:rPr>
              <w:t>1.4-1.7g/</w:t>
            </w:r>
            <w:r>
              <w:rPr>
                <w:rFonts w:hint="eastAsia" w:ascii="宋体" w:hAnsi="宋体" w:cstheme="minorBidi"/>
                <w:color w:val="auto"/>
                <w:sz w:val="24"/>
                <w:szCs w:val="24"/>
                <w:highlight w:val="none"/>
              </w:rPr>
              <w:t>立方米；</w:t>
            </w:r>
            <w:r>
              <w:rPr>
                <w:rFonts w:ascii="宋体" w:hAnsi="宋体" w:cstheme="minorBidi"/>
                <w:color w:val="auto"/>
                <w:sz w:val="24"/>
                <w:szCs w:val="24"/>
                <w:highlight w:val="none"/>
              </w:rPr>
              <w:t xml:space="preserve">     </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湿涨率：</w:t>
            </w:r>
            <w:r>
              <w:rPr>
                <w:rFonts w:ascii="宋体" w:hAnsi="宋体" w:cstheme="minorBidi"/>
                <w:color w:val="auto"/>
                <w:sz w:val="24"/>
                <w:szCs w:val="24"/>
                <w:highlight w:val="none"/>
              </w:rPr>
              <w:t>&lt;0.19%(JCT412.1-2006)</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干缩率：</w:t>
            </w:r>
            <w:r>
              <w:rPr>
                <w:rFonts w:ascii="宋体" w:hAnsi="宋体" w:cstheme="minorBidi"/>
                <w:color w:val="auto"/>
                <w:sz w:val="24"/>
                <w:szCs w:val="24"/>
                <w:highlight w:val="none"/>
              </w:rPr>
              <w:t>&lt;0.09%(JC688-2008)</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3、表层涂料特性（氟碳环保涂料）；</w:t>
            </w:r>
          </w:p>
          <w:p>
            <w:pPr>
              <w:rPr>
                <w:rFonts w:ascii="宋体" w:hAnsi="宋体" w:cstheme="minorBidi"/>
                <w:color w:val="auto"/>
                <w:sz w:val="24"/>
                <w:szCs w:val="24"/>
                <w:highlight w:val="none"/>
              </w:rPr>
            </w:pPr>
            <w:r>
              <w:rPr>
                <w:rFonts w:ascii="宋体" w:hAnsi="宋体" w:cstheme="minorBidi"/>
                <w:color w:val="auto"/>
                <w:sz w:val="24"/>
                <w:szCs w:val="24"/>
                <w:highlight w:val="none"/>
              </w:rPr>
              <w:t>4、硬度（铅笔）： 3H</w:t>
            </w:r>
            <w:r>
              <w:rPr>
                <w:rFonts w:hint="eastAsia" w:ascii="宋体" w:hAnsi="宋体" w:cstheme="minorBidi"/>
                <w:color w:val="auto"/>
                <w:sz w:val="24"/>
                <w:szCs w:val="24"/>
                <w:highlight w:val="none"/>
              </w:rPr>
              <w:t>到</w:t>
            </w:r>
            <w:r>
              <w:rPr>
                <w:rFonts w:ascii="宋体" w:hAnsi="宋体" w:cstheme="minorBidi"/>
                <w:color w:val="auto"/>
                <w:sz w:val="24"/>
                <w:szCs w:val="24"/>
                <w:highlight w:val="none"/>
              </w:rPr>
              <w:t>6H</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5</w:t>
            </w:r>
            <w:r>
              <w:rPr>
                <w:rFonts w:hint="eastAsia" w:ascii="宋体" w:hAnsi="宋体" w:cstheme="minorBidi"/>
                <w:color w:val="auto"/>
                <w:sz w:val="24"/>
                <w:szCs w:val="24"/>
                <w:highlight w:val="none"/>
              </w:rPr>
              <w:t>、耐磨性</w:t>
            </w:r>
            <w:r>
              <w:rPr>
                <w:rFonts w:ascii="宋体" w:hAnsi="宋体" w:cstheme="minorBidi"/>
                <w:color w:val="auto"/>
                <w:sz w:val="24"/>
                <w:szCs w:val="24"/>
                <w:highlight w:val="none"/>
              </w:rPr>
              <w:t>L/um</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5</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6</w:t>
            </w:r>
            <w:r>
              <w:rPr>
                <w:rFonts w:hint="eastAsia" w:ascii="宋体" w:hAnsi="宋体" w:cstheme="minorBidi"/>
                <w:color w:val="auto"/>
                <w:sz w:val="24"/>
                <w:szCs w:val="24"/>
                <w:highlight w:val="none"/>
              </w:rPr>
              <w:t>、耐溶剂擦拭性：丁酮＞</w:t>
            </w:r>
            <w:r>
              <w:rPr>
                <w:rFonts w:ascii="宋体" w:hAnsi="宋体" w:cstheme="minorBidi"/>
                <w:color w:val="auto"/>
                <w:sz w:val="24"/>
                <w:szCs w:val="24"/>
                <w:highlight w:val="none"/>
              </w:rPr>
              <w:t>100</w:t>
            </w:r>
            <w:r>
              <w:rPr>
                <w:rFonts w:hint="eastAsia" w:ascii="宋体" w:hAnsi="宋体" w:cstheme="minorBidi"/>
                <w:color w:val="auto"/>
                <w:sz w:val="24"/>
                <w:szCs w:val="24"/>
                <w:highlight w:val="none"/>
              </w:rPr>
              <w:t>次不漏底，符合；</w:t>
            </w:r>
          </w:p>
          <w:p>
            <w:pPr>
              <w:rPr>
                <w:rFonts w:ascii="宋体" w:hAnsi="宋体" w:cstheme="minorBidi"/>
                <w:color w:val="auto"/>
                <w:sz w:val="24"/>
                <w:szCs w:val="24"/>
                <w:highlight w:val="none"/>
              </w:rPr>
            </w:pPr>
            <w:r>
              <w:rPr>
                <w:rFonts w:ascii="宋体" w:hAnsi="宋体" w:cstheme="minorBidi"/>
                <w:color w:val="auto"/>
                <w:sz w:val="24"/>
                <w:szCs w:val="24"/>
                <w:highlight w:val="none"/>
              </w:rPr>
              <w:t>7</w:t>
            </w:r>
            <w:r>
              <w:rPr>
                <w:rFonts w:hint="eastAsia" w:ascii="宋体" w:hAnsi="宋体" w:cstheme="minorBidi"/>
                <w:color w:val="auto"/>
                <w:sz w:val="24"/>
                <w:szCs w:val="24"/>
                <w:highlight w:val="none"/>
              </w:rPr>
              <w:t>、耐酸性：无影响；</w:t>
            </w:r>
          </w:p>
          <w:p>
            <w:pPr>
              <w:rPr>
                <w:rFonts w:ascii="宋体" w:hAnsi="宋体" w:cstheme="minorBidi"/>
                <w:color w:val="auto"/>
                <w:sz w:val="24"/>
                <w:szCs w:val="24"/>
                <w:highlight w:val="none"/>
              </w:rPr>
            </w:pPr>
            <w:r>
              <w:rPr>
                <w:rFonts w:ascii="宋体" w:hAnsi="宋体" w:cstheme="minorBidi"/>
                <w:color w:val="auto"/>
                <w:sz w:val="24"/>
                <w:szCs w:val="24"/>
                <w:highlight w:val="none"/>
              </w:rPr>
              <w:t>8</w:t>
            </w:r>
            <w:r>
              <w:rPr>
                <w:rFonts w:hint="eastAsia" w:ascii="宋体" w:hAnsi="宋体" w:cstheme="minorBidi"/>
                <w:color w:val="auto"/>
                <w:sz w:val="24"/>
                <w:szCs w:val="24"/>
                <w:highlight w:val="none"/>
              </w:rPr>
              <w:t>、耐碱性：</w:t>
            </w:r>
            <w:r>
              <w:rPr>
                <w:rFonts w:ascii="宋体" w:hAnsi="宋体" w:cstheme="minorBidi"/>
                <w:color w:val="auto"/>
                <w:sz w:val="24"/>
                <w:szCs w:val="24"/>
                <w:highlight w:val="none"/>
              </w:rPr>
              <w:t xml:space="preserve"> 48H</w:t>
            </w:r>
            <w:r>
              <w:rPr>
                <w:rFonts w:hint="eastAsia" w:ascii="宋体" w:hAnsi="宋体" w:cstheme="minorBidi"/>
                <w:color w:val="auto"/>
                <w:sz w:val="24"/>
                <w:szCs w:val="24"/>
                <w:highlight w:val="none"/>
              </w:rPr>
              <w:t>无变化；</w:t>
            </w:r>
          </w:p>
          <w:p>
            <w:pPr>
              <w:rPr>
                <w:rFonts w:ascii="宋体" w:hAnsi="宋体" w:cstheme="minorBidi"/>
                <w:color w:val="auto"/>
                <w:sz w:val="24"/>
                <w:szCs w:val="24"/>
                <w:highlight w:val="none"/>
              </w:rPr>
            </w:pPr>
            <w:r>
              <w:rPr>
                <w:rFonts w:ascii="宋体" w:hAnsi="宋体" w:cstheme="minorBidi"/>
                <w:color w:val="auto"/>
                <w:sz w:val="24"/>
                <w:szCs w:val="24"/>
                <w:highlight w:val="none"/>
              </w:rPr>
              <w:t>9</w:t>
            </w:r>
            <w:r>
              <w:rPr>
                <w:rFonts w:hint="eastAsia" w:ascii="宋体" w:hAnsi="宋体" w:cstheme="minorBidi"/>
                <w:color w:val="auto"/>
                <w:sz w:val="24"/>
                <w:szCs w:val="24"/>
                <w:highlight w:val="none"/>
              </w:rPr>
              <w:t>、耐洗涤剂性：</w:t>
            </w:r>
            <w:r>
              <w:rPr>
                <w:rFonts w:ascii="宋体" w:hAnsi="宋体" w:cstheme="minorBidi"/>
                <w:color w:val="auto"/>
                <w:sz w:val="24"/>
                <w:szCs w:val="24"/>
                <w:highlight w:val="none"/>
              </w:rPr>
              <w:t>3%40</w:t>
            </w:r>
            <w:r>
              <w:rPr>
                <w:rFonts w:hint="eastAsia" w:ascii="宋体" w:hAnsi="宋体" w:cstheme="minorBidi"/>
                <w:color w:val="auto"/>
                <w:sz w:val="24"/>
                <w:szCs w:val="24"/>
                <w:highlight w:val="none"/>
              </w:rPr>
              <w:t>℃，无影响；</w:t>
            </w:r>
          </w:p>
          <w:p>
            <w:pPr>
              <w:rPr>
                <w:rFonts w:ascii="宋体" w:hAnsi="宋体" w:cstheme="minorBidi"/>
                <w:color w:val="auto"/>
                <w:sz w:val="24"/>
                <w:szCs w:val="24"/>
                <w:highlight w:val="none"/>
              </w:rPr>
            </w:pPr>
            <w:r>
              <w:rPr>
                <w:rFonts w:ascii="宋体" w:hAnsi="宋体" w:cstheme="minorBidi"/>
                <w:color w:val="auto"/>
                <w:sz w:val="24"/>
                <w:szCs w:val="24"/>
                <w:highlight w:val="none"/>
              </w:rPr>
              <w:t>10</w:t>
            </w:r>
            <w:r>
              <w:rPr>
                <w:rFonts w:hint="eastAsia" w:ascii="宋体" w:hAnsi="宋体" w:cstheme="minorBidi"/>
                <w:color w:val="auto"/>
                <w:sz w:val="24"/>
                <w:szCs w:val="24"/>
                <w:highlight w:val="none"/>
              </w:rPr>
              <w:t>、耐洗刷性：＞</w:t>
            </w:r>
            <w:r>
              <w:rPr>
                <w:rFonts w:ascii="宋体" w:hAnsi="宋体" w:cstheme="minorBidi"/>
                <w:color w:val="auto"/>
                <w:sz w:val="24"/>
                <w:szCs w:val="24"/>
                <w:highlight w:val="none"/>
              </w:rPr>
              <w:t>1000</w:t>
            </w:r>
            <w:r>
              <w:rPr>
                <w:rFonts w:hint="eastAsia" w:ascii="宋体" w:hAnsi="宋体" w:cstheme="minorBidi"/>
                <w:color w:val="auto"/>
                <w:sz w:val="24"/>
                <w:szCs w:val="24"/>
                <w:highlight w:val="none"/>
              </w:rPr>
              <w:t>次；</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注：提供证明上述数据的相关检测报告。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51"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5.</w:t>
            </w:r>
          </w:p>
        </w:tc>
        <w:tc>
          <w:tcPr>
            <w:tcW w:w="1559"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轻钢龙骨</w:t>
            </w:r>
          </w:p>
        </w:tc>
        <w:tc>
          <w:tcPr>
            <w:tcW w:w="610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、轻钢龙骨质量应符合国家标准</w:t>
            </w:r>
            <w:r>
              <w:rPr>
                <w:rFonts w:ascii="宋体" w:hAnsi="宋体" w:cstheme="minorBidi"/>
                <w:color w:val="auto"/>
                <w:sz w:val="24"/>
                <w:szCs w:val="24"/>
                <w:highlight w:val="none"/>
              </w:rPr>
              <w:t>GB/T11981-2001</w:t>
            </w:r>
            <w:r>
              <w:rPr>
                <w:rFonts w:hint="eastAsia" w:ascii="宋体" w:hAnsi="宋体" w:cstheme="minorBidi"/>
                <w:color w:val="auto"/>
                <w:sz w:val="24"/>
                <w:szCs w:val="24"/>
                <w:highlight w:val="none"/>
              </w:rPr>
              <w:t>《建筑用轻钢龙骨》的规定要求；</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、原料：冷轨热镀锌钢带；</w:t>
            </w: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、双面镀锌量</w:t>
            </w:r>
            <w:r>
              <w:rPr>
                <w:rFonts w:ascii="宋体" w:hAnsi="宋体" w:cstheme="minorBidi"/>
                <w:color w:val="auto"/>
                <w:sz w:val="24"/>
                <w:szCs w:val="24"/>
                <w:highlight w:val="none"/>
              </w:rPr>
              <w:t xml:space="preserve"> (g/</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 xml:space="preserve">) </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120</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4</w:t>
            </w:r>
            <w:r>
              <w:rPr>
                <w:rFonts w:hint="eastAsia" w:ascii="宋体" w:hAnsi="宋体" w:cstheme="minorBidi"/>
                <w:color w:val="auto"/>
                <w:sz w:val="24"/>
                <w:szCs w:val="24"/>
                <w:highlight w:val="none"/>
              </w:rPr>
              <w:t>、轻钢龙骨底面平直度</w:t>
            </w:r>
            <w:r>
              <w:rPr>
                <w:rFonts w:ascii="宋体" w:hAnsi="宋体" w:cstheme="minorBidi"/>
                <w:color w:val="auto"/>
                <w:sz w:val="24"/>
                <w:szCs w:val="24"/>
                <w:highlight w:val="none"/>
              </w:rPr>
              <w:t xml:space="preserve">: </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0.4</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/1000</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5</w:t>
            </w:r>
            <w:r>
              <w:rPr>
                <w:rFonts w:hint="eastAsia" w:ascii="宋体" w:hAnsi="宋体" w:cstheme="minorBidi"/>
                <w:color w:val="auto"/>
                <w:sz w:val="24"/>
                <w:szCs w:val="24"/>
                <w:highlight w:val="none"/>
              </w:rPr>
              <w:t>、轻钢龙骨侧面平直度</w:t>
            </w:r>
            <w:r>
              <w:rPr>
                <w:rFonts w:ascii="宋体" w:hAnsi="宋体" w:cstheme="minorBidi"/>
                <w:color w:val="auto"/>
                <w:sz w:val="24"/>
                <w:szCs w:val="24"/>
                <w:highlight w:val="none"/>
              </w:rPr>
              <w:t xml:space="preserve">: </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0.3</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/1000</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6</w:t>
            </w:r>
            <w:r>
              <w:rPr>
                <w:rFonts w:hint="eastAsia" w:ascii="宋体" w:hAnsi="宋体" w:cstheme="minorBidi"/>
                <w:color w:val="auto"/>
                <w:sz w:val="24"/>
                <w:szCs w:val="24"/>
                <w:highlight w:val="none"/>
              </w:rPr>
              <w:t>、承载龙骨加载挠度</w:t>
            </w:r>
            <w:r>
              <w:rPr>
                <w:rFonts w:ascii="宋体" w:hAnsi="宋体" w:cstheme="minorBidi"/>
                <w:color w:val="auto"/>
                <w:sz w:val="24"/>
                <w:szCs w:val="24"/>
                <w:highlight w:val="none"/>
              </w:rPr>
              <w:t xml:space="preserve">: </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1.2</w:t>
            </w:r>
            <w:r>
              <w:rPr>
                <w:rFonts w:hint="eastAsia" w:ascii="宋体" w:hAnsi="宋体" w:cstheme="minorBidi"/>
                <w:color w:val="auto"/>
                <w:sz w:val="24"/>
                <w:szCs w:val="24"/>
                <w:highlight w:val="none"/>
              </w:rPr>
              <w:t>㎜，残余变形量≤</w:t>
            </w:r>
            <w:r>
              <w:rPr>
                <w:rFonts w:ascii="宋体" w:hAnsi="宋体" w:cstheme="minorBidi"/>
                <w:color w:val="auto"/>
                <w:sz w:val="24"/>
                <w:szCs w:val="24"/>
                <w:highlight w:val="none"/>
              </w:rPr>
              <w:t>0.2</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7</w:t>
            </w:r>
            <w:r>
              <w:rPr>
                <w:rFonts w:hint="eastAsia" w:ascii="宋体" w:hAnsi="宋体" w:cstheme="minorBidi"/>
                <w:color w:val="auto"/>
                <w:sz w:val="24"/>
                <w:szCs w:val="24"/>
                <w:highlight w:val="none"/>
              </w:rPr>
              <w:t>、覆面龙骨加载挠度</w:t>
            </w:r>
            <w:r>
              <w:rPr>
                <w:rFonts w:ascii="宋体" w:hAnsi="宋体" w:cstheme="minorBidi"/>
                <w:color w:val="auto"/>
                <w:sz w:val="24"/>
                <w:szCs w:val="24"/>
                <w:highlight w:val="none"/>
              </w:rPr>
              <w:t xml:space="preserve">: </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1.6</w:t>
            </w:r>
            <w:r>
              <w:rPr>
                <w:rFonts w:hint="eastAsia" w:ascii="宋体" w:hAnsi="宋体" w:cstheme="minorBidi"/>
                <w:color w:val="auto"/>
                <w:sz w:val="24"/>
                <w:szCs w:val="24"/>
                <w:highlight w:val="none"/>
              </w:rPr>
              <w:t>㎜，残余变形量≤</w:t>
            </w:r>
            <w:r>
              <w:rPr>
                <w:rFonts w:ascii="宋体" w:hAnsi="宋体" w:cstheme="minorBidi"/>
                <w:color w:val="auto"/>
                <w:sz w:val="24"/>
                <w:szCs w:val="24"/>
                <w:highlight w:val="none"/>
              </w:rPr>
              <w:t>0</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8</w:t>
            </w:r>
            <w:r>
              <w:rPr>
                <w:rFonts w:hint="eastAsia" w:ascii="宋体" w:hAnsi="宋体" w:cstheme="minorBidi"/>
                <w:color w:val="auto"/>
                <w:sz w:val="24"/>
                <w:szCs w:val="24"/>
                <w:highlight w:val="none"/>
              </w:rPr>
              <w:t>、其它性能均要达到国家及有关行业标准要求。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51"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6.</w:t>
            </w:r>
          </w:p>
        </w:tc>
        <w:tc>
          <w:tcPr>
            <w:tcW w:w="1559"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医用电动门</w:t>
            </w:r>
          </w:p>
        </w:tc>
        <w:tc>
          <w:tcPr>
            <w:tcW w:w="610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1）气密性能符合国家标准（GB/T 7106-2008），最高级别第8级。出具检测报告合格证明。</w:t>
            </w:r>
          </w:p>
          <w:p>
            <w:pPr>
              <w:rPr>
                <w:rFonts w:ascii="宋体" w:hAnsi="宋体" w:cstheme="minorBidi"/>
                <w:color w:val="auto"/>
                <w:sz w:val="24"/>
                <w:szCs w:val="24"/>
                <w:highlight w:val="none"/>
              </w:rPr>
            </w:pPr>
            <w:r>
              <w:rPr>
                <w:rFonts w:ascii="宋体" w:hAnsi="宋体" w:cstheme="minorBidi"/>
                <w:color w:val="auto"/>
                <w:sz w:val="24"/>
                <w:szCs w:val="24"/>
                <w:highlight w:val="none"/>
              </w:rPr>
              <w:t>2）气密门使用寿命不低于100万次，</w:t>
            </w:r>
            <w:r>
              <w:rPr>
                <w:rFonts w:hint="eastAsia" w:ascii="宋体" w:hAnsi="宋体" w:cstheme="minorBidi"/>
                <w:color w:val="auto"/>
                <w:sz w:val="24"/>
                <w:szCs w:val="24"/>
                <w:highlight w:val="none"/>
              </w:rPr>
              <w:t>气密门运行噪音低于</w:t>
            </w:r>
            <w:r>
              <w:rPr>
                <w:rFonts w:ascii="宋体" w:hAnsi="宋体" w:cstheme="minorBidi"/>
                <w:color w:val="auto"/>
                <w:sz w:val="24"/>
                <w:szCs w:val="24"/>
                <w:highlight w:val="none"/>
              </w:rPr>
              <w:t>60分贝</w:t>
            </w:r>
          </w:p>
          <w:p>
            <w:pPr>
              <w:autoSpaceDE/>
              <w:autoSpaceDN/>
              <w:spacing w:after="0" w:line="240" w:lineRule="auto"/>
              <w:jc w:val="left"/>
              <w:rPr>
                <w:rFonts w:ascii="宋体" w:hAnsi="宋体" w:cs="宋体"/>
                <w:color w:val="auto"/>
                <w:kern w:val="0"/>
                <w:sz w:val="24"/>
                <w:szCs w:val="24"/>
                <w:highlight w:val="none"/>
                <w:lang w:bidi="zh-TW"/>
              </w:rPr>
            </w:pPr>
            <w:r>
              <w:rPr>
                <w:rFonts w:ascii="宋体" w:hAnsi="宋体" w:cs="宋体"/>
                <w:color w:val="auto"/>
                <w:kern w:val="0"/>
                <w:sz w:val="24"/>
                <w:szCs w:val="24"/>
                <w:highlight w:val="none"/>
                <w:lang w:bidi="zh-TW"/>
              </w:rPr>
              <w:t>3）</w:t>
            </w:r>
            <w:r>
              <w:rPr>
                <w:rFonts w:hint="eastAsia" w:ascii="宋体" w:hAnsi="宋体" w:cs="宋体"/>
                <w:color w:val="auto"/>
                <w:kern w:val="0"/>
                <w:sz w:val="24"/>
                <w:szCs w:val="24"/>
                <w:highlight w:val="none"/>
                <w:lang w:val="zh-TW" w:eastAsia="zh-TW" w:bidi="zh-TW"/>
              </w:rPr>
              <w:t>外观质量</w:t>
            </w:r>
            <w:r>
              <w:rPr>
                <w:rFonts w:hint="eastAsia" w:ascii="宋体" w:hAnsi="宋体" w:cs="宋体"/>
                <w:color w:val="auto"/>
                <w:kern w:val="0"/>
                <w:sz w:val="24"/>
                <w:szCs w:val="24"/>
                <w:highlight w:val="none"/>
                <w:lang w:bidi="zh-TW"/>
              </w:rPr>
              <w:t>：</w:t>
            </w:r>
            <w:r>
              <w:rPr>
                <w:rFonts w:hint="eastAsia" w:ascii="宋体" w:hAnsi="宋体" w:cs="宋体"/>
                <w:color w:val="auto"/>
                <w:kern w:val="0"/>
                <w:sz w:val="24"/>
                <w:szCs w:val="24"/>
                <w:highlight w:val="none"/>
                <w:lang w:val="zh-TW" w:eastAsia="zh-TW" w:bidi="zh-TW"/>
              </w:rPr>
              <w:t>产品表面不应有毛刺、油污或其他污迹，表面平整，没有明显的色差、划伤、擦伤及影响使用功能和损坏耐久性方面的缺陷。</w:t>
            </w:r>
          </w:p>
          <w:p>
            <w:pPr>
              <w:autoSpaceDE/>
              <w:autoSpaceDN/>
              <w:spacing w:after="0" w:line="240" w:lineRule="auto"/>
              <w:jc w:val="left"/>
              <w:rPr>
                <w:rFonts w:ascii="宋体" w:hAnsi="宋体" w:cs="宋体"/>
                <w:color w:val="auto"/>
                <w:kern w:val="0"/>
                <w:sz w:val="24"/>
                <w:szCs w:val="24"/>
                <w:highlight w:val="none"/>
                <w:lang w:bidi="zh-TW"/>
              </w:rPr>
            </w:pPr>
            <w:r>
              <w:rPr>
                <w:rFonts w:hint="eastAsia" w:ascii="宋体" w:hAnsi="宋体" w:cs="宋体"/>
                <w:color w:val="auto"/>
                <w:sz w:val="24"/>
                <w:szCs w:val="24"/>
                <w:highlight w:val="none"/>
                <w:lang w:val="zh-TW" w:eastAsia="zh-TW" w:bidi="zh-TW"/>
              </w:rPr>
              <w:t>▲</w:t>
            </w:r>
            <w:r>
              <w:rPr>
                <w:rFonts w:ascii="宋体" w:hAnsi="宋体" w:cs="宋体"/>
                <w:color w:val="auto"/>
                <w:kern w:val="0"/>
                <w:sz w:val="24"/>
                <w:szCs w:val="24"/>
                <w:highlight w:val="none"/>
                <w:lang w:bidi="zh-TW"/>
              </w:rPr>
              <w:t>4）</w:t>
            </w:r>
            <w:r>
              <w:rPr>
                <w:rFonts w:hint="eastAsia" w:ascii="宋体" w:hAnsi="宋体" w:cs="宋体"/>
                <w:color w:val="auto"/>
                <w:kern w:val="0"/>
                <w:sz w:val="24"/>
                <w:szCs w:val="24"/>
                <w:highlight w:val="none"/>
                <w:lang w:bidi="zh-TW"/>
              </w:rPr>
              <w:t>防静电性能：</w:t>
            </w:r>
            <w:r>
              <w:rPr>
                <w:rFonts w:hint="eastAsia" w:ascii="宋体" w:hAnsi="宋体" w:cs="宋体"/>
                <w:color w:val="auto"/>
                <w:kern w:val="0"/>
                <w:sz w:val="24"/>
                <w:szCs w:val="24"/>
                <w:highlight w:val="none"/>
                <w:lang w:val="zh-TW" w:eastAsia="zh-TW" w:bidi="zh-TW"/>
              </w:rPr>
              <w:t>表面电阻值应为</w:t>
            </w:r>
            <w:r>
              <w:rPr>
                <w:rFonts w:ascii="宋体" w:hAnsi="宋体" w:cs="宋体"/>
                <w:color w:val="auto"/>
                <w:kern w:val="0"/>
                <w:sz w:val="24"/>
                <w:szCs w:val="24"/>
                <w:highlight w:val="none"/>
                <w:lang w:val="zh-TW" w:eastAsia="zh-TW" w:bidi="zh-TW"/>
              </w:rPr>
              <w:t>1.0×10</w:t>
            </w:r>
            <w:r>
              <w:rPr>
                <w:rFonts w:ascii="宋体" w:hAnsi="宋体" w:cs="宋体"/>
                <w:color w:val="auto"/>
                <w:kern w:val="0"/>
                <w:sz w:val="24"/>
                <w:szCs w:val="24"/>
                <w:highlight w:val="none"/>
                <w:vertAlign w:val="superscript"/>
                <w:lang w:val="zh-TW" w:eastAsia="zh-TW" w:bidi="zh-TW"/>
              </w:rPr>
              <w:t>7</w:t>
            </w:r>
            <w:r>
              <w:rPr>
                <w:rFonts w:hint="eastAsia" w:ascii="宋体" w:hAnsi="宋体" w:cs="宋体"/>
                <w:color w:val="auto"/>
                <w:kern w:val="0"/>
                <w:sz w:val="24"/>
                <w:szCs w:val="24"/>
                <w:highlight w:val="none"/>
                <w:lang w:val="zh-TW" w:eastAsia="zh-TW" w:bidi="zh-TW"/>
              </w:rPr>
              <w:t>～</w:t>
            </w:r>
            <w:r>
              <w:rPr>
                <w:rFonts w:ascii="宋体" w:hAnsi="宋体" w:cs="宋体"/>
                <w:color w:val="auto"/>
                <w:kern w:val="0"/>
                <w:sz w:val="24"/>
                <w:szCs w:val="24"/>
                <w:highlight w:val="none"/>
                <w:lang w:val="zh-TW" w:eastAsia="zh-TW" w:bidi="zh-TW"/>
              </w:rPr>
              <w:t>1.0×10</w:t>
            </w:r>
            <w:r>
              <w:rPr>
                <w:rFonts w:ascii="宋体" w:hAnsi="宋体" w:cs="宋体"/>
                <w:color w:val="auto"/>
                <w:kern w:val="0"/>
                <w:sz w:val="24"/>
                <w:szCs w:val="24"/>
                <w:highlight w:val="none"/>
                <w:vertAlign w:val="superscript"/>
                <w:lang w:val="zh-TW" w:eastAsia="zh-TW" w:bidi="zh-TW"/>
              </w:rPr>
              <w:t>10</w:t>
            </w:r>
            <w:r>
              <w:rPr>
                <w:rFonts w:hint="eastAsia" w:ascii="宋体" w:hAnsi="宋体" w:cs="宋体"/>
                <w:color w:val="auto"/>
                <w:kern w:val="0"/>
                <w:sz w:val="24"/>
                <w:szCs w:val="24"/>
                <w:highlight w:val="none"/>
                <w:lang w:val="zh-TW" w:eastAsia="zh-TW" w:bidi="zh-TW"/>
              </w:rPr>
              <w:t>Ω</w:t>
            </w:r>
            <w:r>
              <w:rPr>
                <w:rFonts w:ascii="宋体" w:hAnsi="宋体" w:cs="宋体"/>
                <w:color w:val="auto"/>
                <w:kern w:val="0"/>
                <w:sz w:val="24"/>
                <w:szCs w:val="24"/>
                <w:highlight w:val="none"/>
                <w:lang w:bidi="zh-TW"/>
              </w:rPr>
              <w:t>\</w:t>
            </w:r>
            <w:r>
              <w:rPr>
                <w:rFonts w:hint="eastAsia" w:ascii="宋体" w:hAnsi="宋体" w:cs="宋体"/>
                <w:color w:val="auto"/>
                <w:kern w:val="0"/>
                <w:sz w:val="24"/>
                <w:szCs w:val="24"/>
                <w:highlight w:val="none"/>
                <w:lang w:val="zh-TW" w:eastAsia="zh-TW" w:bidi="zh-TW"/>
              </w:rPr>
              <w:t>泄漏电阻应为</w:t>
            </w:r>
            <w:r>
              <w:rPr>
                <w:rFonts w:ascii="宋体" w:hAnsi="宋体" w:cs="宋体"/>
                <w:color w:val="auto"/>
                <w:kern w:val="0"/>
                <w:sz w:val="24"/>
                <w:szCs w:val="24"/>
                <w:highlight w:val="none"/>
                <w:lang w:val="zh-TW" w:eastAsia="zh-TW" w:bidi="zh-TW"/>
              </w:rPr>
              <w:t>1.0×10</w:t>
            </w:r>
            <w:r>
              <w:rPr>
                <w:rFonts w:ascii="宋体" w:hAnsi="宋体" w:cs="宋体"/>
                <w:color w:val="auto"/>
                <w:kern w:val="0"/>
                <w:sz w:val="24"/>
                <w:szCs w:val="24"/>
                <w:highlight w:val="none"/>
                <w:vertAlign w:val="superscript"/>
                <w:lang w:val="zh-TW" w:eastAsia="zh-TW" w:bidi="zh-TW"/>
              </w:rPr>
              <w:t>5</w:t>
            </w:r>
            <w:r>
              <w:rPr>
                <w:rFonts w:hint="eastAsia" w:ascii="宋体" w:hAnsi="宋体" w:cs="宋体"/>
                <w:color w:val="auto"/>
                <w:kern w:val="0"/>
                <w:sz w:val="24"/>
                <w:szCs w:val="24"/>
                <w:highlight w:val="none"/>
                <w:lang w:val="zh-TW" w:eastAsia="zh-TW" w:bidi="zh-TW"/>
              </w:rPr>
              <w:t>～</w:t>
            </w:r>
            <w:r>
              <w:rPr>
                <w:rFonts w:ascii="宋体" w:hAnsi="宋体" w:cs="宋体"/>
                <w:color w:val="auto"/>
                <w:kern w:val="0"/>
                <w:sz w:val="24"/>
                <w:szCs w:val="24"/>
                <w:highlight w:val="none"/>
                <w:lang w:val="zh-TW" w:eastAsia="zh-TW" w:bidi="zh-TW"/>
              </w:rPr>
              <w:t>1.0×10</w:t>
            </w:r>
            <w:r>
              <w:rPr>
                <w:rFonts w:ascii="宋体" w:hAnsi="宋体" w:cs="宋体"/>
                <w:color w:val="auto"/>
                <w:kern w:val="0"/>
                <w:sz w:val="24"/>
                <w:szCs w:val="24"/>
                <w:highlight w:val="none"/>
                <w:vertAlign w:val="superscript"/>
                <w:lang w:val="zh-TW" w:eastAsia="zh-TW" w:bidi="zh-TW"/>
              </w:rPr>
              <w:t>8</w:t>
            </w:r>
            <w:r>
              <w:rPr>
                <w:rFonts w:hint="eastAsia" w:ascii="宋体" w:hAnsi="宋体" w:cs="宋体"/>
                <w:color w:val="auto"/>
                <w:kern w:val="0"/>
                <w:sz w:val="24"/>
                <w:szCs w:val="24"/>
                <w:highlight w:val="none"/>
                <w:lang w:val="zh-TW" w:eastAsia="zh-TW" w:bidi="zh-TW"/>
              </w:rPr>
              <w:t>Ω</w:t>
            </w:r>
          </w:p>
          <w:p>
            <w:pPr>
              <w:autoSpaceDE/>
              <w:autoSpaceDN/>
              <w:spacing w:after="0" w:line="240" w:lineRule="auto"/>
              <w:jc w:val="left"/>
              <w:rPr>
                <w:rFonts w:ascii="宋体" w:hAnsi="宋体" w:cs="宋体"/>
                <w:color w:val="auto"/>
                <w:kern w:val="0"/>
                <w:sz w:val="24"/>
                <w:szCs w:val="24"/>
                <w:highlight w:val="none"/>
                <w:lang w:bidi="zh-TW"/>
              </w:rPr>
            </w:pPr>
            <w:r>
              <w:rPr>
                <w:rFonts w:ascii="宋体" w:hAnsi="宋体" w:cs="宋体"/>
                <w:color w:val="auto"/>
                <w:kern w:val="0"/>
                <w:sz w:val="24"/>
                <w:szCs w:val="24"/>
                <w:highlight w:val="none"/>
                <w:lang w:bidi="zh-TW"/>
              </w:rPr>
              <w:t>5）</w:t>
            </w:r>
            <w:r>
              <w:rPr>
                <w:rFonts w:hint="eastAsia" w:ascii="宋体" w:hAnsi="宋体" w:cs="宋体"/>
                <w:color w:val="auto"/>
                <w:kern w:val="0"/>
                <w:sz w:val="24"/>
                <w:szCs w:val="24"/>
                <w:highlight w:val="none"/>
                <w:lang w:bidi="zh-TW"/>
              </w:rPr>
              <w:t>隔声性能：</w:t>
            </w:r>
            <w:r>
              <w:rPr>
                <w:rFonts w:hint="eastAsia" w:ascii="宋体" w:hAnsi="宋体" w:cs="宋体"/>
                <w:color w:val="auto"/>
                <w:kern w:val="0"/>
                <w:sz w:val="24"/>
                <w:szCs w:val="24"/>
                <w:highlight w:val="none"/>
                <w:lang w:val="zh-TW" w:eastAsia="zh-TW" w:bidi="zh-TW"/>
              </w:rPr>
              <w:t>活动扇隔声量≥</w:t>
            </w:r>
            <w:r>
              <w:rPr>
                <w:rFonts w:ascii="宋体" w:hAnsi="宋体" w:cs="宋体"/>
                <w:color w:val="auto"/>
                <w:kern w:val="0"/>
                <w:sz w:val="24"/>
                <w:szCs w:val="24"/>
                <w:highlight w:val="none"/>
                <w:lang w:val="zh-TW" w:eastAsia="zh-TW" w:bidi="zh-TW"/>
              </w:rPr>
              <w:t>25dB</w:t>
            </w:r>
          </w:p>
          <w:p>
            <w:pPr>
              <w:autoSpaceDE/>
              <w:autoSpaceDN/>
              <w:spacing w:after="0" w:line="240" w:lineRule="auto"/>
              <w:jc w:val="left"/>
              <w:rPr>
                <w:rFonts w:ascii="宋体" w:hAnsi="宋体" w:cs="宋体"/>
                <w:color w:val="auto"/>
                <w:kern w:val="0"/>
                <w:sz w:val="24"/>
                <w:szCs w:val="24"/>
                <w:highlight w:val="none"/>
                <w:lang w:bidi="zh-TW"/>
              </w:rPr>
            </w:pPr>
            <w:r>
              <w:rPr>
                <w:rFonts w:ascii="宋体" w:hAnsi="宋体" w:cs="宋体"/>
                <w:color w:val="auto"/>
                <w:kern w:val="0"/>
                <w:sz w:val="24"/>
                <w:szCs w:val="24"/>
                <w:highlight w:val="none"/>
                <w:lang w:bidi="zh-TW"/>
              </w:rPr>
              <w:t>6）</w:t>
            </w:r>
            <w:r>
              <w:rPr>
                <w:rFonts w:hint="eastAsia" w:ascii="宋体" w:hAnsi="宋体" w:cs="宋体"/>
                <w:color w:val="auto"/>
                <w:kern w:val="0"/>
                <w:sz w:val="24"/>
                <w:szCs w:val="24"/>
                <w:highlight w:val="none"/>
                <w:lang w:bidi="zh-TW"/>
              </w:rPr>
              <w:t>感应范围：</w:t>
            </w:r>
            <w:r>
              <w:rPr>
                <w:rFonts w:hint="eastAsia" w:ascii="宋体" w:hAnsi="宋体" w:cs="宋体"/>
                <w:color w:val="auto"/>
                <w:kern w:val="0"/>
                <w:sz w:val="24"/>
                <w:szCs w:val="24"/>
                <w:highlight w:val="none"/>
                <w:lang w:val="zh-TW" w:eastAsia="zh-TW" w:bidi="zh-TW"/>
              </w:rPr>
              <w:t>洁净走廊侧不应超过</w:t>
            </w:r>
            <w:r>
              <w:rPr>
                <w:rFonts w:ascii="宋体" w:hAnsi="宋体" w:cs="宋体"/>
                <w:color w:val="auto"/>
                <w:kern w:val="0"/>
                <w:sz w:val="24"/>
                <w:szCs w:val="24"/>
                <w:highlight w:val="none"/>
                <w:lang w:val="zh-TW" w:eastAsia="zh-TW" w:bidi="zh-TW"/>
              </w:rPr>
              <w:t>1000mm</w:t>
            </w:r>
            <w:r>
              <w:rPr>
                <w:rFonts w:ascii="宋体" w:hAnsi="宋体" w:cs="宋体"/>
                <w:color w:val="auto"/>
                <w:kern w:val="0"/>
                <w:sz w:val="24"/>
                <w:szCs w:val="24"/>
                <w:highlight w:val="none"/>
                <w:lang w:bidi="zh-TW"/>
              </w:rPr>
              <w:t>\</w:t>
            </w:r>
            <w:r>
              <w:rPr>
                <w:rFonts w:hint="eastAsia" w:ascii="宋体" w:hAnsi="宋体" w:cs="宋体"/>
                <w:color w:val="auto"/>
                <w:kern w:val="0"/>
                <w:sz w:val="24"/>
                <w:szCs w:val="24"/>
                <w:highlight w:val="none"/>
                <w:lang w:val="zh-TW" w:eastAsia="zh-TW" w:bidi="zh-TW"/>
              </w:rPr>
              <w:t>洁净手术室侧不应超过</w:t>
            </w:r>
            <w:r>
              <w:rPr>
                <w:rFonts w:ascii="宋体" w:hAnsi="宋体" w:cs="宋体"/>
                <w:color w:val="auto"/>
                <w:kern w:val="0"/>
                <w:sz w:val="24"/>
                <w:szCs w:val="24"/>
                <w:highlight w:val="none"/>
                <w:lang w:val="zh-TW" w:eastAsia="zh-TW" w:bidi="zh-TW"/>
              </w:rPr>
              <w:t>150mm</w:t>
            </w:r>
          </w:p>
          <w:p>
            <w:pPr>
              <w:autoSpaceDE/>
              <w:autoSpaceDN/>
              <w:spacing w:after="0" w:line="240" w:lineRule="auto"/>
              <w:jc w:val="left"/>
              <w:rPr>
                <w:rFonts w:ascii="宋体" w:hAnsi="宋体" w:cs="宋体"/>
                <w:color w:val="auto"/>
                <w:kern w:val="0"/>
                <w:sz w:val="24"/>
                <w:szCs w:val="24"/>
                <w:highlight w:val="none"/>
                <w:lang w:bidi="zh-TW"/>
              </w:rPr>
            </w:pPr>
            <w:r>
              <w:rPr>
                <w:rFonts w:hint="eastAsia" w:ascii="宋体" w:hAnsi="宋体" w:cs="宋体"/>
                <w:color w:val="auto"/>
                <w:sz w:val="24"/>
                <w:szCs w:val="24"/>
                <w:highlight w:val="none"/>
                <w:lang w:val="zh-TW" w:eastAsia="zh-TW" w:bidi="zh-TW"/>
              </w:rPr>
              <w:t>▲</w:t>
            </w:r>
            <w:r>
              <w:rPr>
                <w:rFonts w:ascii="宋体" w:hAnsi="宋体" w:cs="宋体"/>
                <w:color w:val="auto"/>
                <w:kern w:val="0"/>
                <w:sz w:val="24"/>
                <w:szCs w:val="24"/>
                <w:highlight w:val="none"/>
                <w:lang w:bidi="zh-TW"/>
              </w:rPr>
              <w:t>7）</w:t>
            </w:r>
            <w:r>
              <w:rPr>
                <w:rFonts w:hint="eastAsia" w:ascii="宋体" w:hAnsi="宋体" w:cs="宋体"/>
                <w:color w:val="auto"/>
                <w:kern w:val="0"/>
                <w:sz w:val="24"/>
                <w:szCs w:val="24"/>
                <w:highlight w:val="none"/>
                <w:lang w:bidi="zh-TW"/>
              </w:rPr>
              <w:t>启闭速度：</w:t>
            </w:r>
            <w:r>
              <w:rPr>
                <w:rFonts w:hint="eastAsia" w:ascii="宋体" w:hAnsi="宋体" w:cs="宋体"/>
                <w:color w:val="auto"/>
                <w:kern w:val="0"/>
                <w:sz w:val="24"/>
                <w:szCs w:val="24"/>
                <w:highlight w:val="none"/>
                <w:lang w:val="zh-TW" w:eastAsia="zh-TW" w:bidi="zh-TW"/>
              </w:rPr>
              <w:t>活动扇开启速度≤</w:t>
            </w:r>
            <w:r>
              <w:rPr>
                <w:rFonts w:ascii="宋体" w:hAnsi="宋体" w:cs="宋体"/>
                <w:color w:val="auto"/>
                <w:kern w:val="0"/>
                <w:sz w:val="24"/>
                <w:szCs w:val="24"/>
                <w:highlight w:val="none"/>
                <w:lang w:val="zh-TW" w:eastAsia="zh-TW" w:bidi="zh-TW"/>
              </w:rPr>
              <w:t>500mm/s</w:t>
            </w:r>
            <w:r>
              <w:rPr>
                <w:rFonts w:ascii="宋体" w:hAnsi="宋体" w:cs="宋体"/>
                <w:color w:val="auto"/>
                <w:kern w:val="0"/>
                <w:sz w:val="24"/>
                <w:szCs w:val="24"/>
                <w:highlight w:val="none"/>
                <w:lang w:bidi="zh-TW"/>
              </w:rPr>
              <w:t xml:space="preserve"> ，</w:t>
            </w:r>
            <w:r>
              <w:rPr>
                <w:rFonts w:hint="eastAsia" w:ascii="宋体" w:hAnsi="宋体" w:cs="宋体"/>
                <w:color w:val="auto"/>
                <w:kern w:val="0"/>
                <w:sz w:val="24"/>
                <w:szCs w:val="24"/>
                <w:highlight w:val="none"/>
                <w:lang w:val="zh-TW" w:eastAsia="zh-TW" w:bidi="zh-TW"/>
              </w:rPr>
              <w:t>活动扇关闭速度≤</w:t>
            </w:r>
            <w:r>
              <w:rPr>
                <w:rFonts w:ascii="宋体" w:hAnsi="宋体" w:cs="宋体"/>
                <w:color w:val="auto"/>
                <w:kern w:val="0"/>
                <w:sz w:val="24"/>
                <w:szCs w:val="24"/>
                <w:highlight w:val="none"/>
                <w:lang w:val="zh-TW" w:eastAsia="zh-TW" w:bidi="zh-TW"/>
              </w:rPr>
              <w:t>300mm/s</w:t>
            </w:r>
          </w:p>
          <w:p>
            <w:pPr>
              <w:autoSpaceDE/>
              <w:autoSpaceDN/>
              <w:spacing w:after="0" w:line="240" w:lineRule="auto"/>
              <w:rPr>
                <w:rFonts w:ascii="宋体" w:hAnsi="宋体" w:cs="宋体"/>
                <w:color w:val="auto"/>
                <w:kern w:val="0"/>
                <w:sz w:val="24"/>
                <w:szCs w:val="24"/>
                <w:highlight w:val="none"/>
                <w:lang w:bidi="zh-TW"/>
              </w:rPr>
            </w:pPr>
            <w:r>
              <w:rPr>
                <w:rFonts w:ascii="宋体" w:hAnsi="宋体" w:cs="宋体"/>
                <w:color w:val="auto"/>
                <w:kern w:val="0"/>
                <w:sz w:val="24"/>
                <w:szCs w:val="24"/>
                <w:highlight w:val="none"/>
                <w:lang w:bidi="zh-TW"/>
              </w:rPr>
              <w:t>8）</w:t>
            </w:r>
            <w:r>
              <w:rPr>
                <w:rFonts w:hint="eastAsia" w:ascii="宋体" w:hAnsi="宋体" w:cs="宋体"/>
                <w:color w:val="auto"/>
                <w:kern w:val="0"/>
                <w:sz w:val="24"/>
                <w:szCs w:val="24"/>
                <w:highlight w:val="none"/>
                <w:lang w:bidi="zh-TW"/>
              </w:rPr>
              <w:t>开门响应时间：</w:t>
            </w:r>
            <w:r>
              <w:rPr>
                <w:rFonts w:hint="eastAsia" w:ascii="宋体" w:hAnsi="宋体" w:cs="宋体"/>
                <w:color w:val="auto"/>
                <w:kern w:val="0"/>
                <w:sz w:val="24"/>
                <w:szCs w:val="24"/>
                <w:highlight w:val="none"/>
                <w:lang w:val="zh-TW" w:eastAsia="zh-TW" w:bidi="zh-TW"/>
              </w:rPr>
              <w:t>开门响应时间≤</w:t>
            </w:r>
            <w:r>
              <w:rPr>
                <w:rFonts w:ascii="宋体" w:hAnsi="宋体" w:cs="宋体"/>
                <w:color w:val="auto"/>
                <w:kern w:val="0"/>
                <w:sz w:val="24"/>
                <w:szCs w:val="24"/>
                <w:highlight w:val="none"/>
                <w:lang w:val="zh-TW" w:eastAsia="zh-TW" w:bidi="zh-TW"/>
              </w:rPr>
              <w:t>0.3s</w:t>
            </w:r>
          </w:p>
          <w:p>
            <w:pPr>
              <w:autoSpaceDE/>
              <w:autoSpaceDN/>
              <w:spacing w:after="0" w:line="240" w:lineRule="auto"/>
              <w:rPr>
                <w:rFonts w:ascii="宋体" w:hAnsi="宋体" w:cs="宋体"/>
                <w:color w:val="auto"/>
                <w:kern w:val="0"/>
                <w:sz w:val="24"/>
                <w:szCs w:val="24"/>
                <w:highlight w:val="none"/>
                <w:lang w:bidi="zh-TW"/>
              </w:rPr>
            </w:pPr>
            <w:r>
              <w:rPr>
                <w:rFonts w:hint="eastAsia" w:ascii="宋体" w:hAnsi="宋体" w:cs="宋体"/>
                <w:color w:val="auto"/>
                <w:sz w:val="24"/>
                <w:szCs w:val="24"/>
                <w:highlight w:val="none"/>
                <w:lang w:val="zh-TW" w:eastAsia="zh-TW" w:bidi="zh-TW"/>
              </w:rPr>
              <w:t>▲</w:t>
            </w:r>
            <w:r>
              <w:rPr>
                <w:rFonts w:ascii="宋体" w:hAnsi="宋体" w:cs="宋体"/>
                <w:color w:val="auto"/>
                <w:kern w:val="0"/>
                <w:sz w:val="24"/>
                <w:szCs w:val="24"/>
                <w:highlight w:val="none"/>
                <w:lang w:bidi="zh-TW"/>
              </w:rPr>
              <w:t>9）</w:t>
            </w:r>
            <w:r>
              <w:rPr>
                <w:rFonts w:hint="eastAsia" w:ascii="宋体" w:hAnsi="宋体" w:cs="宋体"/>
                <w:color w:val="auto"/>
                <w:kern w:val="0"/>
                <w:sz w:val="24"/>
                <w:szCs w:val="24"/>
                <w:highlight w:val="none"/>
                <w:lang w:bidi="zh-TW"/>
              </w:rPr>
              <w:t>冲击能量：</w:t>
            </w:r>
            <w:r>
              <w:rPr>
                <w:rFonts w:hint="eastAsia" w:ascii="宋体" w:hAnsi="宋体" w:cs="宋体"/>
                <w:color w:val="auto"/>
                <w:kern w:val="0"/>
                <w:sz w:val="24"/>
                <w:szCs w:val="24"/>
                <w:highlight w:val="none"/>
                <w:lang w:val="zh-TW" w:eastAsia="zh-TW" w:bidi="zh-TW"/>
              </w:rPr>
              <w:t>活动扇冲击能量≤</w:t>
            </w:r>
            <w:r>
              <w:rPr>
                <w:rFonts w:ascii="宋体" w:hAnsi="宋体" w:cs="宋体"/>
                <w:color w:val="auto"/>
                <w:kern w:val="0"/>
                <w:sz w:val="24"/>
                <w:szCs w:val="24"/>
                <w:highlight w:val="none"/>
                <w:lang w:val="zh-TW" w:eastAsia="zh-TW" w:bidi="zh-TW"/>
              </w:rPr>
              <w:t>4.3J</w:t>
            </w:r>
          </w:p>
          <w:p>
            <w:pPr>
              <w:autoSpaceDE/>
              <w:autoSpaceDN/>
              <w:spacing w:after="0" w:line="240" w:lineRule="auto"/>
              <w:rPr>
                <w:rFonts w:ascii="宋体" w:hAnsi="宋体" w:cs="宋体"/>
                <w:color w:val="auto"/>
                <w:kern w:val="0"/>
                <w:sz w:val="24"/>
                <w:szCs w:val="24"/>
                <w:highlight w:val="none"/>
                <w:lang w:bidi="zh-TW"/>
              </w:rPr>
            </w:pPr>
            <w:r>
              <w:rPr>
                <w:rFonts w:hint="eastAsia" w:ascii="宋体" w:hAnsi="宋体" w:cs="宋体"/>
                <w:color w:val="auto"/>
                <w:sz w:val="24"/>
                <w:szCs w:val="24"/>
                <w:highlight w:val="none"/>
                <w:lang w:val="zh-TW" w:eastAsia="zh-TW" w:bidi="zh-TW"/>
              </w:rPr>
              <w:t>▲</w:t>
            </w:r>
            <w:r>
              <w:rPr>
                <w:rFonts w:ascii="宋体" w:hAnsi="宋体" w:cs="宋体"/>
                <w:color w:val="auto"/>
                <w:kern w:val="0"/>
                <w:sz w:val="24"/>
                <w:szCs w:val="24"/>
                <w:highlight w:val="none"/>
                <w:lang w:bidi="zh-TW"/>
              </w:rPr>
              <w:t>10)</w:t>
            </w:r>
            <w:r>
              <w:rPr>
                <w:rFonts w:hint="eastAsia" w:ascii="宋体" w:hAnsi="宋体" w:cs="宋体"/>
                <w:color w:val="auto"/>
                <w:kern w:val="0"/>
                <w:sz w:val="24"/>
                <w:szCs w:val="24"/>
                <w:highlight w:val="none"/>
                <w:lang w:bidi="zh-TW"/>
              </w:rPr>
              <w:t>反射阻止力：</w:t>
            </w:r>
            <w:r>
              <w:rPr>
                <w:rFonts w:ascii="宋体" w:hAnsi="宋体" w:cs="宋体"/>
                <w:color w:val="auto"/>
                <w:kern w:val="0"/>
                <w:sz w:val="24"/>
                <w:szCs w:val="24"/>
                <w:highlight w:val="none"/>
                <w:lang w:bidi="zh-TW"/>
              </w:rPr>
              <w:t xml:space="preserve"> </w:t>
            </w:r>
            <w:r>
              <w:rPr>
                <w:rFonts w:hint="eastAsia" w:ascii="宋体" w:hAnsi="宋体" w:cs="宋体"/>
                <w:color w:val="auto"/>
                <w:kern w:val="0"/>
                <w:sz w:val="24"/>
                <w:szCs w:val="24"/>
                <w:highlight w:val="none"/>
                <w:lang w:val="zh-TW" w:eastAsia="zh-TW" w:bidi="zh-TW"/>
              </w:rPr>
              <w:t>活动扇反向阻力≤</w:t>
            </w:r>
            <w:r>
              <w:rPr>
                <w:rFonts w:ascii="宋体" w:hAnsi="宋体" w:cs="宋体"/>
                <w:color w:val="auto"/>
                <w:kern w:val="0"/>
                <w:sz w:val="24"/>
                <w:szCs w:val="24"/>
                <w:highlight w:val="none"/>
                <w:lang w:val="zh-TW" w:eastAsia="zh-TW" w:bidi="zh-TW"/>
              </w:rPr>
              <w:t>220N</w:t>
            </w:r>
          </w:p>
          <w:p>
            <w:pPr>
              <w:autoSpaceDE/>
              <w:autoSpaceDN/>
              <w:spacing w:after="0" w:line="240" w:lineRule="auto"/>
              <w:rPr>
                <w:rFonts w:ascii="宋体" w:hAnsi="宋体" w:cs="宋体"/>
                <w:color w:val="auto"/>
                <w:kern w:val="0"/>
                <w:sz w:val="24"/>
                <w:szCs w:val="24"/>
                <w:highlight w:val="none"/>
                <w:lang w:bidi="zh-TW"/>
              </w:rPr>
            </w:pPr>
            <w:r>
              <w:rPr>
                <w:rFonts w:ascii="宋体" w:hAnsi="宋体" w:cs="宋体"/>
                <w:color w:val="auto"/>
                <w:kern w:val="0"/>
                <w:sz w:val="24"/>
                <w:szCs w:val="24"/>
                <w:highlight w:val="none"/>
                <w:lang w:bidi="zh-TW"/>
              </w:rPr>
              <w:t>11)</w:t>
            </w:r>
            <w:r>
              <w:rPr>
                <w:rFonts w:hint="eastAsia" w:ascii="宋体" w:hAnsi="宋体" w:cs="宋体"/>
                <w:color w:val="auto"/>
                <w:kern w:val="0"/>
                <w:sz w:val="24"/>
                <w:szCs w:val="24"/>
                <w:highlight w:val="none"/>
                <w:lang w:bidi="zh-TW"/>
              </w:rPr>
              <w:t>质量管理体系已能过检测，符合</w:t>
            </w:r>
            <w:r>
              <w:rPr>
                <w:rFonts w:ascii="宋体" w:hAnsi="宋体" w:cs="宋体"/>
                <w:color w:val="auto"/>
                <w:kern w:val="0"/>
                <w:sz w:val="24"/>
                <w:szCs w:val="24"/>
                <w:highlight w:val="none"/>
                <w:lang w:bidi="zh-TW"/>
              </w:rPr>
              <w:t>GB/T19001-2016/IS09001：2015标准</w:t>
            </w:r>
          </w:p>
          <w:p>
            <w:pPr>
              <w:autoSpaceDE/>
              <w:autoSpaceDN/>
              <w:spacing w:after="0" w:line="240" w:lineRule="auto"/>
              <w:jc w:val="left"/>
              <w:rPr>
                <w:rFonts w:ascii="宋体" w:hAnsi="宋体" w:cs="宋体"/>
                <w:color w:val="auto"/>
                <w:kern w:val="0"/>
                <w:sz w:val="24"/>
                <w:szCs w:val="24"/>
                <w:highlight w:val="none"/>
                <w:lang w:val="zh-TW" w:eastAsia="zh-TW" w:bidi="zh-TW"/>
              </w:rPr>
            </w:pPr>
            <w:r>
              <w:rPr>
                <w:rFonts w:ascii="宋体" w:hAnsi="宋体" w:cs="宋体"/>
                <w:color w:val="auto"/>
                <w:kern w:val="0"/>
                <w:sz w:val="24"/>
                <w:szCs w:val="24"/>
                <w:highlight w:val="none"/>
                <w:lang w:bidi="zh-TW"/>
              </w:rPr>
              <w:t>12)</w:t>
            </w:r>
            <w:r>
              <w:rPr>
                <w:rFonts w:hint="eastAsia" w:ascii="宋体" w:hAnsi="宋体" w:cs="宋体"/>
                <w:color w:val="auto"/>
                <w:kern w:val="0"/>
                <w:sz w:val="24"/>
                <w:szCs w:val="24"/>
                <w:highlight w:val="none"/>
                <w:lang w:val="zh-TW" w:eastAsia="zh-TW" w:bidi="zh-TW"/>
              </w:rPr>
              <w:t>门板观察窗四周带冲压翻边，增加强度和美观，触摸手感更平整。</w:t>
            </w:r>
          </w:p>
          <w:p>
            <w:pPr>
              <w:autoSpaceDE/>
              <w:autoSpaceDN/>
              <w:spacing w:after="0" w:line="240" w:lineRule="auto"/>
              <w:jc w:val="left"/>
              <w:rPr>
                <w:rFonts w:ascii="宋体" w:hAnsi="宋体" w:cs="宋体"/>
                <w:color w:val="auto"/>
                <w:kern w:val="0"/>
                <w:sz w:val="24"/>
                <w:szCs w:val="24"/>
                <w:highlight w:val="none"/>
                <w:lang w:val="zh-TW" w:eastAsia="zh-TW" w:bidi="zh-TW"/>
              </w:rPr>
            </w:pPr>
            <w:r>
              <w:rPr>
                <w:rFonts w:ascii="宋体" w:hAnsi="宋体" w:cs="宋体"/>
                <w:color w:val="auto"/>
                <w:kern w:val="0"/>
                <w:sz w:val="24"/>
                <w:szCs w:val="24"/>
                <w:highlight w:val="none"/>
                <w:lang w:bidi="zh-TW"/>
              </w:rPr>
              <w:t>13)</w:t>
            </w:r>
            <w:r>
              <w:rPr>
                <w:rFonts w:hint="eastAsia" w:ascii="宋体" w:hAnsi="宋体" w:cs="宋体"/>
                <w:color w:val="auto"/>
                <w:kern w:val="0"/>
                <w:sz w:val="24"/>
                <w:szCs w:val="24"/>
                <w:highlight w:val="none"/>
                <w:lang w:val="zh-TW" w:eastAsia="zh-TW" w:bidi="zh-TW"/>
              </w:rPr>
              <w:t>观察观察内置铝合金龙骨注塑件弯头，在不同温度下解决了热胀冷缩不宜起雾和玻璃受到硬力自暴。</w:t>
            </w:r>
          </w:p>
          <w:p>
            <w:pPr>
              <w:autoSpaceDE/>
              <w:autoSpaceDN/>
              <w:spacing w:after="0" w:line="240" w:lineRule="auto"/>
              <w:jc w:val="left"/>
              <w:rPr>
                <w:rFonts w:ascii="宋体" w:hAnsi="宋体" w:cs="宋体"/>
                <w:color w:val="auto"/>
                <w:kern w:val="0"/>
                <w:sz w:val="24"/>
                <w:szCs w:val="24"/>
                <w:highlight w:val="none"/>
                <w:lang w:val="zh-TW" w:eastAsia="zh-TW" w:bidi="zh-TW"/>
              </w:rPr>
            </w:pPr>
            <w:r>
              <w:rPr>
                <w:rFonts w:ascii="宋体" w:hAnsi="宋体" w:cs="宋体"/>
                <w:color w:val="auto"/>
                <w:kern w:val="0"/>
                <w:sz w:val="24"/>
                <w:szCs w:val="24"/>
                <w:highlight w:val="none"/>
                <w:lang w:bidi="zh-TW"/>
              </w:rPr>
              <w:t>14)</w:t>
            </w:r>
            <w:r>
              <w:rPr>
                <w:rFonts w:hint="eastAsia" w:ascii="宋体" w:hAnsi="宋体" w:cs="宋体"/>
                <w:color w:val="auto"/>
                <w:kern w:val="0"/>
                <w:sz w:val="24"/>
                <w:szCs w:val="24"/>
                <w:highlight w:val="none"/>
                <w:lang w:val="zh-TW" w:eastAsia="zh-TW" w:bidi="zh-TW"/>
              </w:rPr>
              <w:t>自动门下沉内嵌采用缓速下沉，延长电机寿命三倍以上，避免急爬坡造成对电机寿命的缩短。</w:t>
            </w:r>
          </w:p>
          <w:p>
            <w:pPr>
              <w:autoSpaceDE/>
              <w:autoSpaceDN/>
              <w:spacing w:after="0" w:line="240" w:lineRule="auto"/>
              <w:jc w:val="left"/>
              <w:rPr>
                <w:rFonts w:ascii="宋体" w:hAnsi="宋体" w:cs="宋体"/>
                <w:color w:val="auto"/>
                <w:kern w:val="0"/>
                <w:sz w:val="24"/>
                <w:szCs w:val="24"/>
                <w:highlight w:val="none"/>
                <w:lang w:val="zh-TW" w:eastAsia="zh-TW" w:bidi="zh-TW"/>
              </w:rPr>
            </w:pPr>
            <w:r>
              <w:rPr>
                <w:rFonts w:ascii="宋体" w:hAnsi="宋体" w:cs="宋体"/>
                <w:color w:val="auto"/>
                <w:kern w:val="0"/>
                <w:sz w:val="24"/>
                <w:szCs w:val="24"/>
                <w:highlight w:val="none"/>
                <w:lang w:bidi="zh-TW"/>
              </w:rPr>
              <w:t>15)</w:t>
            </w:r>
            <w:r>
              <w:rPr>
                <w:rFonts w:hint="eastAsia" w:ascii="宋体" w:hAnsi="宋体" w:cs="宋体"/>
                <w:color w:val="auto"/>
                <w:kern w:val="0"/>
                <w:sz w:val="24"/>
                <w:szCs w:val="24"/>
                <w:highlight w:val="none"/>
                <w:lang w:val="zh-TW" w:eastAsia="zh-TW" w:bidi="zh-TW"/>
              </w:rPr>
              <w:t>铅门采用地埋式杠杆原理的关门自动抬起功能，确保防护无死角。</w:t>
            </w:r>
          </w:p>
          <w:p>
            <w:pPr>
              <w:autoSpaceDE/>
              <w:autoSpaceDN/>
              <w:spacing w:after="0" w:line="240" w:lineRule="auto"/>
              <w:jc w:val="left"/>
              <w:rPr>
                <w:rFonts w:ascii="宋体" w:hAnsi="宋体" w:cs="宋体"/>
                <w:color w:val="auto"/>
                <w:kern w:val="0"/>
                <w:sz w:val="24"/>
                <w:szCs w:val="24"/>
                <w:highlight w:val="none"/>
                <w:lang w:val="zh-TW" w:eastAsia="zh-TW" w:bidi="zh-TW"/>
              </w:rPr>
            </w:pPr>
            <w:r>
              <w:rPr>
                <w:rFonts w:ascii="宋体" w:hAnsi="宋体" w:cs="宋体"/>
                <w:color w:val="auto"/>
                <w:kern w:val="0"/>
                <w:sz w:val="24"/>
                <w:szCs w:val="24"/>
                <w:highlight w:val="none"/>
                <w:lang w:val="zh-TW" w:bidi="zh-TW"/>
              </w:rPr>
              <w:t>1</w:t>
            </w:r>
            <w:r>
              <w:rPr>
                <w:rFonts w:ascii="宋体" w:hAnsi="宋体" w:cs="宋体"/>
                <w:color w:val="auto"/>
                <w:kern w:val="0"/>
                <w:sz w:val="24"/>
                <w:szCs w:val="24"/>
                <w:highlight w:val="none"/>
                <w:lang w:val="zh-TW" w:eastAsia="zh-TW" w:bidi="zh-TW"/>
              </w:rPr>
              <w:t>6)</w:t>
            </w:r>
            <w:r>
              <w:rPr>
                <w:rFonts w:hint="eastAsia" w:ascii="宋体" w:hAnsi="宋体" w:cs="宋体"/>
                <w:color w:val="auto"/>
                <w:kern w:val="0"/>
                <w:sz w:val="24"/>
                <w:szCs w:val="24"/>
                <w:highlight w:val="none"/>
                <w:lang w:val="zh-TW" w:eastAsia="zh-TW" w:bidi="zh-TW"/>
              </w:rPr>
              <w:t>铅门观察窗采用和气密门同型号铅玻璃，增加了同区域的整体美观感。</w:t>
            </w:r>
          </w:p>
          <w:p>
            <w:pPr>
              <w:autoSpaceDE/>
              <w:autoSpaceDN/>
              <w:spacing w:after="0" w:line="240" w:lineRule="auto"/>
              <w:jc w:val="left"/>
              <w:rPr>
                <w:rFonts w:ascii="宋体" w:hAnsi="宋体" w:cs="宋体"/>
                <w:color w:val="auto"/>
                <w:kern w:val="0"/>
                <w:sz w:val="24"/>
                <w:szCs w:val="24"/>
                <w:highlight w:val="none"/>
                <w:lang w:bidi="zh-TW"/>
              </w:rPr>
            </w:pPr>
            <w:r>
              <w:rPr>
                <w:rFonts w:ascii="宋体" w:hAnsi="宋体" w:cs="宋体"/>
                <w:color w:val="auto"/>
                <w:kern w:val="0"/>
                <w:sz w:val="24"/>
                <w:szCs w:val="24"/>
                <w:highlight w:val="none"/>
                <w:lang w:bidi="zh-TW"/>
              </w:rPr>
              <w:t>17)</w:t>
            </w:r>
            <w:r>
              <w:rPr>
                <w:rFonts w:hint="eastAsia" w:ascii="宋体" w:hAnsi="宋体" w:cs="宋体"/>
                <w:color w:val="auto"/>
                <w:kern w:val="0"/>
                <w:sz w:val="24"/>
                <w:szCs w:val="24"/>
                <w:highlight w:val="none"/>
                <w:lang w:val="zh-TW" w:eastAsia="zh-TW" w:bidi="zh-TW"/>
              </w:rPr>
              <w:t>电器部分四十年来热销名牌产品</w:t>
            </w:r>
            <w:r>
              <w:rPr>
                <w:rFonts w:hint="eastAsia" w:ascii="宋体" w:hAnsi="宋体" w:cs="宋体"/>
                <w:color w:val="auto"/>
                <w:kern w:val="0"/>
                <w:sz w:val="24"/>
                <w:szCs w:val="24"/>
                <w:highlight w:val="none"/>
                <w:lang w:val="zh-TW" w:bidi="zh-TW"/>
              </w:rPr>
              <w:t>。</w:t>
            </w:r>
          </w:p>
          <w:p>
            <w:pPr>
              <w:rPr>
                <w:rFonts w:ascii="宋体" w:hAnsi="宋体" w:cstheme="minorBidi"/>
                <w:color w:val="auto"/>
                <w:sz w:val="24"/>
                <w:szCs w:val="24"/>
                <w:highlight w:val="none"/>
              </w:rPr>
            </w:pPr>
            <w:r>
              <w:rPr>
                <w:rFonts w:ascii="宋体" w:hAnsi="宋体" w:cstheme="minorBidi"/>
                <w:color w:val="auto"/>
                <w:sz w:val="24"/>
                <w:szCs w:val="24"/>
                <w:highlight w:val="none"/>
              </w:rPr>
              <w:t>18</w:t>
            </w:r>
            <w:r>
              <w:rPr>
                <w:rFonts w:hint="eastAsia" w:ascii="宋体" w:hAnsi="宋体" w:cstheme="minorBidi"/>
                <w:color w:val="auto"/>
                <w:sz w:val="24"/>
                <w:szCs w:val="24"/>
                <w:highlight w:val="none"/>
              </w:rPr>
              <w:t>）有防辐射要求的手术室，需达到相应的当量要求，符合国家标准，导轨采用重型导轨，承重</w:t>
            </w:r>
            <w:r>
              <w:rPr>
                <w:rFonts w:ascii="宋体" w:hAnsi="宋体" w:cstheme="minorBidi"/>
                <w:color w:val="auto"/>
                <w:sz w:val="24"/>
                <w:szCs w:val="24"/>
                <w:highlight w:val="none"/>
              </w:rPr>
              <w:t>250kg-300kg。</w:t>
            </w:r>
          </w:p>
          <w:p>
            <w:pPr>
              <w:rPr>
                <w:rFonts w:ascii="宋体" w:hAnsi="宋体" w:cstheme="minorBidi"/>
                <w:color w:val="auto"/>
                <w:sz w:val="24"/>
                <w:szCs w:val="24"/>
                <w:highlight w:val="none"/>
              </w:rPr>
            </w:pPr>
            <w:r>
              <w:rPr>
                <w:rFonts w:ascii="宋体" w:hAnsi="宋体" w:cstheme="minorBidi"/>
                <w:color w:val="auto"/>
                <w:sz w:val="24"/>
                <w:szCs w:val="24"/>
                <w:highlight w:val="none"/>
              </w:rPr>
              <w:t>19</w:t>
            </w:r>
            <w:r>
              <w:rPr>
                <w:rFonts w:hint="eastAsia" w:ascii="宋体" w:hAnsi="宋体" w:cstheme="minorBidi"/>
                <w:color w:val="auto"/>
                <w:sz w:val="24"/>
                <w:szCs w:val="24"/>
                <w:highlight w:val="none"/>
              </w:rPr>
              <w:t>）无防辐射要求的手的普通导轨，承重不小于</w:t>
            </w:r>
            <w:r>
              <w:rPr>
                <w:rFonts w:ascii="宋体" w:hAnsi="宋体" w:cstheme="minorBidi"/>
                <w:color w:val="auto"/>
                <w:sz w:val="24"/>
                <w:szCs w:val="24"/>
                <w:highlight w:val="none"/>
              </w:rPr>
              <w:t>150kg。</w:t>
            </w:r>
          </w:p>
          <w:p>
            <w:pPr>
              <w:rPr>
                <w:rFonts w:ascii="宋体" w:hAnsi="宋体" w:cstheme="minorBidi"/>
                <w:color w:val="auto"/>
                <w:sz w:val="24"/>
                <w:szCs w:val="24"/>
                <w:highlight w:val="none"/>
              </w:rPr>
            </w:pPr>
            <w:r>
              <w:rPr>
                <w:rFonts w:ascii="宋体" w:hAnsi="宋体" w:cstheme="minorBidi"/>
                <w:color w:val="auto"/>
                <w:sz w:val="24"/>
                <w:szCs w:val="24"/>
                <w:highlight w:val="none"/>
              </w:rPr>
              <w:t>20</w:t>
            </w:r>
            <w:r>
              <w:rPr>
                <w:rFonts w:hint="eastAsia" w:ascii="宋体" w:hAnsi="宋体" w:cstheme="minorBidi"/>
                <w:color w:val="auto"/>
                <w:sz w:val="24"/>
                <w:szCs w:val="24"/>
                <w:highlight w:val="none"/>
              </w:rPr>
              <w:t>）产品具有官方相关部门认证，具有</w:t>
            </w:r>
            <w:r>
              <w:rPr>
                <w:rFonts w:ascii="宋体" w:hAnsi="宋体" w:cstheme="minorBidi"/>
                <w:color w:val="auto"/>
                <w:sz w:val="24"/>
                <w:szCs w:val="24"/>
                <w:highlight w:val="none"/>
              </w:rPr>
              <w:t xml:space="preserve">ISO9001质量、ISO14001绿色 </w:t>
            </w:r>
            <w:r>
              <w:rPr>
                <w:rFonts w:hint="eastAsia" w:ascii="宋体" w:hAnsi="宋体" w:cstheme="minorBidi"/>
                <w:color w:val="auto"/>
                <w:sz w:val="24"/>
                <w:szCs w:val="24"/>
                <w:highlight w:val="none"/>
              </w:rPr>
              <w:t>环保体系认证。</w:t>
            </w:r>
          </w:p>
          <w:p>
            <w:pPr>
              <w:rPr>
                <w:rFonts w:ascii="宋体" w:hAnsi="宋体" w:cstheme="minorBidi"/>
                <w:color w:val="auto"/>
                <w:sz w:val="24"/>
                <w:szCs w:val="24"/>
                <w:highlight w:val="none"/>
              </w:rPr>
            </w:pPr>
            <w:r>
              <w:rPr>
                <w:rFonts w:hint="eastAsia" w:ascii="宋体" w:hAnsi="宋体"/>
                <w:bCs/>
                <w:color w:val="auto"/>
                <w:sz w:val="24"/>
                <w:szCs w:val="24"/>
                <w:highlight w:val="none"/>
              </w:rPr>
              <w:t>注：以上加▲标注的认证是检测医用电动门专业产品品质的重要标准，要求必须提供</w:t>
            </w:r>
            <w:r>
              <w:rPr>
                <w:rFonts w:hint="eastAsia" w:ascii="宋体" w:hAnsi="宋体" w:cs="宋体"/>
                <w:color w:val="auto"/>
                <w:kern w:val="0"/>
                <w:sz w:val="24"/>
                <w:szCs w:val="24"/>
                <w:highlight w:val="none"/>
              </w:rPr>
              <w:t>具有主要参数指标的产品样册、第三方检测报告、认证证书并加盖生产厂家公章。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51"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7.</w:t>
            </w:r>
          </w:p>
        </w:tc>
        <w:tc>
          <w:tcPr>
            <w:tcW w:w="1559"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手动气密门</w:t>
            </w:r>
          </w:p>
        </w:tc>
        <w:tc>
          <w:tcPr>
            <w:tcW w:w="6102" w:type="dxa"/>
            <w:vAlign w:val="center"/>
          </w:tcPr>
          <w:p>
            <w:pPr>
              <w:autoSpaceDE w:val="0"/>
              <w:autoSpaceDN w:val="0"/>
              <w:spacing w:after="120"/>
              <w:rPr>
                <w:rFonts w:ascii="宋体" w:hAnsi="宋体" w:cs="宋体"/>
                <w:color w:val="auto"/>
                <w:kern w:val="0"/>
                <w:sz w:val="24"/>
                <w:szCs w:val="24"/>
                <w:highlight w:val="none"/>
                <w:lang w:bidi="zh-TW"/>
              </w:rPr>
            </w:pPr>
            <w:r>
              <w:rPr>
                <w:rFonts w:ascii="宋体" w:hAnsi="宋体" w:cs="宋体"/>
                <w:color w:val="auto"/>
                <w:kern w:val="0"/>
                <w:sz w:val="24"/>
                <w:szCs w:val="24"/>
                <w:highlight w:val="none"/>
                <w:lang w:bidi="zh-TW"/>
              </w:rPr>
              <w:t>1.水密性能：</w:t>
            </w:r>
            <w:r>
              <w:rPr>
                <w:rFonts w:hint="eastAsia" w:ascii="宋体" w:hAnsi="宋体" w:cs="宋体"/>
                <w:color w:val="auto"/>
                <w:kern w:val="0"/>
                <w:sz w:val="24"/>
                <w:szCs w:val="24"/>
                <w:highlight w:val="none"/>
                <w:lang w:val="zh-TW" w:eastAsia="zh-TW" w:bidi="zh-TW"/>
              </w:rPr>
              <w:t>气密性能采用在标准状态下</w:t>
            </w:r>
            <w:r>
              <w:rPr>
                <w:rFonts w:ascii="宋体" w:hAnsi="宋体" w:cs="宋体"/>
                <w:color w:val="auto"/>
                <w:kern w:val="0"/>
                <w:sz w:val="24"/>
                <w:szCs w:val="24"/>
                <w:highlight w:val="none"/>
                <w:lang w:val="zh-TW" w:eastAsia="zh-TW" w:bidi="zh-TW"/>
              </w:rPr>
              <w:t xml:space="preserve">10 </w:t>
            </w:r>
            <w:r>
              <w:rPr>
                <w:rFonts w:ascii="宋体" w:hAnsi="宋体" w:cs="宋体"/>
                <w:color w:val="auto"/>
                <w:kern w:val="0"/>
                <w:sz w:val="24"/>
                <w:szCs w:val="24"/>
                <w:highlight w:val="none"/>
                <w:lang w:bidi="en-US"/>
              </w:rPr>
              <w:t>Pa</w:t>
            </w:r>
            <w:r>
              <w:rPr>
                <w:rFonts w:hint="eastAsia" w:ascii="宋体" w:hAnsi="宋体" w:cs="宋体"/>
                <w:color w:val="auto"/>
                <w:kern w:val="0"/>
                <w:sz w:val="24"/>
                <w:szCs w:val="24"/>
                <w:highlight w:val="none"/>
                <w:lang w:val="zh-TW" w:eastAsia="zh-TW" w:bidi="zh-TW"/>
              </w:rPr>
              <w:t>时的单位开启缝长空气渗透量①和单位面积空气渗透量</w:t>
            </w:r>
            <w:r>
              <w:rPr>
                <w:rFonts w:hint="eastAsia" w:ascii="宋体" w:hAnsi="宋体" w:cs="宋体"/>
                <w:i/>
                <w:iCs/>
                <w:color w:val="auto"/>
                <w:kern w:val="0"/>
                <w:sz w:val="24"/>
                <w:szCs w:val="24"/>
                <w:highlight w:val="none"/>
                <w:lang w:val="zh-TW" w:eastAsia="zh-TW" w:bidi="zh-TW"/>
              </w:rPr>
              <w:t>室</w:t>
            </w:r>
            <w:r>
              <w:rPr>
                <w:rFonts w:hint="eastAsia" w:ascii="宋体" w:hAnsi="宋体" w:cs="宋体"/>
                <w:color w:val="auto"/>
                <w:kern w:val="0"/>
                <w:sz w:val="24"/>
                <w:szCs w:val="24"/>
                <w:highlight w:val="none"/>
                <w:lang w:val="zh-TW" w:eastAsia="zh-TW" w:bidi="zh-TW"/>
              </w:rPr>
              <w:t>作</w:t>
            </w:r>
            <w:r>
              <w:rPr>
                <w:rFonts w:ascii="宋体" w:hAnsi="宋体" w:cs="宋体"/>
                <w:color w:val="auto"/>
                <w:kern w:val="0"/>
                <w:sz w:val="24"/>
                <w:szCs w:val="24"/>
                <w:highlight w:val="none"/>
                <w:lang w:val="zh-TW" w:eastAsia="zh-TW" w:bidi="zh-TW"/>
              </w:rPr>
              <w:t xml:space="preserve"> 为分级指标，单位缝长指标值 </w:t>
            </w:r>
            <w:r>
              <w:rPr>
                <w:rFonts w:ascii="宋体" w:hAnsi="宋体" w:cs="宋体"/>
                <w:color w:val="auto"/>
                <w:kern w:val="0"/>
                <w:sz w:val="24"/>
                <w:szCs w:val="24"/>
                <w:highlight w:val="none"/>
                <w:lang w:bidi="en-US"/>
              </w:rPr>
              <w:t>m</w:t>
            </w:r>
            <w:r>
              <w:rPr>
                <w:rFonts w:ascii="宋体" w:hAnsi="宋体" w:cs="宋体"/>
                <w:color w:val="auto"/>
                <w:kern w:val="0"/>
                <w:sz w:val="24"/>
                <w:szCs w:val="24"/>
                <w:highlight w:val="none"/>
                <w:vertAlign w:val="superscript"/>
                <w:lang w:bidi="en-US"/>
              </w:rPr>
              <w:t>3</w:t>
            </w:r>
            <w:r>
              <w:rPr>
                <w:rFonts w:ascii="宋体" w:hAnsi="宋体" w:cs="宋体"/>
                <w:color w:val="auto"/>
                <w:kern w:val="0"/>
                <w:sz w:val="24"/>
                <w:szCs w:val="24"/>
                <w:highlight w:val="none"/>
                <w:lang w:bidi="en-US"/>
              </w:rPr>
              <w:t xml:space="preserve">/(m </w:t>
            </w:r>
            <w:r>
              <w:rPr>
                <w:rFonts w:hint="eastAsia" w:ascii="宋体" w:hAnsi="宋体" w:cs="宋体"/>
                <w:color w:val="auto"/>
                <w:kern w:val="0"/>
                <w:sz w:val="24"/>
                <w:szCs w:val="24"/>
                <w:highlight w:val="none"/>
                <w:lang w:bidi="en-US"/>
              </w:rPr>
              <w:t>■</w:t>
            </w:r>
            <w:r>
              <w:rPr>
                <w:rFonts w:ascii="宋体" w:hAnsi="宋体" w:cs="宋体"/>
                <w:color w:val="auto"/>
                <w:kern w:val="0"/>
                <w:sz w:val="24"/>
                <w:szCs w:val="24"/>
                <w:highlight w:val="none"/>
                <w:lang w:bidi="en-US"/>
              </w:rPr>
              <w:t xml:space="preserve"> h)：3.02gi&gt;2.5、</w:t>
            </w:r>
            <w:r>
              <w:rPr>
                <w:rFonts w:hint="eastAsia" w:ascii="宋体" w:hAnsi="宋体" w:cs="宋体"/>
                <w:color w:val="auto"/>
                <w:kern w:val="0"/>
                <w:sz w:val="24"/>
                <w:szCs w:val="24"/>
                <w:highlight w:val="none"/>
                <w:lang w:val="zh-TW" w:eastAsia="zh-TW" w:bidi="zh-TW"/>
              </w:rPr>
              <w:t>单位面积指标值</w:t>
            </w:r>
            <w:r>
              <w:rPr>
                <w:rFonts w:ascii="宋体" w:hAnsi="宋体" w:cs="宋体"/>
                <w:color w:val="auto"/>
                <w:kern w:val="0"/>
                <w:sz w:val="24"/>
                <w:szCs w:val="24"/>
                <w:highlight w:val="none"/>
                <w:lang w:val="zh-TW" w:eastAsia="zh-TW" w:bidi="zh-TW"/>
              </w:rPr>
              <w:t xml:space="preserve"> </w:t>
            </w:r>
            <w:r>
              <w:rPr>
                <w:rFonts w:ascii="宋体" w:hAnsi="宋体" w:cs="宋体"/>
                <w:color w:val="auto"/>
                <w:kern w:val="0"/>
                <w:sz w:val="24"/>
                <w:szCs w:val="24"/>
                <w:highlight w:val="none"/>
                <w:lang w:bidi="en-US"/>
              </w:rPr>
              <w:t>m</w:t>
            </w:r>
            <w:r>
              <w:rPr>
                <w:rFonts w:ascii="宋体" w:hAnsi="宋体" w:cs="宋体"/>
                <w:color w:val="auto"/>
                <w:kern w:val="0"/>
                <w:sz w:val="24"/>
                <w:szCs w:val="24"/>
                <w:highlight w:val="none"/>
                <w:vertAlign w:val="superscript"/>
                <w:lang w:bidi="en-US"/>
              </w:rPr>
              <w:t>3</w:t>
            </w:r>
            <w:r>
              <w:rPr>
                <w:rFonts w:ascii="宋体" w:hAnsi="宋体" w:cs="宋体"/>
                <w:color w:val="auto"/>
                <w:kern w:val="0"/>
                <w:sz w:val="24"/>
                <w:szCs w:val="24"/>
                <w:highlight w:val="none"/>
                <w:lang w:bidi="en-US"/>
              </w:rPr>
              <w:t>/(m</w:t>
            </w:r>
            <w:r>
              <w:rPr>
                <w:rFonts w:ascii="宋体" w:hAnsi="宋体" w:cs="宋体"/>
                <w:color w:val="auto"/>
                <w:kern w:val="0"/>
                <w:sz w:val="24"/>
                <w:szCs w:val="24"/>
                <w:highlight w:val="none"/>
                <w:vertAlign w:val="superscript"/>
                <w:lang w:bidi="en-US"/>
              </w:rPr>
              <w:t>2</w:t>
            </w:r>
            <w:r>
              <w:rPr>
                <w:rFonts w:ascii="宋体" w:hAnsi="宋体" w:cs="宋体"/>
                <w:color w:val="auto"/>
                <w:kern w:val="0"/>
                <w:sz w:val="24"/>
                <w:szCs w:val="24"/>
                <w:highlight w:val="none"/>
                <w:lang w:bidi="en-US"/>
              </w:rPr>
              <w:t xml:space="preserve"> </w:t>
            </w:r>
            <w:r>
              <w:rPr>
                <w:rFonts w:ascii="宋体" w:hAnsi="宋体" w:cs="宋体"/>
                <w:color w:val="auto"/>
                <w:kern w:val="0"/>
                <w:sz w:val="24"/>
                <w:szCs w:val="24"/>
                <w:highlight w:val="none"/>
                <w:lang w:val="zh-CN" w:bidi="zh-CN"/>
              </w:rPr>
              <w:t xml:space="preserve">- </w:t>
            </w:r>
            <w:r>
              <w:rPr>
                <w:rFonts w:ascii="宋体" w:hAnsi="宋体" w:cs="宋体"/>
                <w:color w:val="auto"/>
                <w:kern w:val="0"/>
                <w:sz w:val="24"/>
                <w:szCs w:val="24"/>
                <w:highlight w:val="none"/>
                <w:lang w:bidi="en-US"/>
              </w:rPr>
              <w:t>h)：</w:t>
            </w:r>
            <w:r>
              <w:rPr>
                <w:rFonts w:ascii="宋体" w:hAnsi="宋体" w:cs="宋体"/>
                <w:color w:val="auto"/>
                <w:kern w:val="0"/>
                <w:sz w:val="24"/>
                <w:szCs w:val="24"/>
                <w:highlight w:val="none"/>
                <w:lang w:val="zh-CN" w:bidi="zh-CN"/>
              </w:rPr>
              <w:t>9.02冬2&gt;7.5</w:t>
            </w:r>
          </w:p>
          <w:p>
            <w:pPr>
              <w:autoSpaceDE w:val="0"/>
              <w:autoSpaceDN w:val="0"/>
              <w:spacing w:after="240" w:line="360" w:lineRule="auto"/>
              <w:rPr>
                <w:rFonts w:ascii="宋体" w:hAnsi="宋体" w:cs="宋体"/>
                <w:color w:val="auto"/>
                <w:kern w:val="0"/>
                <w:sz w:val="24"/>
                <w:szCs w:val="24"/>
                <w:highlight w:val="none"/>
                <w:lang w:val="zh-TW" w:bidi="zh-TW"/>
              </w:rPr>
            </w:pPr>
            <w:r>
              <w:rPr>
                <w:rFonts w:ascii="宋体" w:hAnsi="宋体" w:cs="宋体"/>
                <w:color w:val="auto"/>
                <w:kern w:val="0"/>
                <w:sz w:val="24"/>
                <w:szCs w:val="24"/>
                <w:highlight w:val="none"/>
                <w:lang w:bidi="zh-TW"/>
              </w:rPr>
              <w:t>2</w:t>
            </w:r>
            <w:r>
              <w:rPr>
                <w:rFonts w:hint="eastAsia" w:ascii="宋体" w:hAnsi="宋体" w:cs="宋体"/>
                <w:color w:val="auto"/>
                <w:kern w:val="0"/>
                <w:sz w:val="24"/>
                <w:szCs w:val="24"/>
                <w:highlight w:val="none"/>
                <w:lang w:bidi="zh-TW"/>
              </w:rPr>
              <w:t>．</w:t>
            </w:r>
            <w:r>
              <w:rPr>
                <w:rFonts w:hint="eastAsia" w:ascii="宋体" w:hAnsi="宋体" w:cs="宋体"/>
                <w:color w:val="auto"/>
                <w:kern w:val="0"/>
                <w:sz w:val="24"/>
                <w:szCs w:val="24"/>
                <w:highlight w:val="none"/>
                <w:lang w:val="zh-TW" w:bidi="zh-TW"/>
              </w:rPr>
              <w:t>保温性能：</w:t>
            </w:r>
            <w:r>
              <w:rPr>
                <w:rFonts w:hint="eastAsia" w:ascii="宋体" w:hAnsi="宋体" w:cs="宋体"/>
                <w:color w:val="auto"/>
                <w:kern w:val="0"/>
                <w:sz w:val="24"/>
                <w:szCs w:val="24"/>
                <w:highlight w:val="none"/>
                <w:lang w:val="zh-TW" w:eastAsia="zh-TW" w:bidi="zh-TW"/>
              </w:rPr>
              <w:t>以外门、外窗的传热系数</w:t>
            </w:r>
            <w:r>
              <w:rPr>
                <w:rFonts w:ascii="宋体" w:hAnsi="宋体" w:cs="宋体"/>
                <w:color w:val="auto"/>
                <w:kern w:val="0"/>
                <w:sz w:val="24"/>
                <w:szCs w:val="24"/>
                <w:highlight w:val="none"/>
                <w:lang w:bidi="en-US"/>
              </w:rPr>
              <w:t>K</w:t>
            </w:r>
            <w:r>
              <w:rPr>
                <w:rFonts w:hint="eastAsia" w:ascii="宋体" w:hAnsi="宋体" w:cs="宋体"/>
                <w:color w:val="auto"/>
                <w:kern w:val="0"/>
                <w:sz w:val="24"/>
                <w:szCs w:val="24"/>
                <w:highlight w:val="none"/>
                <w:lang w:val="zh-TW" w:eastAsia="zh-TW" w:bidi="zh-TW"/>
              </w:rPr>
              <w:t>值作为分级指标，指标值</w:t>
            </w:r>
            <w:r>
              <w:rPr>
                <w:rFonts w:hint="eastAsia" w:ascii="宋体" w:hAnsi="宋体" w:cs="宋体"/>
                <w:color w:val="auto"/>
                <w:kern w:val="0"/>
                <w:sz w:val="24"/>
                <w:szCs w:val="24"/>
                <w:highlight w:val="none"/>
                <w:lang w:bidi="zh-CN"/>
              </w:rPr>
              <w:t>：</w:t>
            </w:r>
            <w:r>
              <w:rPr>
                <w:rFonts w:ascii="宋体" w:hAnsi="宋体" w:cs="宋体"/>
                <w:color w:val="auto"/>
                <w:kern w:val="0"/>
                <w:sz w:val="24"/>
                <w:szCs w:val="24"/>
                <w:highlight w:val="none"/>
                <w:lang w:bidi="en-US"/>
              </w:rPr>
              <w:t>5.0&gt;K24.0</w:t>
            </w:r>
          </w:p>
          <w:p>
            <w:pPr>
              <w:autoSpaceDE w:val="0"/>
              <w:autoSpaceDN w:val="0"/>
              <w:spacing w:after="40" w:line="360" w:lineRule="auto"/>
              <w:jc w:val="left"/>
              <w:rPr>
                <w:rFonts w:ascii="宋体" w:hAnsi="宋体" w:cs="宋体"/>
                <w:color w:val="auto"/>
                <w:kern w:val="0"/>
                <w:sz w:val="24"/>
                <w:szCs w:val="24"/>
                <w:highlight w:val="none"/>
                <w:lang w:bidi="en-US"/>
              </w:rPr>
            </w:pPr>
            <w:r>
              <w:rPr>
                <w:rFonts w:ascii="宋体" w:hAnsi="宋体" w:cs="宋体"/>
                <w:color w:val="auto"/>
                <w:kern w:val="0"/>
                <w:sz w:val="24"/>
                <w:szCs w:val="24"/>
                <w:highlight w:val="none"/>
                <w:lang w:bidi="zh-TW"/>
              </w:rPr>
              <w:t>3.</w:t>
            </w:r>
            <w:r>
              <w:rPr>
                <w:rFonts w:hint="eastAsia" w:ascii="宋体" w:hAnsi="宋体" w:cs="宋体"/>
                <w:color w:val="auto"/>
                <w:kern w:val="0"/>
                <w:sz w:val="24"/>
                <w:szCs w:val="24"/>
                <w:highlight w:val="none"/>
                <w:lang w:val="zh-TW" w:bidi="zh-TW"/>
              </w:rPr>
              <w:t>抗风压性能</w:t>
            </w:r>
            <w:r>
              <w:rPr>
                <w:rFonts w:hint="eastAsia" w:ascii="宋体" w:hAnsi="宋体" w:cs="宋体"/>
                <w:color w:val="auto"/>
                <w:kern w:val="0"/>
                <w:sz w:val="24"/>
                <w:szCs w:val="24"/>
                <w:highlight w:val="none"/>
                <w:lang w:bidi="en-US"/>
              </w:rPr>
              <w:t>：</w:t>
            </w:r>
          </w:p>
          <w:p>
            <w:pPr>
              <w:autoSpaceDE w:val="0"/>
              <w:autoSpaceDN w:val="0"/>
              <w:spacing w:after="40" w:line="360" w:lineRule="auto"/>
              <w:jc w:val="left"/>
              <w:rPr>
                <w:rFonts w:ascii="宋体" w:hAnsi="宋体" w:cs="宋体"/>
                <w:color w:val="auto"/>
                <w:kern w:val="0"/>
                <w:sz w:val="24"/>
                <w:szCs w:val="24"/>
                <w:highlight w:val="none"/>
                <w:lang w:bidi="zh-TW"/>
              </w:rPr>
            </w:pPr>
            <w:r>
              <w:rPr>
                <w:rFonts w:hint="eastAsia" w:ascii="宋体" w:hAnsi="宋体" w:cs="宋体"/>
                <w:color w:val="auto"/>
                <w:kern w:val="0"/>
                <w:sz w:val="24"/>
                <w:szCs w:val="24"/>
                <w:highlight w:val="none"/>
                <w:lang w:val="zh-TW" w:eastAsia="zh-TW" w:bidi="zh-TW"/>
              </w:rPr>
              <w:t>采用定级压力差值</w:t>
            </w:r>
            <w:r>
              <w:rPr>
                <w:rFonts w:ascii="宋体" w:hAnsi="宋体" w:cs="宋体"/>
                <w:color w:val="auto"/>
                <w:kern w:val="0"/>
                <w:sz w:val="24"/>
                <w:szCs w:val="24"/>
                <w:highlight w:val="none"/>
                <w:lang w:bidi="en-US"/>
              </w:rPr>
              <w:t>P</w:t>
            </w:r>
            <w:r>
              <w:rPr>
                <w:rFonts w:ascii="宋体" w:hAnsi="宋体" w:cs="宋体"/>
                <w:color w:val="auto"/>
                <w:kern w:val="0"/>
                <w:sz w:val="24"/>
                <w:szCs w:val="24"/>
                <w:highlight w:val="none"/>
                <w:vertAlign w:val="subscript"/>
                <w:lang w:bidi="en-US"/>
              </w:rPr>
              <w:t>3</w:t>
            </w:r>
            <w:r>
              <w:rPr>
                <w:rFonts w:hint="eastAsia" w:ascii="宋体" w:hAnsi="宋体" w:cs="宋体"/>
                <w:color w:val="auto"/>
                <w:kern w:val="0"/>
                <w:sz w:val="24"/>
                <w:szCs w:val="24"/>
                <w:highlight w:val="none"/>
                <w:lang w:val="zh-TW" w:eastAsia="zh-TW" w:bidi="zh-TW"/>
              </w:rPr>
              <w:t>为分级指标，指标值</w:t>
            </w:r>
            <w:r>
              <w:rPr>
                <w:rFonts w:ascii="宋体" w:hAnsi="宋体" w:cs="宋体"/>
                <w:color w:val="auto"/>
                <w:kern w:val="0"/>
                <w:sz w:val="24"/>
                <w:szCs w:val="24"/>
                <w:highlight w:val="none"/>
                <w:lang w:bidi="en-US"/>
              </w:rPr>
              <w:t>R：1.0&lt;P</w:t>
            </w:r>
            <w:r>
              <w:rPr>
                <w:rFonts w:ascii="宋体" w:hAnsi="宋体" w:cs="宋体"/>
                <w:color w:val="auto"/>
                <w:kern w:val="0"/>
                <w:sz w:val="24"/>
                <w:szCs w:val="24"/>
                <w:highlight w:val="none"/>
                <w:vertAlign w:val="subscript"/>
                <w:lang w:bidi="en-US"/>
              </w:rPr>
              <w:t>3</w:t>
            </w:r>
            <w:r>
              <w:rPr>
                <w:rFonts w:ascii="宋体" w:hAnsi="宋体" w:cs="宋体"/>
                <w:color w:val="auto"/>
                <w:kern w:val="0"/>
                <w:sz w:val="24"/>
                <w:szCs w:val="24"/>
                <w:highlight w:val="none"/>
                <w:lang w:bidi="en-US"/>
              </w:rPr>
              <w:t>&lt;1.5</w:t>
            </w:r>
          </w:p>
          <w:p>
            <w:pPr>
              <w:autoSpaceDE w:val="0"/>
              <w:autoSpaceDN w:val="0"/>
              <w:spacing w:after="40" w:line="360" w:lineRule="auto"/>
              <w:jc w:val="left"/>
              <w:rPr>
                <w:rFonts w:ascii="宋体" w:hAnsi="宋体" w:cs="宋体"/>
                <w:color w:val="auto"/>
                <w:kern w:val="0"/>
                <w:sz w:val="24"/>
                <w:szCs w:val="24"/>
                <w:highlight w:val="none"/>
                <w:lang w:bidi="zh-TW"/>
              </w:rPr>
            </w:pPr>
            <w:r>
              <w:rPr>
                <w:rFonts w:ascii="宋体" w:hAnsi="宋体" w:cs="宋体"/>
                <w:color w:val="auto"/>
                <w:kern w:val="0"/>
                <w:sz w:val="24"/>
                <w:szCs w:val="24"/>
                <w:highlight w:val="none"/>
                <w:lang w:bidi="zh-TW"/>
              </w:rPr>
              <w:t>4.</w:t>
            </w:r>
            <w:r>
              <w:rPr>
                <w:rFonts w:hint="eastAsia" w:ascii="宋体" w:hAnsi="宋体" w:cs="宋体"/>
                <w:color w:val="auto"/>
                <w:kern w:val="0"/>
                <w:sz w:val="24"/>
                <w:szCs w:val="24"/>
                <w:highlight w:val="none"/>
                <w:lang w:bidi="zh-TW"/>
              </w:rPr>
              <w:t>空气声隔声性能：</w:t>
            </w:r>
          </w:p>
          <w:p>
            <w:pPr>
              <w:autoSpaceDE w:val="0"/>
              <w:autoSpaceDN w:val="0"/>
              <w:spacing w:after="40" w:line="360" w:lineRule="auto"/>
              <w:jc w:val="left"/>
              <w:rPr>
                <w:rFonts w:ascii="宋体" w:hAnsi="宋体" w:cs="宋体"/>
                <w:color w:val="auto"/>
                <w:kern w:val="0"/>
                <w:sz w:val="24"/>
                <w:szCs w:val="24"/>
                <w:highlight w:val="none"/>
                <w:lang w:val="zh-TW" w:eastAsia="zh-TW" w:bidi="zh-TW"/>
              </w:rPr>
            </w:pPr>
            <w:r>
              <w:rPr>
                <w:rFonts w:hint="eastAsia" w:ascii="宋体" w:hAnsi="宋体" w:cs="宋体"/>
                <w:color w:val="auto"/>
                <w:kern w:val="0"/>
                <w:sz w:val="24"/>
                <w:szCs w:val="24"/>
                <w:highlight w:val="none"/>
                <w:lang w:val="zh-TW" w:eastAsia="zh-TW" w:bidi="zh-TW"/>
              </w:rPr>
              <w:t>外门、外窗以</w:t>
            </w:r>
            <w:r>
              <w:rPr>
                <w:rFonts w:hint="eastAsia" w:ascii="宋体" w:hAnsi="宋体" w:cs="宋体"/>
                <w:color w:val="auto"/>
                <w:kern w:val="0"/>
                <w:sz w:val="24"/>
                <w:szCs w:val="24"/>
                <w:highlight w:val="none"/>
                <w:lang w:val="zh-CN" w:bidi="zh-TW"/>
              </w:rPr>
              <w:t>“计权</w:t>
            </w:r>
            <w:r>
              <w:rPr>
                <w:rFonts w:hint="eastAsia" w:ascii="宋体" w:hAnsi="宋体" w:cs="宋体"/>
                <w:color w:val="auto"/>
                <w:kern w:val="0"/>
                <w:sz w:val="24"/>
                <w:szCs w:val="24"/>
                <w:highlight w:val="none"/>
                <w:lang w:val="zh-TW" w:eastAsia="zh-TW" w:bidi="zh-TW"/>
              </w:rPr>
              <w:t>隔声量和交通噪声频谱修正量之和</w:t>
            </w:r>
            <w:r>
              <w:rPr>
                <w:rFonts w:hint="eastAsia" w:ascii="宋体" w:hAnsi="宋体" w:cs="宋体"/>
                <w:color w:val="auto"/>
                <w:kern w:val="0"/>
                <w:sz w:val="24"/>
                <w:szCs w:val="24"/>
                <w:highlight w:val="none"/>
                <w:lang w:bidi="zh-TW"/>
              </w:rPr>
              <w:t>（</w:t>
            </w:r>
            <w:r>
              <w:rPr>
                <w:rFonts w:ascii="宋体" w:hAnsi="宋体" w:cs="宋体"/>
                <w:color w:val="auto"/>
                <w:kern w:val="0"/>
                <w:sz w:val="24"/>
                <w:szCs w:val="24"/>
                <w:highlight w:val="none"/>
                <w:lang w:bidi="zh-TW"/>
              </w:rPr>
              <w:t>Rw + CQ”</w:t>
            </w:r>
            <w:r>
              <w:rPr>
                <w:rFonts w:hint="eastAsia" w:ascii="宋体" w:hAnsi="宋体" w:cs="宋体"/>
                <w:color w:val="auto"/>
                <w:kern w:val="0"/>
                <w:sz w:val="24"/>
                <w:szCs w:val="24"/>
                <w:highlight w:val="none"/>
                <w:lang w:val="zh-TW" w:eastAsia="zh-TW" w:bidi="zh-TW"/>
              </w:rPr>
              <w:t>作为分级指标</w:t>
            </w:r>
            <w:r>
              <w:rPr>
                <w:rFonts w:ascii="宋体" w:hAnsi="宋体" w:cs="宋体"/>
                <w:color w:val="auto"/>
                <w:kern w:val="0"/>
                <w:sz w:val="24"/>
                <w:szCs w:val="24"/>
                <w:highlight w:val="none"/>
                <w:lang w:val="zh-TW" w:eastAsia="zh-TW" w:bidi="zh-TW"/>
              </w:rPr>
              <w:t xml:space="preserve"> </w:t>
            </w:r>
            <w:r>
              <w:rPr>
                <w:rFonts w:hint="eastAsia" w:ascii="宋体" w:hAnsi="宋体" w:cs="宋体"/>
                <w:color w:val="auto"/>
                <w:kern w:val="0"/>
                <w:sz w:val="24"/>
                <w:szCs w:val="24"/>
                <w:highlight w:val="none"/>
                <w:lang w:val="zh-TW" w:eastAsia="zh-TW" w:bidi="zh-TW"/>
              </w:rPr>
              <w:t>值，内门、内窗以</w:t>
            </w:r>
            <w:r>
              <w:rPr>
                <w:rFonts w:hint="eastAsia" w:ascii="宋体" w:hAnsi="宋体" w:cs="宋体"/>
                <w:color w:val="auto"/>
                <w:kern w:val="0"/>
                <w:sz w:val="24"/>
                <w:szCs w:val="24"/>
                <w:highlight w:val="none"/>
                <w:lang w:val="zh-CN" w:bidi="zh-TW"/>
              </w:rPr>
              <w:t>“计权</w:t>
            </w:r>
            <w:r>
              <w:rPr>
                <w:rFonts w:hint="eastAsia" w:ascii="宋体" w:hAnsi="宋体" w:cs="宋体"/>
                <w:color w:val="auto"/>
                <w:kern w:val="0"/>
                <w:sz w:val="24"/>
                <w:szCs w:val="24"/>
                <w:highlight w:val="none"/>
                <w:lang w:val="zh-TW" w:eastAsia="zh-TW" w:bidi="zh-TW"/>
              </w:rPr>
              <w:t>隔声量和粉红噪声频谱修正量之和</w:t>
            </w:r>
            <w:r>
              <w:rPr>
                <w:rFonts w:ascii="宋体" w:hAnsi="宋体" w:cs="宋体"/>
                <w:color w:val="auto"/>
                <w:kern w:val="0"/>
                <w:sz w:val="24"/>
                <w:szCs w:val="24"/>
                <w:highlight w:val="none"/>
                <w:lang w:bidi="zh-TW"/>
              </w:rPr>
              <w:t>CRw + C）”</w:t>
            </w:r>
            <w:r>
              <w:rPr>
                <w:rFonts w:hint="eastAsia" w:ascii="宋体" w:hAnsi="宋体" w:cs="宋体"/>
                <w:color w:val="auto"/>
                <w:kern w:val="0"/>
                <w:sz w:val="24"/>
                <w:szCs w:val="24"/>
                <w:highlight w:val="none"/>
                <w:lang w:val="zh-TW" w:eastAsia="zh-TW" w:bidi="zh-TW"/>
              </w:rPr>
              <w:t>作为分级指标值，</w:t>
            </w:r>
            <w:r>
              <w:rPr>
                <w:rFonts w:hint="eastAsia" w:ascii="宋体" w:hAnsi="宋体" w:cs="宋体"/>
                <w:color w:val="auto"/>
                <w:kern w:val="0"/>
                <w:sz w:val="24"/>
                <w:szCs w:val="24"/>
                <w:highlight w:val="none"/>
                <w:lang w:val="zh-TW" w:bidi="zh-TW"/>
              </w:rPr>
              <w:t>外门、外窗的分级指标值：</w:t>
            </w:r>
            <w:r>
              <w:rPr>
                <w:rFonts w:ascii="宋体" w:hAnsi="宋体" w:cs="宋体"/>
                <w:color w:val="auto"/>
                <w:kern w:val="0"/>
                <w:sz w:val="24"/>
                <w:szCs w:val="24"/>
                <w:highlight w:val="none"/>
                <w:lang w:val="zh-TW" w:bidi="zh-TW"/>
              </w:rPr>
              <w:t>25&lt;l?w + Ctr&lt;30、内门、内窗的分级指标值：25VRw + CV30</w:t>
            </w:r>
          </w:p>
          <w:p>
            <w:pPr>
              <w:autoSpaceDE w:val="0"/>
              <w:autoSpaceDN w:val="0"/>
              <w:spacing w:after="40" w:line="360" w:lineRule="auto"/>
              <w:jc w:val="left"/>
              <w:rPr>
                <w:rFonts w:ascii="宋体" w:hAnsi="宋体" w:cs="宋体"/>
                <w:color w:val="auto"/>
                <w:kern w:val="0"/>
                <w:sz w:val="24"/>
                <w:szCs w:val="24"/>
                <w:highlight w:val="none"/>
                <w:lang w:bidi="zh-TW"/>
              </w:rPr>
            </w:pPr>
            <w:r>
              <w:rPr>
                <w:rFonts w:ascii="宋体" w:hAnsi="宋体" w:cs="宋体"/>
                <w:color w:val="auto"/>
                <w:kern w:val="0"/>
                <w:sz w:val="24"/>
                <w:szCs w:val="24"/>
                <w:highlight w:val="none"/>
                <w:lang w:bidi="zh-TW"/>
              </w:rPr>
              <w:t>5.</w:t>
            </w:r>
            <w:r>
              <w:rPr>
                <w:rFonts w:hint="eastAsia" w:ascii="宋体" w:hAnsi="宋体" w:cs="宋体"/>
                <w:color w:val="auto"/>
                <w:kern w:val="0"/>
                <w:sz w:val="24"/>
                <w:szCs w:val="24"/>
                <w:highlight w:val="none"/>
                <w:lang w:bidi="zh-TW"/>
              </w:rPr>
              <w:t>门耐软重物撞击性能：</w:t>
            </w:r>
          </w:p>
          <w:p>
            <w:pPr>
              <w:autoSpaceDE w:val="0"/>
              <w:autoSpaceDN w:val="0"/>
              <w:spacing w:after="40" w:line="360" w:lineRule="auto"/>
              <w:jc w:val="left"/>
              <w:rPr>
                <w:rFonts w:ascii="宋体" w:hAnsi="宋体" w:cs="宋体"/>
                <w:color w:val="auto"/>
                <w:kern w:val="0"/>
                <w:sz w:val="24"/>
                <w:szCs w:val="24"/>
                <w:highlight w:val="none"/>
                <w:lang w:val="zh-TW" w:bidi="zh-TW"/>
              </w:rPr>
            </w:pPr>
            <w:r>
              <w:rPr>
                <w:rFonts w:hint="eastAsia" w:ascii="宋体" w:hAnsi="宋体" w:cs="宋体"/>
                <w:color w:val="auto"/>
                <w:kern w:val="0"/>
                <w:sz w:val="24"/>
                <w:szCs w:val="24"/>
                <w:highlight w:val="none"/>
                <w:lang w:val="zh-TW" w:eastAsia="zh-TW" w:bidi="zh-TW"/>
              </w:rPr>
              <w:t>采用门扇所能承受的撞击体最大下落高度作为分级指标，软重物下落高</w:t>
            </w:r>
            <w:r>
              <w:rPr>
                <w:rFonts w:hint="eastAsia" w:ascii="宋体" w:hAnsi="宋体" w:cs="宋体"/>
                <w:color w:val="auto"/>
                <w:kern w:val="0"/>
                <w:sz w:val="24"/>
                <w:szCs w:val="24"/>
                <w:highlight w:val="none"/>
                <w:lang w:val="zh-TW" w:bidi="zh-TW"/>
              </w:rPr>
              <w:t>：</w:t>
            </w:r>
            <w:r>
              <w:rPr>
                <w:rFonts w:ascii="宋体" w:hAnsi="宋体" w:cs="宋体"/>
                <w:color w:val="auto"/>
                <w:kern w:val="0"/>
                <w:sz w:val="24"/>
                <w:szCs w:val="24"/>
                <w:highlight w:val="none"/>
                <w:lang w:val="zh-TW" w:eastAsia="zh-TW" w:bidi="zh-TW"/>
              </w:rPr>
              <w:t>100</w:t>
            </w:r>
            <w:r>
              <w:rPr>
                <w:rFonts w:hint="eastAsia" w:ascii="宋体" w:hAnsi="宋体" w:cs="宋体"/>
                <w:color w:val="auto"/>
                <w:kern w:val="0"/>
                <w:sz w:val="24"/>
                <w:szCs w:val="24"/>
                <w:highlight w:val="none"/>
                <w:lang w:val="zh-TW" w:bidi="zh-TW"/>
              </w:rPr>
              <w:t>（</w:t>
            </w:r>
            <w:r>
              <w:rPr>
                <w:rFonts w:hint="eastAsia" w:ascii="宋体" w:hAnsi="宋体" w:cs="宋体"/>
                <w:color w:val="auto"/>
                <w:kern w:val="0"/>
                <w:sz w:val="24"/>
                <w:szCs w:val="24"/>
                <w:highlight w:val="none"/>
                <w:lang w:val="zh-TW" w:eastAsia="zh-TW" w:bidi="zh-TW"/>
              </w:rPr>
              <w:t>单位为毫米</w:t>
            </w:r>
            <w:r>
              <w:rPr>
                <w:rFonts w:hint="eastAsia" w:ascii="宋体" w:hAnsi="宋体" w:cs="宋体"/>
                <w:color w:val="auto"/>
                <w:kern w:val="0"/>
                <w:sz w:val="24"/>
                <w:szCs w:val="24"/>
                <w:highlight w:val="none"/>
                <w:lang w:val="zh-TW" w:bidi="zh-TW"/>
              </w:rPr>
              <w:t>）</w:t>
            </w:r>
          </w:p>
          <w:p>
            <w:pPr>
              <w:autoSpaceDE w:val="0"/>
              <w:autoSpaceDN w:val="0"/>
              <w:spacing w:after="40" w:line="360" w:lineRule="auto"/>
              <w:jc w:val="left"/>
              <w:rPr>
                <w:rFonts w:ascii="宋体" w:hAnsi="宋体" w:cs="宋体"/>
                <w:color w:val="auto"/>
                <w:kern w:val="0"/>
                <w:sz w:val="24"/>
                <w:szCs w:val="24"/>
                <w:highlight w:val="none"/>
                <w:lang w:bidi="zh-TW"/>
              </w:rPr>
            </w:pPr>
            <w:r>
              <w:rPr>
                <w:rFonts w:ascii="宋体" w:hAnsi="宋体" w:cs="宋体"/>
                <w:color w:val="auto"/>
                <w:kern w:val="0"/>
                <w:sz w:val="24"/>
                <w:szCs w:val="24"/>
                <w:highlight w:val="none"/>
                <w:lang w:bidi="zh-TW"/>
              </w:rPr>
              <w:t>6.</w:t>
            </w:r>
            <w:r>
              <w:rPr>
                <w:rFonts w:hint="eastAsia" w:ascii="宋体" w:hAnsi="宋体" w:cs="宋体"/>
                <w:color w:val="auto"/>
                <w:kern w:val="0"/>
                <w:sz w:val="24"/>
                <w:szCs w:val="24"/>
                <w:highlight w:val="none"/>
                <w:lang w:bidi="zh-TW"/>
              </w:rPr>
              <w:t>耐垂直荷载性能：</w:t>
            </w:r>
          </w:p>
          <w:p>
            <w:pPr>
              <w:autoSpaceDE w:val="0"/>
              <w:autoSpaceDN w:val="0"/>
              <w:spacing w:after="40" w:line="360" w:lineRule="auto"/>
              <w:jc w:val="left"/>
              <w:rPr>
                <w:rFonts w:ascii="宋体" w:hAnsi="宋体" w:cs="宋体"/>
                <w:color w:val="auto"/>
                <w:kern w:val="0"/>
                <w:sz w:val="24"/>
                <w:szCs w:val="24"/>
                <w:highlight w:val="none"/>
                <w:lang w:val="zh-TW" w:bidi="zh-TW"/>
              </w:rPr>
            </w:pPr>
            <w:r>
              <w:rPr>
                <w:rFonts w:hint="eastAsia" w:ascii="宋体" w:hAnsi="宋体" w:cs="宋体"/>
                <w:color w:val="auto"/>
                <w:kern w:val="0"/>
                <w:sz w:val="24"/>
                <w:szCs w:val="24"/>
                <w:highlight w:val="none"/>
                <w:lang w:val="zh-TW" w:eastAsia="zh-TW" w:bidi="zh-TW"/>
              </w:rPr>
              <w:t>钢门窗的耐垂直荷载性能，采用活动扇残余变形量不大于</w:t>
            </w:r>
            <w:r>
              <w:rPr>
                <w:rFonts w:ascii="宋体" w:hAnsi="宋体" w:cs="宋体"/>
                <w:color w:val="auto"/>
                <w:kern w:val="0"/>
                <w:sz w:val="24"/>
                <w:szCs w:val="24"/>
                <w:highlight w:val="none"/>
                <w:lang w:val="zh-TW" w:eastAsia="zh-TW" w:bidi="zh-TW"/>
              </w:rPr>
              <w:t xml:space="preserve">3 </w:t>
            </w:r>
            <w:r>
              <w:rPr>
                <w:rFonts w:ascii="宋体" w:hAnsi="宋体" w:cs="宋体"/>
                <w:color w:val="auto"/>
                <w:kern w:val="0"/>
                <w:sz w:val="24"/>
                <w:szCs w:val="24"/>
                <w:highlight w:val="none"/>
                <w:lang w:bidi="zh-TW"/>
              </w:rPr>
              <w:t>mm</w:t>
            </w:r>
            <w:r>
              <w:rPr>
                <w:rFonts w:hint="eastAsia" w:ascii="宋体" w:hAnsi="宋体" w:cs="宋体"/>
                <w:color w:val="auto"/>
                <w:kern w:val="0"/>
                <w:sz w:val="24"/>
                <w:szCs w:val="24"/>
                <w:highlight w:val="none"/>
                <w:lang w:val="zh-TW" w:eastAsia="zh-TW" w:bidi="zh-TW"/>
              </w:rPr>
              <w:t>时所承受的最大垂直荷载</w:t>
            </w:r>
            <w:r>
              <w:rPr>
                <w:rFonts w:ascii="宋体" w:hAnsi="宋体" w:cs="宋体"/>
                <w:color w:val="auto"/>
                <w:kern w:val="0"/>
                <w:sz w:val="24"/>
                <w:szCs w:val="24"/>
                <w:highlight w:val="none"/>
                <w:lang w:bidi="zh-TW"/>
              </w:rPr>
              <w:t xml:space="preserve">F </w:t>
            </w:r>
            <w:r>
              <w:rPr>
                <w:rFonts w:hint="eastAsia" w:ascii="宋体" w:hAnsi="宋体" w:cs="宋体"/>
                <w:color w:val="auto"/>
                <w:kern w:val="0"/>
                <w:sz w:val="24"/>
                <w:szCs w:val="24"/>
                <w:highlight w:val="none"/>
                <w:lang w:val="zh-TW" w:eastAsia="zh-TW" w:bidi="zh-TW"/>
              </w:rPr>
              <w:t>作为分级指标，</w:t>
            </w:r>
            <w:r>
              <w:rPr>
                <w:rFonts w:ascii="宋体" w:hAnsi="宋体" w:cs="宋体"/>
                <w:color w:val="auto"/>
                <w:kern w:val="0"/>
                <w:sz w:val="24"/>
                <w:szCs w:val="24"/>
                <w:highlight w:val="none"/>
                <w:lang w:bidi="zh-TW"/>
              </w:rPr>
              <w:t>F：</w:t>
            </w:r>
            <w:r>
              <w:rPr>
                <w:rFonts w:ascii="宋体" w:hAnsi="宋体" w:cs="宋体"/>
                <w:color w:val="auto"/>
                <w:kern w:val="0"/>
                <w:sz w:val="24"/>
                <w:szCs w:val="24"/>
                <w:highlight w:val="none"/>
                <w:lang w:val="zh-TW" w:eastAsia="zh-TW" w:bidi="zh-TW"/>
              </w:rPr>
              <w:t>100</w:t>
            </w:r>
            <w:r>
              <w:rPr>
                <w:rFonts w:hint="eastAsia" w:ascii="宋体" w:hAnsi="宋体" w:cs="宋体"/>
                <w:color w:val="auto"/>
                <w:kern w:val="0"/>
                <w:sz w:val="24"/>
                <w:szCs w:val="24"/>
                <w:highlight w:val="none"/>
                <w:lang w:val="zh-TW" w:bidi="zh-TW"/>
              </w:rPr>
              <w:t>（</w:t>
            </w:r>
            <w:r>
              <w:rPr>
                <w:rFonts w:hint="eastAsia" w:ascii="宋体" w:hAnsi="宋体" w:cs="宋体"/>
                <w:color w:val="auto"/>
                <w:kern w:val="0"/>
                <w:sz w:val="24"/>
                <w:szCs w:val="24"/>
                <w:highlight w:val="none"/>
                <w:lang w:val="zh-TW" w:eastAsia="zh-TW" w:bidi="zh-TW"/>
              </w:rPr>
              <w:t>单位为牛顿</w:t>
            </w:r>
            <w:r>
              <w:rPr>
                <w:rFonts w:hint="eastAsia" w:ascii="宋体" w:hAnsi="宋体" w:cs="宋体"/>
                <w:color w:val="auto"/>
                <w:kern w:val="0"/>
                <w:sz w:val="24"/>
                <w:szCs w:val="24"/>
                <w:highlight w:val="none"/>
                <w:lang w:val="zh-TW" w:bidi="zh-TW"/>
              </w:rPr>
              <w:t>）</w:t>
            </w:r>
          </w:p>
          <w:p>
            <w:pPr>
              <w:rPr>
                <w:rFonts w:ascii="宋体" w:hAnsi="宋体" w:cstheme="minorBidi"/>
                <w:color w:val="auto"/>
                <w:sz w:val="24"/>
                <w:szCs w:val="24"/>
                <w:highlight w:val="none"/>
              </w:rPr>
            </w:pPr>
            <w:r>
              <w:rPr>
                <w:rFonts w:ascii="宋体" w:hAnsi="宋体" w:cstheme="minorBidi"/>
                <w:color w:val="auto"/>
                <w:sz w:val="24"/>
                <w:szCs w:val="24"/>
                <w:highlight w:val="none"/>
              </w:rPr>
              <w:t>7.</w:t>
            </w:r>
            <w:r>
              <w:rPr>
                <w:rFonts w:hint="eastAsia" w:ascii="宋体" w:hAnsi="宋体" w:cstheme="minorBidi"/>
                <w:color w:val="auto"/>
                <w:sz w:val="24"/>
                <w:szCs w:val="24"/>
                <w:highlight w:val="none"/>
              </w:rPr>
              <w:t>有防辐射要求的手术室，需达到相应的当量要求</w:t>
            </w:r>
          </w:p>
        </w:tc>
      </w:tr>
    </w:tbl>
    <w:p>
      <w:pPr>
        <w:rPr>
          <w:rFonts w:ascii="宋体" w:hAnsi="宋体" w:cstheme="minorBidi"/>
          <w:color w:val="auto"/>
          <w:sz w:val="24"/>
          <w:szCs w:val="24"/>
          <w:highlight w:val="none"/>
        </w:rPr>
      </w:pPr>
    </w:p>
    <w:p>
      <w:pPr>
        <w:outlineLvl w:val="2"/>
        <w:rPr>
          <w:rFonts w:ascii="宋体" w:hAnsi="宋体" w:cstheme="minorBidi"/>
          <w:color w:val="auto"/>
          <w:sz w:val="24"/>
          <w:szCs w:val="24"/>
          <w:highlight w:val="none"/>
        </w:rPr>
      </w:pPr>
      <w:r>
        <w:rPr>
          <w:rFonts w:hint="eastAsia" w:ascii="宋体" w:hAnsi="宋体" w:cstheme="minorBidi"/>
          <w:color w:val="auto"/>
          <w:sz w:val="24"/>
          <w:szCs w:val="24"/>
          <w:highlight w:val="none"/>
        </w:rPr>
        <w:t>（二）</w:t>
      </w:r>
      <w:r>
        <w:rPr>
          <w:rFonts w:hint="eastAsia" w:ascii="宋体" w:hAnsi="宋体" w:cstheme="minorBidi"/>
          <w:b/>
          <w:bCs/>
          <w:color w:val="auto"/>
          <w:sz w:val="24"/>
          <w:szCs w:val="24"/>
          <w:highlight w:val="none"/>
        </w:rPr>
        <w:t>净化空调系统主要设备材料技术、质量要求</w:t>
      </w:r>
    </w:p>
    <w:tbl>
      <w:tblPr>
        <w:tblStyle w:val="54"/>
        <w:tblW w:w="850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2"/>
        <w:gridCol w:w="1225"/>
        <w:gridCol w:w="67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512"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序号</w:t>
            </w:r>
          </w:p>
        </w:tc>
        <w:tc>
          <w:tcPr>
            <w:tcW w:w="1225"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产品名称</w:t>
            </w:r>
          </w:p>
        </w:tc>
        <w:tc>
          <w:tcPr>
            <w:tcW w:w="6771"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产品技术要求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12" w:type="dxa"/>
            <w:tcBorders>
              <w:bottom w:val="single" w:color="000000" w:sz="4" w:space="0"/>
            </w:tcBorders>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1</w:t>
            </w:r>
          </w:p>
        </w:tc>
        <w:tc>
          <w:tcPr>
            <w:tcW w:w="1225"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洁净循环空气处理机组</w:t>
            </w:r>
          </w:p>
        </w:tc>
        <w:tc>
          <w:tcPr>
            <w:tcW w:w="6771" w:type="dxa"/>
          </w:tcPr>
          <w:p>
            <w:pPr>
              <w:numPr>
                <w:ilvl w:val="0"/>
                <w:numId w:val="26"/>
              </w:numPr>
              <w:rPr>
                <w:rFonts w:ascii="宋体" w:hAnsi="宋体" w:cs="宋体"/>
                <w:color w:val="auto"/>
                <w:sz w:val="24"/>
                <w:highlight w:val="none"/>
              </w:rPr>
            </w:pPr>
            <w:r>
              <w:rPr>
                <w:rFonts w:hint="eastAsia" w:ascii="宋体" w:hAnsi="宋体" w:cs="宋体"/>
                <w:color w:val="auto"/>
                <w:sz w:val="24"/>
                <w:highlight w:val="none"/>
              </w:rPr>
              <w:t>空调机组生产厂家的实验室必须通过国家</w:t>
            </w:r>
            <w:r>
              <w:rPr>
                <w:rFonts w:ascii="宋体" w:hAnsi="宋体" w:cs="宋体"/>
                <w:color w:val="auto"/>
                <w:sz w:val="24"/>
                <w:highlight w:val="none"/>
              </w:rPr>
              <w:t>CNAS认证，提供CNAS中英文认证证书以及CNAS证书附件，附件内容应包含组合式空气处理机组，提供复印件并加盖公章。</w:t>
            </w:r>
          </w:p>
          <w:p>
            <w:pPr>
              <w:numPr>
                <w:ilvl w:val="0"/>
                <w:numId w:val="26"/>
              </w:numPr>
              <w:rPr>
                <w:rFonts w:ascii="宋体" w:hAnsi="宋体" w:cs="宋体"/>
                <w:color w:val="auto"/>
                <w:sz w:val="24"/>
                <w:highlight w:val="none"/>
              </w:rPr>
            </w:pPr>
            <w:r>
              <w:rPr>
                <w:rFonts w:hint="eastAsia" w:ascii="宋体" w:hAnsi="宋体" w:cs="宋体"/>
                <w:color w:val="auto"/>
                <w:sz w:val="24"/>
                <w:highlight w:val="none"/>
              </w:rPr>
              <w:t>机组箱板采用防冷桥双面板保温板，内填充保温材料保温层采用高压聚氨脂（</w:t>
            </w:r>
            <w:r>
              <w:rPr>
                <w:rFonts w:ascii="宋体" w:hAnsi="宋体" w:cs="宋体"/>
                <w:color w:val="auto"/>
                <w:sz w:val="24"/>
                <w:highlight w:val="none"/>
              </w:rPr>
              <w:t>PU）发泡材料，密度≥50kg/m3，导热系数≤0.0206W/m.℃，提供检测报告复印件加盖公章。</w:t>
            </w:r>
          </w:p>
          <w:p>
            <w:pPr>
              <w:numPr>
                <w:ilvl w:val="0"/>
                <w:numId w:val="26"/>
              </w:numPr>
              <w:rPr>
                <w:rFonts w:ascii="宋体" w:hAnsi="宋体" w:cs="宋体"/>
                <w:color w:val="auto"/>
                <w:sz w:val="24"/>
                <w:highlight w:val="none"/>
              </w:rPr>
            </w:pPr>
            <w:r>
              <w:rPr>
                <w:rFonts w:hint="eastAsia" w:ascii="宋体" w:hAnsi="宋体" w:cs="宋体"/>
                <w:color w:val="auto"/>
                <w:sz w:val="24"/>
                <w:highlight w:val="none"/>
              </w:rPr>
              <w:t>空调机组生产厂家所生产的空调机组</w:t>
            </w:r>
            <w:r>
              <w:rPr>
                <w:rFonts w:hint="eastAsia" w:ascii="宋体" w:hAnsi="宋体" w:cs="宋体"/>
                <w:b/>
                <w:color w:val="auto"/>
                <w:sz w:val="24"/>
                <w:highlight w:val="none"/>
              </w:rPr>
              <w:t>整机</w:t>
            </w:r>
            <w:r>
              <w:rPr>
                <w:rFonts w:hint="eastAsia" w:ascii="宋体" w:hAnsi="宋体" w:cs="宋体"/>
                <w:color w:val="auto"/>
                <w:sz w:val="24"/>
                <w:highlight w:val="none"/>
              </w:rPr>
              <w:t>通过美国空调制冷协会的</w:t>
            </w:r>
            <w:r>
              <w:rPr>
                <w:rFonts w:ascii="宋体" w:hAnsi="宋体" w:cs="宋体"/>
                <w:color w:val="auto"/>
                <w:sz w:val="24"/>
                <w:highlight w:val="none"/>
              </w:rPr>
              <w:t>AHRI认证，提供复印件并加盖公章。</w:t>
            </w:r>
          </w:p>
          <w:p>
            <w:pPr>
              <w:numPr>
                <w:ilvl w:val="0"/>
                <w:numId w:val="26"/>
              </w:numPr>
              <w:rPr>
                <w:rFonts w:ascii="宋体" w:hAnsi="宋体" w:cs="宋体"/>
                <w:color w:val="auto"/>
                <w:sz w:val="24"/>
                <w:highlight w:val="none"/>
              </w:rPr>
            </w:pPr>
            <w:r>
              <w:rPr>
                <w:rFonts w:hint="eastAsia" w:ascii="宋体" w:hAnsi="宋体" w:cs="宋体"/>
                <w:color w:val="auto"/>
                <w:sz w:val="24"/>
                <w:highlight w:val="none"/>
              </w:rPr>
              <w:t>空调机组厂家需通过</w:t>
            </w:r>
            <w:r>
              <w:rPr>
                <w:rFonts w:ascii="宋体" w:hAnsi="宋体" w:cs="宋体"/>
                <w:color w:val="auto"/>
                <w:sz w:val="24"/>
                <w:highlight w:val="none"/>
              </w:rPr>
              <w:t>TUV</w:t>
            </w:r>
            <w:r>
              <w:rPr>
                <w:rFonts w:hint="eastAsia" w:ascii="宋体" w:hAnsi="宋体" w:cs="宋体"/>
                <w:color w:val="auto"/>
                <w:sz w:val="24"/>
                <w:highlight w:val="none"/>
              </w:rPr>
              <w:t>认证，提供认证证书复印件并加盖公章。</w:t>
            </w:r>
          </w:p>
          <w:p>
            <w:pPr>
              <w:numPr>
                <w:ilvl w:val="0"/>
                <w:numId w:val="26"/>
              </w:numPr>
              <w:rPr>
                <w:rFonts w:ascii="宋体" w:hAnsi="宋体" w:cs="宋体"/>
                <w:color w:val="auto"/>
                <w:sz w:val="24"/>
                <w:highlight w:val="none"/>
              </w:rPr>
            </w:pPr>
            <w:r>
              <w:rPr>
                <w:rFonts w:hint="eastAsia" w:ascii="宋体" w:hAnsi="宋体" w:cs="宋体"/>
                <w:color w:val="auto"/>
                <w:sz w:val="24"/>
                <w:highlight w:val="none"/>
              </w:rPr>
              <w:t>空调机组生产厂家应具有制冷空调产品认证证书（</w:t>
            </w:r>
            <w:r>
              <w:rPr>
                <w:rFonts w:ascii="宋体" w:hAnsi="宋体" w:cs="宋体"/>
                <w:color w:val="auto"/>
                <w:sz w:val="24"/>
                <w:highlight w:val="none"/>
              </w:rPr>
              <w:t>CRAA）认证，提供复印件并加盖公章。</w:t>
            </w:r>
          </w:p>
          <w:p>
            <w:pPr>
              <w:rPr>
                <w:rFonts w:ascii="宋体" w:hAnsi="宋体" w:cs="宋体"/>
                <w:color w:val="auto"/>
                <w:sz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6.</w:t>
            </w:r>
            <w:r>
              <w:rPr>
                <w:rFonts w:hint="eastAsia" w:ascii="宋体" w:hAnsi="宋体" w:cs="宋体"/>
                <w:color w:val="auto"/>
                <w:sz w:val="24"/>
                <w:highlight w:val="none"/>
              </w:rPr>
              <w:t>空调机组生产厂家应有欧洲制冷空调、空气处理设备制造商协会颁布的</w:t>
            </w:r>
            <w:r>
              <w:rPr>
                <w:rFonts w:ascii="宋体" w:hAnsi="宋体" w:cs="宋体"/>
                <w:color w:val="auto"/>
                <w:sz w:val="24"/>
                <w:highlight w:val="none"/>
              </w:rPr>
              <w:t>Eurovent认证，提供证书复印件并加盖公章。</w:t>
            </w:r>
          </w:p>
          <w:p>
            <w:pPr>
              <w:rPr>
                <w:rFonts w:ascii="宋体" w:hAnsi="宋体" w:cs="宋体"/>
                <w:color w:val="auto"/>
                <w:sz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7.</w:t>
            </w:r>
            <w:r>
              <w:rPr>
                <w:rFonts w:hint="eastAsia" w:ascii="宋体" w:hAnsi="宋体" w:cs="宋体"/>
                <w:color w:val="auto"/>
                <w:sz w:val="24"/>
                <w:highlight w:val="none"/>
              </w:rPr>
              <w:t>空调机组生产厂家所生产的空调机组各项性能参数应达到欧洲</w:t>
            </w:r>
            <w:r>
              <w:rPr>
                <w:rFonts w:ascii="宋体" w:hAnsi="宋体" w:cs="宋体"/>
                <w:color w:val="auto"/>
                <w:sz w:val="24"/>
                <w:highlight w:val="none"/>
              </w:rPr>
              <w:t>Eurovent标准，其中，箱体强度需达到D1级，在-400pa和+700pa时，漏风率达到L2级，冷桥因子达到TB2级，提供官网查询数据截图并加盖公章。</w:t>
            </w:r>
          </w:p>
          <w:p>
            <w:pPr>
              <w:rPr>
                <w:rFonts w:ascii="宋体" w:hAnsi="宋体" w:cs="宋体"/>
                <w:color w:val="auto"/>
                <w:sz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8</w:t>
            </w:r>
            <w:r>
              <w:rPr>
                <w:rFonts w:ascii="宋体" w:hAnsi="宋体"/>
                <w:bCs/>
                <w:color w:val="auto"/>
                <w:sz w:val="24"/>
                <w:szCs w:val="24"/>
                <w:highlight w:val="none"/>
                <w:u w:val="single"/>
              </w:rPr>
              <w:t>.</w:t>
            </w:r>
            <w:r>
              <w:rPr>
                <w:rFonts w:hint="eastAsia" w:ascii="宋体" w:hAnsi="宋体" w:cs="宋体"/>
                <w:color w:val="auto"/>
                <w:sz w:val="24"/>
                <w:highlight w:val="none"/>
              </w:rPr>
              <w:t>箱体结构采用无框架式结构，有效降低漏风率、变形率及冷桥因子，</w:t>
            </w:r>
            <w:r>
              <w:rPr>
                <w:rFonts w:hint="eastAsia" w:ascii="宋体" w:hAnsi="宋体" w:cs="宋体"/>
                <w:color w:val="auto"/>
                <w:kern w:val="0"/>
                <w:sz w:val="24"/>
                <w:highlight w:val="none"/>
              </w:rPr>
              <w:t>提供机组结构证明文件复印件并加盖公章。</w:t>
            </w:r>
          </w:p>
          <w:p>
            <w:pPr>
              <w:rPr>
                <w:rFonts w:ascii="宋体" w:hAnsi="宋体" w:cs="宋体"/>
                <w:color w:val="auto"/>
                <w:sz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9.</w:t>
            </w:r>
            <w:r>
              <w:rPr>
                <w:rFonts w:hint="eastAsia" w:ascii="宋体" w:hAnsi="宋体" w:cs="宋体"/>
                <w:color w:val="auto"/>
                <w:sz w:val="24"/>
                <w:highlight w:val="none"/>
              </w:rPr>
              <w:t>空调机组箱体的密封应可靠，根据</w:t>
            </w:r>
            <w:r>
              <w:rPr>
                <w:rFonts w:ascii="宋体" w:hAnsi="宋体" w:cs="宋体"/>
                <w:color w:val="auto"/>
                <w:sz w:val="24"/>
                <w:highlight w:val="none"/>
              </w:rPr>
              <w:t>GB/T 14294-2008</w:t>
            </w:r>
            <w:r>
              <w:rPr>
                <w:rFonts w:hint="eastAsia" w:ascii="宋体" w:hAnsi="宋体" w:cs="宋体"/>
                <w:color w:val="auto"/>
                <w:sz w:val="24"/>
                <w:highlight w:val="none"/>
              </w:rPr>
              <w:t>标准，箱体的漏风率不应大于</w:t>
            </w:r>
            <w:r>
              <w:rPr>
                <w:rFonts w:ascii="宋体" w:hAnsi="宋体" w:cs="宋体"/>
                <w:color w:val="auto"/>
                <w:sz w:val="24"/>
                <w:highlight w:val="none"/>
              </w:rPr>
              <w:t>0.03%，提供第三方检测报告复印件并加盖公章。</w:t>
            </w:r>
          </w:p>
          <w:p>
            <w:pPr>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表冷盘管采用防腐亲水铝箔，要求换热效率高，并能避免表冷器表面出现水滴改为水珠现象。接水盘采用</w:t>
            </w:r>
            <w:r>
              <w:rPr>
                <w:rFonts w:ascii="宋体" w:hAnsi="宋体" w:cs="宋体"/>
                <w:color w:val="auto"/>
                <w:sz w:val="24"/>
                <w:highlight w:val="none"/>
              </w:rPr>
              <w:t>304不锈钢材质，避免生锈现象。</w:t>
            </w:r>
          </w:p>
          <w:p>
            <w:pPr>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内部结构：内表面应光滑平整，无凹槽、凸起，便于清洗并能顺利排水。</w:t>
            </w:r>
          </w:p>
          <w:p>
            <w:pPr>
              <w:rPr>
                <w:rFonts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空调机组应具有保温措施与防冷桥措施并提供证明文件，要求传热系数不大于</w:t>
            </w:r>
            <w:r>
              <w:rPr>
                <w:rFonts w:ascii="宋体" w:hAnsi="宋体" w:cs="宋体"/>
                <w:color w:val="auto"/>
                <w:sz w:val="24"/>
                <w:highlight w:val="none"/>
              </w:rPr>
              <w:t>0.5w/(m2.k),以降低传热损失，避免外表结露；冷桥因子≥0.88，并提供国际权威认证检测报告复印件并加盖公章。</w:t>
            </w:r>
          </w:p>
          <w:p>
            <w:pPr>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空调机组因具有很好的保温性能，稳定运行</w:t>
            </w:r>
            <w:r>
              <w:rPr>
                <w:rFonts w:ascii="宋体" w:hAnsi="宋体" w:cs="宋体"/>
                <w:color w:val="auto"/>
                <w:sz w:val="24"/>
                <w:highlight w:val="none"/>
              </w:rPr>
              <w:t>4小时无凝露现象，提供权威认证出具的凝露实验报告并加盖公章。</w:t>
            </w:r>
          </w:p>
          <w:p>
            <w:pPr>
              <w:rPr>
                <w:rFonts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箱体拥有足够的强度，机械强度要求±</w:t>
            </w:r>
            <w:r>
              <w:rPr>
                <w:rFonts w:ascii="宋体" w:hAnsi="宋体" w:cs="宋体"/>
                <w:color w:val="auto"/>
                <w:sz w:val="24"/>
                <w:highlight w:val="none"/>
              </w:rPr>
              <w:t>1000pa＜2mm，并提供国际权威机构认证复印件报告并加盖公章；在运输，启动，运行，停机时都不得出现凹凸变形的现象。</w:t>
            </w:r>
          </w:p>
          <w:p>
            <w:pPr>
              <w:rPr>
                <w:rFonts w:ascii="宋体" w:hAnsi="宋体" w:cs="宋体"/>
                <w:color w:val="auto"/>
                <w:sz w:val="24"/>
                <w:highlight w:val="none"/>
              </w:rPr>
            </w:pPr>
            <w:r>
              <w:rPr>
                <w:rFonts w:ascii="宋体" w:hAnsi="宋体" w:cs="宋体"/>
                <w:color w:val="auto"/>
                <w:sz w:val="24"/>
                <w:highlight w:val="none"/>
              </w:rPr>
              <w:t>15.</w:t>
            </w:r>
            <w:r>
              <w:rPr>
                <w:rFonts w:hint="eastAsia" w:ascii="宋体" w:hAnsi="宋体" w:cs="宋体"/>
                <w:color w:val="auto"/>
                <w:sz w:val="24"/>
                <w:highlight w:val="none"/>
              </w:rPr>
              <w:t>所有检修门为方便检修，均为外开式，铝合金材质，整体发泡成型，有双重刀口密封，运行无泄露，提供相应的证明文件复印件并加盖公章。</w:t>
            </w:r>
            <w:r>
              <w:rPr>
                <w:rFonts w:ascii="宋体" w:hAnsi="宋体" w:cs="宋体"/>
                <w:color w:val="auto"/>
                <w:kern w:val="0"/>
                <w:sz w:val="24"/>
                <w:highlight w:val="none"/>
              </w:rPr>
              <w:t xml:space="preserve"> </w:t>
            </w:r>
          </w:p>
          <w:p>
            <w:pPr>
              <w:rPr>
                <w:rFonts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采用</w:t>
            </w:r>
            <w:r>
              <w:rPr>
                <w:rFonts w:ascii="宋体" w:hAnsi="宋体" w:cs="宋体"/>
                <w:color w:val="auto"/>
                <w:sz w:val="24"/>
                <w:highlight w:val="none"/>
              </w:rPr>
              <w:t>WIKA</w:t>
            </w:r>
            <w:r>
              <w:rPr>
                <w:rFonts w:hint="eastAsia" w:ascii="宋体" w:hAnsi="宋体" w:cs="宋体"/>
                <w:color w:val="auto"/>
                <w:sz w:val="24"/>
                <w:highlight w:val="none"/>
              </w:rPr>
              <w:t>指针式压差计，连接管为不锈钢管。</w:t>
            </w:r>
          </w:p>
          <w:p>
            <w:pPr>
              <w:rPr>
                <w:rFonts w:ascii="宋体" w:hAnsi="宋体" w:cs="宋体"/>
                <w:color w:val="auto"/>
                <w:sz w:val="24"/>
                <w:highlight w:val="none"/>
              </w:rPr>
            </w:pPr>
            <w:r>
              <w:rPr>
                <w:rFonts w:ascii="宋体" w:hAnsi="宋体" w:cs="宋体"/>
                <w:color w:val="auto"/>
                <w:sz w:val="24"/>
                <w:highlight w:val="none"/>
              </w:rPr>
              <w:t>17.</w:t>
            </w:r>
            <w:r>
              <w:rPr>
                <w:rFonts w:hint="eastAsia" w:ascii="宋体" w:hAnsi="宋体" w:cs="宋体"/>
                <w:color w:val="auto"/>
                <w:sz w:val="24"/>
                <w:highlight w:val="none"/>
              </w:rPr>
              <w:t>投标单位必须提供生产厂家出具的针对此项目的授权书。</w:t>
            </w:r>
          </w:p>
          <w:p>
            <w:pPr>
              <w:rPr>
                <w:rFonts w:ascii="宋体" w:hAnsi="宋体" w:cstheme="minorBidi"/>
                <w:color w:val="auto"/>
                <w:sz w:val="24"/>
                <w:szCs w:val="24"/>
                <w:highlight w:val="none"/>
              </w:rPr>
            </w:pPr>
            <w:r>
              <w:rPr>
                <w:rFonts w:hint="eastAsia" w:ascii="宋体" w:hAnsi="宋体"/>
                <w:bCs/>
                <w:color w:val="auto"/>
                <w:sz w:val="24"/>
                <w:szCs w:val="24"/>
                <w:highlight w:val="none"/>
              </w:rPr>
              <w:t>注：以上加▲标注的认证是检测医用空气处理机组专业产品品质的重要标准，要求必须提供</w:t>
            </w:r>
            <w:r>
              <w:rPr>
                <w:rFonts w:hint="eastAsia" w:ascii="宋体" w:hAnsi="宋体" w:cs="宋体"/>
                <w:color w:val="auto"/>
                <w:kern w:val="0"/>
                <w:sz w:val="24"/>
                <w:szCs w:val="24"/>
                <w:highlight w:val="none"/>
              </w:rPr>
              <w:t>具有主要参数指标的产品样册、第三方检测报告、认证证书并加盖生产厂家公章。</w:t>
            </w:r>
          </w:p>
          <w:p>
            <w:pPr>
              <w:rPr>
                <w:rFonts w:ascii="宋体" w:hAnsi="宋体" w:cstheme="minorBidi"/>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1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2</w:t>
            </w:r>
          </w:p>
        </w:tc>
        <w:tc>
          <w:tcPr>
            <w:tcW w:w="1225" w:type="dxa"/>
            <w:vAlign w:val="center"/>
          </w:tcPr>
          <w:p>
            <w:pPr>
              <w:jc w:val="left"/>
              <w:rPr>
                <w:rFonts w:ascii="宋体" w:hAnsi="宋体" w:cstheme="minorBidi"/>
                <w:color w:val="auto"/>
                <w:sz w:val="24"/>
                <w:szCs w:val="24"/>
                <w:highlight w:val="none"/>
              </w:rPr>
            </w:pPr>
            <w:r>
              <w:rPr>
                <w:rFonts w:hint="eastAsia" w:ascii="宋体" w:hAnsi="宋体" w:cstheme="minorBidi"/>
                <w:color w:val="auto"/>
                <w:sz w:val="24"/>
                <w:szCs w:val="24"/>
                <w:highlight w:val="none"/>
              </w:rPr>
              <w:t>变频器</w:t>
            </w:r>
          </w:p>
        </w:tc>
        <w:tc>
          <w:tcPr>
            <w:tcW w:w="6771" w:type="dxa"/>
          </w:tcPr>
          <w:p>
            <w:pPr>
              <w:jc w:val="left"/>
              <w:rPr>
                <w:color w:val="auto"/>
                <w:highlight w:val="none"/>
              </w:rPr>
            </w:pPr>
            <w:r>
              <w:rPr>
                <w:rFonts w:ascii="宋体" w:hAnsi="宋体" w:cstheme="minorBidi"/>
                <w:color w:val="auto"/>
                <w:sz w:val="24"/>
                <w:szCs w:val="24"/>
                <w:highlight w:val="none"/>
              </w:rPr>
              <w:t>1、采用风机电机专用变频器系列；</w:t>
            </w:r>
          </w:p>
          <w:p>
            <w:pPr>
              <w:jc w:val="left"/>
              <w:rPr>
                <w:color w:val="auto"/>
                <w:highlight w:val="none"/>
              </w:rPr>
            </w:pPr>
            <w:r>
              <w:rPr>
                <w:rFonts w:ascii="宋体" w:hAnsi="宋体" w:cstheme="minorBidi"/>
                <w:color w:val="auto"/>
                <w:sz w:val="24"/>
                <w:szCs w:val="24"/>
                <w:highlight w:val="none"/>
              </w:rPr>
              <w:t>2、自带PID</w:t>
            </w:r>
            <w:r>
              <w:rPr>
                <w:rFonts w:hint="eastAsia" w:ascii="宋体" w:hAnsi="宋体" w:cstheme="minorBidi"/>
                <w:color w:val="auto"/>
                <w:sz w:val="24"/>
                <w:szCs w:val="24"/>
                <w:highlight w:val="none"/>
              </w:rPr>
              <w:t>控制回路；</w:t>
            </w:r>
          </w:p>
          <w:p>
            <w:pPr>
              <w:jc w:val="left"/>
              <w:rPr>
                <w:color w:val="auto"/>
                <w:highlight w:val="none"/>
              </w:rPr>
            </w:pPr>
            <w:r>
              <w:rPr>
                <w:rFonts w:ascii="宋体" w:hAnsi="宋体" w:cstheme="minorBidi"/>
                <w:color w:val="auto"/>
                <w:sz w:val="24"/>
                <w:szCs w:val="24"/>
                <w:highlight w:val="none"/>
              </w:rPr>
              <w:t>3、能接受控制器输出的模拟量控制信号调节输出频率；</w:t>
            </w:r>
          </w:p>
          <w:p>
            <w:pPr>
              <w:jc w:val="left"/>
              <w:rPr>
                <w:rFonts w:ascii="宋体" w:hAnsi="宋体" w:cstheme="minorBidi"/>
                <w:color w:val="auto"/>
                <w:sz w:val="24"/>
                <w:szCs w:val="24"/>
                <w:highlight w:val="none"/>
              </w:rPr>
            </w:pPr>
            <w:r>
              <w:rPr>
                <w:rFonts w:ascii="宋体" w:hAnsi="宋体" w:cstheme="minorBidi"/>
                <w:color w:val="auto"/>
                <w:sz w:val="24"/>
                <w:szCs w:val="24"/>
                <w:highlight w:val="none"/>
              </w:rPr>
              <w:t>4、提供自动过载保护功能。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1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3</w:t>
            </w:r>
          </w:p>
        </w:tc>
        <w:tc>
          <w:tcPr>
            <w:tcW w:w="1225"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风机盘管</w:t>
            </w:r>
          </w:p>
        </w:tc>
        <w:tc>
          <w:tcPr>
            <w:tcW w:w="6771" w:type="dxa"/>
          </w:tcPr>
          <w:p>
            <w:pPr>
              <w:rPr>
                <w:rFonts w:ascii="宋体" w:hAnsi="宋体" w:cstheme="minorBidi"/>
                <w:color w:val="auto"/>
                <w:sz w:val="24"/>
                <w:szCs w:val="24"/>
                <w:highlight w:val="none"/>
                <w:lang w:val="zh-CN"/>
              </w:rPr>
            </w:pPr>
            <w:r>
              <w:rPr>
                <w:rFonts w:hint="eastAsia" w:ascii="宋体" w:hAnsi="宋体" w:cstheme="minorBidi"/>
                <w:color w:val="auto"/>
                <w:sz w:val="24"/>
                <w:szCs w:val="24"/>
                <w:highlight w:val="none"/>
                <w:lang w:val="zh-CN"/>
              </w:rPr>
              <w:t>结构坚固：风机盘管采用镀锌板机壳，冷凝水盘采用模压工艺一体成型；</w:t>
            </w:r>
          </w:p>
          <w:p>
            <w:pPr>
              <w:rPr>
                <w:rFonts w:ascii="宋体" w:hAnsi="宋体" w:cstheme="minorBidi"/>
                <w:color w:val="auto"/>
                <w:sz w:val="24"/>
                <w:szCs w:val="24"/>
                <w:highlight w:val="none"/>
                <w:lang w:val="zh-CN"/>
              </w:rPr>
            </w:pPr>
            <w:r>
              <w:rPr>
                <w:rFonts w:hint="eastAsia" w:ascii="宋体" w:hAnsi="宋体" w:cstheme="minorBidi"/>
                <w:color w:val="auto"/>
                <w:sz w:val="24"/>
                <w:szCs w:val="24"/>
                <w:highlight w:val="none"/>
                <w:lang w:val="zh-CN"/>
              </w:rPr>
              <w:t>超低噪声：机组采用多翼式离心风轮，并与低噪声永久电容电机达到最佳匹配；</w:t>
            </w:r>
          </w:p>
          <w:p>
            <w:pPr>
              <w:rPr>
                <w:rFonts w:ascii="宋体" w:hAnsi="宋体" w:cstheme="minorBidi"/>
                <w:color w:val="auto"/>
                <w:sz w:val="24"/>
                <w:szCs w:val="24"/>
                <w:highlight w:val="none"/>
                <w:lang w:val="zh-CN"/>
              </w:rPr>
            </w:pPr>
            <w:r>
              <w:rPr>
                <w:rFonts w:hint="eastAsia" w:ascii="宋体" w:hAnsi="宋体" w:cstheme="minorBidi"/>
                <w:color w:val="auto"/>
                <w:sz w:val="24"/>
                <w:szCs w:val="24"/>
                <w:highlight w:val="none"/>
                <w:lang w:val="zh-CN"/>
              </w:rPr>
              <w:t>超高效率：热交换器采用优质φ</w:t>
            </w:r>
            <w:r>
              <w:rPr>
                <w:rFonts w:ascii="宋体" w:hAnsi="宋体" w:cstheme="minorBidi"/>
                <w:color w:val="auto"/>
                <w:sz w:val="24"/>
                <w:szCs w:val="24"/>
                <w:highlight w:val="none"/>
                <w:lang w:val="zh-CN"/>
              </w:rPr>
              <w:t>9.52mm</w:t>
            </w:r>
            <w:r>
              <w:rPr>
                <w:rFonts w:hint="eastAsia" w:ascii="宋体" w:hAnsi="宋体" w:cstheme="minorBidi"/>
                <w:color w:val="auto"/>
                <w:sz w:val="24"/>
                <w:szCs w:val="24"/>
                <w:highlight w:val="none"/>
                <w:lang w:val="zh-CN"/>
              </w:rPr>
              <w:t>铜管和高效亲水覆膜铝翅片，再配以大风量低噪声风机来强化传热；</w:t>
            </w:r>
          </w:p>
          <w:p>
            <w:pPr>
              <w:rPr>
                <w:rFonts w:ascii="宋体" w:hAnsi="宋体" w:cstheme="minorBidi"/>
                <w:color w:val="auto"/>
                <w:sz w:val="24"/>
                <w:szCs w:val="24"/>
                <w:highlight w:val="none"/>
                <w:lang w:val="zh-CN"/>
              </w:rPr>
            </w:pPr>
            <w:r>
              <w:rPr>
                <w:rFonts w:hint="eastAsia" w:ascii="宋体" w:hAnsi="宋体" w:cstheme="minorBidi"/>
                <w:color w:val="auto"/>
                <w:sz w:val="24"/>
                <w:szCs w:val="24"/>
                <w:highlight w:val="none"/>
                <w:lang w:val="zh-CN"/>
              </w:rPr>
              <w:t>可靠保温：采用整体</w:t>
            </w:r>
            <w:r>
              <w:rPr>
                <w:rFonts w:ascii="宋体" w:hAnsi="宋体" w:cstheme="minorBidi"/>
                <w:color w:val="auto"/>
                <w:sz w:val="24"/>
                <w:szCs w:val="24"/>
                <w:highlight w:val="none"/>
                <w:lang w:val="zh-CN"/>
              </w:rPr>
              <w:t>PE</w:t>
            </w:r>
            <w:r>
              <w:rPr>
                <w:rFonts w:hint="eastAsia" w:ascii="宋体" w:hAnsi="宋体" w:cstheme="minorBidi"/>
                <w:color w:val="auto"/>
                <w:sz w:val="24"/>
                <w:szCs w:val="24"/>
                <w:highlight w:val="none"/>
                <w:lang w:val="zh-CN"/>
              </w:rPr>
              <w:t>隔热保温，确保在标准工况下机组外表面不会结露；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1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4</w:t>
            </w:r>
          </w:p>
        </w:tc>
        <w:tc>
          <w:tcPr>
            <w:tcW w:w="1225"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过滤器</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中、高效</w:t>
            </w:r>
            <w:r>
              <w:rPr>
                <w:rFonts w:ascii="宋体" w:hAnsi="宋体" w:cstheme="minorBidi"/>
                <w:color w:val="auto"/>
                <w:sz w:val="24"/>
                <w:szCs w:val="24"/>
                <w:highlight w:val="none"/>
              </w:rPr>
              <w:t>)</w:t>
            </w:r>
          </w:p>
        </w:tc>
        <w:tc>
          <w:tcPr>
            <w:tcW w:w="6771" w:type="dxa"/>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中效过滤器：</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、机组内使用的采用袋式中效过滤器，合成纤维材料；</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、风口使用的采用板式中效，合成纤维材料；</w:t>
            </w: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、连续运行温度≤</w:t>
            </w:r>
            <w:r>
              <w:rPr>
                <w:rFonts w:ascii="宋体" w:hAnsi="宋体" w:cstheme="minorBidi"/>
                <w:color w:val="auto"/>
                <w:sz w:val="24"/>
                <w:szCs w:val="24"/>
                <w:highlight w:val="none"/>
              </w:rPr>
              <w:t>70</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4</w:t>
            </w:r>
            <w:r>
              <w:rPr>
                <w:rFonts w:hint="eastAsia" w:ascii="宋体" w:hAnsi="宋体" w:cstheme="minorBidi"/>
                <w:color w:val="auto"/>
                <w:sz w:val="24"/>
                <w:szCs w:val="24"/>
                <w:highlight w:val="none"/>
              </w:rPr>
              <w:t>、耐湿性能：≤</w:t>
            </w:r>
            <w:r>
              <w:rPr>
                <w:rFonts w:ascii="宋体" w:hAnsi="宋体" w:cstheme="minorBidi"/>
                <w:color w:val="auto"/>
                <w:sz w:val="24"/>
                <w:szCs w:val="24"/>
                <w:highlight w:val="none"/>
              </w:rPr>
              <w:t>95% RH</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5</w:t>
            </w:r>
            <w:r>
              <w:rPr>
                <w:rFonts w:hint="eastAsia" w:ascii="宋体" w:hAnsi="宋体" w:cstheme="minorBidi"/>
                <w:color w:val="auto"/>
                <w:sz w:val="24"/>
                <w:szCs w:val="24"/>
                <w:highlight w:val="none"/>
              </w:rPr>
              <w:t>、初阻力：小于</w:t>
            </w:r>
            <w:r>
              <w:rPr>
                <w:rFonts w:ascii="宋体" w:hAnsi="宋体" w:cstheme="minorBidi"/>
                <w:color w:val="auto"/>
                <w:sz w:val="24"/>
                <w:szCs w:val="24"/>
                <w:highlight w:val="none"/>
              </w:rPr>
              <w:t>150Pa</w:t>
            </w:r>
            <w:r>
              <w:rPr>
                <w:rFonts w:hint="eastAsia" w:ascii="宋体" w:hAnsi="宋体" w:cstheme="minorBidi"/>
                <w:color w:val="auto"/>
                <w:sz w:val="24"/>
                <w:szCs w:val="24"/>
                <w:highlight w:val="none"/>
              </w:rPr>
              <w:t>，终阻力按照实际运行调试后设定，应不大于</w:t>
            </w:r>
            <w:r>
              <w:rPr>
                <w:rFonts w:ascii="宋体" w:hAnsi="宋体" w:cstheme="minorBidi"/>
                <w:color w:val="auto"/>
                <w:sz w:val="24"/>
                <w:szCs w:val="24"/>
                <w:highlight w:val="none"/>
              </w:rPr>
              <w:t>300Pa</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高效过滤器：</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、采用无隔板式结构、玻璃纤维滤纸；</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、采用一体注塑无接缝聚氨酯密封垫、聚氨酯密封胶；</w:t>
            </w: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、要求每个过滤器出厂前均应经过效率及检漏测试，并能提供独立的监测报告；</w:t>
            </w:r>
          </w:p>
          <w:p>
            <w:pPr>
              <w:rPr>
                <w:rFonts w:ascii="宋体" w:hAnsi="宋体" w:cstheme="minorBidi"/>
                <w:color w:val="auto"/>
                <w:sz w:val="24"/>
                <w:szCs w:val="24"/>
                <w:highlight w:val="none"/>
              </w:rPr>
            </w:pPr>
            <w:r>
              <w:rPr>
                <w:rFonts w:ascii="宋体" w:hAnsi="宋体" w:cstheme="minorBidi"/>
                <w:color w:val="auto"/>
                <w:sz w:val="24"/>
                <w:szCs w:val="24"/>
                <w:highlight w:val="none"/>
              </w:rPr>
              <w:t>4</w:t>
            </w:r>
            <w:r>
              <w:rPr>
                <w:rFonts w:hint="eastAsia" w:ascii="宋体" w:hAnsi="宋体" w:cstheme="minorBidi"/>
                <w:color w:val="auto"/>
                <w:sz w:val="24"/>
                <w:szCs w:val="24"/>
                <w:highlight w:val="none"/>
              </w:rPr>
              <w:t>、过滤效率：</w:t>
            </w:r>
            <w:r>
              <w:rPr>
                <w:rFonts w:ascii="宋体" w:hAnsi="宋体" w:cstheme="minorBidi"/>
                <w:color w:val="auto"/>
                <w:sz w:val="24"/>
                <w:szCs w:val="24"/>
                <w:highlight w:val="none"/>
              </w:rPr>
              <w:t>H13</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MPPS</w:t>
            </w:r>
            <w:r>
              <w:rPr>
                <w:rFonts w:hint="eastAsia" w:ascii="宋体" w:hAnsi="宋体" w:cstheme="minorBidi"/>
                <w:color w:val="auto"/>
                <w:sz w:val="24"/>
                <w:szCs w:val="24"/>
                <w:highlight w:val="none"/>
              </w:rPr>
              <w:t>），同时应符合设计要求；</w:t>
            </w:r>
          </w:p>
          <w:p>
            <w:pPr>
              <w:rPr>
                <w:rFonts w:ascii="宋体" w:hAnsi="宋体" w:cstheme="minorBidi"/>
                <w:color w:val="auto"/>
                <w:sz w:val="24"/>
                <w:szCs w:val="24"/>
                <w:highlight w:val="none"/>
              </w:rPr>
            </w:pPr>
            <w:r>
              <w:rPr>
                <w:rFonts w:ascii="宋体" w:hAnsi="宋体" w:cstheme="minorBidi"/>
                <w:color w:val="auto"/>
                <w:sz w:val="24"/>
                <w:szCs w:val="24"/>
                <w:highlight w:val="none"/>
              </w:rPr>
              <w:t>5</w:t>
            </w:r>
            <w:r>
              <w:rPr>
                <w:rFonts w:hint="eastAsia" w:ascii="宋体" w:hAnsi="宋体" w:cstheme="minorBidi"/>
                <w:color w:val="auto"/>
                <w:sz w:val="24"/>
                <w:szCs w:val="24"/>
                <w:highlight w:val="none"/>
              </w:rPr>
              <w:t>、初阻力：小于</w:t>
            </w:r>
            <w:r>
              <w:rPr>
                <w:rFonts w:ascii="宋体" w:hAnsi="宋体" w:cstheme="minorBidi"/>
                <w:color w:val="auto"/>
                <w:sz w:val="24"/>
                <w:szCs w:val="24"/>
                <w:highlight w:val="none"/>
              </w:rPr>
              <w:t>250Pa</w:t>
            </w:r>
            <w:r>
              <w:rPr>
                <w:rFonts w:hint="eastAsia" w:ascii="宋体" w:hAnsi="宋体" w:cstheme="minorBidi"/>
                <w:color w:val="auto"/>
                <w:sz w:val="24"/>
                <w:szCs w:val="24"/>
                <w:highlight w:val="none"/>
              </w:rPr>
              <w:t>，终阻力按照实际运行调试后设定，应不大于</w:t>
            </w:r>
            <w:r>
              <w:rPr>
                <w:rFonts w:ascii="宋体" w:hAnsi="宋体" w:cstheme="minorBidi"/>
                <w:color w:val="auto"/>
                <w:sz w:val="24"/>
                <w:szCs w:val="24"/>
                <w:highlight w:val="none"/>
              </w:rPr>
              <w:t>500Pa</w:t>
            </w:r>
            <w:r>
              <w:rPr>
                <w:rFonts w:hint="eastAsia" w:ascii="宋体" w:hAnsi="宋体" w:cstheme="minorBidi"/>
                <w:color w:val="auto"/>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1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5</w:t>
            </w:r>
          </w:p>
        </w:tc>
        <w:tc>
          <w:tcPr>
            <w:tcW w:w="1225"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定风量调节阀</w:t>
            </w:r>
          </w:p>
        </w:tc>
        <w:tc>
          <w:tcPr>
            <w:tcW w:w="6771"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无需外部动力，自动平衡机械结构；</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阀片机构无需维护；</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工作温度范围</w:t>
            </w:r>
            <w:r>
              <w:rPr>
                <w:rFonts w:ascii="宋体" w:hAnsi="宋体" w:cstheme="minorBidi"/>
                <w:color w:val="auto"/>
                <w:sz w:val="24"/>
                <w:szCs w:val="24"/>
                <w:highlight w:val="none"/>
              </w:rPr>
              <w:t>10-50</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使用范围广，推荐压差范围</w:t>
            </w:r>
            <w:r>
              <w:rPr>
                <w:rFonts w:ascii="宋体" w:hAnsi="宋体" w:cstheme="minorBidi"/>
                <w:color w:val="auto"/>
                <w:sz w:val="24"/>
                <w:szCs w:val="24"/>
                <w:highlight w:val="none"/>
              </w:rPr>
              <w:t>50-1000Pa</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不受位置限制，</w:t>
            </w:r>
            <w:r>
              <w:rPr>
                <w:rFonts w:ascii="宋体" w:hAnsi="宋体" w:cstheme="minorBidi"/>
                <w:color w:val="auto"/>
                <w:sz w:val="24"/>
                <w:szCs w:val="24"/>
                <w:highlight w:val="none"/>
              </w:rPr>
              <w:t xml:space="preserve"> (</w:t>
            </w:r>
            <w:r>
              <w:rPr>
                <w:rFonts w:hint="eastAsia" w:ascii="宋体" w:hAnsi="宋体" w:cstheme="minorBidi"/>
                <w:color w:val="auto"/>
                <w:sz w:val="24"/>
                <w:szCs w:val="24"/>
                <w:highlight w:val="none"/>
              </w:rPr>
              <w:t>入口前要求最小</w:t>
            </w:r>
            <w:r>
              <w:rPr>
                <w:rFonts w:ascii="宋体" w:hAnsi="宋体" w:cstheme="minorBidi"/>
                <w:color w:val="auto"/>
                <w:sz w:val="24"/>
                <w:szCs w:val="24"/>
                <w:highlight w:val="none"/>
              </w:rPr>
              <w:t>1</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5D</w:t>
            </w:r>
            <w:r>
              <w:rPr>
                <w:rFonts w:hint="eastAsia" w:ascii="宋体" w:hAnsi="宋体" w:cstheme="minorBidi"/>
                <w:color w:val="auto"/>
                <w:sz w:val="24"/>
                <w:szCs w:val="24"/>
                <w:highlight w:val="none"/>
              </w:rPr>
              <w:t>直管段</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限流板活动灵活；</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气囊作为阻尼部件；</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风量控制精度高，在建议使用范围内，偏差</w:t>
            </w:r>
            <w:r>
              <w:rPr>
                <w:rFonts w:ascii="宋体" w:hAnsi="宋体" w:cstheme="minorBidi"/>
                <w:color w:val="auto"/>
                <w:sz w:val="24"/>
                <w:szCs w:val="24"/>
                <w:highlight w:val="none"/>
              </w:rPr>
              <w:t>&lt;10</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外部有刻度指针显示流量；限流板机构无需维护；</w:t>
            </w:r>
          </w:p>
          <w:p>
            <w:pPr>
              <w:rPr>
                <w:rFonts w:ascii="宋体" w:hAnsi="宋体" w:cstheme="minorBidi"/>
                <w:color w:val="auto"/>
                <w:sz w:val="24"/>
                <w:szCs w:val="24"/>
                <w:highlight w:val="none"/>
              </w:rPr>
            </w:pPr>
            <w:r>
              <w:rPr>
                <w:rFonts w:ascii="宋体" w:hAnsi="宋体" w:cstheme="minorBidi"/>
                <w:color w:val="auto"/>
                <w:sz w:val="24"/>
                <w:szCs w:val="24"/>
                <w:highlight w:val="none"/>
              </w:rPr>
              <w:t>10</w:t>
            </w:r>
            <w:r>
              <w:rPr>
                <w:rFonts w:hint="eastAsia" w:ascii="宋体" w:hAnsi="宋体" w:cstheme="minorBidi"/>
                <w:color w:val="auto"/>
                <w:sz w:val="24"/>
                <w:szCs w:val="24"/>
                <w:highlight w:val="none"/>
              </w:rPr>
              <w:t>、可安装电动执行器</w:t>
            </w:r>
            <w:r>
              <w:rPr>
                <w:rFonts w:ascii="宋体" w:hAnsi="宋体" w:cstheme="minorBidi"/>
                <w:color w:val="auto"/>
                <w:sz w:val="24"/>
                <w:szCs w:val="24"/>
                <w:highlight w:val="none"/>
              </w:rPr>
              <w:t>(CAVC-IR</w:t>
            </w:r>
            <w:r>
              <w:rPr>
                <w:rFonts w:hint="eastAsia" w:ascii="宋体" w:hAnsi="宋体" w:cstheme="minorBidi"/>
                <w:color w:val="auto"/>
                <w:sz w:val="24"/>
                <w:szCs w:val="24"/>
                <w:highlight w:val="none"/>
              </w:rPr>
              <w:t>型除外</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，自动调节风量；</w:t>
            </w:r>
          </w:p>
          <w:p>
            <w:pPr>
              <w:rPr>
                <w:rFonts w:ascii="宋体" w:hAnsi="宋体" w:cstheme="minorBidi"/>
                <w:color w:val="auto"/>
                <w:sz w:val="24"/>
                <w:szCs w:val="24"/>
                <w:highlight w:val="none"/>
              </w:rPr>
            </w:pPr>
            <w:r>
              <w:rPr>
                <w:rFonts w:ascii="宋体" w:hAnsi="宋体" w:cstheme="minorBidi"/>
                <w:color w:val="auto"/>
                <w:sz w:val="24"/>
                <w:szCs w:val="24"/>
                <w:highlight w:val="none"/>
              </w:rPr>
              <w:t>11</w:t>
            </w:r>
            <w:r>
              <w:rPr>
                <w:rFonts w:hint="eastAsia" w:ascii="宋体" w:hAnsi="宋体" w:cstheme="minorBidi"/>
                <w:color w:val="auto"/>
                <w:sz w:val="24"/>
                <w:szCs w:val="24"/>
                <w:highlight w:val="none"/>
              </w:rPr>
              <w:t>、可现场调节风量，使用方便、灵活。</w:t>
            </w:r>
          </w:p>
          <w:p>
            <w:pPr>
              <w:rPr>
                <w:rFonts w:ascii="宋体" w:hAnsi="宋体" w:cstheme="minorBidi"/>
                <w:color w:val="auto"/>
                <w:sz w:val="24"/>
                <w:szCs w:val="24"/>
                <w:highlight w:val="none"/>
              </w:rPr>
            </w:pPr>
            <w:r>
              <w:rPr>
                <w:rFonts w:ascii="宋体" w:hAnsi="宋体" w:cstheme="minorBidi"/>
                <w:color w:val="auto"/>
                <w:sz w:val="24"/>
                <w:szCs w:val="24"/>
                <w:highlight w:val="none"/>
              </w:rPr>
              <w:t>12</w:t>
            </w:r>
            <w:r>
              <w:rPr>
                <w:rFonts w:hint="eastAsia" w:ascii="宋体" w:hAnsi="宋体" w:cstheme="minorBidi"/>
                <w:color w:val="auto"/>
                <w:sz w:val="24"/>
                <w:szCs w:val="24"/>
                <w:highlight w:val="none"/>
              </w:rPr>
              <w:t>、壳体为镀锌钢板；</w:t>
            </w:r>
          </w:p>
          <w:p>
            <w:pPr>
              <w:rPr>
                <w:rFonts w:ascii="宋体" w:hAnsi="宋体" w:cstheme="minorBidi"/>
                <w:color w:val="auto"/>
                <w:sz w:val="24"/>
                <w:szCs w:val="24"/>
                <w:highlight w:val="none"/>
              </w:rPr>
            </w:pPr>
            <w:r>
              <w:rPr>
                <w:rFonts w:ascii="宋体" w:hAnsi="宋体" w:cstheme="minorBidi"/>
                <w:color w:val="auto"/>
                <w:sz w:val="24"/>
                <w:szCs w:val="24"/>
                <w:highlight w:val="none"/>
              </w:rPr>
              <w:t>13</w:t>
            </w:r>
            <w:r>
              <w:rPr>
                <w:rFonts w:hint="eastAsia" w:ascii="宋体" w:hAnsi="宋体" w:cstheme="minorBidi"/>
                <w:color w:val="auto"/>
                <w:sz w:val="24"/>
                <w:szCs w:val="24"/>
                <w:highlight w:val="none"/>
              </w:rPr>
              <w:t>、气囊为特殊抗老化塑料材质。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1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6</w:t>
            </w:r>
          </w:p>
        </w:tc>
        <w:tc>
          <w:tcPr>
            <w:tcW w:w="1225"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排风机</w:t>
            </w:r>
          </w:p>
        </w:tc>
        <w:tc>
          <w:tcPr>
            <w:tcW w:w="6771"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主要技术要求：</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电机：电机转轴采用高精度镜面加工，能持久润滑，永不生锈，难以磨损。应采用合理的电机结构，散热快，能延缓产品材料老化，确保长久的使用寿命；外表美观，富有装饰感；运转平稳，超静音；拆装方便，易于清理；</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）风机：采用离心式风机；用高性能双向吸入型千叶涡轮扇叶设计；</w:t>
            </w:r>
          </w:p>
          <w:p>
            <w:pPr>
              <w:pStyle w:val="30"/>
              <w:rPr>
                <w:color w:val="auto"/>
                <w:highlight w:val="none"/>
              </w:rPr>
            </w:pP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）噪音不高于</w:t>
            </w:r>
            <w:r>
              <w:rPr>
                <w:rFonts w:ascii="宋体" w:hAnsi="宋体" w:cstheme="minorBidi"/>
                <w:color w:val="auto"/>
                <w:sz w:val="24"/>
                <w:szCs w:val="24"/>
                <w:highlight w:val="none"/>
              </w:rPr>
              <w:t>55dB</w:t>
            </w:r>
            <w:r>
              <w:rPr>
                <w:rFonts w:hint="eastAsia" w:ascii="宋体" w:hAnsi="宋体" w:cstheme="minorBidi"/>
                <w:color w:val="auto"/>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1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7</w:t>
            </w:r>
          </w:p>
        </w:tc>
        <w:tc>
          <w:tcPr>
            <w:tcW w:w="1225"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风管材（镀锌钢板）</w:t>
            </w:r>
          </w:p>
        </w:tc>
        <w:tc>
          <w:tcPr>
            <w:tcW w:w="6771" w:type="dxa"/>
          </w:tcPr>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、材料品种、规格、性能与厚度等应符合设计和现行国家有关产品标准的规定；当设计无规定时，钢板或镀锌钢板的厚度应按《通风与空调工程施工质量验收规范》（</w:t>
            </w:r>
            <w:r>
              <w:rPr>
                <w:rFonts w:ascii="宋体" w:hAnsi="宋体" w:cstheme="minorBidi"/>
                <w:color w:val="auto"/>
                <w:sz w:val="24"/>
                <w:szCs w:val="24"/>
                <w:highlight w:val="none"/>
              </w:rPr>
              <w:t>GB50243-2016</w:t>
            </w:r>
            <w:r>
              <w:rPr>
                <w:rFonts w:hint="eastAsia" w:ascii="宋体" w:hAnsi="宋体" w:cstheme="minorBidi"/>
                <w:color w:val="auto"/>
                <w:sz w:val="24"/>
                <w:szCs w:val="24"/>
                <w:highlight w:val="none"/>
              </w:rPr>
              <w:t>）执行；生产制作严格按照</w:t>
            </w:r>
            <w:r>
              <w:rPr>
                <w:color w:val="auto"/>
                <w:highlight w:val="none"/>
              </w:rPr>
              <w:fldChar w:fldCharType="begin"/>
            </w:r>
            <w:r>
              <w:rPr>
                <w:color w:val="auto"/>
                <w:highlight w:val="none"/>
              </w:rPr>
              <w:instrText xml:space="preserve"> HYPERLINK "http://www.build365.com/views.asp?bookid=3984" \t "_blank" </w:instrText>
            </w:r>
            <w:r>
              <w:rPr>
                <w:rFonts w:ascii="Calibri" w:hAnsi="Calibri" w:cs="Times New Roman"/>
                <w:color w:val="auto"/>
                <w:sz w:val="21"/>
                <w:szCs w:val="22"/>
                <w:highlight w:val="none"/>
              </w:rPr>
              <w:fldChar w:fldCharType="separate"/>
            </w:r>
            <w:r>
              <w:rPr>
                <w:rFonts w:ascii="宋体" w:hAnsi="宋体" w:cstheme="minorBidi"/>
                <w:color w:val="auto"/>
                <w:sz w:val="24"/>
                <w:szCs w:val="24"/>
                <w:highlight w:val="none"/>
              </w:rPr>
              <w:t>JGJ141-2004</w:t>
            </w:r>
            <w:r>
              <w:rPr>
                <w:rFonts w:ascii="宋体" w:hAnsi="宋体" w:cstheme="minorBidi"/>
                <w:color w:val="auto"/>
                <w:sz w:val="24"/>
                <w:szCs w:val="24"/>
                <w:highlight w:val="none"/>
              </w:rPr>
              <w:fldChar w:fldCharType="end"/>
            </w:r>
            <w:r>
              <w:rPr>
                <w:rFonts w:hint="eastAsia" w:ascii="宋体" w:hAnsi="宋体" w:cstheme="minorBidi"/>
                <w:color w:val="auto"/>
                <w:sz w:val="24"/>
                <w:szCs w:val="24"/>
                <w:highlight w:val="none"/>
              </w:rPr>
              <w:t>（通风管道技术规程）等国家有关规范标准进行。</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、应符合质量要求，有出厂合格证明书或质量鉴定文件；对普通薄钢板，应板材表面平整，厚度均匀，有紧密的氧化层薄膜；表面不得有裂纹、结疤和锈斑；</w:t>
            </w: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、对镀锌薄钢板，镀锌层应均匀，有结晶花纹；锌层应无泛白、麻点、起皮、脱落等缺陷。</w:t>
            </w:r>
          </w:p>
          <w:p>
            <w:pPr>
              <w:rPr>
                <w:rFonts w:ascii="宋体" w:hAnsi="宋体" w:cstheme="minorBidi"/>
                <w:color w:val="auto"/>
                <w:sz w:val="24"/>
                <w:szCs w:val="24"/>
                <w:highlight w:val="none"/>
              </w:rPr>
            </w:pPr>
            <w:r>
              <w:rPr>
                <w:rFonts w:ascii="宋体" w:hAnsi="宋体" w:cstheme="minorBidi"/>
                <w:color w:val="auto"/>
                <w:sz w:val="24"/>
                <w:szCs w:val="24"/>
                <w:highlight w:val="none"/>
              </w:rPr>
              <w:t>4</w:t>
            </w:r>
            <w:r>
              <w:rPr>
                <w:rFonts w:hint="eastAsia" w:ascii="宋体" w:hAnsi="宋体" w:cstheme="minorBidi"/>
                <w:color w:val="auto"/>
                <w:sz w:val="24"/>
                <w:szCs w:val="24"/>
                <w:highlight w:val="none"/>
              </w:rPr>
              <w:t>、所有板材选用优质镀锌钢板。</w:t>
            </w:r>
          </w:p>
          <w:p>
            <w:pPr>
              <w:rPr>
                <w:rFonts w:ascii="宋体" w:hAnsi="宋体" w:cstheme="minorBidi"/>
                <w:color w:val="auto"/>
                <w:sz w:val="24"/>
                <w:szCs w:val="24"/>
                <w:highlight w:val="none"/>
              </w:rPr>
            </w:pPr>
            <w:r>
              <w:rPr>
                <w:rFonts w:ascii="宋体" w:hAnsi="宋体" w:cstheme="minorBidi"/>
                <w:color w:val="auto"/>
                <w:sz w:val="24"/>
                <w:szCs w:val="24"/>
                <w:highlight w:val="none"/>
              </w:rPr>
              <w:t>5</w:t>
            </w:r>
            <w:r>
              <w:rPr>
                <w:rFonts w:hint="eastAsia" w:ascii="宋体" w:hAnsi="宋体" w:cstheme="minorBidi"/>
                <w:color w:val="auto"/>
                <w:sz w:val="24"/>
                <w:szCs w:val="24"/>
                <w:highlight w:val="none"/>
              </w:rPr>
              <w:t>、材质符合国家环保要求。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5" w:hRule="atLeast"/>
        </w:trPr>
        <w:tc>
          <w:tcPr>
            <w:tcW w:w="51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8</w:t>
            </w:r>
          </w:p>
        </w:tc>
        <w:tc>
          <w:tcPr>
            <w:tcW w:w="1225"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保温材料</w:t>
            </w:r>
          </w:p>
        </w:tc>
        <w:tc>
          <w:tcPr>
            <w:tcW w:w="6771" w:type="dxa"/>
          </w:tcPr>
          <w:p>
            <w:pPr>
              <w:rPr>
                <w:rFonts w:ascii="宋体" w:hAnsi="宋体" w:cstheme="minorBidi"/>
                <w:color w:val="auto"/>
                <w:sz w:val="24"/>
                <w:szCs w:val="24"/>
                <w:highlight w:val="none"/>
              </w:rPr>
            </w:pPr>
            <w:r>
              <w:rPr>
                <w:rFonts w:ascii="宋体" w:hAnsi="宋体" w:cstheme="minorBidi"/>
                <w:color w:val="auto"/>
                <w:sz w:val="24"/>
                <w:szCs w:val="24"/>
                <w:highlight w:val="none"/>
              </w:rPr>
              <w:t>橡塑保温</w:t>
            </w:r>
            <w:r>
              <w:rPr>
                <w:rFonts w:hint="eastAsia" w:ascii="宋体" w:hAnsi="宋体" w:cstheme="minorBidi"/>
                <w:color w:val="auto"/>
                <w:sz w:val="24"/>
                <w:szCs w:val="24"/>
                <w:highlight w:val="none"/>
              </w:rPr>
              <w:t>材料</w:t>
            </w:r>
            <w:r>
              <w:rPr>
                <w:rFonts w:ascii="宋体" w:hAnsi="宋体" w:cstheme="minorBidi"/>
                <w:color w:val="auto"/>
                <w:sz w:val="24"/>
                <w:szCs w:val="24"/>
                <w:highlight w:val="none"/>
              </w:rPr>
              <w:t>以丁腈橡胶为主要原材料，经“凝胶”发泡而成</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表观密度：</w:t>
            </w:r>
            <w:r>
              <w:rPr>
                <w:rFonts w:ascii="宋体" w:hAnsi="宋体" w:cstheme="minorBidi"/>
                <w:color w:val="auto"/>
                <w:sz w:val="24"/>
                <w:szCs w:val="24"/>
                <w:highlight w:val="none"/>
              </w:rPr>
              <w:t>40-80kg/m；</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氧指数</w:t>
            </w:r>
            <w:r>
              <w:rPr>
                <w:rFonts w:ascii="宋体" w:hAnsi="宋体" w:cstheme="minorBidi"/>
                <w:color w:val="auto"/>
                <w:sz w:val="24"/>
                <w:szCs w:val="24"/>
                <w:highlight w:val="none"/>
              </w:rPr>
              <w:t>%：≥34%；</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燃烧性能：</w:t>
            </w:r>
            <w:r>
              <w:rPr>
                <w:rFonts w:ascii="宋体" w:hAnsi="宋体" w:cstheme="minorBidi"/>
                <w:color w:val="auto"/>
                <w:sz w:val="24"/>
                <w:szCs w:val="24"/>
                <w:highlight w:val="none"/>
              </w:rPr>
              <w:t>B-S2，d0,t1</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烟密度等级（</w:t>
            </w:r>
            <w:r>
              <w:rPr>
                <w:rFonts w:ascii="宋体" w:hAnsi="宋体" w:cstheme="minorBidi"/>
                <w:color w:val="auto"/>
                <w:sz w:val="24"/>
                <w:szCs w:val="24"/>
                <w:highlight w:val="none"/>
              </w:rPr>
              <w:t>SDR）：≤60；</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导热系数</w:t>
            </w:r>
            <w:r>
              <w:rPr>
                <w:rFonts w:ascii="宋体" w:hAnsi="宋体" w:cstheme="minorBidi"/>
                <w:color w:val="auto"/>
                <w:sz w:val="24"/>
                <w:szCs w:val="24"/>
                <w:highlight w:val="none"/>
              </w:rPr>
              <w:t>(常温)：≤0.034W/m.k；</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透湿系数：≤</w:t>
            </w:r>
            <w:r>
              <w:rPr>
                <w:rFonts w:ascii="宋体" w:hAnsi="宋体" w:cstheme="minorBidi"/>
                <w:color w:val="auto"/>
                <w:sz w:val="24"/>
                <w:szCs w:val="24"/>
                <w:highlight w:val="none"/>
              </w:rPr>
              <w:t>1.2×10－10G/(m.s.pa)；湿阻因子：≥10000；</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压缩回弹率（</w:t>
            </w:r>
            <w:r>
              <w:rPr>
                <w:rFonts w:ascii="宋体" w:hAnsi="宋体" w:cstheme="minorBidi"/>
                <w:color w:val="auto"/>
                <w:sz w:val="24"/>
                <w:szCs w:val="24"/>
                <w:highlight w:val="none"/>
              </w:rPr>
              <w:t>50%压缩72h）</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70%；</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真空吸水率：≤</w:t>
            </w:r>
            <w:r>
              <w:rPr>
                <w:rFonts w:ascii="宋体" w:hAnsi="宋体" w:cstheme="minorBidi"/>
                <w:color w:val="auto"/>
                <w:sz w:val="24"/>
                <w:szCs w:val="24"/>
                <w:highlight w:val="none"/>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5" w:hRule="atLeast"/>
        </w:trPr>
        <w:tc>
          <w:tcPr>
            <w:tcW w:w="51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9</w:t>
            </w:r>
          </w:p>
        </w:tc>
        <w:tc>
          <w:tcPr>
            <w:tcW w:w="1225"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风管各类阀门</w:t>
            </w:r>
          </w:p>
        </w:tc>
        <w:tc>
          <w:tcPr>
            <w:tcW w:w="6771" w:type="dxa"/>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防火阀</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、常开，</w:t>
            </w:r>
            <w:r>
              <w:rPr>
                <w:rFonts w:ascii="宋体" w:hAnsi="宋体" w:cstheme="minorBidi"/>
                <w:color w:val="auto"/>
                <w:sz w:val="24"/>
                <w:szCs w:val="24"/>
                <w:highlight w:val="none"/>
              </w:rPr>
              <w:t>70</w:t>
            </w:r>
            <w:r>
              <w:rPr>
                <w:rFonts w:hint="eastAsia" w:ascii="宋体" w:hAnsi="宋体" w:cstheme="minorBidi"/>
                <w:color w:val="auto"/>
                <w:sz w:val="24"/>
                <w:szCs w:val="24"/>
                <w:highlight w:val="none"/>
              </w:rPr>
              <w:t>度关闭，一般安装在风管穿越防火墙处，起火灾关断作用，可以设置输出电讯号、温度。</w:t>
            </w:r>
            <w:r>
              <w:rPr>
                <w:rFonts w:ascii="宋体" w:hAnsi="宋体" w:cstheme="minorBidi"/>
                <w:color w:val="auto"/>
                <w:sz w:val="24"/>
                <w:szCs w:val="24"/>
                <w:highlight w:val="none"/>
              </w:rPr>
              <w:t xml:space="preserve">                                                          2</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 xml:space="preserve"> </w:t>
            </w:r>
            <w:r>
              <w:rPr>
                <w:rFonts w:hint="eastAsia" w:ascii="宋体" w:hAnsi="宋体" w:cstheme="minorBidi"/>
                <w:color w:val="auto"/>
                <w:sz w:val="24"/>
                <w:szCs w:val="24"/>
                <w:highlight w:val="none"/>
              </w:rPr>
              <w:t>采用高强度铝合金翼形对开风叶及框架制作。</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手动调节阀</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、采用高强度铝合金翼形对开风叶及框架制作，采用</w:t>
            </w:r>
            <w:r>
              <w:rPr>
                <w:rFonts w:ascii="宋体" w:hAnsi="宋体" w:cstheme="minorBidi"/>
                <w:color w:val="auto"/>
                <w:sz w:val="24"/>
                <w:szCs w:val="24"/>
                <w:highlight w:val="none"/>
              </w:rPr>
              <w:t>O</w:t>
            </w:r>
            <w:r>
              <w:rPr>
                <w:rFonts w:hint="eastAsia" w:ascii="宋体" w:hAnsi="宋体" w:cstheme="minorBidi"/>
                <w:color w:val="auto"/>
                <w:sz w:val="24"/>
                <w:szCs w:val="24"/>
                <w:highlight w:val="none"/>
              </w:rPr>
              <w:t>型密封胶条有效的防止泄漏，齿轮驱动使操作轻便可靠。</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、手柄可锁定于任意角度来调整风量，也可选配电动装置。</w:t>
            </w: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、使用温度范围：</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４０℃～８０℃。产品规格：配合客户订制异形尺寸</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电动密闭阀</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、电动密闭阀用于转换通风方式，改变空气流程。</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、本阀适用公称压力</w:t>
            </w:r>
            <w:r>
              <w:rPr>
                <w:rFonts w:ascii="宋体" w:hAnsi="宋体" w:cstheme="minorBidi"/>
                <w:color w:val="auto"/>
                <w:sz w:val="24"/>
                <w:szCs w:val="24"/>
                <w:highlight w:val="none"/>
              </w:rPr>
              <w:t>Pn</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 xml:space="preserve">0.05MPa, </w:t>
            </w: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、工作温度</w:t>
            </w:r>
            <w:r>
              <w:rPr>
                <w:rFonts w:ascii="宋体" w:hAnsi="宋体" w:cstheme="minorBidi"/>
                <w:color w:val="auto"/>
                <w:sz w:val="24"/>
                <w:szCs w:val="24"/>
                <w:highlight w:val="none"/>
              </w:rPr>
              <w:t>- 30</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+40</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4</w:t>
            </w:r>
            <w:r>
              <w:rPr>
                <w:rFonts w:hint="eastAsia" w:ascii="宋体" w:hAnsi="宋体" w:cstheme="minorBidi"/>
                <w:color w:val="auto"/>
                <w:sz w:val="24"/>
                <w:szCs w:val="24"/>
                <w:highlight w:val="none"/>
              </w:rPr>
              <w:t>、相对湿度</w:t>
            </w:r>
            <w:r>
              <w:rPr>
                <w:rFonts w:ascii="宋体" w:hAnsi="宋体" w:cstheme="minorBidi"/>
                <w:color w:val="auto"/>
                <w:sz w:val="24"/>
                <w:szCs w:val="24"/>
                <w:highlight w:val="none"/>
              </w:rPr>
              <w:t>30</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90</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5</w:t>
            </w:r>
            <w:r>
              <w:rPr>
                <w:rFonts w:hint="eastAsia" w:ascii="宋体" w:hAnsi="宋体" w:cstheme="minorBidi"/>
                <w:color w:val="auto"/>
                <w:sz w:val="24"/>
                <w:szCs w:val="24"/>
                <w:highlight w:val="none"/>
              </w:rPr>
              <w:t>、介质为空气的管路上，作为单向闭路机构。</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止回阀</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、采用高强度铝合金翼形对开风叶及框架制作</w:t>
            </w:r>
            <w:r>
              <w:rPr>
                <w:rFonts w:ascii="宋体" w:hAnsi="宋体" w:cstheme="minorBidi"/>
                <w:color w:val="auto"/>
                <w:sz w:val="24"/>
                <w:szCs w:val="24"/>
                <w:highlight w:val="none"/>
              </w:rPr>
              <w:t xml:space="preserve">                                2</w:t>
            </w:r>
            <w:r>
              <w:rPr>
                <w:rFonts w:hint="eastAsia" w:ascii="宋体" w:hAnsi="宋体" w:cstheme="minorBidi"/>
                <w:color w:val="auto"/>
                <w:sz w:val="24"/>
                <w:szCs w:val="24"/>
                <w:highlight w:val="none"/>
              </w:rPr>
              <w:t>、可直接安装在风管管道上，与风管相连接，根据管内风压自动开启或关闭阀门法兰均制作为共板法兰，法兰宽为</w:t>
            </w:r>
            <w:r>
              <w:rPr>
                <w:rFonts w:ascii="宋体" w:hAnsi="宋体" w:cstheme="minorBidi"/>
                <w:color w:val="auto"/>
                <w:sz w:val="24"/>
                <w:szCs w:val="24"/>
                <w:highlight w:val="none"/>
              </w:rPr>
              <w:t>30mm</w:t>
            </w:r>
            <w:r>
              <w:rPr>
                <w:rFonts w:hint="eastAsia" w:ascii="宋体" w:hAnsi="宋体" w:cstheme="minorBidi"/>
                <w:color w:val="auto"/>
                <w:sz w:val="24"/>
                <w:szCs w:val="24"/>
                <w:highlight w:val="none"/>
              </w:rPr>
              <w:t>，阀体厚度</w:t>
            </w:r>
            <w:r>
              <w:rPr>
                <w:rFonts w:ascii="宋体" w:hAnsi="宋体" w:cstheme="minorBidi"/>
                <w:color w:val="auto"/>
                <w:sz w:val="24"/>
                <w:szCs w:val="24"/>
                <w:highlight w:val="none"/>
              </w:rPr>
              <w:t>L=210mm</w:t>
            </w:r>
            <w:r>
              <w:rPr>
                <w:rFonts w:hint="eastAsia" w:ascii="宋体" w:hAnsi="宋体" w:cstheme="minorBidi"/>
                <w:color w:val="auto"/>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5" w:hRule="atLeast"/>
        </w:trPr>
        <w:tc>
          <w:tcPr>
            <w:tcW w:w="51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10</w:t>
            </w:r>
          </w:p>
        </w:tc>
        <w:tc>
          <w:tcPr>
            <w:tcW w:w="1225"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水管各类阀门</w:t>
            </w:r>
          </w:p>
        </w:tc>
        <w:tc>
          <w:tcPr>
            <w:tcW w:w="6771" w:type="dxa"/>
          </w:tcPr>
          <w:p>
            <w:pPr>
              <w:rPr>
                <w:rFonts w:ascii="宋体" w:hAnsi="宋体" w:cstheme="minorBidi"/>
                <w:color w:val="auto"/>
                <w:sz w:val="24"/>
                <w:szCs w:val="24"/>
                <w:highlight w:val="none"/>
              </w:rPr>
            </w:pPr>
            <w:r>
              <w:rPr>
                <w:rFonts w:ascii="宋体" w:hAnsi="宋体" w:cstheme="minorBidi"/>
                <w:color w:val="auto"/>
                <w:sz w:val="24"/>
                <w:szCs w:val="24"/>
                <w:highlight w:val="none"/>
              </w:rPr>
              <w:t>Y</w:t>
            </w:r>
            <w:r>
              <w:rPr>
                <w:rFonts w:hint="eastAsia" w:ascii="宋体" w:hAnsi="宋体" w:cstheme="minorBidi"/>
                <w:color w:val="auto"/>
                <w:sz w:val="24"/>
                <w:szCs w:val="24"/>
                <w:highlight w:val="none"/>
              </w:rPr>
              <w:t>型过滤器</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、介质温度</w:t>
            </w:r>
            <w:r>
              <w:rPr>
                <w:rFonts w:ascii="宋体" w:hAnsi="宋体" w:cstheme="minorBidi"/>
                <w:color w:val="auto"/>
                <w:sz w:val="24"/>
                <w:szCs w:val="24"/>
                <w:highlight w:val="none"/>
              </w:rPr>
              <w:t>:300(</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、工作压差</w:t>
            </w:r>
            <w:r>
              <w:rPr>
                <w:rFonts w:ascii="宋体" w:hAnsi="宋体" w:cstheme="minorBidi"/>
                <w:color w:val="auto"/>
                <w:sz w:val="24"/>
                <w:szCs w:val="24"/>
                <w:highlight w:val="none"/>
              </w:rPr>
              <w:t>:2KG;</w:t>
            </w: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、适用范围</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液体过滤</w:t>
            </w:r>
            <w:r>
              <w:rPr>
                <w:rFonts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4</w:t>
            </w:r>
            <w:r>
              <w:rPr>
                <w:rFonts w:hint="eastAsia" w:ascii="宋体" w:hAnsi="宋体" w:cstheme="minorBidi"/>
                <w:color w:val="auto"/>
                <w:sz w:val="24"/>
                <w:szCs w:val="24"/>
                <w:highlight w:val="none"/>
              </w:rPr>
              <w:t>、连接形式</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法兰</w:t>
            </w:r>
            <w:r>
              <w:rPr>
                <w:rFonts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5</w:t>
            </w:r>
            <w:r>
              <w:rPr>
                <w:rFonts w:hint="eastAsia" w:ascii="宋体" w:hAnsi="宋体" w:cstheme="minorBidi"/>
                <w:color w:val="auto"/>
                <w:sz w:val="24"/>
                <w:szCs w:val="24"/>
                <w:highlight w:val="none"/>
              </w:rPr>
              <w:t>、类型</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直角式</w:t>
            </w:r>
            <w:r>
              <w:rPr>
                <w:rFonts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6</w:t>
            </w:r>
            <w:r>
              <w:rPr>
                <w:rFonts w:hint="eastAsia" w:ascii="宋体" w:hAnsi="宋体" w:cstheme="minorBidi"/>
                <w:color w:val="auto"/>
                <w:sz w:val="24"/>
                <w:szCs w:val="24"/>
                <w:highlight w:val="none"/>
              </w:rPr>
              <w:t>、流动方向</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单向</w:t>
            </w:r>
            <w:r>
              <w:rPr>
                <w:rFonts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7</w:t>
            </w:r>
            <w:r>
              <w:rPr>
                <w:rFonts w:hint="eastAsia" w:ascii="宋体" w:hAnsi="宋体" w:cstheme="minorBidi"/>
                <w:color w:val="auto"/>
                <w:sz w:val="24"/>
                <w:szCs w:val="24"/>
                <w:highlight w:val="none"/>
              </w:rPr>
              <w:t>、适用介质</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水</w:t>
            </w:r>
            <w:r>
              <w:rPr>
                <w:rFonts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8</w:t>
            </w:r>
            <w:r>
              <w:rPr>
                <w:rFonts w:hint="eastAsia" w:ascii="宋体" w:hAnsi="宋体" w:cstheme="minorBidi"/>
                <w:color w:val="auto"/>
                <w:sz w:val="24"/>
                <w:szCs w:val="24"/>
                <w:highlight w:val="none"/>
              </w:rPr>
              <w:t>、压力环境</w:t>
            </w:r>
            <w:r>
              <w:rPr>
                <w:rFonts w:ascii="宋体" w:hAnsi="宋体" w:cstheme="minorBidi"/>
                <w:color w:val="auto"/>
                <w:sz w:val="24"/>
                <w:szCs w:val="24"/>
                <w:highlight w:val="none"/>
              </w:rPr>
              <w:t>:1.6MPa</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9</w:t>
            </w:r>
            <w:r>
              <w:rPr>
                <w:rFonts w:hint="eastAsia" w:ascii="宋体" w:hAnsi="宋体" w:cstheme="minorBidi"/>
                <w:color w:val="auto"/>
                <w:sz w:val="24"/>
                <w:szCs w:val="24"/>
                <w:highlight w:val="none"/>
              </w:rPr>
              <w:t>、材质：</w:t>
            </w:r>
            <w:r>
              <w:rPr>
                <w:rFonts w:ascii="宋体" w:hAnsi="宋体" w:cstheme="minorBidi"/>
                <w:color w:val="auto"/>
                <w:sz w:val="24"/>
                <w:szCs w:val="24"/>
                <w:highlight w:val="none"/>
              </w:rPr>
              <w:t>DN50</w:t>
            </w:r>
            <w:r>
              <w:rPr>
                <w:rFonts w:hint="eastAsia" w:ascii="宋体" w:hAnsi="宋体" w:cstheme="minorBidi"/>
                <w:color w:val="auto"/>
                <w:sz w:val="24"/>
                <w:szCs w:val="24"/>
                <w:highlight w:val="none"/>
              </w:rPr>
              <w:t>以下黄铜（丝接），</w:t>
            </w:r>
            <w:r>
              <w:rPr>
                <w:rFonts w:ascii="宋体" w:hAnsi="宋体" w:cstheme="minorBidi"/>
                <w:color w:val="auto"/>
                <w:sz w:val="24"/>
                <w:szCs w:val="24"/>
                <w:highlight w:val="none"/>
              </w:rPr>
              <w:t>DN65</w:t>
            </w:r>
            <w:r>
              <w:rPr>
                <w:rFonts w:hint="eastAsia" w:ascii="宋体" w:hAnsi="宋体" w:cstheme="minorBidi"/>
                <w:color w:val="auto"/>
                <w:sz w:val="24"/>
                <w:szCs w:val="24"/>
                <w:highlight w:val="none"/>
              </w:rPr>
              <w:t>以上铸铁（法兰连接）</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蝶阀</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、对夹式蝶阀的蝶板安装于管道的直径方向。阀门则呈全开状态。</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、对夹式蝶阀结构简单、体积小、重量轻。</w:t>
            </w:r>
            <w:r>
              <w:rPr>
                <w:rFonts w:ascii="宋体" w:hAnsi="宋体" w:cstheme="minorBidi"/>
                <w:color w:val="auto"/>
                <w:sz w:val="24"/>
                <w:szCs w:val="24"/>
                <w:highlight w:val="none"/>
              </w:rPr>
              <w:t xml:space="preserve">                                 </w:t>
            </w: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、蝶阀有弹性密封和金属密封两种密封型式。</w:t>
            </w:r>
            <w:r>
              <w:rPr>
                <w:rFonts w:ascii="宋体" w:hAnsi="宋体" w:cstheme="minorBidi"/>
                <w:color w:val="auto"/>
                <w:sz w:val="24"/>
                <w:szCs w:val="24"/>
                <w:highlight w:val="none"/>
              </w:rPr>
              <w:t xml:space="preserve">                               </w:t>
            </w:r>
          </w:p>
          <w:p>
            <w:pPr>
              <w:rPr>
                <w:rFonts w:ascii="宋体" w:hAnsi="宋体" w:cstheme="minorBidi"/>
                <w:color w:val="auto"/>
                <w:sz w:val="24"/>
                <w:szCs w:val="24"/>
                <w:highlight w:val="none"/>
              </w:rPr>
            </w:pPr>
            <w:r>
              <w:rPr>
                <w:rFonts w:ascii="宋体" w:hAnsi="宋体" w:cstheme="minorBidi"/>
                <w:color w:val="auto"/>
                <w:sz w:val="24"/>
                <w:szCs w:val="24"/>
                <w:highlight w:val="none"/>
              </w:rPr>
              <w:t xml:space="preserve">  4</w:t>
            </w:r>
            <w:r>
              <w:rPr>
                <w:rFonts w:hint="eastAsia" w:ascii="宋体" w:hAnsi="宋体" w:cstheme="minorBidi"/>
                <w:color w:val="auto"/>
                <w:sz w:val="24"/>
                <w:szCs w:val="24"/>
                <w:highlight w:val="none"/>
              </w:rPr>
              <w:t>、弹性密封阀门，密封圈可以镶嵌在阀体上或附在蝶板周边。</w:t>
            </w:r>
            <w:r>
              <w:rPr>
                <w:rFonts w:ascii="宋体" w:hAnsi="宋体" w:cstheme="minorBidi"/>
                <w:color w:val="auto"/>
                <w:sz w:val="24"/>
                <w:szCs w:val="24"/>
                <w:highlight w:val="none"/>
              </w:rPr>
              <w:t xml:space="preserve">                      </w:t>
            </w:r>
          </w:p>
          <w:p>
            <w:pPr>
              <w:rPr>
                <w:rFonts w:ascii="宋体" w:hAnsi="宋体" w:cstheme="minorBidi"/>
                <w:color w:val="auto"/>
                <w:sz w:val="24"/>
                <w:szCs w:val="24"/>
                <w:highlight w:val="none"/>
              </w:rPr>
            </w:pPr>
            <w:r>
              <w:rPr>
                <w:rFonts w:ascii="宋体" w:hAnsi="宋体" w:cstheme="minorBidi"/>
                <w:color w:val="auto"/>
                <w:sz w:val="24"/>
                <w:szCs w:val="24"/>
                <w:highlight w:val="none"/>
              </w:rPr>
              <w:t xml:space="preserve"> 5</w:t>
            </w:r>
            <w:r>
              <w:rPr>
                <w:rFonts w:hint="eastAsia" w:ascii="宋体" w:hAnsi="宋体" w:cstheme="minorBidi"/>
                <w:color w:val="auto"/>
                <w:sz w:val="24"/>
                <w:szCs w:val="24"/>
                <w:highlight w:val="none"/>
              </w:rPr>
              <w:t>、材质：铸铁</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截止阀</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、双重的密封设计</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波纹管</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填料</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若波纹管失效，阀杆填料也会避免；</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、外泄漏，并符合国际密封标准；</w:t>
            </w: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、没有流体损失，降低能源损失，提高工厂设备安全；</w:t>
            </w:r>
          </w:p>
          <w:p>
            <w:pPr>
              <w:rPr>
                <w:rFonts w:ascii="宋体" w:hAnsi="宋体" w:cstheme="minorBidi"/>
                <w:color w:val="auto"/>
                <w:sz w:val="24"/>
                <w:szCs w:val="24"/>
                <w:highlight w:val="none"/>
              </w:rPr>
            </w:pPr>
            <w:r>
              <w:rPr>
                <w:rFonts w:ascii="宋体" w:hAnsi="宋体" w:cstheme="minorBidi"/>
                <w:color w:val="auto"/>
                <w:sz w:val="24"/>
                <w:szCs w:val="24"/>
                <w:highlight w:val="none"/>
              </w:rPr>
              <w:t>4</w:t>
            </w:r>
            <w:r>
              <w:rPr>
                <w:rFonts w:hint="eastAsia" w:ascii="宋体" w:hAnsi="宋体" w:cstheme="minorBidi"/>
                <w:color w:val="auto"/>
                <w:sz w:val="24"/>
                <w:szCs w:val="24"/>
                <w:highlight w:val="none"/>
              </w:rPr>
              <w:t>、使用寿命长，减少维修次数，降低经营成本；</w:t>
            </w:r>
          </w:p>
          <w:p>
            <w:pPr>
              <w:rPr>
                <w:rFonts w:ascii="宋体" w:hAnsi="宋体" w:cstheme="minorBidi"/>
                <w:color w:val="auto"/>
                <w:sz w:val="24"/>
                <w:szCs w:val="24"/>
                <w:highlight w:val="none"/>
              </w:rPr>
            </w:pPr>
            <w:r>
              <w:rPr>
                <w:rFonts w:ascii="宋体" w:hAnsi="宋体" w:cstheme="minorBidi"/>
                <w:color w:val="auto"/>
                <w:sz w:val="24"/>
                <w:szCs w:val="24"/>
                <w:highlight w:val="none"/>
              </w:rPr>
              <w:t>5</w:t>
            </w:r>
            <w:r>
              <w:rPr>
                <w:rFonts w:hint="eastAsia" w:ascii="宋体" w:hAnsi="宋体" w:cstheme="minorBidi"/>
                <w:color w:val="auto"/>
                <w:sz w:val="24"/>
                <w:szCs w:val="24"/>
                <w:highlight w:val="none"/>
              </w:rPr>
              <w:t>、坚固耐用的波纹管密封设计，保证阀杆的零泄漏，提供无需维护的条件。</w:t>
            </w:r>
          </w:p>
          <w:p>
            <w:pPr>
              <w:rPr>
                <w:rFonts w:ascii="宋体" w:hAnsi="宋体" w:cstheme="minorBidi"/>
                <w:color w:val="auto"/>
                <w:sz w:val="24"/>
                <w:szCs w:val="24"/>
                <w:highlight w:val="none"/>
              </w:rPr>
            </w:pPr>
            <w:r>
              <w:rPr>
                <w:rFonts w:ascii="宋体" w:hAnsi="宋体" w:cstheme="minorBidi"/>
                <w:color w:val="auto"/>
                <w:sz w:val="24"/>
                <w:szCs w:val="24"/>
                <w:highlight w:val="none"/>
              </w:rPr>
              <w:t>6</w:t>
            </w:r>
            <w:r>
              <w:rPr>
                <w:rFonts w:hint="eastAsia" w:ascii="宋体" w:hAnsi="宋体" w:cstheme="minorBidi"/>
                <w:color w:val="auto"/>
                <w:sz w:val="24"/>
                <w:szCs w:val="24"/>
                <w:highlight w:val="none"/>
              </w:rPr>
              <w:t>、波纹管密封截止阀采用波纹管密封的设计，完全消除了普通阀门阀杆填料密封老化快易泄露的缺点，不但提高了使用能源效率，增加生产设备安全性，减少了维修费用及频繁的维修保养，还提供了清洁安全的工作环境。</w:t>
            </w:r>
            <w:r>
              <w:rPr>
                <w:rFonts w:ascii="宋体" w:hAnsi="宋体" w:cstheme="minorBidi"/>
                <w:color w:val="auto"/>
                <w:sz w:val="24"/>
                <w:szCs w:val="24"/>
                <w:highlight w:val="none"/>
              </w:rPr>
              <w:t xml:space="preserve">                              </w:t>
            </w:r>
          </w:p>
          <w:p>
            <w:pPr>
              <w:rPr>
                <w:rFonts w:ascii="宋体" w:hAnsi="宋体" w:cstheme="minorBidi"/>
                <w:color w:val="auto"/>
                <w:sz w:val="24"/>
                <w:szCs w:val="24"/>
                <w:highlight w:val="none"/>
              </w:rPr>
            </w:pPr>
            <w:r>
              <w:rPr>
                <w:rFonts w:ascii="宋体" w:hAnsi="宋体" w:cstheme="minorBidi"/>
                <w:color w:val="auto"/>
                <w:sz w:val="24"/>
                <w:szCs w:val="24"/>
                <w:highlight w:val="none"/>
              </w:rPr>
              <w:t>7</w:t>
            </w:r>
            <w:r>
              <w:rPr>
                <w:rFonts w:hint="eastAsia" w:ascii="宋体" w:hAnsi="宋体" w:cstheme="minorBidi"/>
                <w:color w:val="auto"/>
                <w:sz w:val="24"/>
                <w:szCs w:val="24"/>
                <w:highlight w:val="none"/>
              </w:rPr>
              <w:t>、材质：</w:t>
            </w:r>
            <w:r>
              <w:rPr>
                <w:rFonts w:ascii="宋体" w:hAnsi="宋体" w:cstheme="minorBidi"/>
                <w:color w:val="auto"/>
                <w:sz w:val="24"/>
                <w:szCs w:val="24"/>
                <w:highlight w:val="none"/>
              </w:rPr>
              <w:t>DN50</w:t>
            </w:r>
            <w:r>
              <w:rPr>
                <w:rFonts w:hint="eastAsia" w:ascii="宋体" w:hAnsi="宋体" w:cstheme="minorBidi"/>
                <w:color w:val="auto"/>
                <w:sz w:val="24"/>
                <w:szCs w:val="24"/>
                <w:highlight w:val="none"/>
              </w:rPr>
              <w:t>以下黄铜（丝接），</w:t>
            </w:r>
            <w:r>
              <w:rPr>
                <w:rFonts w:ascii="宋体" w:hAnsi="宋体" w:cstheme="minorBidi"/>
                <w:color w:val="auto"/>
                <w:sz w:val="24"/>
                <w:szCs w:val="24"/>
                <w:highlight w:val="none"/>
              </w:rPr>
              <w:t>DN65</w:t>
            </w:r>
            <w:r>
              <w:rPr>
                <w:rFonts w:hint="eastAsia" w:ascii="宋体" w:hAnsi="宋体" w:cstheme="minorBidi"/>
                <w:color w:val="auto"/>
                <w:sz w:val="24"/>
                <w:szCs w:val="24"/>
                <w:highlight w:val="none"/>
              </w:rPr>
              <w:t>以上铸铁（法兰连接）</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电子除垢仪</w:t>
            </w: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、节约加热被水垢堵塞的电器中的水所使用的能量</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水垢有隔热作用</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、环保，进行水处理时不会改变水的化学成分，但是改变了水的性能，能够防止硬质水垢的沉积。不含化学品和盐类。</w:t>
            </w: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、无需担心管道堵塞或电器损坏。</w:t>
            </w:r>
          </w:p>
          <w:p>
            <w:pPr>
              <w:rPr>
                <w:rFonts w:ascii="宋体" w:hAnsi="宋体" w:cstheme="minorBidi"/>
                <w:color w:val="auto"/>
                <w:sz w:val="24"/>
                <w:szCs w:val="24"/>
                <w:highlight w:val="none"/>
              </w:rPr>
            </w:pPr>
            <w:r>
              <w:rPr>
                <w:rFonts w:ascii="宋体" w:hAnsi="宋体" w:cstheme="minorBidi"/>
                <w:color w:val="auto"/>
                <w:sz w:val="24"/>
                <w:szCs w:val="24"/>
                <w:highlight w:val="none"/>
              </w:rPr>
              <w:t>4</w:t>
            </w:r>
            <w:r>
              <w:rPr>
                <w:rFonts w:hint="eastAsia" w:ascii="宋体" w:hAnsi="宋体" w:cstheme="minorBidi"/>
                <w:color w:val="auto"/>
                <w:sz w:val="24"/>
                <w:szCs w:val="24"/>
                <w:highlight w:val="none"/>
              </w:rPr>
              <w:t>、不会减少水流量。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5" w:hRule="atLeast"/>
        </w:trPr>
        <w:tc>
          <w:tcPr>
            <w:tcW w:w="512"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11</w:t>
            </w:r>
          </w:p>
        </w:tc>
        <w:tc>
          <w:tcPr>
            <w:tcW w:w="1225"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自控系统</w:t>
            </w:r>
          </w:p>
        </w:tc>
        <w:tc>
          <w:tcPr>
            <w:tcW w:w="6771" w:type="dxa"/>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强大的工程和服务工具平台为暖通空调、制冷应用提供全面的支持，可以通过功能强大的且界面友好的的编程工具进行自由编程，从而在暖通空调、制冷应用程序开发与测试过程中节省大量时间和投入。</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系统具有可配置的输入</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输出通道，为一个主应用程序适应不同的特定需求提供了可能性。</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模块化的设计可以扩展主控制器的</w:t>
            </w:r>
            <w:r>
              <w:rPr>
                <w:rFonts w:ascii="宋体" w:hAnsi="宋体" w:cstheme="minorBidi"/>
                <w:color w:val="auto"/>
                <w:sz w:val="24"/>
                <w:szCs w:val="24"/>
                <w:highlight w:val="none"/>
              </w:rPr>
              <w:t>IO</w:t>
            </w:r>
            <w:r>
              <w:rPr>
                <w:rFonts w:hint="eastAsia" w:ascii="宋体" w:hAnsi="宋体" w:cstheme="minorBidi"/>
                <w:color w:val="auto"/>
                <w:sz w:val="24"/>
                <w:szCs w:val="24"/>
                <w:highlight w:val="none"/>
              </w:rPr>
              <w:t>容量，能够更加灵活的适应应用程序的配置，且连接方式可为本地或者远程。</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模块化设计的</w:t>
            </w:r>
            <w:r>
              <w:rPr>
                <w:rFonts w:ascii="宋体" w:hAnsi="宋体" w:cstheme="minorBidi"/>
                <w:color w:val="auto"/>
                <w:sz w:val="24"/>
                <w:szCs w:val="24"/>
                <w:highlight w:val="none"/>
              </w:rPr>
              <w:t>IO</w:t>
            </w:r>
            <w:r>
              <w:rPr>
                <w:rFonts w:hint="eastAsia" w:ascii="宋体" w:hAnsi="宋体" w:cstheme="minorBidi"/>
                <w:color w:val="auto"/>
                <w:sz w:val="24"/>
                <w:szCs w:val="24"/>
                <w:highlight w:val="none"/>
              </w:rPr>
              <w:t>扩展针对暖通空调、制冷领域的实际应用进行了最佳优化。</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主控制器板载的通讯接口可提供基本的通讯功能，完善了系统的升级扩展性和智能化，增强的扩展通讯模块为楼宇系统的需要提供了各类接口。</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本工程设计的控制系统能自动调节所处理空气的温度、湿度：手术室多功能控制箱显示和调节每个手术室的温度、湿度，中、高效、高效过滤器报警显示。</w:t>
            </w:r>
          </w:p>
        </w:tc>
      </w:tr>
    </w:tbl>
    <w:p>
      <w:pPr>
        <w:rPr>
          <w:rFonts w:ascii="宋体" w:hAnsi="宋体" w:cstheme="minorBidi"/>
          <w:b/>
          <w:bCs/>
          <w:color w:val="auto"/>
          <w:sz w:val="24"/>
          <w:szCs w:val="24"/>
          <w:highlight w:val="none"/>
        </w:rPr>
      </w:pPr>
    </w:p>
    <w:p>
      <w:pPr>
        <w:jc w:val="left"/>
        <w:outlineLvl w:val="2"/>
        <w:rPr>
          <w:rFonts w:ascii="宋体" w:hAnsi="宋体" w:cs="宋体"/>
          <w:color w:val="auto"/>
          <w:kern w:val="0"/>
          <w:sz w:val="24"/>
          <w:szCs w:val="24"/>
          <w:highlight w:val="none"/>
          <w:lang w:val="zh-CN" w:bidi="zh-CN"/>
        </w:rPr>
      </w:pPr>
      <w:r>
        <w:rPr>
          <w:rFonts w:hint="eastAsia" w:ascii="宋体" w:hAnsi="宋体" w:cstheme="minorBidi"/>
          <w:b/>
          <w:bCs/>
          <w:color w:val="auto"/>
          <w:sz w:val="24"/>
          <w:szCs w:val="24"/>
          <w:highlight w:val="none"/>
        </w:rPr>
        <w:t>（三）电气主要设备材料技术、质量要求</w:t>
      </w:r>
    </w:p>
    <w:tbl>
      <w:tblPr>
        <w:tblStyle w:val="54"/>
        <w:tblW w:w="8512"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8"/>
        <w:gridCol w:w="850"/>
        <w:gridCol w:w="284"/>
        <w:gridCol w:w="1134"/>
        <w:gridCol w:w="56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418"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序号</w:t>
            </w:r>
          </w:p>
        </w:tc>
        <w:tc>
          <w:tcPr>
            <w:tcW w:w="1418"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产品名称</w:t>
            </w:r>
          </w:p>
        </w:tc>
        <w:tc>
          <w:tcPr>
            <w:tcW w:w="5676"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产品技术要求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512" w:type="dxa"/>
            <w:gridSpan w:val="5"/>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强</w:t>
            </w:r>
            <w:r>
              <w:rPr>
                <w:rFonts w:ascii="宋体" w:hAnsi="宋体" w:cstheme="minorBidi"/>
                <w:color w:val="auto"/>
                <w:sz w:val="24"/>
                <w:szCs w:val="24"/>
                <w:highlight w:val="none"/>
              </w:rPr>
              <w:t xml:space="preserve"> </w:t>
            </w:r>
            <w:r>
              <w:rPr>
                <w:rFonts w:hint="eastAsia" w:ascii="宋体" w:hAnsi="宋体" w:cstheme="minorBidi"/>
                <w:color w:val="auto"/>
                <w:sz w:val="24"/>
                <w:szCs w:val="24"/>
                <w:highlight w:val="none"/>
              </w:rPr>
              <w:t>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68" w:type="dxa"/>
            <w:vAlign w:val="center"/>
          </w:tcPr>
          <w:p>
            <w:pPr>
              <w:rPr>
                <w:rFonts w:ascii="宋体" w:hAnsi="宋体" w:cstheme="minorBidi"/>
                <w:color w:val="auto"/>
                <w:sz w:val="24"/>
                <w:szCs w:val="24"/>
                <w:highlight w:val="none"/>
              </w:rPr>
            </w:pP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w:t>
            </w:r>
          </w:p>
        </w:tc>
        <w:tc>
          <w:tcPr>
            <w:tcW w:w="1134"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配电箱</w:t>
            </w:r>
          </w:p>
        </w:tc>
        <w:tc>
          <w:tcPr>
            <w:tcW w:w="6810"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配电箱</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配电箱内组件应排列整齐、固定可靠、各电气组件应可单独拆装。</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配电箱柜体应采用优质冷轧钢板，表面应酸洗、磷化后用静电粉末高温喷涂，板材厚度应符合国家配电柜相关标准要求。</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配电箱内所配导线端部应标明线号，箱体内应有一次接线及二次接线原理图。</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配电箱及箱内所有元器件等均应通过国家相应安全认证，必须有“</w:t>
            </w:r>
            <w:r>
              <w:rPr>
                <w:rFonts w:ascii="宋体" w:hAnsi="宋体" w:cstheme="minorBidi"/>
                <w:color w:val="auto"/>
                <w:sz w:val="24"/>
                <w:szCs w:val="24"/>
                <w:highlight w:val="none"/>
              </w:rPr>
              <w:t>CCC</w:t>
            </w:r>
            <w:r>
              <w:rPr>
                <w:rFonts w:hint="eastAsia" w:ascii="宋体" w:hAnsi="宋体" w:cstheme="minorBidi"/>
                <w:color w:val="auto"/>
                <w:sz w:val="24"/>
                <w:szCs w:val="24"/>
                <w:highlight w:val="none"/>
              </w:rPr>
              <w:t>”认证标志。</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所有组件应具有经久耐用、操作安全、维护方便等优点。</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配电箱内微型断路器等：</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必须有“</w:t>
            </w:r>
            <w:r>
              <w:rPr>
                <w:rFonts w:ascii="宋体" w:hAnsi="宋体" w:cstheme="minorBidi"/>
                <w:color w:val="auto"/>
                <w:sz w:val="24"/>
                <w:szCs w:val="24"/>
                <w:highlight w:val="none"/>
              </w:rPr>
              <w:t>CCC</w:t>
            </w:r>
            <w:r>
              <w:rPr>
                <w:rFonts w:hint="eastAsia" w:ascii="宋体" w:hAnsi="宋体" w:cstheme="minorBidi"/>
                <w:color w:val="auto"/>
                <w:sz w:val="24"/>
                <w:szCs w:val="24"/>
                <w:highlight w:val="none"/>
              </w:rPr>
              <w:t>”认证标志，具有防触电保护；</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两用端子能同时连接电缆和汇流排，不需任何附件</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可容易地安装在</w:t>
            </w:r>
            <w:r>
              <w:rPr>
                <w:rFonts w:ascii="宋体" w:hAnsi="宋体" w:cstheme="minorBidi"/>
                <w:color w:val="auto"/>
                <w:sz w:val="24"/>
                <w:szCs w:val="24"/>
                <w:highlight w:val="none"/>
              </w:rPr>
              <w:t>35mm导轨上</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产品在闭合和断开位置时可通过附件被锁定</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具有很高的的短路分析能力</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在短路时通过短路能量低</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上下接线端均可进线，分析能力不变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68" w:type="dxa"/>
            <w:vAlign w:val="center"/>
          </w:tcPr>
          <w:p>
            <w:pPr>
              <w:rPr>
                <w:rFonts w:ascii="宋体" w:hAnsi="宋体" w:cstheme="minorBidi"/>
                <w:color w:val="auto"/>
                <w:sz w:val="24"/>
                <w:szCs w:val="24"/>
                <w:highlight w:val="none"/>
              </w:rPr>
            </w:pP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w:t>
            </w:r>
          </w:p>
        </w:tc>
        <w:tc>
          <w:tcPr>
            <w:tcW w:w="1134"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电线、电缆</w:t>
            </w:r>
          </w:p>
        </w:tc>
        <w:tc>
          <w:tcPr>
            <w:tcW w:w="6810"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电缆盘上应表明电缆型号、规格、电压等级、长度及出厂日期。并与产品合格证相符。电缆盘应完好无损。</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用优质铜材。</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线、电缆的绝缘材料必须符合电压等级和设计要求。</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电缆未受到机械外力的损伤，铠装无锈蚀，缆线顺直无皱折和扭曲现象。塑料电缆外皮绝缘层无老化和龟裂现象。</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电缆终端头应是定型产品，与电缆采用同一产品，附件齐全，封套必须与电缆规格尺寸匹配，应紧裹电缆及其各条导线。套管应完好无损，不得有裂纹和损伤。</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电缆芯线和电线绝缘层的颜色必须满足以下要求：</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相线：黄、绿、红；零线：淡蓝；地线：黄</w:t>
            </w:r>
            <w:r>
              <w:rPr>
                <w:rFonts w:ascii="宋体" w:hAnsi="宋体" w:cstheme="minorBidi"/>
                <w:color w:val="auto"/>
                <w:sz w:val="24"/>
                <w:szCs w:val="24"/>
                <w:highlight w:val="none"/>
              </w:rPr>
              <w:t>/</w:t>
            </w:r>
            <w:r>
              <w:rPr>
                <w:rFonts w:hint="eastAsia" w:ascii="宋体" w:hAnsi="宋体" w:cstheme="minorBidi"/>
                <w:color w:val="auto"/>
                <w:sz w:val="24"/>
                <w:szCs w:val="24"/>
                <w:highlight w:val="none"/>
              </w:rPr>
              <w:t>绿；控制线：白</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电缆的具体型号以设计为准。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68" w:type="dxa"/>
            <w:vAlign w:val="center"/>
          </w:tcPr>
          <w:p>
            <w:pPr>
              <w:rPr>
                <w:rFonts w:ascii="宋体" w:hAnsi="宋体" w:cstheme="minorBidi"/>
                <w:color w:val="auto"/>
                <w:sz w:val="24"/>
                <w:szCs w:val="24"/>
                <w:highlight w:val="none"/>
              </w:rPr>
            </w:pPr>
          </w:p>
          <w:p>
            <w:pPr>
              <w:rPr>
                <w:rFonts w:ascii="宋体" w:hAnsi="宋体" w:cstheme="minorBidi"/>
                <w:color w:val="auto"/>
                <w:sz w:val="24"/>
                <w:szCs w:val="24"/>
                <w:highlight w:val="none"/>
              </w:rPr>
            </w:pPr>
            <w:r>
              <w:rPr>
                <w:rFonts w:ascii="宋体" w:hAnsi="宋体" w:cstheme="minorBidi"/>
                <w:color w:val="auto"/>
                <w:sz w:val="24"/>
                <w:szCs w:val="24"/>
                <w:highlight w:val="none"/>
              </w:rPr>
              <w:t>3</w:t>
            </w:r>
            <w:r>
              <w:rPr>
                <w:rFonts w:hint="eastAsia" w:ascii="宋体" w:hAnsi="宋体" w:cstheme="minorBidi"/>
                <w:color w:val="auto"/>
                <w:sz w:val="24"/>
                <w:szCs w:val="24"/>
                <w:highlight w:val="none"/>
              </w:rPr>
              <w:t>、</w:t>
            </w:r>
          </w:p>
        </w:tc>
        <w:tc>
          <w:tcPr>
            <w:tcW w:w="1134"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净化灯具（</w:t>
            </w:r>
            <w:r>
              <w:rPr>
                <w:rFonts w:ascii="宋体" w:hAnsi="宋体" w:cstheme="minorBidi"/>
                <w:color w:val="auto"/>
                <w:sz w:val="24"/>
                <w:szCs w:val="24"/>
                <w:highlight w:val="none"/>
              </w:rPr>
              <w:t>LED）</w:t>
            </w:r>
          </w:p>
        </w:tc>
        <w:tc>
          <w:tcPr>
            <w:tcW w:w="6810"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超薄外框一体化设计，体积小巧，外观精致。</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专业设计，防腐耐潮，不积尘采尘，避免空气乱流。</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无紫外线（</w:t>
            </w:r>
            <w:r>
              <w:rPr>
                <w:rFonts w:ascii="宋体" w:hAnsi="宋体" w:cstheme="minorBidi"/>
                <w:color w:val="auto"/>
                <w:sz w:val="24"/>
                <w:szCs w:val="24"/>
                <w:highlight w:val="none"/>
              </w:rPr>
              <w:t>UV）和红外线（IR）辐射</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灯具应通过电磁兼容型式试验合格报告（依据标准</w:t>
            </w:r>
            <w:r>
              <w:rPr>
                <w:rFonts w:ascii="宋体" w:hAnsi="宋体" w:cstheme="minorBidi"/>
                <w:color w:val="auto"/>
                <w:sz w:val="24"/>
                <w:szCs w:val="24"/>
                <w:highlight w:val="none"/>
              </w:rPr>
              <w:t xml:space="preserve">GB17743-2007电气照明和类似设备的无线电骚扰特性的限值和测量方法；GB17625.1-2012 </w:t>
            </w:r>
            <w:r>
              <w:rPr>
                <w:rFonts w:hint="eastAsia" w:ascii="宋体" w:hAnsi="宋体" w:cstheme="minorBidi"/>
                <w:color w:val="auto"/>
                <w:sz w:val="24"/>
                <w:szCs w:val="24"/>
                <w:highlight w:val="none"/>
              </w:rPr>
              <w:t>电磁兼容</w:t>
            </w:r>
            <w:r>
              <w:rPr>
                <w:rFonts w:ascii="宋体" w:hAnsi="宋体" w:cstheme="minorBidi"/>
                <w:color w:val="auto"/>
                <w:sz w:val="24"/>
                <w:szCs w:val="24"/>
                <w:highlight w:val="none"/>
              </w:rPr>
              <w:t xml:space="preserve"> </w:t>
            </w:r>
            <w:r>
              <w:rPr>
                <w:rFonts w:hint="eastAsia" w:ascii="宋体" w:hAnsi="宋体" w:cstheme="minorBidi"/>
                <w:color w:val="auto"/>
                <w:sz w:val="24"/>
                <w:szCs w:val="24"/>
                <w:highlight w:val="none"/>
              </w:rPr>
              <w:t>限值</w:t>
            </w:r>
            <w:r>
              <w:rPr>
                <w:rFonts w:ascii="宋体" w:hAnsi="宋体" w:cstheme="minorBidi"/>
                <w:color w:val="auto"/>
                <w:sz w:val="24"/>
                <w:szCs w:val="24"/>
                <w:highlight w:val="none"/>
              </w:rPr>
              <w:t xml:space="preserve"> </w:t>
            </w:r>
            <w:r>
              <w:rPr>
                <w:rFonts w:hint="eastAsia" w:ascii="宋体" w:hAnsi="宋体" w:cstheme="minorBidi"/>
                <w:color w:val="auto"/>
                <w:sz w:val="24"/>
                <w:szCs w:val="24"/>
                <w:highlight w:val="none"/>
              </w:rPr>
              <w:t>谐波电流发射限值（设备每相输入电流≤</w:t>
            </w:r>
            <w:r>
              <w:rPr>
                <w:rFonts w:ascii="宋体" w:hAnsi="宋体" w:cstheme="minorBidi"/>
                <w:color w:val="auto"/>
                <w:sz w:val="24"/>
                <w:szCs w:val="24"/>
                <w:highlight w:val="none"/>
              </w:rPr>
              <w:t>16A））；</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灯具应通过安全试验型式试验合格报告；（依据标准</w:t>
            </w:r>
            <w:r>
              <w:rPr>
                <w:rFonts w:ascii="宋体" w:hAnsi="宋体" w:cstheme="minorBidi"/>
                <w:color w:val="auto"/>
                <w:sz w:val="24"/>
                <w:szCs w:val="24"/>
                <w:highlight w:val="none"/>
              </w:rPr>
              <w:t>GB7000.201-2008+GB7000.1-2007）</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灯具应具有</w:t>
            </w:r>
            <w:r>
              <w:rPr>
                <w:rFonts w:ascii="宋体" w:hAnsi="宋体" w:cstheme="minorBidi"/>
                <w:color w:val="auto"/>
                <w:sz w:val="24"/>
                <w:szCs w:val="24"/>
                <w:highlight w:val="none"/>
              </w:rPr>
              <w:t xml:space="preserve">GB7000.201-2008灯具 </w:t>
            </w:r>
            <w:r>
              <w:rPr>
                <w:rFonts w:hint="eastAsia" w:ascii="宋体" w:hAnsi="宋体" w:cstheme="minorBidi"/>
                <w:color w:val="auto"/>
                <w:sz w:val="24"/>
                <w:szCs w:val="24"/>
                <w:highlight w:val="none"/>
              </w:rPr>
              <w:t>第</w:t>
            </w:r>
            <w:r>
              <w:rPr>
                <w:rFonts w:ascii="宋体" w:hAnsi="宋体" w:cstheme="minorBidi"/>
                <w:color w:val="auto"/>
                <w:sz w:val="24"/>
                <w:szCs w:val="24"/>
                <w:highlight w:val="none"/>
              </w:rPr>
              <w:t xml:space="preserve">2-1部分：特殊要求 </w:t>
            </w:r>
            <w:r>
              <w:rPr>
                <w:rFonts w:hint="eastAsia" w:ascii="宋体" w:hAnsi="宋体" w:cstheme="minorBidi"/>
                <w:color w:val="auto"/>
                <w:sz w:val="24"/>
                <w:szCs w:val="24"/>
                <w:highlight w:val="none"/>
              </w:rPr>
              <w:t>固定式通用灯具；</w:t>
            </w:r>
            <w:r>
              <w:rPr>
                <w:rFonts w:ascii="宋体" w:hAnsi="宋体" w:cstheme="minorBidi"/>
                <w:color w:val="auto"/>
                <w:sz w:val="24"/>
                <w:szCs w:val="24"/>
                <w:highlight w:val="none"/>
              </w:rPr>
              <w:t xml:space="preserve">GB7000. 1-2007灯具 </w:t>
            </w:r>
            <w:r>
              <w:rPr>
                <w:rFonts w:hint="eastAsia" w:ascii="宋体" w:hAnsi="宋体" w:cstheme="minorBidi"/>
                <w:color w:val="auto"/>
                <w:sz w:val="24"/>
                <w:szCs w:val="24"/>
                <w:highlight w:val="none"/>
              </w:rPr>
              <w:t>第</w:t>
            </w:r>
            <w:r>
              <w:rPr>
                <w:rFonts w:ascii="宋体" w:hAnsi="宋体" w:cstheme="minorBidi"/>
                <w:color w:val="auto"/>
                <w:sz w:val="24"/>
                <w:szCs w:val="24"/>
                <w:highlight w:val="none"/>
              </w:rPr>
              <w:t>1</w:t>
            </w:r>
            <w:r>
              <w:rPr>
                <w:rFonts w:hint="eastAsia" w:ascii="宋体" w:hAnsi="宋体" w:cstheme="minorBidi"/>
                <w:color w:val="auto"/>
                <w:sz w:val="24"/>
                <w:szCs w:val="24"/>
                <w:highlight w:val="none"/>
              </w:rPr>
              <w:t>部分</w:t>
            </w:r>
            <w:r>
              <w:rPr>
                <w:rFonts w:ascii="宋体" w:hAnsi="宋体" w:cstheme="minorBidi"/>
                <w:color w:val="auto"/>
                <w:sz w:val="24"/>
                <w:szCs w:val="24"/>
                <w:highlight w:val="none"/>
              </w:rPr>
              <w:t>:一般安全与试验的合格检测报告。</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灯具应通过</w:t>
            </w:r>
            <w:r>
              <w:rPr>
                <w:rFonts w:ascii="宋体" w:hAnsi="宋体" w:cstheme="minorBidi"/>
                <w:color w:val="auto"/>
                <w:sz w:val="24"/>
                <w:szCs w:val="24"/>
                <w:highlight w:val="none"/>
              </w:rPr>
              <w:t>IP65</w:t>
            </w:r>
            <w:r>
              <w:rPr>
                <w:rFonts w:hint="eastAsia" w:ascii="宋体" w:hAnsi="宋体" w:cstheme="minorBidi"/>
                <w:color w:val="auto"/>
                <w:sz w:val="24"/>
                <w:szCs w:val="24"/>
                <w:highlight w:val="none"/>
              </w:rPr>
              <w:t>认证</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灯具应通过</w:t>
            </w:r>
            <w:r>
              <w:rPr>
                <w:rFonts w:ascii="宋体" w:hAnsi="宋体" w:cstheme="minorBidi"/>
                <w:color w:val="auto"/>
                <w:sz w:val="24"/>
                <w:szCs w:val="24"/>
                <w:highlight w:val="none"/>
              </w:rPr>
              <w:t>ROHS</w:t>
            </w:r>
            <w:r>
              <w:rPr>
                <w:rFonts w:hint="eastAsia" w:ascii="宋体" w:hAnsi="宋体" w:cstheme="minorBidi"/>
                <w:color w:val="auto"/>
                <w:sz w:val="24"/>
                <w:szCs w:val="24"/>
                <w:highlight w:val="none"/>
              </w:rPr>
              <w:t>认证</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灯具应具有</w:t>
            </w:r>
            <w:r>
              <w:rPr>
                <w:rFonts w:ascii="宋体" w:hAnsi="宋体" w:cstheme="minorBidi"/>
                <w:color w:val="auto"/>
                <w:sz w:val="24"/>
                <w:szCs w:val="24"/>
                <w:highlight w:val="none"/>
              </w:rPr>
              <w:t>3C认证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68" w:type="dxa"/>
            <w:vAlign w:val="center"/>
          </w:tcPr>
          <w:p>
            <w:pPr>
              <w:rPr>
                <w:rFonts w:ascii="宋体" w:hAnsi="宋体" w:cstheme="minorBidi"/>
                <w:color w:val="auto"/>
                <w:sz w:val="24"/>
                <w:szCs w:val="24"/>
                <w:highlight w:val="none"/>
              </w:rPr>
            </w:pPr>
          </w:p>
          <w:p>
            <w:pPr>
              <w:rPr>
                <w:rFonts w:ascii="宋体" w:hAnsi="宋体" w:cstheme="minorBidi"/>
                <w:color w:val="auto"/>
                <w:sz w:val="24"/>
                <w:szCs w:val="24"/>
                <w:highlight w:val="none"/>
              </w:rPr>
            </w:pPr>
            <w:r>
              <w:rPr>
                <w:rFonts w:ascii="宋体" w:hAnsi="宋体" w:cstheme="minorBidi"/>
                <w:color w:val="auto"/>
                <w:sz w:val="24"/>
                <w:szCs w:val="24"/>
                <w:highlight w:val="none"/>
              </w:rPr>
              <w:t>4</w:t>
            </w:r>
            <w:r>
              <w:rPr>
                <w:rFonts w:hint="eastAsia" w:ascii="宋体" w:hAnsi="宋体" w:cstheme="minorBidi"/>
                <w:color w:val="auto"/>
                <w:sz w:val="24"/>
                <w:szCs w:val="24"/>
                <w:highlight w:val="none"/>
              </w:rPr>
              <w:t>、</w:t>
            </w:r>
          </w:p>
        </w:tc>
        <w:tc>
          <w:tcPr>
            <w:tcW w:w="1134"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开关、插座</w:t>
            </w:r>
          </w:p>
        </w:tc>
        <w:tc>
          <w:tcPr>
            <w:tcW w:w="6810"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应有国家认可的质量检测机构出具的检验合格报告和“</w:t>
            </w:r>
            <w:r>
              <w:rPr>
                <w:rFonts w:ascii="宋体" w:hAnsi="宋体" w:cstheme="minorBidi"/>
                <w:color w:val="auto"/>
                <w:sz w:val="24"/>
                <w:szCs w:val="24"/>
                <w:highlight w:val="none"/>
              </w:rPr>
              <w:t>3C</w:t>
            </w:r>
            <w:r>
              <w:rPr>
                <w:rFonts w:hint="eastAsia" w:ascii="宋体" w:hAnsi="宋体" w:cstheme="minorBidi"/>
                <w:color w:val="auto"/>
                <w:sz w:val="24"/>
                <w:szCs w:val="24"/>
                <w:highlight w:val="none"/>
              </w:rPr>
              <w:t>”认证。</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所有开关、插座必须使用同一品牌同一系列的产品。</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优异的耐漏电起痕电性能，良好的对异常发热及火焰的耐性。</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阻燃性能好，插座接插件选用优质锡磷青铜加工制成，导电性能好，面无螺孔，超薄流线型面板，插座均采用内封闭结构，双孔压板式接线，用电更安全；外表美观，手感好。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512" w:type="dxa"/>
            <w:gridSpan w:val="5"/>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弱电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68" w:type="dxa"/>
            <w:vAlign w:val="center"/>
          </w:tcPr>
          <w:p>
            <w:pPr>
              <w:rPr>
                <w:rFonts w:ascii="宋体" w:hAnsi="宋体" w:cstheme="minorBidi"/>
                <w:color w:val="auto"/>
                <w:sz w:val="24"/>
                <w:szCs w:val="24"/>
                <w:highlight w:val="none"/>
              </w:rPr>
            </w:pPr>
          </w:p>
          <w:p>
            <w:pPr>
              <w:rPr>
                <w:rFonts w:ascii="宋体" w:hAnsi="宋体" w:cstheme="minorBidi"/>
                <w:color w:val="auto"/>
                <w:sz w:val="24"/>
                <w:szCs w:val="24"/>
                <w:highlight w:val="none"/>
              </w:rPr>
            </w:pPr>
            <w:r>
              <w:rPr>
                <w:rFonts w:ascii="宋体" w:hAnsi="宋体" w:cstheme="minorBidi"/>
                <w:color w:val="auto"/>
                <w:sz w:val="24"/>
                <w:szCs w:val="24"/>
                <w:highlight w:val="none"/>
              </w:rPr>
              <w:t>1</w:t>
            </w:r>
            <w:r>
              <w:rPr>
                <w:rFonts w:hint="eastAsia" w:ascii="宋体" w:hAnsi="宋体" w:cstheme="minorBidi"/>
                <w:color w:val="auto"/>
                <w:sz w:val="24"/>
                <w:szCs w:val="24"/>
                <w:highlight w:val="none"/>
              </w:rPr>
              <w:t>、</w:t>
            </w:r>
          </w:p>
        </w:tc>
        <w:tc>
          <w:tcPr>
            <w:tcW w:w="1134"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监控摄像机</w:t>
            </w:r>
          </w:p>
        </w:tc>
        <w:tc>
          <w:tcPr>
            <w:tcW w:w="6810"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摄像机采用≥</w:t>
            </w:r>
            <w:r>
              <w:rPr>
                <w:rFonts w:ascii="宋体" w:hAnsi="宋体" w:cstheme="minorBidi"/>
                <w:color w:val="auto"/>
                <w:sz w:val="24"/>
                <w:szCs w:val="24"/>
                <w:highlight w:val="none"/>
              </w:rPr>
              <w:t>200</w:t>
            </w:r>
            <w:r>
              <w:rPr>
                <w:rFonts w:hint="eastAsia" w:ascii="宋体" w:hAnsi="宋体" w:cstheme="minorBidi"/>
                <w:color w:val="auto"/>
                <w:sz w:val="24"/>
                <w:szCs w:val="24"/>
                <w:highlight w:val="none"/>
              </w:rPr>
              <w:t>万像素数字</w:t>
            </w:r>
            <w:r>
              <w:rPr>
                <w:rFonts w:ascii="宋体" w:hAnsi="宋体" w:cstheme="minorBidi"/>
                <w:color w:val="auto"/>
                <w:sz w:val="24"/>
                <w:szCs w:val="24"/>
                <w:highlight w:val="none"/>
              </w:rPr>
              <w:t>IP</w:t>
            </w:r>
            <w:r>
              <w:rPr>
                <w:rFonts w:hint="eastAsia" w:ascii="宋体" w:hAnsi="宋体" w:cstheme="minorBidi"/>
                <w:color w:val="auto"/>
                <w:sz w:val="24"/>
                <w:szCs w:val="24"/>
                <w:highlight w:val="none"/>
              </w:rPr>
              <w:t>网络型，支持</w:t>
            </w:r>
            <w:r>
              <w:rPr>
                <w:rFonts w:ascii="宋体" w:hAnsi="宋体" w:cstheme="minorBidi"/>
                <w:color w:val="auto"/>
                <w:sz w:val="24"/>
                <w:szCs w:val="24"/>
                <w:highlight w:val="none"/>
              </w:rPr>
              <w:t>H.265</w:t>
            </w:r>
            <w:r>
              <w:rPr>
                <w:rFonts w:hint="eastAsia" w:ascii="宋体" w:hAnsi="宋体" w:cstheme="minorBidi"/>
                <w:color w:val="auto"/>
                <w:sz w:val="24"/>
                <w:szCs w:val="24"/>
                <w:highlight w:val="none"/>
              </w:rPr>
              <w:t>。</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集成了视音频采集、智能编码压缩及网络传输等多种功能。</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采用嵌入式操作系统和高性能硬件处理平台，具有较高稳定性和可靠性。</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可以通过浏览器或客户端软件，实现远距离传输和实时视频浏览和配置等功能。</w:t>
            </w:r>
            <w:r>
              <w:rPr>
                <w:rFonts w:ascii="宋体" w:hAnsi="宋体" w:cstheme="minorBidi"/>
                <w:color w:val="auto"/>
                <w:sz w:val="24"/>
                <w:szCs w:val="24"/>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68" w:type="dxa"/>
            <w:vAlign w:val="center"/>
          </w:tcPr>
          <w:p>
            <w:pPr>
              <w:rPr>
                <w:rFonts w:ascii="宋体" w:hAnsi="宋体" w:cstheme="minorBidi"/>
                <w:color w:val="auto"/>
                <w:sz w:val="24"/>
                <w:szCs w:val="24"/>
                <w:highlight w:val="none"/>
              </w:rPr>
            </w:pPr>
          </w:p>
          <w:p>
            <w:pPr>
              <w:rPr>
                <w:rFonts w:ascii="宋体" w:hAnsi="宋体" w:cstheme="minorBidi"/>
                <w:color w:val="auto"/>
                <w:sz w:val="24"/>
                <w:szCs w:val="24"/>
                <w:highlight w:val="none"/>
              </w:rPr>
            </w:pPr>
            <w:r>
              <w:rPr>
                <w:rFonts w:ascii="宋体" w:hAnsi="宋体" w:cstheme="minorBidi"/>
                <w:color w:val="auto"/>
                <w:sz w:val="24"/>
                <w:szCs w:val="24"/>
                <w:highlight w:val="none"/>
              </w:rPr>
              <w:t>2</w:t>
            </w:r>
            <w:r>
              <w:rPr>
                <w:rFonts w:hint="eastAsia" w:ascii="宋体" w:hAnsi="宋体" w:cstheme="minorBidi"/>
                <w:color w:val="auto"/>
                <w:sz w:val="24"/>
                <w:szCs w:val="24"/>
                <w:highlight w:val="none"/>
              </w:rPr>
              <w:t>、</w:t>
            </w:r>
          </w:p>
        </w:tc>
        <w:tc>
          <w:tcPr>
            <w:tcW w:w="1134"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六类网线</w:t>
            </w:r>
          </w:p>
        </w:tc>
        <w:tc>
          <w:tcPr>
            <w:tcW w:w="6810" w:type="dxa"/>
            <w:gridSpan w:val="2"/>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符合</w:t>
            </w:r>
            <w:r>
              <w:rPr>
                <w:rFonts w:ascii="宋体" w:hAnsi="宋体" w:cstheme="minorBidi"/>
                <w:color w:val="auto"/>
                <w:sz w:val="24"/>
                <w:szCs w:val="24"/>
                <w:highlight w:val="none"/>
              </w:rPr>
              <w:t>TIA/EIA-568-C.2</w:t>
            </w:r>
            <w:r>
              <w:rPr>
                <w:rFonts w:hint="eastAsia" w:ascii="宋体" w:hAnsi="宋体" w:cstheme="minorBidi"/>
                <w:color w:val="auto"/>
                <w:sz w:val="24"/>
                <w:szCs w:val="24"/>
                <w:highlight w:val="none"/>
              </w:rPr>
              <w:t>六类和</w:t>
            </w:r>
            <w:r>
              <w:rPr>
                <w:rFonts w:ascii="宋体" w:hAnsi="宋体" w:cstheme="minorBidi"/>
                <w:color w:val="auto"/>
                <w:sz w:val="24"/>
                <w:szCs w:val="24"/>
                <w:highlight w:val="none"/>
              </w:rPr>
              <w:t>ISO-IEC11801-2nd ClassE</w:t>
            </w:r>
            <w:r>
              <w:rPr>
                <w:rFonts w:hint="eastAsia" w:ascii="宋体" w:hAnsi="宋体" w:cstheme="minorBidi"/>
                <w:color w:val="auto"/>
                <w:sz w:val="24"/>
                <w:szCs w:val="24"/>
                <w:highlight w:val="none"/>
              </w:rPr>
              <w:t>信道性能要求</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四对非屏蔽双绞，线对之间被内部十字支撑架分隔。</w:t>
            </w:r>
            <w:r>
              <w:rPr>
                <w:rFonts w:ascii="宋体" w:hAnsi="宋体" w:cstheme="minorBidi"/>
                <w:color w:val="auto"/>
                <w:sz w:val="24"/>
                <w:szCs w:val="24"/>
                <w:highlight w:val="none"/>
              </w:rPr>
              <w:t xml:space="preserve"> </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信道带宽：</w:t>
            </w:r>
            <w:r>
              <w:rPr>
                <w:rFonts w:ascii="宋体" w:hAnsi="宋体" w:cstheme="minorBidi"/>
                <w:color w:val="auto"/>
                <w:sz w:val="24"/>
                <w:szCs w:val="24"/>
                <w:highlight w:val="none"/>
              </w:rPr>
              <w:t>ACR</w:t>
            </w:r>
            <w:r>
              <w:rPr>
                <w:rFonts w:hint="eastAsia" w:ascii="宋体" w:hAnsi="宋体" w:cstheme="minorBidi"/>
                <w:color w:val="auto"/>
                <w:sz w:val="24"/>
                <w:szCs w:val="24"/>
                <w:highlight w:val="none"/>
              </w:rPr>
              <w:t>有效带宽</w:t>
            </w:r>
            <w:r>
              <w:rPr>
                <w:rFonts w:ascii="宋体" w:hAnsi="宋体" w:cstheme="minorBidi"/>
                <w:color w:val="auto"/>
                <w:sz w:val="24"/>
                <w:szCs w:val="24"/>
                <w:highlight w:val="none"/>
              </w:rPr>
              <w:t>&gt;250MHz</w:t>
            </w:r>
            <w:r>
              <w:rPr>
                <w:rFonts w:hint="eastAsia" w:ascii="宋体" w:hAnsi="宋体" w:cstheme="minorBidi"/>
                <w:color w:val="auto"/>
                <w:sz w:val="24"/>
                <w:szCs w:val="24"/>
                <w:highlight w:val="none"/>
              </w:rPr>
              <w:t>，性能测试达</w:t>
            </w:r>
            <w:r>
              <w:rPr>
                <w:rFonts w:ascii="宋体" w:hAnsi="宋体" w:cstheme="minorBidi"/>
                <w:color w:val="auto"/>
                <w:sz w:val="24"/>
                <w:szCs w:val="24"/>
                <w:highlight w:val="none"/>
              </w:rPr>
              <w:t>650MHz</w:t>
            </w:r>
            <w:r>
              <w:rPr>
                <w:rFonts w:hint="eastAsia" w:ascii="宋体" w:hAnsi="宋体" w:cstheme="minorBidi"/>
                <w:color w:val="auto"/>
                <w:sz w:val="24"/>
                <w:szCs w:val="24"/>
                <w:highlight w:val="none"/>
              </w:rPr>
              <w:t>。</w:t>
            </w:r>
            <w:r>
              <w:rPr>
                <w:rFonts w:ascii="宋体" w:hAnsi="宋体" w:cstheme="minorBidi"/>
                <w:color w:val="auto"/>
                <w:sz w:val="24"/>
                <w:szCs w:val="24"/>
                <w:highlight w:val="none"/>
              </w:rPr>
              <w:t xml:space="preserve"> </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防火等级：商用级</w:t>
            </w:r>
            <w:r>
              <w:rPr>
                <w:rFonts w:ascii="宋体" w:hAnsi="宋体" w:cstheme="minorBidi"/>
                <w:color w:val="auto"/>
                <w:sz w:val="24"/>
                <w:szCs w:val="24"/>
                <w:highlight w:val="none"/>
              </w:rPr>
              <w:t>CM</w:t>
            </w:r>
            <w:r>
              <w:rPr>
                <w:rFonts w:hint="eastAsia" w:ascii="宋体" w:hAnsi="宋体" w:cstheme="minorBidi"/>
                <w:color w:val="auto"/>
                <w:sz w:val="24"/>
                <w:szCs w:val="24"/>
                <w:highlight w:val="none"/>
              </w:rPr>
              <w:t>，满足</w:t>
            </w:r>
            <w:r>
              <w:rPr>
                <w:rFonts w:ascii="宋体" w:hAnsi="宋体" w:cstheme="minorBidi"/>
                <w:color w:val="auto"/>
                <w:sz w:val="24"/>
                <w:szCs w:val="24"/>
                <w:highlight w:val="none"/>
              </w:rPr>
              <w:t>NEC</w:t>
            </w:r>
            <w:r>
              <w:rPr>
                <w:rFonts w:hint="eastAsia" w:ascii="宋体" w:hAnsi="宋体" w:cstheme="minorBidi"/>
                <w:color w:val="auto"/>
                <w:sz w:val="24"/>
                <w:szCs w:val="24"/>
                <w:highlight w:val="none"/>
              </w:rPr>
              <w:t>标准</w:t>
            </w:r>
            <w:r>
              <w:rPr>
                <w:rFonts w:ascii="宋体" w:hAnsi="宋体" w:cstheme="minorBidi"/>
                <w:color w:val="auto"/>
                <w:sz w:val="24"/>
                <w:szCs w:val="24"/>
                <w:highlight w:val="none"/>
              </w:rPr>
              <w:t>UL1581</w:t>
            </w:r>
            <w:r>
              <w:rPr>
                <w:rFonts w:hint="eastAsia" w:ascii="宋体" w:hAnsi="宋体" w:cstheme="minorBidi"/>
                <w:color w:val="auto"/>
                <w:sz w:val="24"/>
                <w:szCs w:val="24"/>
                <w:highlight w:val="none"/>
              </w:rPr>
              <w:t>防火规范，满足</w:t>
            </w:r>
            <w:r>
              <w:rPr>
                <w:rFonts w:ascii="宋体" w:hAnsi="宋体" w:cstheme="minorBidi"/>
                <w:color w:val="auto"/>
                <w:sz w:val="24"/>
                <w:szCs w:val="24"/>
                <w:highlight w:val="none"/>
              </w:rPr>
              <w:t>IEC60332-1</w:t>
            </w:r>
            <w:r>
              <w:rPr>
                <w:rFonts w:hint="eastAsia" w:ascii="宋体" w:hAnsi="宋体" w:cstheme="minorBidi"/>
                <w:color w:val="auto"/>
                <w:sz w:val="24"/>
                <w:szCs w:val="24"/>
                <w:highlight w:val="none"/>
              </w:rPr>
              <w:t>标准。</w:t>
            </w:r>
            <w:r>
              <w:rPr>
                <w:rFonts w:ascii="宋体" w:hAnsi="宋体" w:cstheme="minorBidi"/>
                <w:color w:val="auto"/>
                <w:sz w:val="24"/>
                <w:szCs w:val="24"/>
                <w:highlight w:val="none"/>
              </w:rPr>
              <w:t xml:space="preserve"> </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支持应用：以太网</w:t>
            </w:r>
            <w:r>
              <w:rPr>
                <w:rFonts w:ascii="宋体" w:hAnsi="宋体" w:cstheme="minorBidi"/>
                <w:color w:val="auto"/>
                <w:sz w:val="24"/>
                <w:szCs w:val="24"/>
                <w:highlight w:val="none"/>
              </w:rPr>
              <w:t>10Base-T</w:t>
            </w:r>
            <w:r>
              <w:rPr>
                <w:rFonts w:hint="eastAsia" w:ascii="宋体" w:hAnsi="宋体" w:cstheme="minorBidi"/>
                <w:color w:val="auto"/>
                <w:sz w:val="24"/>
                <w:szCs w:val="24"/>
                <w:highlight w:val="none"/>
              </w:rPr>
              <w:t>、以太网</w:t>
            </w:r>
            <w:r>
              <w:rPr>
                <w:rFonts w:ascii="宋体" w:hAnsi="宋体" w:cstheme="minorBidi"/>
                <w:color w:val="auto"/>
                <w:sz w:val="24"/>
                <w:szCs w:val="24"/>
                <w:highlight w:val="none"/>
              </w:rPr>
              <w:t>100Base-T</w:t>
            </w:r>
            <w:r>
              <w:rPr>
                <w:rFonts w:hint="eastAsia" w:ascii="宋体" w:hAnsi="宋体" w:cstheme="minorBidi"/>
                <w:color w:val="auto"/>
                <w:sz w:val="24"/>
                <w:szCs w:val="24"/>
                <w:highlight w:val="none"/>
              </w:rPr>
              <w:t>、千兆以太网</w:t>
            </w:r>
            <w:r>
              <w:rPr>
                <w:rFonts w:ascii="宋体" w:hAnsi="宋体" w:cstheme="minorBidi"/>
                <w:color w:val="auto"/>
                <w:sz w:val="24"/>
                <w:szCs w:val="24"/>
                <w:highlight w:val="none"/>
              </w:rPr>
              <w:t>1000Base-T</w:t>
            </w:r>
          </w:p>
        </w:tc>
      </w:tr>
    </w:tbl>
    <w:p>
      <w:pPr>
        <w:autoSpaceDE w:val="0"/>
        <w:autoSpaceDN w:val="0"/>
        <w:ind w:left="432"/>
        <w:jc w:val="left"/>
        <w:rPr>
          <w:rFonts w:ascii="宋体" w:hAnsi="宋体" w:cs="宋体"/>
          <w:color w:val="auto"/>
          <w:kern w:val="0"/>
          <w:sz w:val="24"/>
          <w:szCs w:val="24"/>
          <w:highlight w:val="none"/>
          <w:lang w:val="zh-CN" w:bidi="zh-CN"/>
        </w:rPr>
      </w:pPr>
    </w:p>
    <w:p>
      <w:pPr>
        <w:jc w:val="left"/>
        <w:outlineLvl w:val="2"/>
        <w:rPr>
          <w:rFonts w:ascii="宋体" w:hAnsi="宋体" w:cs="宋体"/>
          <w:color w:val="auto"/>
          <w:kern w:val="0"/>
          <w:sz w:val="24"/>
          <w:szCs w:val="24"/>
          <w:highlight w:val="none"/>
          <w:lang w:val="zh-CN" w:bidi="zh-CN"/>
        </w:rPr>
      </w:pPr>
      <w:r>
        <w:rPr>
          <w:rFonts w:hint="eastAsia" w:ascii="宋体" w:hAnsi="宋体" w:cstheme="minorBidi"/>
          <w:b/>
          <w:bCs/>
          <w:color w:val="auto"/>
          <w:sz w:val="24"/>
          <w:szCs w:val="24"/>
          <w:highlight w:val="none"/>
        </w:rPr>
        <w:t>（四）给排水主要设备材料技术、质量要求</w:t>
      </w:r>
    </w:p>
    <w:tbl>
      <w:tblPr>
        <w:tblStyle w:val="54"/>
        <w:tblW w:w="853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1"/>
        <w:gridCol w:w="979"/>
        <w:gridCol w:w="7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6" w:hRule="atLeast"/>
          <w:tblHeader/>
        </w:trPr>
        <w:tc>
          <w:tcPr>
            <w:tcW w:w="461"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序号</w:t>
            </w:r>
          </w:p>
        </w:tc>
        <w:tc>
          <w:tcPr>
            <w:tcW w:w="979"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产品名称</w:t>
            </w:r>
          </w:p>
        </w:tc>
        <w:tc>
          <w:tcPr>
            <w:tcW w:w="7099"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产品技</w:t>
            </w:r>
            <w:bookmarkStart w:id="77" w:name="_GoBack"/>
            <w:bookmarkEnd w:id="77"/>
            <w:r>
              <w:rPr>
                <w:rFonts w:hint="eastAsia" w:ascii="宋体" w:hAnsi="宋体" w:cstheme="minorBidi"/>
                <w:color w:val="auto"/>
                <w:sz w:val="24"/>
                <w:szCs w:val="24"/>
                <w:highlight w:val="none"/>
              </w:rPr>
              <w:t>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1" w:hRule="atLeast"/>
        </w:trPr>
        <w:tc>
          <w:tcPr>
            <w:tcW w:w="461" w:type="dxa"/>
            <w:vAlign w:val="center"/>
          </w:tcPr>
          <w:p>
            <w:pPr>
              <w:rPr>
                <w:rFonts w:ascii="宋体" w:hAnsi="宋体" w:cstheme="minorBidi"/>
                <w:color w:val="auto"/>
                <w:sz w:val="24"/>
                <w:szCs w:val="24"/>
                <w:highlight w:val="none"/>
              </w:rPr>
            </w:pPr>
            <w:r>
              <w:rPr>
                <w:rFonts w:ascii="宋体" w:hAnsi="宋体" w:cstheme="minorBidi"/>
                <w:color w:val="auto"/>
                <w:sz w:val="24"/>
                <w:szCs w:val="24"/>
                <w:highlight w:val="none"/>
              </w:rPr>
              <w:t>1.</w:t>
            </w:r>
          </w:p>
        </w:tc>
        <w:tc>
          <w:tcPr>
            <w:tcW w:w="979"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洗手盆、拖把池</w:t>
            </w:r>
          </w:p>
        </w:tc>
        <w:tc>
          <w:tcPr>
            <w:tcW w:w="7099" w:type="dxa"/>
            <w:vAlign w:val="center"/>
          </w:tcPr>
          <w:p>
            <w:pPr>
              <w:rPr>
                <w:rFonts w:ascii="宋体" w:hAnsi="宋体" w:cstheme="minorBidi"/>
                <w:color w:val="auto"/>
                <w:sz w:val="24"/>
                <w:szCs w:val="24"/>
                <w:highlight w:val="none"/>
              </w:rPr>
            </w:pPr>
            <w:r>
              <w:rPr>
                <w:rFonts w:hint="eastAsia" w:ascii="宋体" w:hAnsi="宋体" w:cstheme="minorBidi"/>
                <w:color w:val="auto"/>
                <w:sz w:val="24"/>
                <w:szCs w:val="24"/>
                <w:highlight w:val="none"/>
              </w:rPr>
              <w:t>台下盆，配套不锈钢存水弯，不锈钢角阀。</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智洁釉面或纳米抗菌陶瓷。</w:t>
            </w:r>
          </w:p>
          <w:p>
            <w:pPr>
              <w:rPr>
                <w:rFonts w:ascii="宋体" w:hAnsi="宋体" w:cstheme="minorBidi"/>
                <w:color w:val="auto"/>
                <w:sz w:val="24"/>
                <w:szCs w:val="24"/>
                <w:highlight w:val="none"/>
              </w:rPr>
            </w:pPr>
            <w:r>
              <w:rPr>
                <w:rFonts w:hint="eastAsia" w:ascii="宋体" w:hAnsi="宋体" w:cstheme="minorBidi"/>
                <w:color w:val="auto"/>
                <w:sz w:val="24"/>
                <w:szCs w:val="24"/>
                <w:highlight w:val="none"/>
              </w:rPr>
              <w:t>尺寸：符合设计及有关规范要求。</w:t>
            </w:r>
          </w:p>
        </w:tc>
      </w:tr>
    </w:tbl>
    <w:p>
      <w:pPr>
        <w:rPr>
          <w:rFonts w:ascii="宋体" w:hAnsi="宋体" w:cstheme="minorBidi"/>
          <w:color w:val="auto"/>
          <w:sz w:val="24"/>
          <w:szCs w:val="24"/>
          <w:highlight w:val="none"/>
        </w:rPr>
      </w:pPr>
    </w:p>
    <w:p>
      <w:pPr>
        <w:rPr>
          <w:rFonts w:ascii="宋体" w:hAnsi="宋体" w:cstheme="minorBidi"/>
          <w:color w:val="auto"/>
          <w:sz w:val="24"/>
          <w:szCs w:val="24"/>
          <w:highlight w:val="none"/>
        </w:rPr>
      </w:pPr>
    </w:p>
    <w:p>
      <w:pPr>
        <w:rPr>
          <w:color w:val="auto"/>
          <w:highlight w:val="none"/>
        </w:rPr>
      </w:pPr>
    </w:p>
    <w:sectPr>
      <w:headerReference r:id="rId15" w:type="default"/>
      <w:footerReference r:id="rId16" w:type="default"/>
      <w:footerReference r:id="rId1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Wund">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体">
    <w:altName w:val="仿宋"/>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金山简魏碑">
    <w:altName w:val="MS Gothic"/>
    <w:panose1 w:val="00000000000000000000"/>
    <w:charset w:val="00"/>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Lucida Grande">
    <w:altName w:val="Courier New"/>
    <w:panose1 w:val="00000000000000000000"/>
    <w:charset w:val="00"/>
    <w:family w:val="auto"/>
    <w:pitch w:val="default"/>
    <w:sig w:usb0="00000000" w:usb1="00000000" w:usb2="00000000" w:usb3="00000000" w:csb0="000001BF" w:csb1="00000000"/>
  </w:font>
  <w:font w:name="新宋体">
    <w:panose1 w:val="02010609030101010101"/>
    <w:charset w:val="86"/>
    <w:family w:val="modern"/>
    <w:pitch w:val="default"/>
    <w:sig w:usb0="00000283" w:usb1="288F0000" w:usb2="00000006" w:usb3="00000000" w:csb0="00040001" w:csb1="00000000"/>
  </w:font>
  <w:font w:name="方正大标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Gulim">
    <w:altName w:val="Malgun Gothic"/>
    <w:panose1 w:val="020B0600000101010101"/>
    <w:charset w:val="81"/>
    <w:family w:val="swiss"/>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92"/>
      <w:jc w:val="right"/>
      <w:rPr>
        <w:rStyle w:val="59"/>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ind w:firstLine="392"/>
                            <w:jc w:val="right"/>
                          </w:pPr>
                          <w:r>
                            <w:rPr>
                              <w:rStyle w:val="59"/>
                            </w:rPr>
                            <w:fldChar w:fldCharType="begin"/>
                          </w:r>
                          <w:r>
                            <w:rPr>
                              <w:rStyle w:val="59"/>
                            </w:rPr>
                            <w:instrText xml:space="preserve">PAGE  </w:instrText>
                          </w:r>
                          <w:r>
                            <w:rPr>
                              <w:rStyle w:val="59"/>
                            </w:rPr>
                            <w:fldChar w:fldCharType="separate"/>
                          </w:r>
                          <w:r>
                            <w:rPr>
                              <w:rStyle w:val="59"/>
                            </w:rPr>
                            <w:t>84</w:t>
                          </w:r>
                          <w:r>
                            <w:rPr>
                              <w:rStyle w:val="5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36"/>
                      <w:ind w:firstLine="392"/>
                      <w:jc w:val="right"/>
                    </w:pPr>
                    <w:r>
                      <w:rPr>
                        <w:rStyle w:val="59"/>
                      </w:rPr>
                      <w:fldChar w:fldCharType="begin"/>
                    </w:r>
                    <w:r>
                      <w:rPr>
                        <w:rStyle w:val="59"/>
                      </w:rPr>
                      <w:instrText xml:space="preserve">PAGE  </w:instrText>
                    </w:r>
                    <w:r>
                      <w:rPr>
                        <w:rStyle w:val="59"/>
                      </w:rPr>
                      <w:fldChar w:fldCharType="separate"/>
                    </w:r>
                    <w:r>
                      <w:rPr>
                        <w:rStyle w:val="59"/>
                      </w:rPr>
                      <w:t>84</w:t>
                    </w:r>
                    <w:r>
                      <w:rPr>
                        <w:rStyle w:val="5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92"/>
      <w:rPr>
        <w:rStyle w:val="59"/>
      </w:rPr>
    </w:pPr>
    <w:r>
      <w:rPr>
        <w:rStyle w:val="59"/>
      </w:rPr>
      <w:fldChar w:fldCharType="begin"/>
    </w:r>
    <w:r>
      <w:rPr>
        <w:rStyle w:val="59"/>
      </w:rPr>
      <w:instrText xml:space="preserve">PAGE  </w:instrText>
    </w:r>
    <w:r>
      <w:rPr>
        <w:rStyle w:val="59"/>
      </w:rPr>
      <w:fldChar w:fldCharType="separate"/>
    </w:r>
    <w:r>
      <w:rPr>
        <w:rStyle w:val="59"/>
        <w:rFonts w:hint="eastAsia"/>
      </w:rPr>
      <w:t>一</w:t>
    </w:r>
    <w:r>
      <w:rPr>
        <w:rStyle w:val="59"/>
      </w:rPr>
      <w:t>–2</w:t>
    </w:r>
    <w:r>
      <w:rPr>
        <w:rStyle w:val="59"/>
      </w:rPr>
      <w:fldChar w:fldCharType="end"/>
    </w:r>
  </w:p>
  <w:p>
    <w:pPr>
      <w:pStyle w:val="3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9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ind w:firstLine="392"/>
                          </w:pPr>
                          <w:r>
                            <w:rPr>
                              <w:rStyle w:val="59"/>
                            </w:rPr>
                            <w:fldChar w:fldCharType="begin"/>
                          </w:r>
                          <w:r>
                            <w:rPr>
                              <w:rStyle w:val="59"/>
                            </w:rPr>
                            <w:instrText xml:space="preserve"> PAGE </w:instrText>
                          </w:r>
                          <w:r>
                            <w:rPr>
                              <w:rStyle w:val="59"/>
                            </w:rPr>
                            <w:fldChar w:fldCharType="separate"/>
                          </w:r>
                          <w:r>
                            <w:rPr>
                              <w:rStyle w:val="59"/>
                            </w:rPr>
                            <w:t>83</w:t>
                          </w:r>
                          <w:r>
                            <w:rPr>
                              <w:rStyle w:val="5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36"/>
                      <w:ind w:firstLine="392"/>
                    </w:pPr>
                    <w:r>
                      <w:rPr>
                        <w:rStyle w:val="59"/>
                      </w:rPr>
                      <w:fldChar w:fldCharType="begin"/>
                    </w:r>
                    <w:r>
                      <w:rPr>
                        <w:rStyle w:val="59"/>
                      </w:rPr>
                      <w:instrText xml:space="preserve"> PAGE </w:instrText>
                    </w:r>
                    <w:r>
                      <w:rPr>
                        <w:rStyle w:val="59"/>
                      </w:rPr>
                      <w:fldChar w:fldCharType="separate"/>
                    </w:r>
                    <w:r>
                      <w:rPr>
                        <w:rStyle w:val="59"/>
                      </w:rPr>
                      <w:t>83</w:t>
                    </w:r>
                    <w:r>
                      <w:rPr>
                        <w:rStyle w:val="59"/>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jc w:val="center"/>
                            <w:rPr>
                              <w:rStyle w:val="59"/>
                            </w:rPr>
                          </w:pPr>
                          <w:r>
                            <w:rPr>
                              <w:rStyle w:val="59"/>
                            </w:rPr>
                            <w:fldChar w:fldCharType="begin"/>
                          </w:r>
                          <w:r>
                            <w:rPr>
                              <w:rStyle w:val="59"/>
                            </w:rPr>
                            <w:instrText xml:space="preserve">PAGE  </w:instrText>
                          </w:r>
                          <w:r>
                            <w:rPr>
                              <w:rStyle w:val="59"/>
                            </w:rPr>
                            <w:fldChar w:fldCharType="separate"/>
                          </w:r>
                          <w:r>
                            <w:rPr>
                              <w:rStyle w:val="59"/>
                            </w:rPr>
                            <w:t>90</w:t>
                          </w:r>
                          <w:r>
                            <w:rPr>
                              <w:rStyle w:val="59"/>
                            </w:rPr>
                            <w:fldChar w:fldCharType="end"/>
                          </w:r>
                        </w:p>
                        <w:p>
                          <w:pPr>
                            <w:pStyle w:val="36"/>
                            <w:ind w:left="-4410" w:leftChars="-2100" w:right="-4439" w:rightChars="-2114"/>
                            <w:rPr>
                              <w:rStyle w:val="59"/>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36"/>
                      <w:jc w:val="center"/>
                      <w:rPr>
                        <w:rStyle w:val="59"/>
                      </w:rPr>
                    </w:pPr>
                    <w:r>
                      <w:rPr>
                        <w:rStyle w:val="59"/>
                      </w:rPr>
                      <w:fldChar w:fldCharType="begin"/>
                    </w:r>
                    <w:r>
                      <w:rPr>
                        <w:rStyle w:val="59"/>
                      </w:rPr>
                      <w:instrText xml:space="preserve">PAGE  </w:instrText>
                    </w:r>
                    <w:r>
                      <w:rPr>
                        <w:rStyle w:val="59"/>
                      </w:rPr>
                      <w:fldChar w:fldCharType="separate"/>
                    </w:r>
                    <w:r>
                      <w:rPr>
                        <w:rStyle w:val="59"/>
                      </w:rPr>
                      <w:t>90</w:t>
                    </w:r>
                    <w:r>
                      <w:rPr>
                        <w:rStyle w:val="59"/>
                      </w:rPr>
                      <w:fldChar w:fldCharType="end"/>
                    </w:r>
                  </w:p>
                  <w:p>
                    <w:pPr>
                      <w:pStyle w:val="36"/>
                      <w:ind w:left="-4410" w:leftChars="-2100" w:right="-4439" w:rightChars="-2114"/>
                      <w:rPr>
                        <w:rStyle w:val="59"/>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outside" w:y="1"/>
      <w:rPr>
        <w:rStyle w:val="59"/>
      </w:rPr>
    </w:pPr>
    <w:r>
      <w:rPr>
        <w:rStyle w:val="59"/>
      </w:rPr>
      <w:fldChar w:fldCharType="begin"/>
    </w:r>
    <w:r>
      <w:rPr>
        <w:rStyle w:val="59"/>
      </w:rPr>
      <w:instrText xml:space="preserve">PAGE  </w:instrText>
    </w:r>
    <w:r>
      <w:rPr>
        <w:rStyle w:val="59"/>
      </w:rPr>
      <w:fldChar w:fldCharType="separate"/>
    </w:r>
    <w:r>
      <w:rPr>
        <w:rStyle w:val="59"/>
        <w:rFonts w:hint="eastAsia"/>
      </w:rPr>
      <w:t>一</w:t>
    </w:r>
    <w:r>
      <w:rPr>
        <w:rStyle w:val="59"/>
      </w:rPr>
      <w:t>–2</w:t>
    </w:r>
    <w:r>
      <w:rPr>
        <w:rStyle w:val="59"/>
      </w:rPr>
      <w:fldChar w:fldCharType="end"/>
    </w:r>
  </w:p>
  <w:p>
    <w:pPr>
      <w:pStyle w:val="36"/>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jc w:val="center"/>
                          </w:pPr>
                          <w:r>
                            <w:rPr>
                              <w:rStyle w:val="59"/>
                            </w:rPr>
                            <w:fldChar w:fldCharType="begin"/>
                          </w:r>
                          <w:r>
                            <w:rPr>
                              <w:rStyle w:val="59"/>
                            </w:rPr>
                            <w:instrText xml:space="preserve"> PAGE </w:instrText>
                          </w:r>
                          <w:r>
                            <w:rPr>
                              <w:rStyle w:val="59"/>
                            </w:rPr>
                            <w:fldChar w:fldCharType="separate"/>
                          </w:r>
                          <w:r>
                            <w:rPr>
                              <w:rStyle w:val="59"/>
                            </w:rPr>
                            <w:t>85</w:t>
                          </w:r>
                          <w:r>
                            <w:rPr>
                              <w:rStyle w:val="5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36"/>
                      <w:jc w:val="center"/>
                    </w:pPr>
                    <w:r>
                      <w:rPr>
                        <w:rStyle w:val="59"/>
                      </w:rPr>
                      <w:fldChar w:fldCharType="begin"/>
                    </w:r>
                    <w:r>
                      <w:rPr>
                        <w:rStyle w:val="59"/>
                      </w:rPr>
                      <w:instrText xml:space="preserve"> PAGE </w:instrText>
                    </w:r>
                    <w:r>
                      <w:rPr>
                        <w:rStyle w:val="59"/>
                      </w:rPr>
                      <w:fldChar w:fldCharType="separate"/>
                    </w:r>
                    <w:r>
                      <w:rPr>
                        <w:rStyle w:val="59"/>
                      </w:rPr>
                      <w:t>85</w:t>
                    </w:r>
                    <w:r>
                      <w:rPr>
                        <w:rStyle w:val="59"/>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jc w:val="center"/>
                          </w:pPr>
                          <w:r>
                            <w:rPr>
                              <w:rFonts w:asciiTheme="minorHAnsi" w:hAnsiTheme="minorHAnsi" w:eastAsiaTheme="minorEastAsia" w:cstheme="minorBidi"/>
                            </w:rPr>
                            <w:fldChar w:fldCharType="begin"/>
                          </w:r>
                          <w:r>
                            <w:instrText xml:space="preserve"> PAGE   \* MERGEFORMAT </w:instrText>
                          </w:r>
                          <w:r>
                            <w:rPr>
                              <w:rFonts w:asciiTheme="minorHAnsi" w:hAnsiTheme="minorHAnsi" w:eastAsiaTheme="minorEastAsia" w:cstheme="minorBidi"/>
                            </w:rPr>
                            <w:fldChar w:fldCharType="separate"/>
                          </w:r>
                          <w:r>
                            <w:rPr>
                              <w:rFonts w:ascii="宋体" w:hAnsi="宋体" w:cs="宋体"/>
                              <w:lang w:val="zh-CN"/>
                            </w:rPr>
                            <w:t>96</w:t>
                          </w:r>
                          <w:r>
                            <w:rPr>
                              <w:rFonts w:ascii="Gulim" w:hAnsi="Gulim" w:eastAsia="Gulim" w:cs="Gulim"/>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36"/>
                      <w:jc w:val="center"/>
                    </w:pPr>
                    <w:r>
                      <w:rPr>
                        <w:rFonts w:asciiTheme="minorHAnsi" w:hAnsiTheme="minorHAnsi" w:eastAsiaTheme="minorEastAsia" w:cstheme="minorBidi"/>
                      </w:rPr>
                      <w:fldChar w:fldCharType="begin"/>
                    </w:r>
                    <w:r>
                      <w:instrText xml:space="preserve"> PAGE   \* MERGEFORMAT </w:instrText>
                    </w:r>
                    <w:r>
                      <w:rPr>
                        <w:rFonts w:asciiTheme="minorHAnsi" w:hAnsiTheme="minorHAnsi" w:eastAsiaTheme="minorEastAsia" w:cstheme="minorBidi"/>
                      </w:rPr>
                      <w:fldChar w:fldCharType="separate"/>
                    </w:r>
                    <w:r>
                      <w:rPr>
                        <w:rFonts w:ascii="宋体" w:hAnsi="宋体" w:cs="宋体"/>
                        <w:lang w:val="zh-CN"/>
                      </w:rPr>
                      <w:t>96</w:t>
                    </w:r>
                    <w:r>
                      <w:rPr>
                        <w:rFonts w:ascii="Gulim" w:hAnsi="Gulim" w:eastAsia="Gulim" w:cs="Gulim"/>
                        <w:lang w:val="zh-CN"/>
                      </w:rPr>
                      <w:fldChar w:fldCharType="end"/>
                    </w:r>
                  </w:p>
                </w:txbxContent>
              </v:textbox>
            </v:shape>
          </w:pict>
        </mc:Fallback>
      </mc:AlternateContent>
    </w:r>
  </w:p>
  <w:p>
    <w:pPr>
      <w:pStyle w:val="3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9"/>
      </w:rPr>
    </w:pPr>
    <w:r>
      <w:rPr>
        <w:rStyle w:val="59"/>
      </w:rPr>
      <w:fldChar w:fldCharType="begin"/>
    </w:r>
    <w:r>
      <w:rPr>
        <w:rStyle w:val="59"/>
      </w:rPr>
      <w:instrText xml:space="preserve">PAGE  </w:instrText>
    </w:r>
    <w:r>
      <w:rPr>
        <w:rStyle w:val="59"/>
      </w:rP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9DECE"/>
    <w:multiLevelType w:val="singleLevel"/>
    <w:tmpl w:val="9579DECE"/>
    <w:lvl w:ilvl="0" w:tentative="0">
      <w:start w:val="1"/>
      <w:numFmt w:val="decimal"/>
      <w:lvlText w:val="%1."/>
      <w:lvlJc w:val="left"/>
      <w:pPr>
        <w:ind w:left="425" w:hanging="425"/>
      </w:pPr>
      <w:rPr>
        <w:rFonts w:hint="default"/>
      </w:rPr>
    </w:lvl>
  </w:abstractNum>
  <w:abstractNum w:abstractNumId="1">
    <w:nsid w:val="B29F8C29"/>
    <w:multiLevelType w:val="singleLevel"/>
    <w:tmpl w:val="B29F8C29"/>
    <w:lvl w:ilvl="0" w:tentative="0">
      <w:start w:val="1"/>
      <w:numFmt w:val="decimal"/>
      <w:lvlText w:val="%1."/>
      <w:lvlJc w:val="left"/>
      <w:pPr>
        <w:ind w:left="425" w:hanging="425"/>
      </w:pPr>
      <w:rPr>
        <w:rFonts w:hint="default"/>
      </w:rPr>
    </w:lvl>
  </w:abstractNum>
  <w:abstractNum w:abstractNumId="2">
    <w:nsid w:val="BA2F0F6A"/>
    <w:multiLevelType w:val="singleLevel"/>
    <w:tmpl w:val="BA2F0F6A"/>
    <w:lvl w:ilvl="0" w:tentative="0">
      <w:start w:val="1"/>
      <w:numFmt w:val="decimal"/>
      <w:lvlText w:val="%1."/>
      <w:lvlJc w:val="left"/>
      <w:pPr>
        <w:ind w:left="425" w:hanging="425"/>
      </w:pPr>
      <w:rPr>
        <w:rFonts w:hint="default"/>
      </w:rPr>
    </w:lvl>
  </w:abstractNum>
  <w:abstractNum w:abstractNumId="3">
    <w:nsid w:val="DCAB25F9"/>
    <w:multiLevelType w:val="singleLevel"/>
    <w:tmpl w:val="DCAB25F9"/>
    <w:lvl w:ilvl="0" w:tentative="0">
      <w:start w:val="1"/>
      <w:numFmt w:val="decimal"/>
      <w:suff w:val="nothing"/>
      <w:lvlText w:val="%1）"/>
      <w:lvlJc w:val="left"/>
      <w:pPr>
        <w:ind w:left="-80"/>
      </w:pPr>
    </w:lvl>
  </w:abstractNum>
  <w:abstractNum w:abstractNumId="4">
    <w:nsid w:val="FF32C848"/>
    <w:multiLevelType w:val="singleLevel"/>
    <w:tmpl w:val="FF32C848"/>
    <w:lvl w:ilvl="0" w:tentative="0">
      <w:start w:val="2"/>
      <w:numFmt w:val="decimal"/>
      <w:suff w:val="nothing"/>
      <w:lvlText w:val="（%1）"/>
      <w:lvlJc w:val="left"/>
      <w:pPr>
        <w:ind w:left="-20"/>
      </w:pPr>
    </w:lvl>
  </w:abstractNum>
  <w:abstractNum w:abstractNumId="5">
    <w:nsid w:val="06551786"/>
    <w:multiLevelType w:val="multilevel"/>
    <w:tmpl w:val="0655178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1C59512"/>
    <w:multiLevelType w:val="singleLevel"/>
    <w:tmpl w:val="11C59512"/>
    <w:lvl w:ilvl="0" w:tentative="0">
      <w:start w:val="1"/>
      <w:numFmt w:val="decimal"/>
      <w:suff w:val="nothing"/>
      <w:lvlText w:val="（%1）"/>
      <w:lvlJc w:val="left"/>
    </w:lvl>
  </w:abstractNum>
  <w:abstractNum w:abstractNumId="7">
    <w:nsid w:val="1A3F0F49"/>
    <w:multiLevelType w:val="multilevel"/>
    <w:tmpl w:val="1A3F0F49"/>
    <w:lvl w:ilvl="0" w:tentative="0">
      <w:start w:val="1"/>
      <w:numFmt w:val="decimal"/>
      <w:lvlText w:val="%1."/>
      <w:lvlJc w:val="left"/>
      <w:pPr>
        <w:ind w:left="1262" w:hanging="420"/>
      </w:pPr>
    </w:lvl>
    <w:lvl w:ilvl="1" w:tentative="0">
      <w:start w:val="1"/>
      <w:numFmt w:val="lowerLetter"/>
      <w:lvlText w:val="%2)"/>
      <w:lvlJc w:val="left"/>
      <w:pPr>
        <w:ind w:left="1682" w:hanging="420"/>
      </w:pPr>
    </w:lvl>
    <w:lvl w:ilvl="2" w:tentative="0">
      <w:start w:val="1"/>
      <w:numFmt w:val="lowerRoman"/>
      <w:lvlText w:val="%3."/>
      <w:lvlJc w:val="right"/>
      <w:pPr>
        <w:ind w:left="2102" w:hanging="420"/>
      </w:pPr>
    </w:lvl>
    <w:lvl w:ilvl="3" w:tentative="0">
      <w:start w:val="1"/>
      <w:numFmt w:val="decimal"/>
      <w:lvlText w:val="%4."/>
      <w:lvlJc w:val="left"/>
      <w:pPr>
        <w:ind w:left="2522" w:hanging="420"/>
      </w:pPr>
    </w:lvl>
    <w:lvl w:ilvl="4" w:tentative="0">
      <w:start w:val="1"/>
      <w:numFmt w:val="lowerLetter"/>
      <w:lvlText w:val="%5)"/>
      <w:lvlJc w:val="left"/>
      <w:pPr>
        <w:ind w:left="2942" w:hanging="420"/>
      </w:pPr>
    </w:lvl>
    <w:lvl w:ilvl="5" w:tentative="0">
      <w:start w:val="1"/>
      <w:numFmt w:val="lowerRoman"/>
      <w:lvlText w:val="%6."/>
      <w:lvlJc w:val="right"/>
      <w:pPr>
        <w:ind w:left="3362" w:hanging="420"/>
      </w:pPr>
    </w:lvl>
    <w:lvl w:ilvl="6" w:tentative="0">
      <w:start w:val="1"/>
      <w:numFmt w:val="decimal"/>
      <w:lvlText w:val="%7."/>
      <w:lvlJc w:val="left"/>
      <w:pPr>
        <w:ind w:left="3782" w:hanging="420"/>
      </w:pPr>
    </w:lvl>
    <w:lvl w:ilvl="7" w:tentative="0">
      <w:start w:val="1"/>
      <w:numFmt w:val="lowerLetter"/>
      <w:lvlText w:val="%8)"/>
      <w:lvlJc w:val="left"/>
      <w:pPr>
        <w:ind w:left="4202" w:hanging="420"/>
      </w:pPr>
    </w:lvl>
    <w:lvl w:ilvl="8" w:tentative="0">
      <w:start w:val="1"/>
      <w:numFmt w:val="lowerRoman"/>
      <w:lvlText w:val="%9."/>
      <w:lvlJc w:val="right"/>
      <w:pPr>
        <w:ind w:left="4622" w:hanging="420"/>
      </w:pPr>
    </w:lvl>
  </w:abstractNum>
  <w:abstractNum w:abstractNumId="8">
    <w:nsid w:val="204E0236"/>
    <w:multiLevelType w:val="multilevel"/>
    <w:tmpl w:val="204E0236"/>
    <w:lvl w:ilvl="0" w:tentative="0">
      <w:start w:val="1"/>
      <w:numFmt w:val="chineseCountingThousand"/>
      <w:pStyle w:val="231"/>
      <w:lvlText w:val="第%1章"/>
      <w:lvlJc w:val="left"/>
      <w:pPr>
        <w:tabs>
          <w:tab w:val="left" w:pos="0"/>
        </w:tabs>
        <w:ind w:left="0" w:firstLine="0"/>
      </w:pPr>
      <w:rPr>
        <w:rFonts w:hint="eastAsia"/>
      </w:rPr>
    </w:lvl>
    <w:lvl w:ilvl="1" w:tentative="0">
      <w:start w:val="1"/>
      <w:numFmt w:val="decimal"/>
      <w:lvlText w:val="%2."/>
      <w:lvlJc w:val="left"/>
      <w:pPr>
        <w:tabs>
          <w:tab w:val="left" w:pos="442"/>
        </w:tabs>
        <w:ind w:left="193" w:firstLine="227"/>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206CE27"/>
    <w:multiLevelType w:val="singleLevel"/>
    <w:tmpl w:val="2206CE27"/>
    <w:lvl w:ilvl="0" w:tentative="0">
      <w:start w:val="1"/>
      <w:numFmt w:val="decimal"/>
      <w:suff w:val="nothing"/>
      <w:lvlText w:val="（%1）"/>
      <w:lvlJc w:val="left"/>
    </w:lvl>
  </w:abstractNum>
  <w:abstractNum w:abstractNumId="10">
    <w:nsid w:val="259905B5"/>
    <w:multiLevelType w:val="multilevel"/>
    <w:tmpl w:val="259905B5"/>
    <w:lvl w:ilvl="0" w:tentative="0">
      <w:start w:val="1"/>
      <w:numFmt w:val="chineseCountingThousand"/>
      <w:pStyle w:val="119"/>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1">
    <w:nsid w:val="25FD22FD"/>
    <w:multiLevelType w:val="multilevel"/>
    <w:tmpl w:val="25FD22FD"/>
    <w:lvl w:ilvl="0" w:tentative="0">
      <w:start w:val="1"/>
      <w:numFmt w:val="decimal"/>
      <w:lvlText w:val="%1）"/>
      <w:lvlJc w:val="left"/>
      <w:pPr>
        <w:ind w:left="987" w:hanging="4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2">
    <w:nsid w:val="41076F3C"/>
    <w:multiLevelType w:val="multilevel"/>
    <w:tmpl w:val="41076F3C"/>
    <w:lvl w:ilvl="0" w:tentative="0">
      <w:start w:val="1"/>
      <w:numFmt w:val="decimal"/>
      <w:pStyle w:val="247"/>
      <w:lvlText w:val="%1"/>
      <w:lvlJc w:val="left"/>
      <w:pPr>
        <w:tabs>
          <w:tab w:val="left" w:pos="425"/>
        </w:tabs>
        <w:ind w:left="425" w:hanging="425"/>
      </w:pPr>
      <w:rPr>
        <w:rFonts w:hint="eastAsia" w:eastAsia="黑体"/>
        <w:b/>
        <w:i w:val="0"/>
        <w:sz w:val="24"/>
        <w:szCs w:val="24"/>
      </w:rPr>
    </w:lvl>
    <w:lvl w:ilvl="1" w:tentative="0">
      <w:start w:val="1"/>
      <w:numFmt w:val="decimal"/>
      <w:lvlText w:val="%1.%2"/>
      <w:lvlJc w:val="left"/>
      <w:pPr>
        <w:tabs>
          <w:tab w:val="left" w:pos="425"/>
        </w:tabs>
        <w:ind w:left="425" w:hanging="425"/>
      </w:pPr>
      <w:rPr>
        <w:rFonts w:hint="eastAsia" w:ascii="宋体" w:hAnsi="宋体" w:eastAsia="宋体"/>
        <w:b w:val="0"/>
        <w:sz w:val="21"/>
        <w:szCs w:val="21"/>
      </w:rPr>
    </w:lvl>
    <w:lvl w:ilvl="2" w:tentative="0">
      <w:start w:val="1"/>
      <w:numFmt w:val="decimal"/>
      <w:lvlText w:val="%1.%2.%3"/>
      <w:lvlJc w:val="left"/>
      <w:pPr>
        <w:tabs>
          <w:tab w:val="left" w:pos="1418"/>
        </w:tabs>
        <w:ind w:left="1418" w:hanging="567"/>
      </w:pPr>
      <w:rPr>
        <w:rFonts w:hint="eastAsia" w:ascii="宋体" w:hAnsi="宋体" w:eastAsia="宋体"/>
        <w:b w:val="0"/>
        <w:sz w:val="21"/>
        <w:szCs w:val="21"/>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44F30D33"/>
    <w:multiLevelType w:val="singleLevel"/>
    <w:tmpl w:val="44F30D33"/>
    <w:lvl w:ilvl="0" w:tentative="0">
      <w:start w:val="1"/>
      <w:numFmt w:val="decimal"/>
      <w:suff w:val="nothing"/>
      <w:lvlText w:val="（%1）"/>
      <w:lvlJc w:val="left"/>
    </w:lvl>
  </w:abstractNum>
  <w:abstractNum w:abstractNumId="14">
    <w:nsid w:val="45383389"/>
    <w:multiLevelType w:val="singleLevel"/>
    <w:tmpl w:val="45383389"/>
    <w:lvl w:ilvl="0" w:tentative="0">
      <w:start w:val="1"/>
      <w:numFmt w:val="decimal"/>
      <w:pStyle w:val="157"/>
      <w:lvlText w:val="%1．"/>
      <w:lvlJc w:val="left"/>
      <w:pPr>
        <w:tabs>
          <w:tab w:val="left" w:pos="750"/>
        </w:tabs>
        <w:ind w:left="750" w:hanging="330"/>
      </w:pPr>
      <w:rPr>
        <w:rFonts w:hint="eastAsia"/>
      </w:rPr>
    </w:lvl>
  </w:abstractNum>
  <w:abstractNum w:abstractNumId="15">
    <w:nsid w:val="4638B50B"/>
    <w:multiLevelType w:val="singleLevel"/>
    <w:tmpl w:val="4638B50B"/>
    <w:lvl w:ilvl="0" w:tentative="0">
      <w:start w:val="1"/>
      <w:numFmt w:val="decimal"/>
      <w:lvlText w:val="%1."/>
      <w:lvlJc w:val="left"/>
      <w:pPr>
        <w:ind w:left="425" w:hanging="425"/>
      </w:pPr>
      <w:rPr>
        <w:rFonts w:hint="default"/>
      </w:rPr>
    </w:lvl>
  </w:abstractNum>
  <w:abstractNum w:abstractNumId="16">
    <w:nsid w:val="513369F5"/>
    <w:multiLevelType w:val="multilevel"/>
    <w:tmpl w:val="513369F5"/>
    <w:lvl w:ilvl="0" w:tentative="0">
      <w:start w:val="31"/>
      <w:numFmt w:val="decimal"/>
      <w:lvlText w:val="%1"/>
      <w:lvlJc w:val="left"/>
      <w:pPr>
        <w:tabs>
          <w:tab w:val="left" w:pos="425"/>
        </w:tabs>
        <w:ind w:left="425" w:hanging="425"/>
      </w:pPr>
      <w:rPr>
        <w:rFonts w:hint="eastAsia"/>
      </w:rPr>
    </w:lvl>
    <w:lvl w:ilvl="1" w:tentative="0">
      <w:start w:val="1"/>
      <w:numFmt w:val="decimal"/>
      <w:pStyle w:val="188"/>
      <w:lvlText w:val="%1.%2"/>
      <w:lvlJc w:val="left"/>
      <w:pPr>
        <w:tabs>
          <w:tab w:val="left" w:pos="992"/>
        </w:tabs>
        <w:ind w:left="992" w:hanging="567"/>
      </w:pPr>
      <w:rPr>
        <w:rFonts w:hint="eastAsia"/>
        <w:b w:val="0"/>
        <w:i w:val="0"/>
        <w:color w:val="auto"/>
        <w:sz w:val="28"/>
        <w:szCs w:val="28"/>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7">
    <w:nsid w:val="5138BEF8"/>
    <w:multiLevelType w:val="singleLevel"/>
    <w:tmpl w:val="5138BEF8"/>
    <w:lvl w:ilvl="0" w:tentative="0">
      <w:start w:val="1"/>
      <w:numFmt w:val="decimal"/>
      <w:lvlText w:val="%1."/>
      <w:lvlJc w:val="left"/>
      <w:pPr>
        <w:ind w:left="425" w:hanging="425"/>
      </w:pPr>
      <w:rPr>
        <w:rFonts w:hint="default"/>
      </w:rPr>
    </w:lvl>
  </w:abstractNum>
  <w:abstractNum w:abstractNumId="18">
    <w:nsid w:val="551C4C63"/>
    <w:multiLevelType w:val="multilevel"/>
    <w:tmpl w:val="551C4C63"/>
    <w:lvl w:ilvl="0" w:tentative="0">
      <w:start w:val="1"/>
      <w:numFmt w:val="decimal"/>
      <w:lvlText w:val="%1."/>
      <w:lvlJc w:val="left"/>
      <w:pPr>
        <w:ind w:left="892" w:hanging="420"/>
      </w:p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19">
    <w:nsid w:val="562D5767"/>
    <w:multiLevelType w:val="multilevel"/>
    <w:tmpl w:val="562D5767"/>
    <w:lvl w:ilvl="0" w:tentative="0">
      <w:start w:val="1"/>
      <w:numFmt w:val="decimal"/>
      <w:lvlText w:val="%1)"/>
      <w:lvlJc w:val="left"/>
      <w:pPr>
        <w:ind w:left="1130" w:hanging="360"/>
      </w:pPr>
      <w:rPr>
        <w:rFonts w:hint="eastAsia"/>
      </w:rPr>
    </w:lvl>
    <w:lvl w:ilvl="1" w:tentative="0">
      <w:start w:val="1"/>
      <w:numFmt w:val="lowerLetter"/>
      <w:lvlText w:val="%2."/>
      <w:lvlJc w:val="left"/>
      <w:pPr>
        <w:ind w:left="1370" w:hanging="360"/>
      </w:pPr>
    </w:lvl>
    <w:lvl w:ilvl="2" w:tentative="0">
      <w:start w:val="1"/>
      <w:numFmt w:val="lowerRoman"/>
      <w:lvlText w:val="%3."/>
      <w:lvlJc w:val="right"/>
      <w:pPr>
        <w:ind w:left="2090" w:hanging="180"/>
      </w:pPr>
    </w:lvl>
    <w:lvl w:ilvl="3" w:tentative="0">
      <w:start w:val="1"/>
      <w:numFmt w:val="decimal"/>
      <w:lvlText w:val="%4."/>
      <w:lvlJc w:val="left"/>
      <w:pPr>
        <w:ind w:left="2810" w:hanging="360"/>
      </w:pPr>
    </w:lvl>
    <w:lvl w:ilvl="4" w:tentative="0">
      <w:start w:val="1"/>
      <w:numFmt w:val="lowerLetter"/>
      <w:lvlText w:val="%5."/>
      <w:lvlJc w:val="left"/>
      <w:pPr>
        <w:ind w:left="3530" w:hanging="360"/>
      </w:pPr>
    </w:lvl>
    <w:lvl w:ilvl="5" w:tentative="0">
      <w:start w:val="1"/>
      <w:numFmt w:val="lowerRoman"/>
      <w:lvlText w:val="%6."/>
      <w:lvlJc w:val="right"/>
      <w:pPr>
        <w:ind w:left="4250" w:hanging="180"/>
      </w:pPr>
    </w:lvl>
    <w:lvl w:ilvl="6" w:tentative="0">
      <w:start w:val="1"/>
      <w:numFmt w:val="decimal"/>
      <w:lvlText w:val="%7."/>
      <w:lvlJc w:val="left"/>
      <w:pPr>
        <w:ind w:left="4970" w:hanging="360"/>
      </w:pPr>
    </w:lvl>
    <w:lvl w:ilvl="7" w:tentative="0">
      <w:start w:val="1"/>
      <w:numFmt w:val="lowerLetter"/>
      <w:lvlText w:val="%8."/>
      <w:lvlJc w:val="left"/>
      <w:pPr>
        <w:ind w:left="5690" w:hanging="360"/>
      </w:pPr>
    </w:lvl>
    <w:lvl w:ilvl="8" w:tentative="0">
      <w:start w:val="1"/>
      <w:numFmt w:val="lowerRoman"/>
      <w:lvlText w:val="%9."/>
      <w:lvlJc w:val="right"/>
      <w:pPr>
        <w:ind w:left="6410" w:hanging="180"/>
      </w:pPr>
    </w:lvl>
  </w:abstractNum>
  <w:abstractNum w:abstractNumId="20">
    <w:nsid w:val="57E39B99"/>
    <w:multiLevelType w:val="singleLevel"/>
    <w:tmpl w:val="57E39B99"/>
    <w:lvl w:ilvl="0" w:tentative="0">
      <w:start w:val="1"/>
      <w:numFmt w:val="decimal"/>
      <w:suff w:val="nothing"/>
      <w:lvlText w:val="%1."/>
      <w:lvlJc w:val="left"/>
    </w:lvl>
  </w:abstractNum>
  <w:abstractNum w:abstractNumId="21">
    <w:nsid w:val="5E134926"/>
    <w:multiLevelType w:val="singleLevel"/>
    <w:tmpl w:val="5E134926"/>
    <w:lvl w:ilvl="0" w:tentative="0">
      <w:start w:val="1"/>
      <w:numFmt w:val="decimal"/>
      <w:lvlText w:val="%1."/>
      <w:lvlJc w:val="left"/>
      <w:pPr>
        <w:ind w:left="425" w:hanging="425"/>
      </w:pPr>
      <w:rPr>
        <w:rFonts w:hint="default"/>
      </w:rPr>
    </w:lvl>
  </w:abstractNum>
  <w:abstractNum w:abstractNumId="22">
    <w:nsid w:val="67612C5F"/>
    <w:multiLevelType w:val="singleLevel"/>
    <w:tmpl w:val="67612C5F"/>
    <w:lvl w:ilvl="0" w:tentative="0">
      <w:start w:val="1"/>
      <w:numFmt w:val="decimal"/>
      <w:suff w:val="nothing"/>
      <w:lvlText w:val="%1）"/>
      <w:lvlJc w:val="left"/>
    </w:lvl>
  </w:abstractNum>
  <w:abstractNum w:abstractNumId="23">
    <w:nsid w:val="6E1E4791"/>
    <w:multiLevelType w:val="multilevel"/>
    <w:tmpl w:val="6E1E479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4215E63"/>
    <w:multiLevelType w:val="multilevel"/>
    <w:tmpl w:val="74215E63"/>
    <w:lvl w:ilvl="0" w:tentative="0">
      <w:start w:val="1"/>
      <w:numFmt w:val="japaneseCounting"/>
      <w:lvlText w:val="%1、"/>
      <w:lvlJc w:val="left"/>
      <w:pPr>
        <w:ind w:left="510" w:hanging="510"/>
      </w:pPr>
      <w:rPr>
        <w:rFonts w:ascii="宋体" w:hAnsi="宋体" w:eastAsia="宋体" w:cs="Times New Roman"/>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0"/>
  </w:num>
  <w:num w:numId="2">
    <w:abstractNumId w:val="25"/>
  </w:num>
  <w:num w:numId="3">
    <w:abstractNumId w:val="14"/>
  </w:num>
  <w:num w:numId="4">
    <w:abstractNumId w:val="16"/>
  </w:num>
  <w:num w:numId="5">
    <w:abstractNumId w:val="8"/>
  </w:num>
  <w:num w:numId="6">
    <w:abstractNumId w:val="12"/>
  </w:num>
  <w:num w:numId="7">
    <w:abstractNumId w:val="21"/>
  </w:num>
  <w:num w:numId="8">
    <w:abstractNumId w:val="15"/>
  </w:num>
  <w:num w:numId="9">
    <w:abstractNumId w:val="0"/>
  </w:num>
  <w:num w:numId="10">
    <w:abstractNumId w:val="1"/>
  </w:num>
  <w:num w:numId="11">
    <w:abstractNumId w:val="17"/>
  </w:num>
  <w:num w:numId="12">
    <w:abstractNumId w:val="2"/>
  </w:num>
  <w:num w:numId="13">
    <w:abstractNumId w:val="24"/>
  </w:num>
  <w:num w:numId="14">
    <w:abstractNumId w:val="4"/>
  </w:num>
  <w:num w:numId="15">
    <w:abstractNumId w:val="9"/>
  </w:num>
  <w:num w:numId="16">
    <w:abstractNumId w:val="18"/>
  </w:num>
  <w:num w:numId="17">
    <w:abstractNumId w:val="7"/>
  </w:num>
  <w:num w:numId="18">
    <w:abstractNumId w:val="13"/>
  </w:num>
  <w:num w:numId="19">
    <w:abstractNumId w:val="6"/>
  </w:num>
  <w:num w:numId="20">
    <w:abstractNumId w:val="23"/>
  </w:num>
  <w:num w:numId="21">
    <w:abstractNumId w:val="22"/>
  </w:num>
  <w:num w:numId="22">
    <w:abstractNumId w:val="3"/>
  </w:num>
  <w:num w:numId="23">
    <w:abstractNumId w:val="5"/>
  </w:num>
  <w:num w:numId="24">
    <w:abstractNumId w:val="11"/>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1ODE2Nzc1ZWY3ZWNjM2E4MTg3MzdmMDc3MjQyNDEifQ=="/>
  </w:docVars>
  <w:rsids>
    <w:rsidRoot w:val="007B41BE"/>
    <w:rsid w:val="00006760"/>
    <w:rsid w:val="00007BD4"/>
    <w:rsid w:val="00013F4C"/>
    <w:rsid w:val="000200EE"/>
    <w:rsid w:val="000203E8"/>
    <w:rsid w:val="00022410"/>
    <w:rsid w:val="00030FFB"/>
    <w:rsid w:val="00045DD4"/>
    <w:rsid w:val="00046236"/>
    <w:rsid w:val="00050149"/>
    <w:rsid w:val="0005034D"/>
    <w:rsid w:val="000575F8"/>
    <w:rsid w:val="00065906"/>
    <w:rsid w:val="00066DD9"/>
    <w:rsid w:val="00097A2E"/>
    <w:rsid w:val="000C1007"/>
    <w:rsid w:val="000C11E0"/>
    <w:rsid w:val="000C2710"/>
    <w:rsid w:val="000C3300"/>
    <w:rsid w:val="000D396E"/>
    <w:rsid w:val="000E4E9D"/>
    <w:rsid w:val="000F25B4"/>
    <w:rsid w:val="000F5DE7"/>
    <w:rsid w:val="00107A86"/>
    <w:rsid w:val="00110596"/>
    <w:rsid w:val="001251F8"/>
    <w:rsid w:val="00125E20"/>
    <w:rsid w:val="00130BF3"/>
    <w:rsid w:val="00164C39"/>
    <w:rsid w:val="00167058"/>
    <w:rsid w:val="00181CAA"/>
    <w:rsid w:val="00182C71"/>
    <w:rsid w:val="00183793"/>
    <w:rsid w:val="00185281"/>
    <w:rsid w:val="00187576"/>
    <w:rsid w:val="001B0E2F"/>
    <w:rsid w:val="001B2E57"/>
    <w:rsid w:val="001E15A9"/>
    <w:rsid w:val="001E4598"/>
    <w:rsid w:val="001F2BBB"/>
    <w:rsid w:val="001F5481"/>
    <w:rsid w:val="001F6495"/>
    <w:rsid w:val="00212247"/>
    <w:rsid w:val="002421A8"/>
    <w:rsid w:val="0025797E"/>
    <w:rsid w:val="002E5CB1"/>
    <w:rsid w:val="002E6156"/>
    <w:rsid w:val="002F4D0D"/>
    <w:rsid w:val="00311F04"/>
    <w:rsid w:val="003334D9"/>
    <w:rsid w:val="003336CD"/>
    <w:rsid w:val="00334C0A"/>
    <w:rsid w:val="00336AA3"/>
    <w:rsid w:val="00337B82"/>
    <w:rsid w:val="003612C7"/>
    <w:rsid w:val="00384757"/>
    <w:rsid w:val="0039283C"/>
    <w:rsid w:val="003A2F6F"/>
    <w:rsid w:val="003A6692"/>
    <w:rsid w:val="003B133B"/>
    <w:rsid w:val="003B3D4B"/>
    <w:rsid w:val="003B48C0"/>
    <w:rsid w:val="003B4AD7"/>
    <w:rsid w:val="003B59E5"/>
    <w:rsid w:val="003C23A0"/>
    <w:rsid w:val="003D1FFA"/>
    <w:rsid w:val="003F68A7"/>
    <w:rsid w:val="0040031A"/>
    <w:rsid w:val="00401F97"/>
    <w:rsid w:val="00402E53"/>
    <w:rsid w:val="00406625"/>
    <w:rsid w:val="0042507D"/>
    <w:rsid w:val="0043112B"/>
    <w:rsid w:val="004370EC"/>
    <w:rsid w:val="004424B8"/>
    <w:rsid w:val="00446531"/>
    <w:rsid w:val="004B295D"/>
    <w:rsid w:val="004B7FD7"/>
    <w:rsid w:val="004E198E"/>
    <w:rsid w:val="0050177A"/>
    <w:rsid w:val="005036DB"/>
    <w:rsid w:val="005038D0"/>
    <w:rsid w:val="00505ABE"/>
    <w:rsid w:val="00512E60"/>
    <w:rsid w:val="0054677E"/>
    <w:rsid w:val="0057102B"/>
    <w:rsid w:val="005866FB"/>
    <w:rsid w:val="00596B7C"/>
    <w:rsid w:val="005971D5"/>
    <w:rsid w:val="005A6E10"/>
    <w:rsid w:val="005B4070"/>
    <w:rsid w:val="005B73CF"/>
    <w:rsid w:val="005C212B"/>
    <w:rsid w:val="005D6AF6"/>
    <w:rsid w:val="005E213C"/>
    <w:rsid w:val="006036EF"/>
    <w:rsid w:val="00604027"/>
    <w:rsid w:val="00610C74"/>
    <w:rsid w:val="00611378"/>
    <w:rsid w:val="00611D16"/>
    <w:rsid w:val="0064252D"/>
    <w:rsid w:val="00643C58"/>
    <w:rsid w:val="006505AC"/>
    <w:rsid w:val="006646E8"/>
    <w:rsid w:val="00673B83"/>
    <w:rsid w:val="00680BFD"/>
    <w:rsid w:val="00692C4E"/>
    <w:rsid w:val="006B3E27"/>
    <w:rsid w:val="006B3FAD"/>
    <w:rsid w:val="006B6B0D"/>
    <w:rsid w:val="006F0524"/>
    <w:rsid w:val="006F3576"/>
    <w:rsid w:val="006F3618"/>
    <w:rsid w:val="006F7585"/>
    <w:rsid w:val="00711AAA"/>
    <w:rsid w:val="007221B0"/>
    <w:rsid w:val="00723176"/>
    <w:rsid w:val="00723F79"/>
    <w:rsid w:val="0073229B"/>
    <w:rsid w:val="00741509"/>
    <w:rsid w:val="00745408"/>
    <w:rsid w:val="00754E78"/>
    <w:rsid w:val="007559B1"/>
    <w:rsid w:val="007608F3"/>
    <w:rsid w:val="00780C60"/>
    <w:rsid w:val="00780EC8"/>
    <w:rsid w:val="007818C6"/>
    <w:rsid w:val="00792743"/>
    <w:rsid w:val="007A2254"/>
    <w:rsid w:val="007A2BE0"/>
    <w:rsid w:val="007B3589"/>
    <w:rsid w:val="007B41BE"/>
    <w:rsid w:val="007B5677"/>
    <w:rsid w:val="007B681B"/>
    <w:rsid w:val="007C3EC7"/>
    <w:rsid w:val="007D6D06"/>
    <w:rsid w:val="007E7A91"/>
    <w:rsid w:val="00814895"/>
    <w:rsid w:val="00835C9E"/>
    <w:rsid w:val="00853532"/>
    <w:rsid w:val="00867BE4"/>
    <w:rsid w:val="0087005C"/>
    <w:rsid w:val="0087155F"/>
    <w:rsid w:val="00886F9C"/>
    <w:rsid w:val="0089357A"/>
    <w:rsid w:val="008B4D33"/>
    <w:rsid w:val="008C0453"/>
    <w:rsid w:val="008C17B4"/>
    <w:rsid w:val="008D2515"/>
    <w:rsid w:val="008E4AD1"/>
    <w:rsid w:val="008E6970"/>
    <w:rsid w:val="00903FDD"/>
    <w:rsid w:val="009073B4"/>
    <w:rsid w:val="00917A00"/>
    <w:rsid w:val="00920E49"/>
    <w:rsid w:val="00932246"/>
    <w:rsid w:val="0093717E"/>
    <w:rsid w:val="00946E58"/>
    <w:rsid w:val="00956BEA"/>
    <w:rsid w:val="00970F50"/>
    <w:rsid w:val="00973342"/>
    <w:rsid w:val="00973426"/>
    <w:rsid w:val="00974ECF"/>
    <w:rsid w:val="00976FEB"/>
    <w:rsid w:val="00982429"/>
    <w:rsid w:val="0098442A"/>
    <w:rsid w:val="00991949"/>
    <w:rsid w:val="0099693E"/>
    <w:rsid w:val="009A704D"/>
    <w:rsid w:val="009A78AA"/>
    <w:rsid w:val="009B31A4"/>
    <w:rsid w:val="009C6B79"/>
    <w:rsid w:val="009E25AF"/>
    <w:rsid w:val="009E40CE"/>
    <w:rsid w:val="009E5CE6"/>
    <w:rsid w:val="009F414D"/>
    <w:rsid w:val="009F42AF"/>
    <w:rsid w:val="00A0387A"/>
    <w:rsid w:val="00A0619D"/>
    <w:rsid w:val="00A133FF"/>
    <w:rsid w:val="00A20AF3"/>
    <w:rsid w:val="00A23729"/>
    <w:rsid w:val="00A23855"/>
    <w:rsid w:val="00A25292"/>
    <w:rsid w:val="00A2579D"/>
    <w:rsid w:val="00A46C58"/>
    <w:rsid w:val="00A50D34"/>
    <w:rsid w:val="00A61F9D"/>
    <w:rsid w:val="00A62234"/>
    <w:rsid w:val="00A64E29"/>
    <w:rsid w:val="00A73704"/>
    <w:rsid w:val="00A75B4E"/>
    <w:rsid w:val="00AA10CA"/>
    <w:rsid w:val="00AA1E96"/>
    <w:rsid w:val="00AB3825"/>
    <w:rsid w:val="00AB3C5E"/>
    <w:rsid w:val="00AD3DEE"/>
    <w:rsid w:val="00AD5888"/>
    <w:rsid w:val="00AD6716"/>
    <w:rsid w:val="00B063FE"/>
    <w:rsid w:val="00B16007"/>
    <w:rsid w:val="00B20EC7"/>
    <w:rsid w:val="00B5238B"/>
    <w:rsid w:val="00B618B7"/>
    <w:rsid w:val="00B66D12"/>
    <w:rsid w:val="00B80D5C"/>
    <w:rsid w:val="00B93A73"/>
    <w:rsid w:val="00B93B5C"/>
    <w:rsid w:val="00B96354"/>
    <w:rsid w:val="00BA57CB"/>
    <w:rsid w:val="00BC7B91"/>
    <w:rsid w:val="00BD094F"/>
    <w:rsid w:val="00BE1732"/>
    <w:rsid w:val="00BE18EA"/>
    <w:rsid w:val="00BE216D"/>
    <w:rsid w:val="00C027C1"/>
    <w:rsid w:val="00C029A8"/>
    <w:rsid w:val="00C267C0"/>
    <w:rsid w:val="00C27AAD"/>
    <w:rsid w:val="00C32C1E"/>
    <w:rsid w:val="00C408D3"/>
    <w:rsid w:val="00C44EC7"/>
    <w:rsid w:val="00C81F53"/>
    <w:rsid w:val="00C82C8A"/>
    <w:rsid w:val="00C85C2C"/>
    <w:rsid w:val="00C8621B"/>
    <w:rsid w:val="00C97BEE"/>
    <w:rsid w:val="00CC3A7D"/>
    <w:rsid w:val="00CD156B"/>
    <w:rsid w:val="00CD5D0B"/>
    <w:rsid w:val="00CF2812"/>
    <w:rsid w:val="00D156E2"/>
    <w:rsid w:val="00D3345F"/>
    <w:rsid w:val="00D4095E"/>
    <w:rsid w:val="00D476DA"/>
    <w:rsid w:val="00D75B45"/>
    <w:rsid w:val="00D84E64"/>
    <w:rsid w:val="00D955EF"/>
    <w:rsid w:val="00DB04C6"/>
    <w:rsid w:val="00DB794A"/>
    <w:rsid w:val="00DC3B8E"/>
    <w:rsid w:val="00E10B09"/>
    <w:rsid w:val="00E22EAB"/>
    <w:rsid w:val="00E24D9E"/>
    <w:rsid w:val="00E25EFF"/>
    <w:rsid w:val="00E457F6"/>
    <w:rsid w:val="00E46A01"/>
    <w:rsid w:val="00E5340D"/>
    <w:rsid w:val="00E638F3"/>
    <w:rsid w:val="00E860B9"/>
    <w:rsid w:val="00EA6A1B"/>
    <w:rsid w:val="00EB09C2"/>
    <w:rsid w:val="00EB4ADC"/>
    <w:rsid w:val="00EB4EB1"/>
    <w:rsid w:val="00EB6530"/>
    <w:rsid w:val="00EC014E"/>
    <w:rsid w:val="00ED7BED"/>
    <w:rsid w:val="00F0245E"/>
    <w:rsid w:val="00F1175C"/>
    <w:rsid w:val="00F155CB"/>
    <w:rsid w:val="00F209FD"/>
    <w:rsid w:val="00F235D8"/>
    <w:rsid w:val="00F30F7B"/>
    <w:rsid w:val="00F40301"/>
    <w:rsid w:val="00F6340F"/>
    <w:rsid w:val="00F748E6"/>
    <w:rsid w:val="00F75585"/>
    <w:rsid w:val="00F852CE"/>
    <w:rsid w:val="00FA3558"/>
    <w:rsid w:val="00FA5926"/>
    <w:rsid w:val="00FB4031"/>
    <w:rsid w:val="00FC5596"/>
    <w:rsid w:val="01F732A7"/>
    <w:rsid w:val="03C274DB"/>
    <w:rsid w:val="05935ABA"/>
    <w:rsid w:val="05B53F02"/>
    <w:rsid w:val="06E61CA5"/>
    <w:rsid w:val="072F44E3"/>
    <w:rsid w:val="08894C98"/>
    <w:rsid w:val="08A05695"/>
    <w:rsid w:val="093A6F8C"/>
    <w:rsid w:val="09F33618"/>
    <w:rsid w:val="0C66569A"/>
    <w:rsid w:val="0D133129"/>
    <w:rsid w:val="0D526018"/>
    <w:rsid w:val="0EF53EAF"/>
    <w:rsid w:val="0F4001E9"/>
    <w:rsid w:val="0F7E4AB5"/>
    <w:rsid w:val="0FEF45D8"/>
    <w:rsid w:val="11993D67"/>
    <w:rsid w:val="11E8746F"/>
    <w:rsid w:val="13C85871"/>
    <w:rsid w:val="14D34591"/>
    <w:rsid w:val="14E40948"/>
    <w:rsid w:val="15916DD0"/>
    <w:rsid w:val="15D13F6E"/>
    <w:rsid w:val="18151F96"/>
    <w:rsid w:val="181C07FE"/>
    <w:rsid w:val="1A2F4635"/>
    <w:rsid w:val="1AD03189"/>
    <w:rsid w:val="1B601C8B"/>
    <w:rsid w:val="1B775A35"/>
    <w:rsid w:val="1E486D96"/>
    <w:rsid w:val="1EBA5A37"/>
    <w:rsid w:val="1F462871"/>
    <w:rsid w:val="203D47FD"/>
    <w:rsid w:val="225B0506"/>
    <w:rsid w:val="23F05E77"/>
    <w:rsid w:val="24A972CC"/>
    <w:rsid w:val="25746F75"/>
    <w:rsid w:val="27337C3B"/>
    <w:rsid w:val="273B3040"/>
    <w:rsid w:val="28790229"/>
    <w:rsid w:val="289064B1"/>
    <w:rsid w:val="29620197"/>
    <w:rsid w:val="2A880A7B"/>
    <w:rsid w:val="2BAE55AB"/>
    <w:rsid w:val="2C4A4F0F"/>
    <w:rsid w:val="2CE67F0D"/>
    <w:rsid w:val="2DC4660F"/>
    <w:rsid w:val="2F7A262F"/>
    <w:rsid w:val="306C3313"/>
    <w:rsid w:val="30997F39"/>
    <w:rsid w:val="30B5176D"/>
    <w:rsid w:val="31DC0A01"/>
    <w:rsid w:val="31FF20E0"/>
    <w:rsid w:val="320C360F"/>
    <w:rsid w:val="324C3A99"/>
    <w:rsid w:val="32BF3509"/>
    <w:rsid w:val="33D40119"/>
    <w:rsid w:val="34C80604"/>
    <w:rsid w:val="375D203C"/>
    <w:rsid w:val="38026A6F"/>
    <w:rsid w:val="39C15447"/>
    <w:rsid w:val="39EA7670"/>
    <w:rsid w:val="3AA36596"/>
    <w:rsid w:val="3BBB0E91"/>
    <w:rsid w:val="3D60411F"/>
    <w:rsid w:val="3F042940"/>
    <w:rsid w:val="3F2D72BA"/>
    <w:rsid w:val="3F505F2E"/>
    <w:rsid w:val="40FB7670"/>
    <w:rsid w:val="41523019"/>
    <w:rsid w:val="41D40AD3"/>
    <w:rsid w:val="41E657FF"/>
    <w:rsid w:val="421F1170"/>
    <w:rsid w:val="4548212F"/>
    <w:rsid w:val="45494A55"/>
    <w:rsid w:val="455A6CAF"/>
    <w:rsid w:val="46917FE3"/>
    <w:rsid w:val="46DD5856"/>
    <w:rsid w:val="471D34DB"/>
    <w:rsid w:val="475F6E94"/>
    <w:rsid w:val="48523C0A"/>
    <w:rsid w:val="48870B55"/>
    <w:rsid w:val="4A4C61F3"/>
    <w:rsid w:val="4AFB4521"/>
    <w:rsid w:val="4B3F6B82"/>
    <w:rsid w:val="4B6B7860"/>
    <w:rsid w:val="4B9637E1"/>
    <w:rsid w:val="4BFB18AC"/>
    <w:rsid w:val="4DC521B3"/>
    <w:rsid w:val="4E6821E6"/>
    <w:rsid w:val="4E6C325B"/>
    <w:rsid w:val="51D17C72"/>
    <w:rsid w:val="51E24F47"/>
    <w:rsid w:val="53F92C98"/>
    <w:rsid w:val="57AF1C45"/>
    <w:rsid w:val="59C9560C"/>
    <w:rsid w:val="5B731508"/>
    <w:rsid w:val="5CDF456F"/>
    <w:rsid w:val="5CED24D8"/>
    <w:rsid w:val="5D572C78"/>
    <w:rsid w:val="5F4B72E8"/>
    <w:rsid w:val="618256F4"/>
    <w:rsid w:val="618E6756"/>
    <w:rsid w:val="639E6BEC"/>
    <w:rsid w:val="64BC11DB"/>
    <w:rsid w:val="653505E7"/>
    <w:rsid w:val="69084CB8"/>
    <w:rsid w:val="6A4E68CB"/>
    <w:rsid w:val="6C7621DF"/>
    <w:rsid w:val="6C787452"/>
    <w:rsid w:val="6CCC40C7"/>
    <w:rsid w:val="6CEF4F0F"/>
    <w:rsid w:val="6D145220"/>
    <w:rsid w:val="6DAB59DE"/>
    <w:rsid w:val="6E315D84"/>
    <w:rsid w:val="6FAA1A38"/>
    <w:rsid w:val="70286F26"/>
    <w:rsid w:val="71EA44F7"/>
    <w:rsid w:val="726C0923"/>
    <w:rsid w:val="73CC483B"/>
    <w:rsid w:val="75EA5CB7"/>
    <w:rsid w:val="779E6E82"/>
    <w:rsid w:val="7A00066D"/>
    <w:rsid w:val="7ADC31A8"/>
    <w:rsid w:val="7CD541AA"/>
    <w:rsid w:val="7DA01D0C"/>
    <w:rsid w:val="7EFB1C64"/>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2"/>
    <w:link w:val="69"/>
    <w:qFormat/>
    <w:uiPriority w:val="0"/>
    <w:pPr>
      <w:keepNext/>
      <w:keepLines/>
      <w:spacing w:after="120" w:line="360" w:lineRule="auto"/>
      <w:outlineLvl w:val="0"/>
    </w:pPr>
    <w:rPr>
      <w:kern w:val="44"/>
      <w:sz w:val="28"/>
      <w:szCs w:val="28"/>
    </w:rPr>
  </w:style>
  <w:style w:type="paragraph" w:styleId="6">
    <w:name w:val="heading 2"/>
    <w:basedOn w:val="1"/>
    <w:next w:val="7"/>
    <w:link w:val="7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7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7"/>
    <w:link w:val="73"/>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9"/>
    <w:next w:val="7"/>
    <w:link w:val="74"/>
    <w:qFormat/>
    <w:uiPriority w:val="0"/>
    <w:pPr>
      <w:numPr>
        <w:ilvl w:val="4"/>
      </w:numPr>
      <w:spacing w:line="240" w:lineRule="exact"/>
      <w:outlineLvl w:val="4"/>
    </w:pPr>
  </w:style>
  <w:style w:type="paragraph" w:styleId="11">
    <w:name w:val="heading 6"/>
    <w:basedOn w:val="1"/>
    <w:next w:val="1"/>
    <w:link w:val="7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7"/>
    <w:link w:val="76"/>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7"/>
    <w:link w:val="7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7"/>
    <w:link w:val="7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6">
    <w:name w:val="Default Paragraph Font"/>
    <w:semiHidden/>
    <w:unhideWhenUsed/>
    <w:qFormat/>
    <w:uiPriority w:val="1"/>
  </w:style>
  <w:style w:type="table" w:default="1" w:styleId="5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68"/>
    <w:qFormat/>
    <w:uiPriority w:val="0"/>
    <w:pPr>
      <w:ind w:firstLine="420"/>
    </w:pPr>
  </w:style>
  <w:style w:type="paragraph" w:styleId="3">
    <w:name w:val="Body Text"/>
    <w:basedOn w:val="1"/>
    <w:link w:val="67"/>
    <w:qFormat/>
    <w:uiPriority w:val="0"/>
    <w:pPr>
      <w:spacing w:after="120"/>
    </w:pPr>
    <w:rPr>
      <w:rFonts w:ascii="Times New Roman" w:hAnsi="Times New Roman"/>
      <w:szCs w:val="20"/>
    </w:rPr>
  </w:style>
  <w:style w:type="paragraph" w:styleId="5">
    <w:name w:val="Title"/>
    <w:basedOn w:val="1"/>
    <w:link w:val="66"/>
    <w:qFormat/>
    <w:uiPriority w:val="0"/>
    <w:pPr>
      <w:spacing w:before="120" w:after="60"/>
      <w:jc w:val="center"/>
    </w:pPr>
    <w:rPr>
      <w:rFonts w:ascii="Arial" w:hAnsi="Arial"/>
      <w:b/>
      <w:sz w:val="44"/>
      <w:szCs w:val="20"/>
    </w:rPr>
  </w:style>
  <w:style w:type="paragraph" w:styleId="7">
    <w:name w:val="Normal Indent"/>
    <w:basedOn w:val="1"/>
    <w:link w:val="70"/>
    <w:qFormat/>
    <w:uiPriority w:val="0"/>
    <w:pPr>
      <w:ind w:firstLine="420"/>
    </w:pPr>
    <w:rPr>
      <w:rFonts w:ascii="Times New Roman" w:hAnsi="Times New Roman"/>
      <w:szCs w:val="20"/>
    </w:rPr>
  </w:style>
  <w:style w:type="paragraph" w:styleId="15">
    <w:name w:val="List 3"/>
    <w:basedOn w:val="1"/>
    <w:qFormat/>
    <w:uiPriority w:val="0"/>
    <w:pPr>
      <w:ind w:left="1260" w:hanging="420"/>
    </w:pPr>
    <w:rPr>
      <w:rFonts w:ascii="Times New Roman" w:hAnsi="Times New Roman"/>
      <w:szCs w:val="20"/>
    </w:rPr>
  </w:style>
  <w:style w:type="paragraph" w:styleId="16">
    <w:name w:val="toc 7"/>
    <w:basedOn w:val="1"/>
    <w:next w:val="1"/>
    <w:qFormat/>
    <w:uiPriority w:val="39"/>
    <w:pPr>
      <w:ind w:left="2520" w:leftChars="1200"/>
    </w:pPr>
    <w:rPr>
      <w:rFonts w:ascii="Times New Roman" w:hAnsi="Times New Roman"/>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List Bullet"/>
    <w:basedOn w:val="19"/>
    <w:qFormat/>
    <w:uiPriority w:val="0"/>
    <w:pPr>
      <w:widowControl/>
      <w:overflowPunct w:val="0"/>
      <w:autoSpaceDE w:val="0"/>
      <w:autoSpaceDN w:val="0"/>
      <w:spacing w:after="160" w:line="340" w:lineRule="exact"/>
      <w:ind w:left="0" w:firstLine="0"/>
      <w:jc w:val="both"/>
      <w:textAlignment w:val="baseline"/>
    </w:pPr>
    <w:rPr>
      <w:rFonts w:hint="default" w:ascii="Arial Narrow" w:hAnsi="Arial Narrow" w:cs="Arial Narrow"/>
      <w:sz w:val="22"/>
      <w:szCs w:val="22"/>
      <w:lang w:val="de-DE" w:eastAsia="de-DE"/>
    </w:rPr>
  </w:style>
  <w:style w:type="paragraph" w:styleId="19">
    <w:name w:val="List"/>
    <w:basedOn w:val="1"/>
    <w:qFormat/>
    <w:uiPriority w:val="0"/>
    <w:pPr>
      <w:adjustRightInd w:val="0"/>
      <w:spacing w:line="360" w:lineRule="atLeast"/>
      <w:ind w:left="420" w:hanging="420"/>
      <w:jc w:val="left"/>
    </w:pPr>
    <w:rPr>
      <w:rFonts w:hint="eastAsia" w:ascii="宋体" w:hAnsi="Times New Roman"/>
      <w:kern w:val="0"/>
      <w:sz w:val="24"/>
      <w:szCs w:val="20"/>
    </w:rPr>
  </w:style>
  <w:style w:type="paragraph" w:styleId="20">
    <w:name w:val="Document Map"/>
    <w:basedOn w:val="1"/>
    <w:link w:val="79"/>
    <w:qFormat/>
    <w:uiPriority w:val="0"/>
    <w:pPr>
      <w:shd w:val="clear" w:color="auto" w:fill="000080"/>
    </w:pPr>
    <w:rPr>
      <w:rFonts w:ascii="Times New Roman" w:hAnsi="Times New Roman"/>
      <w:szCs w:val="20"/>
    </w:rPr>
  </w:style>
  <w:style w:type="paragraph" w:styleId="21">
    <w:name w:val="toa heading"/>
    <w:basedOn w:val="1"/>
    <w:next w:val="1"/>
    <w:qFormat/>
    <w:uiPriority w:val="99"/>
    <w:pPr>
      <w:spacing w:before="120"/>
    </w:pPr>
    <w:rPr>
      <w:rFonts w:ascii="Arial" w:hAnsi="Arial" w:cs="Arial"/>
      <w:sz w:val="24"/>
      <w:szCs w:val="24"/>
    </w:rPr>
  </w:style>
  <w:style w:type="paragraph" w:styleId="22">
    <w:name w:val="annotation text"/>
    <w:basedOn w:val="1"/>
    <w:link w:val="80"/>
    <w:qFormat/>
    <w:uiPriority w:val="0"/>
    <w:pPr>
      <w:spacing w:line="360" w:lineRule="auto"/>
      <w:ind w:firstLine="523" w:firstLineChars="218"/>
      <w:jc w:val="left"/>
    </w:pPr>
    <w:rPr>
      <w:rFonts w:ascii="宋体" w:hAnsi="宋体"/>
      <w:sz w:val="24"/>
      <w:szCs w:val="24"/>
    </w:rPr>
  </w:style>
  <w:style w:type="paragraph" w:styleId="23">
    <w:name w:val="Salutation"/>
    <w:basedOn w:val="1"/>
    <w:next w:val="1"/>
    <w:link w:val="270"/>
    <w:unhideWhenUsed/>
    <w:qFormat/>
    <w:uiPriority w:val="0"/>
    <w:rPr>
      <w:rFonts w:ascii="Times New Roman" w:hAnsi="Times New Roman"/>
      <w:kern w:val="0"/>
      <w:sz w:val="30"/>
      <w:szCs w:val="20"/>
    </w:rPr>
  </w:style>
  <w:style w:type="paragraph" w:styleId="24">
    <w:name w:val="Body Text 3"/>
    <w:basedOn w:val="1"/>
    <w:link w:val="140"/>
    <w:qFormat/>
    <w:uiPriority w:val="0"/>
    <w:rPr>
      <w:rFonts w:ascii="宋体" w:hAnsi="宋体"/>
      <w:szCs w:val="20"/>
      <w:u w:val="single"/>
      <w:bdr w:val="single" w:color="auto" w:sz="4" w:space="0"/>
    </w:rPr>
  </w:style>
  <w:style w:type="paragraph" w:styleId="25">
    <w:name w:val="Body Text Indent"/>
    <w:basedOn w:val="1"/>
    <w:link w:val="81"/>
    <w:qFormat/>
    <w:uiPriority w:val="0"/>
    <w:pPr>
      <w:ind w:firstLine="570"/>
    </w:pPr>
    <w:rPr>
      <w:rFonts w:ascii="Times New Roman" w:hAnsi="Times New Roman"/>
      <w:sz w:val="28"/>
      <w:szCs w:val="20"/>
    </w:rPr>
  </w:style>
  <w:style w:type="paragraph" w:styleId="26">
    <w:name w:val="List 2"/>
    <w:basedOn w:val="1"/>
    <w:qFormat/>
    <w:uiPriority w:val="0"/>
    <w:pPr>
      <w:jc w:val="center"/>
    </w:pPr>
    <w:rPr>
      <w:rFonts w:ascii="宋体" w:hAnsi="Times New Roman"/>
      <w:sz w:val="24"/>
      <w:szCs w:val="20"/>
    </w:rPr>
  </w:style>
  <w:style w:type="paragraph" w:styleId="27">
    <w:name w:val="Block Text"/>
    <w:basedOn w:val="1"/>
    <w:qFormat/>
    <w:uiPriority w:val="99"/>
    <w:pPr>
      <w:spacing w:line="360" w:lineRule="auto"/>
      <w:ind w:left="351" w:right="176" w:firstLine="643" w:firstLineChars="200"/>
      <w:jc w:val="center"/>
    </w:pPr>
    <w:rPr>
      <w:rFonts w:ascii="Times New Roman" w:hAnsi="Times New Roman"/>
      <w:b/>
      <w:bCs/>
      <w:sz w:val="32"/>
      <w:szCs w:val="24"/>
    </w:rPr>
  </w:style>
  <w:style w:type="paragraph" w:styleId="28">
    <w:name w:val="toc 5"/>
    <w:basedOn w:val="1"/>
    <w:next w:val="1"/>
    <w:qFormat/>
    <w:uiPriority w:val="39"/>
    <w:pPr>
      <w:ind w:left="1680" w:leftChars="800"/>
    </w:pPr>
    <w:rPr>
      <w:rFonts w:ascii="Times New Roman" w:hAnsi="Times New Roman"/>
      <w:szCs w:val="20"/>
    </w:rPr>
  </w:style>
  <w:style w:type="paragraph" w:styleId="2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30">
    <w:name w:val="Plain Text"/>
    <w:basedOn w:val="1"/>
    <w:link w:val="65"/>
    <w:qFormat/>
    <w:uiPriority w:val="0"/>
    <w:rPr>
      <w:rFonts w:ascii="宋体" w:hAnsi="Courier New"/>
      <w:szCs w:val="20"/>
    </w:rPr>
  </w:style>
  <w:style w:type="paragraph" w:styleId="31">
    <w:name w:val="toc 8"/>
    <w:basedOn w:val="1"/>
    <w:next w:val="1"/>
    <w:qFormat/>
    <w:uiPriority w:val="39"/>
    <w:pPr>
      <w:ind w:left="2940" w:leftChars="1400"/>
    </w:pPr>
    <w:rPr>
      <w:rFonts w:ascii="Times New Roman" w:hAnsi="Times New Roman"/>
      <w:szCs w:val="20"/>
    </w:rPr>
  </w:style>
  <w:style w:type="paragraph" w:styleId="32">
    <w:name w:val="Date"/>
    <w:basedOn w:val="1"/>
    <w:next w:val="1"/>
    <w:link w:val="82"/>
    <w:qFormat/>
    <w:uiPriority w:val="0"/>
    <w:rPr>
      <w:rFonts w:ascii="Times New Roman" w:hAnsi="Times New Roman"/>
      <w:szCs w:val="20"/>
    </w:rPr>
  </w:style>
  <w:style w:type="paragraph" w:styleId="33">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34">
    <w:name w:val="endnote text"/>
    <w:basedOn w:val="1"/>
    <w:link w:val="84"/>
    <w:qFormat/>
    <w:uiPriority w:val="0"/>
    <w:pPr>
      <w:snapToGrid w:val="0"/>
      <w:jc w:val="left"/>
    </w:pPr>
    <w:rPr>
      <w:rFonts w:ascii="Times New Roman" w:hAnsi="Times New Roman"/>
      <w:szCs w:val="20"/>
    </w:rPr>
  </w:style>
  <w:style w:type="paragraph" w:styleId="35">
    <w:name w:val="Balloon Text"/>
    <w:basedOn w:val="1"/>
    <w:link w:val="85"/>
    <w:qFormat/>
    <w:uiPriority w:val="0"/>
    <w:rPr>
      <w:rFonts w:ascii="Times New Roman" w:hAnsi="Times New Roman"/>
      <w:sz w:val="18"/>
      <w:szCs w:val="18"/>
    </w:rPr>
  </w:style>
  <w:style w:type="paragraph" w:styleId="36">
    <w:name w:val="footer"/>
    <w:basedOn w:val="1"/>
    <w:link w:val="86"/>
    <w:unhideWhenUsed/>
    <w:qFormat/>
    <w:uiPriority w:val="99"/>
    <w:pPr>
      <w:tabs>
        <w:tab w:val="center" w:pos="4153"/>
        <w:tab w:val="right" w:pos="8306"/>
      </w:tabs>
      <w:snapToGrid w:val="0"/>
      <w:jc w:val="left"/>
    </w:pPr>
    <w:rPr>
      <w:sz w:val="18"/>
      <w:szCs w:val="18"/>
    </w:rPr>
  </w:style>
  <w:style w:type="paragraph" w:styleId="37">
    <w:name w:val="header"/>
    <w:basedOn w:val="1"/>
    <w:link w:val="87"/>
    <w:unhideWhenUsed/>
    <w:qFormat/>
    <w:uiPriority w:val="99"/>
    <w:pPr>
      <w:pBdr>
        <w:bottom w:val="single" w:color="auto" w:sz="6" w:space="1"/>
      </w:pBdr>
      <w:tabs>
        <w:tab w:val="center" w:pos="4153"/>
        <w:tab w:val="right" w:pos="8306"/>
      </w:tabs>
      <w:snapToGrid w:val="0"/>
      <w:jc w:val="center"/>
    </w:pPr>
    <w:rPr>
      <w:sz w:val="18"/>
      <w:szCs w:val="18"/>
    </w:rPr>
  </w:style>
  <w:style w:type="paragraph" w:styleId="38">
    <w:name w:val="Signature"/>
    <w:basedOn w:val="1"/>
    <w:link w:val="272"/>
    <w:qFormat/>
    <w:uiPriority w:val="0"/>
    <w:pPr>
      <w:widowControl/>
      <w:overflowPunct w:val="0"/>
      <w:autoSpaceDE w:val="0"/>
      <w:autoSpaceDN w:val="0"/>
      <w:adjustRightInd w:val="0"/>
      <w:spacing w:after="120" w:line="360" w:lineRule="auto"/>
      <w:textAlignment w:val="baseline"/>
    </w:pPr>
    <w:rPr>
      <w:rFonts w:ascii="Wund" w:hAnsi="Wund"/>
      <w:kern w:val="0"/>
      <w:sz w:val="22"/>
      <w:szCs w:val="20"/>
      <w:lang w:val="de-DE" w:eastAsia="de-DE"/>
    </w:rPr>
  </w:style>
  <w:style w:type="paragraph" w:styleId="39">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40">
    <w:name w:val="toc 4"/>
    <w:basedOn w:val="1"/>
    <w:next w:val="1"/>
    <w:qFormat/>
    <w:uiPriority w:val="39"/>
    <w:pPr>
      <w:ind w:left="1260" w:leftChars="600"/>
    </w:pPr>
    <w:rPr>
      <w:rFonts w:ascii="Times New Roman" w:hAnsi="Times New Roman"/>
      <w:szCs w:val="20"/>
    </w:rPr>
  </w:style>
  <w:style w:type="paragraph" w:styleId="41">
    <w:name w:val="Subtitle"/>
    <w:basedOn w:val="5"/>
    <w:next w:val="3"/>
    <w:link w:val="274"/>
    <w:qFormat/>
    <w:uiPriority w:val="0"/>
    <w:pPr>
      <w:keepLines/>
      <w:widowControl/>
      <w:overflowPunct w:val="0"/>
      <w:autoSpaceDE w:val="0"/>
      <w:autoSpaceDN w:val="0"/>
      <w:adjustRightInd w:val="0"/>
      <w:spacing w:before="360" w:after="240" w:line="360" w:lineRule="auto"/>
      <w:textAlignment w:val="baseline"/>
    </w:pPr>
    <w:rPr>
      <w:rFonts w:ascii="Cambria" w:hAnsi="Cambria"/>
      <w:bCs/>
      <w:kern w:val="28"/>
      <w:sz w:val="32"/>
      <w:szCs w:val="32"/>
      <w:lang w:val="de-DE" w:eastAsia="de-DE"/>
    </w:rPr>
  </w:style>
  <w:style w:type="paragraph" w:styleId="42">
    <w:name w:val="footnote text"/>
    <w:basedOn w:val="1"/>
    <w:link w:val="88"/>
    <w:qFormat/>
    <w:uiPriority w:val="0"/>
    <w:pPr>
      <w:snapToGrid w:val="0"/>
      <w:spacing w:line="360" w:lineRule="auto"/>
      <w:ind w:firstLine="523" w:firstLineChars="218"/>
      <w:jc w:val="left"/>
    </w:pPr>
    <w:rPr>
      <w:rFonts w:ascii="宋体" w:hAnsi="宋体"/>
      <w:sz w:val="18"/>
      <w:szCs w:val="18"/>
    </w:rPr>
  </w:style>
  <w:style w:type="paragraph" w:styleId="43">
    <w:name w:val="toc 6"/>
    <w:basedOn w:val="1"/>
    <w:next w:val="1"/>
    <w:qFormat/>
    <w:uiPriority w:val="39"/>
    <w:pPr>
      <w:ind w:left="2100" w:leftChars="1000"/>
    </w:pPr>
    <w:rPr>
      <w:rFonts w:ascii="Times New Roman" w:hAnsi="Times New Roman"/>
      <w:szCs w:val="20"/>
    </w:rPr>
  </w:style>
  <w:style w:type="paragraph" w:styleId="44">
    <w:name w:val="Body Text Indent 3"/>
    <w:basedOn w:val="1"/>
    <w:link w:val="89"/>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45">
    <w:name w:val="table of figures"/>
    <w:basedOn w:val="1"/>
    <w:next w:val="1"/>
    <w:semiHidden/>
    <w:qFormat/>
    <w:uiPriority w:val="0"/>
    <w:pPr>
      <w:ind w:left="840" w:leftChars="200" w:hanging="420" w:hangingChars="200"/>
    </w:pPr>
    <w:rPr>
      <w:rFonts w:ascii="Times New Roman" w:hAnsi="Times New Roman"/>
      <w:szCs w:val="24"/>
    </w:rPr>
  </w:style>
  <w:style w:type="paragraph" w:styleId="4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7">
    <w:name w:val="toc 9"/>
    <w:basedOn w:val="1"/>
    <w:next w:val="1"/>
    <w:qFormat/>
    <w:uiPriority w:val="39"/>
    <w:pPr>
      <w:ind w:left="3360" w:leftChars="1600"/>
    </w:pPr>
    <w:rPr>
      <w:rFonts w:ascii="Times New Roman" w:hAnsi="Times New Roman"/>
      <w:szCs w:val="20"/>
    </w:rPr>
  </w:style>
  <w:style w:type="paragraph" w:styleId="48">
    <w:name w:val="Body Text 2"/>
    <w:basedOn w:val="1"/>
    <w:link w:val="90"/>
    <w:qFormat/>
    <w:uiPriority w:val="0"/>
    <w:rPr>
      <w:rFonts w:ascii="宋体" w:hAnsi="宋体"/>
      <w:szCs w:val="24"/>
      <w:u w:val="single"/>
    </w:rPr>
  </w:style>
  <w:style w:type="paragraph" w:styleId="49">
    <w:name w:val="HTML Preformatted"/>
    <w:basedOn w:val="1"/>
    <w:link w:val="2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lang w:val="de-DE" w:eastAsia="de-DE"/>
    </w:rPr>
  </w:style>
  <w:style w:type="paragraph" w:styleId="50">
    <w:name w:val="Normal (Web)"/>
    <w:basedOn w:val="1"/>
    <w:qFormat/>
    <w:uiPriority w:val="0"/>
    <w:rPr>
      <w:rFonts w:ascii="Times New Roman" w:hAnsi="Times New Roman"/>
      <w:sz w:val="24"/>
    </w:rPr>
  </w:style>
  <w:style w:type="paragraph" w:styleId="51">
    <w:name w:val="index 1"/>
    <w:basedOn w:val="1"/>
    <w:next w:val="1"/>
    <w:qFormat/>
    <w:uiPriority w:val="0"/>
    <w:rPr>
      <w:rFonts w:ascii="Times New Roman" w:hAnsi="Times New Roman" w:eastAsia="仿宋_GB2312"/>
      <w:sz w:val="28"/>
      <w:szCs w:val="20"/>
    </w:rPr>
  </w:style>
  <w:style w:type="paragraph" w:styleId="52">
    <w:name w:val="annotation subject"/>
    <w:basedOn w:val="22"/>
    <w:next w:val="22"/>
    <w:link w:val="91"/>
    <w:qFormat/>
    <w:uiPriority w:val="0"/>
    <w:rPr>
      <w:b/>
      <w:bCs/>
    </w:rPr>
  </w:style>
  <w:style w:type="paragraph" w:styleId="53">
    <w:name w:val="Body Text First Indent 2"/>
    <w:basedOn w:val="25"/>
    <w:link w:val="92"/>
    <w:semiHidden/>
    <w:unhideWhenUsed/>
    <w:qFormat/>
    <w:uiPriority w:val="0"/>
    <w:pPr>
      <w:spacing w:after="120"/>
      <w:ind w:left="420" w:leftChars="200" w:firstLine="420" w:firstLineChars="200"/>
    </w:pPr>
    <w:rPr>
      <w:sz w:val="21"/>
      <w:szCs w:val="22"/>
    </w:rPr>
  </w:style>
  <w:style w:type="table" w:styleId="55">
    <w:name w:val="Table Grid"/>
    <w:basedOn w:val="5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b/>
    </w:rPr>
  </w:style>
  <w:style w:type="character" w:styleId="58">
    <w:name w:val="endnote reference"/>
    <w:qFormat/>
    <w:uiPriority w:val="0"/>
    <w:rPr>
      <w:vertAlign w:val="superscript"/>
    </w:rPr>
  </w:style>
  <w:style w:type="character" w:styleId="59">
    <w:name w:val="page number"/>
    <w:qFormat/>
    <w:uiPriority w:val="99"/>
    <w:rPr>
      <w:rFonts w:cs="Times New Roman"/>
    </w:rPr>
  </w:style>
  <w:style w:type="character" w:styleId="60">
    <w:name w:val="FollowedHyperlink"/>
    <w:unhideWhenUsed/>
    <w:qFormat/>
    <w:uiPriority w:val="0"/>
    <w:rPr>
      <w:color w:val="954F72"/>
      <w:u w:val="single"/>
    </w:rPr>
  </w:style>
  <w:style w:type="character" w:styleId="61">
    <w:name w:val="Emphasis"/>
    <w:qFormat/>
    <w:uiPriority w:val="0"/>
    <w:rPr>
      <w:i/>
      <w:iCs/>
      <w:sz w:val="24"/>
      <w:szCs w:val="24"/>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character" w:styleId="64">
    <w:name w:val="footnote reference"/>
    <w:qFormat/>
    <w:uiPriority w:val="0"/>
    <w:rPr>
      <w:vertAlign w:val="superscript"/>
    </w:rPr>
  </w:style>
  <w:style w:type="character" w:customStyle="1" w:styleId="65">
    <w:name w:val="纯文本 字符1"/>
    <w:link w:val="30"/>
    <w:qFormat/>
    <w:uiPriority w:val="0"/>
    <w:rPr>
      <w:rFonts w:ascii="宋体" w:hAnsi="Courier New" w:eastAsia="宋体" w:cs="Times New Roman"/>
      <w:szCs w:val="20"/>
    </w:rPr>
  </w:style>
  <w:style w:type="character" w:customStyle="1" w:styleId="66">
    <w:name w:val="标题 字符1"/>
    <w:link w:val="5"/>
    <w:qFormat/>
    <w:uiPriority w:val="0"/>
    <w:rPr>
      <w:rFonts w:ascii="Arial" w:hAnsi="Arial" w:eastAsia="宋体" w:cs="Times New Roman"/>
      <w:b/>
      <w:sz w:val="44"/>
      <w:szCs w:val="20"/>
    </w:rPr>
  </w:style>
  <w:style w:type="character" w:customStyle="1" w:styleId="67">
    <w:name w:val="正文文本 字符1"/>
    <w:link w:val="3"/>
    <w:qFormat/>
    <w:uiPriority w:val="0"/>
    <w:rPr>
      <w:rFonts w:ascii="Times New Roman" w:hAnsi="Times New Roman" w:eastAsia="宋体" w:cs="Times New Roman"/>
      <w:szCs w:val="20"/>
    </w:rPr>
  </w:style>
  <w:style w:type="character" w:customStyle="1" w:styleId="68">
    <w:name w:val="正文首行缩进 字符1"/>
    <w:link w:val="2"/>
    <w:qFormat/>
    <w:uiPriority w:val="0"/>
  </w:style>
  <w:style w:type="character" w:customStyle="1" w:styleId="69">
    <w:name w:val="标题 1 字符1"/>
    <w:link w:val="4"/>
    <w:qFormat/>
    <w:uiPriority w:val="0"/>
    <w:rPr>
      <w:rFonts w:ascii="Arial" w:hAnsi="Arial" w:eastAsia="宋体"/>
      <w:b/>
      <w:kern w:val="44"/>
      <w:sz w:val="28"/>
      <w:szCs w:val="28"/>
    </w:rPr>
  </w:style>
  <w:style w:type="character" w:customStyle="1" w:styleId="70">
    <w:name w:val="正文缩进 字符"/>
    <w:link w:val="7"/>
    <w:qFormat/>
    <w:locked/>
    <w:uiPriority w:val="0"/>
    <w:rPr>
      <w:rFonts w:ascii="Times New Roman" w:hAnsi="Times New Roman" w:eastAsia="宋体"/>
      <w:kern w:val="2"/>
      <w:sz w:val="21"/>
    </w:rPr>
  </w:style>
  <w:style w:type="character" w:customStyle="1" w:styleId="71">
    <w:name w:val="标题 2 字符1"/>
    <w:link w:val="6"/>
    <w:qFormat/>
    <w:uiPriority w:val="0"/>
    <w:rPr>
      <w:rFonts w:ascii="Arial" w:hAnsi="Arial" w:eastAsia="宋体" w:cs="Times New Roman"/>
      <w:b/>
      <w:color w:val="000000"/>
      <w:sz w:val="24"/>
      <w:szCs w:val="24"/>
    </w:rPr>
  </w:style>
  <w:style w:type="character" w:customStyle="1" w:styleId="72">
    <w:name w:val="标题 3 字符1"/>
    <w:link w:val="8"/>
    <w:qFormat/>
    <w:uiPriority w:val="0"/>
    <w:rPr>
      <w:rFonts w:ascii="宋体" w:hAnsi="宋体" w:eastAsia="宋体" w:cs="宋体"/>
      <w:kern w:val="0"/>
      <w:sz w:val="27"/>
      <w:szCs w:val="27"/>
    </w:rPr>
  </w:style>
  <w:style w:type="character" w:customStyle="1" w:styleId="73">
    <w:name w:val="标题 4 字符1"/>
    <w:link w:val="9"/>
    <w:qFormat/>
    <w:uiPriority w:val="0"/>
    <w:rPr>
      <w:rFonts w:ascii="Arial" w:hAnsi="Arial" w:eastAsia="宋体" w:cs="Times New Roman"/>
      <w:color w:val="000000"/>
      <w:szCs w:val="21"/>
    </w:rPr>
  </w:style>
  <w:style w:type="character" w:customStyle="1" w:styleId="74">
    <w:name w:val="标题 5 字符1"/>
    <w:link w:val="10"/>
    <w:qFormat/>
    <w:uiPriority w:val="0"/>
    <w:rPr>
      <w:rFonts w:ascii="Arial" w:hAnsi="Arial" w:eastAsia="宋体"/>
      <w:color w:val="000000"/>
      <w:kern w:val="2"/>
      <w:sz w:val="21"/>
      <w:szCs w:val="21"/>
    </w:rPr>
  </w:style>
  <w:style w:type="character" w:customStyle="1" w:styleId="75">
    <w:name w:val="标题 6 字符1"/>
    <w:link w:val="11"/>
    <w:qFormat/>
    <w:uiPriority w:val="0"/>
    <w:rPr>
      <w:rFonts w:ascii="Arial" w:hAnsi="Arial" w:eastAsia="黑体" w:cs="Times New Roman"/>
      <w:b/>
      <w:bCs/>
      <w:sz w:val="24"/>
      <w:szCs w:val="24"/>
    </w:rPr>
  </w:style>
  <w:style w:type="character" w:customStyle="1" w:styleId="76">
    <w:name w:val="标题 7 字符1"/>
    <w:link w:val="12"/>
    <w:qFormat/>
    <w:uiPriority w:val="0"/>
    <w:rPr>
      <w:rFonts w:ascii="Times New Roman" w:hAnsi="Times New Roman" w:eastAsia="宋体" w:cs="Times New Roman"/>
      <w:b/>
      <w:sz w:val="24"/>
      <w:szCs w:val="20"/>
    </w:rPr>
  </w:style>
  <w:style w:type="character" w:customStyle="1" w:styleId="77">
    <w:name w:val="标题 8 字符1"/>
    <w:link w:val="13"/>
    <w:qFormat/>
    <w:uiPriority w:val="0"/>
    <w:rPr>
      <w:rFonts w:ascii="Arial" w:hAnsi="Arial" w:eastAsia="黑体" w:cs="Times New Roman"/>
      <w:sz w:val="24"/>
      <w:szCs w:val="20"/>
    </w:rPr>
  </w:style>
  <w:style w:type="character" w:customStyle="1" w:styleId="78">
    <w:name w:val="标题 9 字符1"/>
    <w:link w:val="14"/>
    <w:qFormat/>
    <w:uiPriority w:val="0"/>
    <w:rPr>
      <w:rFonts w:ascii="Arial" w:hAnsi="Arial" w:eastAsia="黑体" w:cs="Times New Roman"/>
      <w:szCs w:val="20"/>
    </w:rPr>
  </w:style>
  <w:style w:type="character" w:customStyle="1" w:styleId="79">
    <w:name w:val="文档结构图 字符1"/>
    <w:link w:val="20"/>
    <w:qFormat/>
    <w:uiPriority w:val="0"/>
    <w:rPr>
      <w:rFonts w:ascii="Times New Roman" w:hAnsi="Times New Roman" w:eastAsia="宋体" w:cs="Times New Roman"/>
      <w:szCs w:val="20"/>
      <w:shd w:val="clear" w:color="auto" w:fill="000080"/>
    </w:rPr>
  </w:style>
  <w:style w:type="character" w:customStyle="1" w:styleId="80">
    <w:name w:val="批注文字 字符1"/>
    <w:link w:val="22"/>
    <w:qFormat/>
    <w:uiPriority w:val="0"/>
    <w:rPr>
      <w:rFonts w:ascii="宋体" w:hAnsi="宋体" w:eastAsia="宋体" w:cs="Times New Roman"/>
      <w:sz w:val="24"/>
      <w:szCs w:val="24"/>
    </w:rPr>
  </w:style>
  <w:style w:type="character" w:customStyle="1" w:styleId="81">
    <w:name w:val="正文文本缩进 字符1"/>
    <w:link w:val="25"/>
    <w:qFormat/>
    <w:uiPriority w:val="0"/>
    <w:rPr>
      <w:rFonts w:ascii="Times New Roman" w:hAnsi="Times New Roman" w:eastAsia="宋体" w:cs="Times New Roman"/>
      <w:sz w:val="28"/>
      <w:szCs w:val="20"/>
    </w:rPr>
  </w:style>
  <w:style w:type="character" w:customStyle="1" w:styleId="82">
    <w:name w:val="日期 字符1"/>
    <w:link w:val="32"/>
    <w:qFormat/>
    <w:uiPriority w:val="0"/>
    <w:rPr>
      <w:rFonts w:ascii="Times New Roman" w:hAnsi="Times New Roman" w:eastAsia="宋体" w:cs="Times New Roman"/>
      <w:szCs w:val="20"/>
    </w:rPr>
  </w:style>
  <w:style w:type="character" w:customStyle="1" w:styleId="83">
    <w:name w:val="正文文本缩进 2 字符1"/>
    <w:link w:val="33"/>
    <w:qFormat/>
    <w:uiPriority w:val="0"/>
    <w:rPr>
      <w:rFonts w:ascii="Times New Roman" w:hAnsi="Times New Roman" w:eastAsia="宋体" w:cs="Times New Roman"/>
      <w:color w:val="000000"/>
      <w:sz w:val="24"/>
      <w:szCs w:val="20"/>
    </w:rPr>
  </w:style>
  <w:style w:type="character" w:customStyle="1" w:styleId="84">
    <w:name w:val="尾注文本 字符1"/>
    <w:link w:val="34"/>
    <w:qFormat/>
    <w:uiPriority w:val="0"/>
    <w:rPr>
      <w:rFonts w:ascii="Times New Roman" w:hAnsi="Times New Roman" w:eastAsia="宋体" w:cs="Times New Roman"/>
      <w:szCs w:val="20"/>
    </w:rPr>
  </w:style>
  <w:style w:type="character" w:customStyle="1" w:styleId="85">
    <w:name w:val="批注框文本 字符1"/>
    <w:link w:val="35"/>
    <w:qFormat/>
    <w:uiPriority w:val="0"/>
    <w:rPr>
      <w:rFonts w:ascii="Times New Roman" w:hAnsi="Times New Roman" w:eastAsia="宋体" w:cs="Times New Roman"/>
      <w:sz w:val="18"/>
      <w:szCs w:val="18"/>
    </w:rPr>
  </w:style>
  <w:style w:type="character" w:customStyle="1" w:styleId="86">
    <w:name w:val="页脚 字符1"/>
    <w:link w:val="36"/>
    <w:qFormat/>
    <w:uiPriority w:val="99"/>
    <w:rPr>
      <w:rFonts w:ascii="Calibri" w:hAnsi="Calibri" w:eastAsia="宋体" w:cs="Times New Roman"/>
      <w:sz w:val="18"/>
      <w:szCs w:val="18"/>
    </w:rPr>
  </w:style>
  <w:style w:type="character" w:customStyle="1" w:styleId="87">
    <w:name w:val="页眉 字符1"/>
    <w:link w:val="37"/>
    <w:qFormat/>
    <w:uiPriority w:val="99"/>
    <w:rPr>
      <w:rFonts w:ascii="Calibri" w:hAnsi="Calibri" w:eastAsia="宋体" w:cs="Times New Roman"/>
      <w:sz w:val="18"/>
      <w:szCs w:val="18"/>
    </w:rPr>
  </w:style>
  <w:style w:type="character" w:customStyle="1" w:styleId="88">
    <w:name w:val="脚注文本 字符1"/>
    <w:link w:val="42"/>
    <w:qFormat/>
    <w:uiPriority w:val="0"/>
    <w:rPr>
      <w:rFonts w:ascii="宋体" w:hAnsi="宋体" w:eastAsia="宋体" w:cs="Times New Roman"/>
      <w:sz w:val="18"/>
      <w:szCs w:val="18"/>
    </w:rPr>
  </w:style>
  <w:style w:type="character" w:customStyle="1" w:styleId="89">
    <w:name w:val="正文文本缩进 3 字符1"/>
    <w:link w:val="44"/>
    <w:qFormat/>
    <w:uiPriority w:val="0"/>
    <w:rPr>
      <w:rFonts w:ascii="Times New Roman" w:hAnsi="Times New Roman" w:eastAsia="宋体" w:cs="Times New Roman"/>
      <w:color w:val="000000"/>
      <w:sz w:val="24"/>
      <w:szCs w:val="20"/>
    </w:rPr>
  </w:style>
  <w:style w:type="character" w:customStyle="1" w:styleId="90">
    <w:name w:val="正文文本 2 字符1"/>
    <w:link w:val="48"/>
    <w:qFormat/>
    <w:uiPriority w:val="0"/>
    <w:rPr>
      <w:rFonts w:ascii="宋体" w:hAnsi="宋体" w:eastAsia="宋体" w:cs="Times New Roman"/>
      <w:szCs w:val="24"/>
      <w:u w:val="single"/>
    </w:rPr>
  </w:style>
  <w:style w:type="character" w:customStyle="1" w:styleId="91">
    <w:name w:val="批注主题 字符1"/>
    <w:link w:val="52"/>
    <w:qFormat/>
    <w:uiPriority w:val="0"/>
    <w:rPr>
      <w:rFonts w:ascii="宋体" w:hAnsi="宋体" w:eastAsia="宋体" w:cs="Times New Roman"/>
      <w:b/>
      <w:bCs/>
      <w:sz w:val="24"/>
      <w:szCs w:val="24"/>
    </w:rPr>
  </w:style>
  <w:style w:type="character" w:customStyle="1" w:styleId="92">
    <w:name w:val="正文首行缩进 2 字符"/>
    <w:basedOn w:val="81"/>
    <w:link w:val="53"/>
    <w:semiHidden/>
    <w:qFormat/>
    <w:uiPriority w:val="0"/>
    <w:rPr>
      <w:rFonts w:ascii="Times New Roman" w:hAnsi="Times New Roman" w:eastAsia="宋体" w:cs="Times New Roman"/>
      <w:kern w:val="2"/>
      <w:sz w:val="21"/>
      <w:szCs w:val="22"/>
    </w:rPr>
  </w:style>
  <w:style w:type="character" w:customStyle="1" w:styleId="93">
    <w:name w:val="标题 1 字符"/>
    <w:qFormat/>
    <w:uiPriority w:val="9"/>
    <w:rPr>
      <w:rFonts w:ascii="Calibri" w:hAnsi="Calibri" w:eastAsia="宋体" w:cs="Times New Roman"/>
      <w:b/>
      <w:bCs/>
      <w:kern w:val="44"/>
      <w:sz w:val="44"/>
      <w:szCs w:val="44"/>
    </w:rPr>
  </w:style>
  <w:style w:type="character" w:customStyle="1" w:styleId="94">
    <w:name w:val="标题 2 字符"/>
    <w:semiHidden/>
    <w:qFormat/>
    <w:uiPriority w:val="9"/>
    <w:rPr>
      <w:rFonts w:ascii="等线 Light" w:hAnsi="等线 Light" w:eastAsia="等线 Light" w:cs="Times New Roman"/>
      <w:b/>
      <w:bCs/>
      <w:sz w:val="32"/>
      <w:szCs w:val="32"/>
    </w:rPr>
  </w:style>
  <w:style w:type="character" w:customStyle="1" w:styleId="95">
    <w:name w:val="标题 3 字符"/>
    <w:semiHidden/>
    <w:qFormat/>
    <w:uiPriority w:val="9"/>
    <w:rPr>
      <w:rFonts w:ascii="Calibri" w:hAnsi="Calibri" w:eastAsia="宋体" w:cs="Times New Roman"/>
      <w:b/>
      <w:bCs/>
      <w:sz w:val="32"/>
      <w:szCs w:val="32"/>
    </w:rPr>
  </w:style>
  <w:style w:type="character" w:customStyle="1" w:styleId="96">
    <w:name w:val="标题 4 字符"/>
    <w:semiHidden/>
    <w:qFormat/>
    <w:uiPriority w:val="9"/>
    <w:rPr>
      <w:rFonts w:ascii="等线 Light" w:hAnsi="等线 Light" w:eastAsia="等线 Light" w:cs="Times New Roman"/>
      <w:b/>
      <w:bCs/>
      <w:sz w:val="28"/>
      <w:szCs w:val="28"/>
    </w:rPr>
  </w:style>
  <w:style w:type="character" w:customStyle="1" w:styleId="97">
    <w:name w:val="标题 5 字符"/>
    <w:semiHidden/>
    <w:qFormat/>
    <w:uiPriority w:val="9"/>
    <w:rPr>
      <w:rFonts w:ascii="Calibri" w:hAnsi="Calibri" w:eastAsia="宋体" w:cs="Times New Roman"/>
      <w:b/>
      <w:bCs/>
      <w:sz w:val="28"/>
      <w:szCs w:val="28"/>
    </w:rPr>
  </w:style>
  <w:style w:type="character" w:customStyle="1" w:styleId="98">
    <w:name w:val="标题 6 字符"/>
    <w:semiHidden/>
    <w:qFormat/>
    <w:uiPriority w:val="9"/>
    <w:rPr>
      <w:rFonts w:ascii="等线 Light" w:hAnsi="等线 Light" w:eastAsia="等线 Light" w:cs="Times New Roman"/>
      <w:b/>
      <w:bCs/>
      <w:sz w:val="24"/>
      <w:szCs w:val="24"/>
    </w:rPr>
  </w:style>
  <w:style w:type="character" w:customStyle="1" w:styleId="99">
    <w:name w:val="标题 7 字符"/>
    <w:semiHidden/>
    <w:qFormat/>
    <w:uiPriority w:val="9"/>
    <w:rPr>
      <w:rFonts w:ascii="Calibri" w:hAnsi="Calibri" w:eastAsia="宋体" w:cs="Times New Roman"/>
      <w:b/>
      <w:bCs/>
      <w:sz w:val="24"/>
      <w:szCs w:val="24"/>
    </w:rPr>
  </w:style>
  <w:style w:type="character" w:customStyle="1" w:styleId="100">
    <w:name w:val="标题 8 字符"/>
    <w:semiHidden/>
    <w:qFormat/>
    <w:uiPriority w:val="9"/>
    <w:rPr>
      <w:rFonts w:ascii="等线 Light" w:hAnsi="等线 Light" w:eastAsia="等线 Light" w:cs="Times New Roman"/>
      <w:sz w:val="24"/>
      <w:szCs w:val="24"/>
    </w:rPr>
  </w:style>
  <w:style w:type="character" w:customStyle="1" w:styleId="101">
    <w:name w:val="标题 9 字符"/>
    <w:semiHidden/>
    <w:qFormat/>
    <w:uiPriority w:val="9"/>
    <w:rPr>
      <w:rFonts w:ascii="等线 Light" w:hAnsi="等线 Light" w:eastAsia="等线 Light" w:cs="Times New Roman"/>
      <w:szCs w:val="21"/>
    </w:rPr>
  </w:style>
  <w:style w:type="character" w:customStyle="1" w:styleId="102">
    <w:name w:val="页眉 字符"/>
    <w:qFormat/>
    <w:uiPriority w:val="99"/>
    <w:rPr>
      <w:rFonts w:ascii="Calibri" w:hAnsi="Calibri" w:eastAsia="宋体" w:cs="Times New Roman"/>
      <w:sz w:val="18"/>
      <w:szCs w:val="18"/>
    </w:rPr>
  </w:style>
  <w:style w:type="character" w:customStyle="1" w:styleId="103">
    <w:name w:val="页脚 字符"/>
    <w:qFormat/>
    <w:uiPriority w:val="99"/>
    <w:rPr>
      <w:rFonts w:ascii="Calibri" w:hAnsi="Calibri" w:eastAsia="宋体" w:cs="Times New Roman"/>
      <w:sz w:val="18"/>
      <w:szCs w:val="18"/>
    </w:rPr>
  </w:style>
  <w:style w:type="character" w:customStyle="1" w:styleId="104">
    <w:name w:val="标题 字符"/>
    <w:qFormat/>
    <w:uiPriority w:val="10"/>
    <w:rPr>
      <w:rFonts w:ascii="等线 Light" w:hAnsi="等线 Light" w:eastAsia="等线 Light" w:cs="Times New Roman"/>
      <w:b/>
      <w:bCs/>
      <w:sz w:val="32"/>
      <w:szCs w:val="32"/>
    </w:rPr>
  </w:style>
  <w:style w:type="character" w:customStyle="1" w:styleId="105">
    <w:name w:val="正文文本 字符"/>
    <w:qFormat/>
    <w:uiPriority w:val="99"/>
    <w:rPr>
      <w:rFonts w:ascii="Calibri" w:hAnsi="Calibri" w:eastAsia="宋体" w:cs="Times New Roman"/>
    </w:rPr>
  </w:style>
  <w:style w:type="character" w:customStyle="1" w:styleId="106">
    <w:name w:val="正文首行缩进 字符"/>
    <w:basedOn w:val="105"/>
    <w:semiHidden/>
    <w:qFormat/>
    <w:uiPriority w:val="99"/>
    <w:rPr>
      <w:rFonts w:ascii="Calibri" w:hAnsi="Calibri" w:eastAsia="宋体" w:cs="Times New Roman"/>
    </w:rPr>
  </w:style>
  <w:style w:type="character" w:customStyle="1" w:styleId="107">
    <w:name w:val="日期 字符"/>
    <w:semiHidden/>
    <w:qFormat/>
    <w:uiPriority w:val="99"/>
    <w:rPr>
      <w:rFonts w:ascii="Calibri" w:hAnsi="Calibri" w:eastAsia="宋体" w:cs="Times New Roman"/>
    </w:rPr>
  </w:style>
  <w:style w:type="character" w:customStyle="1" w:styleId="108">
    <w:name w:val="正文文本缩进 字符"/>
    <w:qFormat/>
    <w:uiPriority w:val="99"/>
    <w:rPr>
      <w:rFonts w:ascii="Calibri" w:hAnsi="Calibri" w:eastAsia="宋体" w:cs="Times New Roman"/>
    </w:rPr>
  </w:style>
  <w:style w:type="character" w:customStyle="1" w:styleId="109">
    <w:name w:val="文档结构图 字符"/>
    <w:qFormat/>
    <w:uiPriority w:val="99"/>
    <w:rPr>
      <w:rFonts w:ascii="Microsoft YaHei UI" w:hAnsi="Calibri" w:eastAsia="Microsoft YaHei UI" w:cs="Times New Roman"/>
      <w:sz w:val="18"/>
      <w:szCs w:val="18"/>
    </w:rPr>
  </w:style>
  <w:style w:type="character" w:customStyle="1" w:styleId="110">
    <w:name w:val="纯文本 字符"/>
    <w:semiHidden/>
    <w:qFormat/>
    <w:uiPriority w:val="99"/>
    <w:rPr>
      <w:rFonts w:ascii="等线" w:hAnsi="Courier New" w:cs="Courier New"/>
    </w:rPr>
  </w:style>
  <w:style w:type="character" w:customStyle="1" w:styleId="111">
    <w:name w:val="正文文本缩进 2 字符"/>
    <w:qFormat/>
    <w:uiPriority w:val="99"/>
    <w:rPr>
      <w:rFonts w:ascii="Calibri" w:hAnsi="Calibri" w:eastAsia="宋体" w:cs="Times New Roman"/>
    </w:rPr>
  </w:style>
  <w:style w:type="character" w:customStyle="1" w:styleId="112">
    <w:name w:val="正文文本缩进 3 字符"/>
    <w:qFormat/>
    <w:uiPriority w:val="99"/>
    <w:rPr>
      <w:rFonts w:ascii="Calibri" w:hAnsi="Calibri" w:eastAsia="宋体" w:cs="Times New Roman"/>
      <w:sz w:val="16"/>
      <w:szCs w:val="16"/>
    </w:rPr>
  </w:style>
  <w:style w:type="paragraph" w:customStyle="1" w:styleId="11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4">
    <w:name w:val="_Style 69"/>
    <w:qFormat/>
    <w:uiPriority w:val="0"/>
    <w:rPr>
      <w:rFonts w:ascii="等线" w:hAnsi="等线" w:eastAsia="等线" w:cs="Times New Roman"/>
      <w:lang w:val="en-US" w:eastAsia="zh-CN" w:bidi="ar-SA"/>
    </w:rPr>
  </w:style>
  <w:style w:type="character" w:customStyle="1" w:styleId="115">
    <w:name w:val="正文文本 2 字符"/>
    <w:qFormat/>
    <w:uiPriority w:val="99"/>
    <w:rPr>
      <w:rFonts w:ascii="Calibri" w:hAnsi="Calibri" w:eastAsia="宋体" w:cs="Times New Roman"/>
    </w:rPr>
  </w:style>
  <w:style w:type="paragraph" w:customStyle="1" w:styleId="116">
    <w:name w:val="表头"/>
    <w:basedOn w:val="1"/>
    <w:qFormat/>
    <w:uiPriority w:val="0"/>
    <w:pPr>
      <w:spacing w:line="360" w:lineRule="auto"/>
      <w:jc w:val="center"/>
    </w:pPr>
    <w:rPr>
      <w:rFonts w:ascii="黑体" w:hAnsi="Times New Roman" w:eastAsia="黑体"/>
      <w:kern w:val="0"/>
      <w:sz w:val="24"/>
      <w:szCs w:val="20"/>
    </w:rPr>
  </w:style>
  <w:style w:type="character" w:customStyle="1" w:styleId="117">
    <w:name w:val="尾注文本 字符"/>
    <w:qFormat/>
    <w:uiPriority w:val="99"/>
    <w:rPr>
      <w:rFonts w:ascii="Calibri" w:hAnsi="Calibri" w:eastAsia="宋体" w:cs="Times New Roman"/>
    </w:rPr>
  </w:style>
  <w:style w:type="paragraph" w:customStyle="1" w:styleId="118">
    <w:name w:val="Char"/>
    <w:basedOn w:val="1"/>
    <w:qFormat/>
    <w:uiPriority w:val="0"/>
    <w:rPr>
      <w:rFonts w:ascii="Tahoma" w:hAnsi="Tahoma"/>
      <w:sz w:val="24"/>
      <w:szCs w:val="20"/>
    </w:rPr>
  </w:style>
  <w:style w:type="paragraph" w:customStyle="1" w:styleId="119">
    <w:name w:val="Char1"/>
    <w:basedOn w:val="1"/>
    <w:qFormat/>
    <w:uiPriority w:val="0"/>
    <w:pPr>
      <w:numPr>
        <w:ilvl w:val="0"/>
        <w:numId w:val="1"/>
      </w:numPr>
    </w:pPr>
    <w:rPr>
      <w:rFonts w:ascii="Times New Roman" w:hAnsi="Times New Roman"/>
      <w:sz w:val="24"/>
      <w:szCs w:val="24"/>
    </w:rPr>
  </w:style>
  <w:style w:type="paragraph" w:customStyle="1" w:styleId="120">
    <w:name w:val="公文抬头"/>
    <w:basedOn w:val="7"/>
    <w:qFormat/>
    <w:uiPriority w:val="0"/>
    <w:pPr>
      <w:ind w:firstLine="0"/>
    </w:pPr>
    <w:rPr>
      <w:rFonts w:ascii="仿宋_GB2312" w:eastAsia="仿宋_GB2312"/>
      <w:sz w:val="30"/>
      <w:szCs w:val="24"/>
    </w:rPr>
  </w:style>
  <w:style w:type="paragraph" w:customStyle="1" w:styleId="121">
    <w:name w:val="Char Char Char1 Char"/>
    <w:basedOn w:val="20"/>
    <w:qFormat/>
    <w:uiPriority w:val="0"/>
    <w:rPr>
      <w:rFonts w:ascii="Tahoma" w:hAnsi="Tahoma"/>
      <w:sz w:val="24"/>
      <w:szCs w:val="24"/>
    </w:rPr>
  </w:style>
  <w:style w:type="paragraph" w:customStyle="1" w:styleId="1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3">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4">
    <w:name w:val="发文落款"/>
    <w:basedOn w:val="122"/>
    <w:qFormat/>
    <w:uiPriority w:val="0"/>
    <w:pPr>
      <w:ind w:left="4094" w:right="607" w:firstLine="0"/>
      <w:jc w:val="center"/>
    </w:pPr>
  </w:style>
  <w:style w:type="paragraph" w:customStyle="1" w:styleId="125">
    <w:name w:val="Char Char Char Char"/>
    <w:basedOn w:val="1"/>
    <w:qFormat/>
    <w:uiPriority w:val="0"/>
    <w:rPr>
      <w:rFonts w:ascii="Times New Roman" w:hAnsi="Times New Roman"/>
      <w:sz w:val="30"/>
      <w:szCs w:val="24"/>
    </w:rPr>
  </w:style>
  <w:style w:type="character" w:customStyle="1" w:styleId="126">
    <w:name w:val="批注框文本 字符"/>
    <w:semiHidden/>
    <w:qFormat/>
    <w:uiPriority w:val="99"/>
    <w:rPr>
      <w:rFonts w:ascii="Calibri" w:hAnsi="Calibri" w:eastAsia="宋体" w:cs="Times New Roman"/>
      <w:sz w:val="18"/>
      <w:szCs w:val="18"/>
    </w:rPr>
  </w:style>
  <w:style w:type="paragraph" w:customStyle="1" w:styleId="127">
    <w:name w:val="TOC 标题1"/>
    <w:basedOn w:val="4"/>
    <w:next w:val="1"/>
    <w:unhideWhenUsed/>
    <w:qFormat/>
    <w:uiPriority w:val="39"/>
    <w:pPr>
      <w:widowControl/>
      <w:spacing w:before="480" w:after="0" w:line="276" w:lineRule="auto"/>
      <w:outlineLvl w:val="9"/>
    </w:pPr>
    <w:rPr>
      <w:rFonts w:ascii="Cambria" w:hAnsi="Cambria"/>
      <w:color w:val="365F91"/>
      <w:kern w:val="0"/>
    </w:rPr>
  </w:style>
  <w:style w:type="character" w:customStyle="1" w:styleId="128">
    <w:name w:val="批注文字 字符"/>
    <w:semiHidden/>
    <w:qFormat/>
    <w:uiPriority w:val="99"/>
    <w:rPr>
      <w:rFonts w:ascii="Calibri" w:hAnsi="Calibri" w:eastAsia="宋体" w:cs="Times New Roman"/>
    </w:rPr>
  </w:style>
  <w:style w:type="character" w:customStyle="1" w:styleId="129">
    <w:name w:val="脚注文本 字符"/>
    <w:qFormat/>
    <w:uiPriority w:val="99"/>
    <w:rPr>
      <w:rFonts w:ascii="Calibri" w:hAnsi="Calibri" w:eastAsia="宋体" w:cs="Times New Roman"/>
      <w:sz w:val="18"/>
      <w:szCs w:val="18"/>
    </w:rPr>
  </w:style>
  <w:style w:type="character" w:customStyle="1" w:styleId="130">
    <w:name w:val="批注主题 字符"/>
    <w:semiHidden/>
    <w:qFormat/>
    <w:uiPriority w:val="99"/>
    <w:rPr>
      <w:rFonts w:ascii="Calibri" w:hAnsi="Calibri" w:eastAsia="宋体" w:cs="Times New Roman"/>
      <w:b/>
      <w:bCs/>
    </w:rPr>
  </w:style>
  <w:style w:type="paragraph" w:styleId="131">
    <w:name w:val="List Paragraph"/>
    <w:basedOn w:val="1"/>
    <w:qFormat/>
    <w:uiPriority w:val="0"/>
    <w:pPr>
      <w:ind w:firstLine="420" w:firstLineChars="200"/>
    </w:pPr>
    <w:rPr>
      <w:rFonts w:ascii="Times New Roman" w:hAnsi="Times New Roman"/>
      <w:szCs w:val="20"/>
    </w:rPr>
  </w:style>
  <w:style w:type="paragraph" w:customStyle="1" w:styleId="132">
    <w:name w:val="修订1"/>
    <w:hidden/>
    <w:qFormat/>
    <w:uiPriority w:val="99"/>
    <w:rPr>
      <w:rFonts w:ascii="Times New Roman" w:hAnsi="Times New Roman" w:eastAsia="宋体" w:cs="Times New Roman"/>
      <w:kern w:val="2"/>
      <w:sz w:val="21"/>
      <w:lang w:val="en-US" w:eastAsia="zh-CN" w:bidi="ar-SA"/>
    </w:rPr>
  </w:style>
  <w:style w:type="character" w:customStyle="1" w:styleId="133">
    <w:name w:val="文一 Char Char"/>
    <w:link w:val="134"/>
    <w:qFormat/>
    <w:uiPriority w:val="0"/>
    <w:rPr>
      <w:rFonts w:ascii="宋体" w:hAnsi="宋体"/>
      <w:snapToGrid w:val="0"/>
      <w:spacing w:val="4"/>
      <w:sz w:val="24"/>
      <w:szCs w:val="24"/>
    </w:rPr>
  </w:style>
  <w:style w:type="paragraph" w:customStyle="1" w:styleId="134">
    <w:name w:val="文一"/>
    <w:basedOn w:val="1"/>
    <w:link w:val="133"/>
    <w:qFormat/>
    <w:uiPriority w:val="0"/>
    <w:pPr>
      <w:topLinePunct/>
      <w:adjustRightInd w:val="0"/>
      <w:snapToGrid w:val="0"/>
      <w:spacing w:line="360" w:lineRule="auto"/>
      <w:ind w:firstLine="200" w:firstLineChars="200"/>
    </w:pPr>
    <w:rPr>
      <w:rFonts w:ascii="宋体" w:hAnsi="宋体" w:eastAsia="等线"/>
      <w:snapToGrid w:val="0"/>
      <w:spacing w:val="4"/>
      <w:kern w:val="0"/>
      <w:sz w:val="24"/>
      <w:szCs w:val="24"/>
    </w:rPr>
  </w:style>
  <w:style w:type="paragraph" w:customStyle="1" w:styleId="135">
    <w:name w:val="章节三"/>
    <w:basedOn w:val="134"/>
    <w:next w:val="134"/>
    <w:qFormat/>
    <w:uiPriority w:val="0"/>
    <w:pPr>
      <w:spacing w:beforeLines="50" w:line="240" w:lineRule="auto"/>
      <w:ind w:firstLine="0" w:firstLineChars="0"/>
      <w:jc w:val="left"/>
      <w:outlineLvl w:val="2"/>
    </w:pPr>
    <w:rPr>
      <w:rFonts w:ascii="黑体" w:eastAsia="黑体"/>
      <w:b/>
    </w:rPr>
  </w:style>
  <w:style w:type="paragraph" w:customStyle="1" w:styleId="136">
    <w:name w:val="章节二"/>
    <w:basedOn w:val="1"/>
    <w:next w:val="1"/>
    <w:qFormat/>
    <w:uiPriority w:val="0"/>
    <w:pPr>
      <w:topLinePunct/>
      <w:adjustRightInd w:val="0"/>
      <w:snapToGrid w:val="0"/>
      <w:spacing w:beforeLines="50"/>
      <w:jc w:val="center"/>
      <w:outlineLvl w:val="1"/>
    </w:pPr>
    <w:rPr>
      <w:rFonts w:ascii="Times New Roman" w:hAnsi="Times New Roman" w:eastAsia="黑体"/>
      <w:b/>
      <w:spacing w:val="4"/>
      <w:kern w:val="0"/>
      <w:sz w:val="30"/>
      <w:szCs w:val="30"/>
    </w:rPr>
  </w:style>
  <w:style w:type="paragraph" w:customStyle="1" w:styleId="137">
    <w:name w:val="正题"/>
    <w:basedOn w:val="134"/>
    <w:next w:val="134"/>
    <w:qFormat/>
    <w:uiPriority w:val="0"/>
    <w:pPr>
      <w:ind w:firstLine="0" w:firstLineChars="0"/>
      <w:jc w:val="center"/>
    </w:pPr>
    <w:rPr>
      <w:rFonts w:eastAsia="黑体"/>
      <w:b/>
      <w:sz w:val="36"/>
      <w:szCs w:val="36"/>
    </w:rPr>
  </w:style>
  <w:style w:type="paragraph" w:customStyle="1" w:styleId="138">
    <w:name w:val="文二"/>
    <w:basedOn w:val="1"/>
    <w:qFormat/>
    <w:uiPriority w:val="0"/>
    <w:pPr>
      <w:jc w:val="left"/>
    </w:pPr>
    <w:rPr>
      <w:rFonts w:ascii="宋体" w:hAnsi="宋体"/>
      <w:szCs w:val="21"/>
    </w:rPr>
  </w:style>
  <w:style w:type="paragraph" w:customStyle="1" w:styleId="139">
    <w:name w:val="修订2"/>
    <w:hidden/>
    <w:unhideWhenUsed/>
    <w:qFormat/>
    <w:uiPriority w:val="99"/>
    <w:rPr>
      <w:rFonts w:ascii="Calibri" w:hAnsi="Calibri" w:eastAsia="宋体" w:cs="Times New Roman"/>
      <w:kern w:val="2"/>
      <w:sz w:val="21"/>
      <w:szCs w:val="22"/>
      <w:lang w:val="en-US" w:eastAsia="zh-CN" w:bidi="ar-SA"/>
    </w:rPr>
  </w:style>
  <w:style w:type="character" w:customStyle="1" w:styleId="140">
    <w:name w:val="正文文本 3 字符"/>
    <w:basedOn w:val="56"/>
    <w:link w:val="24"/>
    <w:qFormat/>
    <w:uiPriority w:val="0"/>
    <w:rPr>
      <w:rFonts w:ascii="宋体" w:hAnsi="宋体" w:eastAsia="宋体"/>
      <w:kern w:val="2"/>
      <w:sz w:val="21"/>
      <w:u w:val="single"/>
      <w:bdr w:val="single" w:color="auto" w:sz="4" w:space="0"/>
    </w:rPr>
  </w:style>
  <w:style w:type="character" w:customStyle="1" w:styleId="141">
    <w:name w:val="标题 Char2"/>
    <w:qFormat/>
    <w:uiPriority w:val="10"/>
    <w:rPr>
      <w:rFonts w:ascii="Arial" w:hAnsi="Arial" w:eastAsia="宋体" w:cs="Times New Roman"/>
      <w:b/>
      <w:sz w:val="44"/>
      <w:szCs w:val="24"/>
    </w:rPr>
  </w:style>
  <w:style w:type="character" w:customStyle="1" w:styleId="142">
    <w:name w:val="标题 1 Char2"/>
    <w:qFormat/>
    <w:uiPriority w:val="0"/>
    <w:rPr>
      <w:rFonts w:ascii="Arial" w:hAnsi="Arial" w:eastAsia="宋体" w:cs="Times New Roman"/>
      <w:b/>
      <w:bCs/>
      <w:kern w:val="44"/>
      <w:sz w:val="32"/>
      <w:szCs w:val="32"/>
    </w:rPr>
  </w:style>
  <w:style w:type="paragraph" w:customStyle="1" w:styleId="143">
    <w:name w:val="Char11"/>
    <w:basedOn w:val="1"/>
    <w:qFormat/>
    <w:uiPriority w:val="0"/>
    <w:pPr>
      <w:ind w:left="567" w:hanging="279"/>
    </w:pPr>
    <w:rPr>
      <w:rFonts w:ascii="Times New Roman" w:hAnsi="Times New Roman"/>
      <w:sz w:val="24"/>
      <w:szCs w:val="24"/>
    </w:rPr>
  </w:style>
  <w:style w:type="character" w:customStyle="1" w:styleId="144">
    <w:name w:val="Char Char"/>
    <w:qFormat/>
    <w:uiPriority w:val="0"/>
    <w:rPr>
      <w:rFonts w:ascii="Arial" w:hAnsi="Arial" w:eastAsia="宋体"/>
      <w:b/>
      <w:kern w:val="2"/>
      <w:sz w:val="36"/>
      <w:szCs w:val="36"/>
      <w:lang w:val="en-US" w:eastAsia="zh-CN" w:bidi="ar-SA"/>
    </w:rPr>
  </w:style>
  <w:style w:type="character" w:customStyle="1" w:styleId="145">
    <w:name w:val="Char Char1"/>
    <w:qFormat/>
    <w:uiPriority w:val="0"/>
    <w:rPr>
      <w:rFonts w:ascii="Arial" w:hAnsi="Arial" w:eastAsia="宋体"/>
      <w:b/>
      <w:bCs/>
      <w:kern w:val="44"/>
      <w:sz w:val="36"/>
      <w:szCs w:val="36"/>
      <w:lang w:val="en-US" w:eastAsia="zh-CN" w:bidi="ar-SA"/>
    </w:rPr>
  </w:style>
  <w:style w:type="paragraph" w:customStyle="1" w:styleId="146">
    <w:name w:val="标题辞"/>
    <w:basedOn w:val="4"/>
    <w:next w:val="1"/>
    <w:qFormat/>
    <w:uiPriority w:val="0"/>
    <w:pPr>
      <w:keepLines w:val="0"/>
      <w:widowControl/>
      <w:spacing w:before="0" w:after="0" w:line="240" w:lineRule="auto"/>
    </w:pPr>
    <w:rPr>
      <w:rFonts w:ascii="黑体" w:hAnsi="Times New Roman" w:eastAsia="黑体"/>
      <w:b w:val="0"/>
      <w:kern w:val="0"/>
      <w:sz w:val="52"/>
      <w:szCs w:val="20"/>
    </w:rPr>
  </w:style>
  <w:style w:type="paragraph" w:customStyle="1" w:styleId="147">
    <w:name w:val="标题1"/>
    <w:basedOn w:val="4"/>
    <w:next w:val="1"/>
    <w:qFormat/>
    <w:uiPriority w:val="0"/>
    <w:pPr>
      <w:keepLines w:val="0"/>
      <w:widowControl/>
      <w:spacing w:before="0" w:after="0" w:line="240" w:lineRule="auto"/>
    </w:pPr>
    <w:rPr>
      <w:rFonts w:ascii="黑体" w:hAnsi="Times New Roman" w:eastAsia="黑体"/>
      <w:b w:val="0"/>
      <w:kern w:val="0"/>
      <w:sz w:val="44"/>
      <w:szCs w:val="20"/>
    </w:rPr>
  </w:style>
  <w:style w:type="paragraph" w:customStyle="1" w:styleId="148">
    <w:name w:val="标题2"/>
    <w:basedOn w:val="6"/>
    <w:next w:val="1"/>
    <w:qFormat/>
    <w:uiPriority w:val="0"/>
    <w:pPr>
      <w:keepNext w:val="0"/>
      <w:keepLines w:val="0"/>
      <w:tabs>
        <w:tab w:val="left" w:pos="1080"/>
      </w:tabs>
      <w:spacing w:before="0" w:after="0" w:line="360" w:lineRule="exact"/>
      <w:ind w:hanging="454"/>
      <w:outlineLvl w:val="9"/>
    </w:pPr>
    <w:rPr>
      <w:rFonts w:ascii="宋体" w:hAnsi="Times New Roman" w:eastAsia="黑体"/>
      <w:color w:val="auto"/>
      <w:sz w:val="36"/>
      <w:szCs w:val="48"/>
    </w:rPr>
  </w:style>
  <w:style w:type="paragraph" w:customStyle="1" w:styleId="149">
    <w:name w:val="标题3"/>
    <w:basedOn w:val="8"/>
    <w:next w:val="1"/>
    <w:qFormat/>
    <w:uiPriority w:val="0"/>
    <w:pPr>
      <w:keepNext/>
      <w:keepLines/>
      <w:tabs>
        <w:tab w:val="left" w:pos="840"/>
      </w:tabs>
      <w:spacing w:before="0" w:beforeAutospacing="0" w:after="0" w:afterAutospacing="0"/>
      <w:jc w:val="center"/>
    </w:pPr>
    <w:rPr>
      <w:rFonts w:cs="Times New Roman"/>
      <w:b/>
      <w:sz w:val="32"/>
      <w:szCs w:val="20"/>
    </w:rPr>
  </w:style>
  <w:style w:type="paragraph" w:customStyle="1" w:styleId="150">
    <w:name w:val="标题4"/>
    <w:basedOn w:val="9"/>
    <w:next w:val="1"/>
    <w:qFormat/>
    <w:uiPriority w:val="0"/>
    <w:pPr>
      <w:widowControl/>
      <w:numPr>
        <w:ilvl w:val="0"/>
        <w:numId w:val="0"/>
      </w:numPr>
      <w:tabs>
        <w:tab w:val="left" w:pos="840"/>
      </w:tabs>
      <w:spacing w:before="120" w:beforeLines="0" w:after="120" w:afterLines="0" w:line="240" w:lineRule="auto"/>
      <w:jc w:val="both"/>
    </w:pPr>
    <w:rPr>
      <w:rFonts w:ascii="宋体" w:hAnsi="宋体"/>
      <w:b/>
      <w:color w:val="auto"/>
      <w:kern w:val="0"/>
      <w:sz w:val="28"/>
      <w:szCs w:val="20"/>
    </w:rPr>
  </w:style>
  <w:style w:type="paragraph" w:customStyle="1" w:styleId="151">
    <w:name w:val="标题9"/>
    <w:basedOn w:val="1"/>
    <w:qFormat/>
    <w:uiPriority w:val="0"/>
    <w:pPr>
      <w:spacing w:beforeLines="50" w:afterLines="50"/>
    </w:pPr>
    <w:rPr>
      <w:rFonts w:ascii="Times New Roman" w:hAnsi="Times New Roman" w:eastAsia="黑体"/>
      <w:b/>
      <w:sz w:val="32"/>
      <w:szCs w:val="24"/>
    </w:rPr>
  </w:style>
  <w:style w:type="paragraph" w:customStyle="1" w:styleId="152">
    <w:name w:val="标题10"/>
    <w:qFormat/>
    <w:uiPriority w:val="0"/>
    <w:pPr>
      <w:spacing w:afterLines="100"/>
    </w:pPr>
    <w:rPr>
      <w:rFonts w:ascii="Times New Roman" w:hAnsi="Times New Roman" w:eastAsia="宋体" w:cs="Times New Roman"/>
      <w:b/>
      <w:sz w:val="32"/>
      <w:lang w:val="en-US" w:eastAsia="zh-CN" w:bidi="ar-SA"/>
    </w:rPr>
  </w:style>
  <w:style w:type="paragraph" w:customStyle="1" w:styleId="153">
    <w:name w:val="xl29"/>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54">
    <w:name w:val="图名"/>
    <w:basedOn w:val="1"/>
    <w:qFormat/>
    <w:uiPriority w:val="0"/>
    <w:pPr>
      <w:spacing w:line="360" w:lineRule="auto"/>
      <w:jc w:val="center"/>
    </w:pPr>
    <w:rPr>
      <w:rFonts w:ascii="Times New Roman" w:hAnsi="Times New Roman" w:eastAsia="楷体_GB2312" w:cs="宋体"/>
      <w:b/>
      <w:sz w:val="24"/>
      <w:szCs w:val="24"/>
    </w:rPr>
  </w:style>
  <w:style w:type="paragraph" w:customStyle="1" w:styleId="155">
    <w:name w:val="biaoge"/>
    <w:basedOn w:val="1"/>
    <w:qFormat/>
    <w:uiPriority w:val="0"/>
    <w:pPr>
      <w:widowControl/>
      <w:suppressLineNumbers/>
      <w:jc w:val="left"/>
    </w:pPr>
    <w:rPr>
      <w:rFonts w:ascii="宋体" w:hAnsi="宋体"/>
      <w:szCs w:val="21"/>
    </w:rPr>
  </w:style>
  <w:style w:type="paragraph" w:customStyle="1" w:styleId="156">
    <w:name w:val="框图"/>
    <w:basedOn w:val="1"/>
    <w:qFormat/>
    <w:uiPriority w:val="0"/>
    <w:pPr>
      <w:widowControl/>
      <w:suppressLineNumbers/>
      <w:tabs>
        <w:tab w:val="left" w:pos="423"/>
        <w:tab w:val="left" w:pos="564"/>
        <w:tab w:val="left" w:pos="987"/>
      </w:tabs>
      <w:adjustRightInd w:val="0"/>
      <w:spacing w:beforeLines="50"/>
      <w:jc w:val="center"/>
      <w:textAlignment w:val="baseline"/>
    </w:pPr>
    <w:rPr>
      <w:rFonts w:ascii="Times New Roman" w:hAnsi="Times New Roman"/>
      <w:szCs w:val="21"/>
    </w:rPr>
  </w:style>
  <w:style w:type="paragraph" w:customStyle="1" w:styleId="157">
    <w:name w:val="前言、引言标题"/>
    <w:next w:val="1"/>
    <w:qFormat/>
    <w:uiPriority w:val="0"/>
    <w:pPr>
      <w:numPr>
        <w:ilvl w:val="0"/>
        <w:numId w:val="3"/>
      </w:num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58">
    <w:name w:val="一级条标题"/>
    <w:basedOn w:val="6"/>
    <w:next w:val="1"/>
    <w:qFormat/>
    <w:uiPriority w:val="0"/>
    <w:pPr>
      <w:keepNext w:val="0"/>
      <w:keepLines w:val="0"/>
      <w:widowControl/>
      <w:tabs>
        <w:tab w:val="left" w:pos="360"/>
        <w:tab w:val="left" w:pos="495"/>
        <w:tab w:val="left" w:pos="1200"/>
        <w:tab w:val="left" w:pos="1418"/>
      </w:tabs>
      <w:spacing w:before="0" w:after="0" w:line="240" w:lineRule="auto"/>
      <w:ind w:left="1418" w:hanging="567"/>
      <w:jc w:val="both"/>
      <w:outlineLvl w:val="2"/>
    </w:pPr>
    <w:rPr>
      <w:rFonts w:ascii="黑体" w:hAnsi="Times New Roman" w:eastAsia="黑体"/>
      <w:b w:val="0"/>
      <w:color w:val="auto"/>
      <w:kern w:val="0"/>
      <w:sz w:val="21"/>
      <w:szCs w:val="20"/>
    </w:rPr>
  </w:style>
  <w:style w:type="paragraph" w:customStyle="1" w:styleId="159">
    <w:name w:val="二级条标题"/>
    <w:basedOn w:val="158"/>
    <w:next w:val="1"/>
    <w:qFormat/>
    <w:uiPriority w:val="0"/>
    <w:pPr>
      <w:tabs>
        <w:tab w:val="left" w:pos="1680"/>
        <w:tab w:val="left" w:pos="2356"/>
      </w:tabs>
      <w:ind w:left="1984" w:hanging="708"/>
      <w:outlineLvl w:val="3"/>
    </w:pPr>
  </w:style>
  <w:style w:type="paragraph" w:customStyle="1" w:styleId="160">
    <w:name w:val="三级条标题"/>
    <w:basedOn w:val="159"/>
    <w:next w:val="1"/>
    <w:qFormat/>
    <w:uiPriority w:val="0"/>
    <w:pPr>
      <w:tabs>
        <w:tab w:val="left" w:pos="2100"/>
        <w:tab w:val="left" w:pos="2781"/>
      </w:tabs>
      <w:ind w:left="2551" w:hanging="850"/>
      <w:outlineLvl w:val="4"/>
    </w:pPr>
  </w:style>
  <w:style w:type="paragraph" w:customStyle="1" w:styleId="161">
    <w:name w:val="四级条标题"/>
    <w:basedOn w:val="160"/>
    <w:next w:val="1"/>
    <w:qFormat/>
    <w:uiPriority w:val="0"/>
    <w:pPr>
      <w:tabs>
        <w:tab w:val="left" w:pos="2520"/>
        <w:tab w:val="left" w:pos="3566"/>
      </w:tabs>
      <w:ind w:left="3260" w:hanging="1134"/>
      <w:outlineLvl w:val="5"/>
    </w:pPr>
  </w:style>
  <w:style w:type="paragraph" w:customStyle="1" w:styleId="162">
    <w:name w:val="五级条标题"/>
    <w:basedOn w:val="161"/>
    <w:next w:val="1"/>
    <w:qFormat/>
    <w:uiPriority w:val="0"/>
    <w:pPr>
      <w:tabs>
        <w:tab w:val="left" w:pos="2940"/>
        <w:tab w:val="left" w:pos="3991"/>
      </w:tabs>
      <w:ind w:left="3827" w:hanging="1276"/>
      <w:outlineLvl w:val="6"/>
    </w:pPr>
  </w:style>
  <w:style w:type="paragraph" w:customStyle="1" w:styleId="163">
    <w:name w:val="Char Char Char Char Char Char Char Char1 Char"/>
    <w:basedOn w:val="1"/>
    <w:qFormat/>
    <w:uiPriority w:val="0"/>
    <w:rPr>
      <w:rFonts w:ascii="Tahoma" w:hAnsi="Tahoma" w:cs="宋体"/>
      <w:kern w:val="0"/>
      <w:sz w:val="24"/>
      <w:szCs w:val="20"/>
    </w:rPr>
  </w:style>
  <w:style w:type="paragraph" w:customStyle="1" w:styleId="164">
    <w:name w:val="默认段落字体 Para Char"/>
    <w:basedOn w:val="1"/>
    <w:qFormat/>
    <w:uiPriority w:val="0"/>
    <w:rPr>
      <w:rFonts w:ascii="Times New Roman" w:hAnsi="Times New Roman"/>
      <w:sz w:val="30"/>
      <w:szCs w:val="24"/>
    </w:rPr>
  </w:style>
  <w:style w:type="paragraph" w:customStyle="1" w:styleId="165">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16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character" w:customStyle="1" w:styleId="167">
    <w:name w:val="正文文本 2 Char1"/>
    <w:qFormat/>
    <w:uiPriority w:val="99"/>
    <w:rPr>
      <w:rFonts w:ascii="宋体" w:hAnsi="宋体" w:eastAsia="宋体" w:cs="Times New Roman"/>
      <w:szCs w:val="24"/>
      <w:u w:val="single"/>
    </w:rPr>
  </w:style>
  <w:style w:type="character" w:customStyle="1" w:styleId="168">
    <w:name w:val="Char Char4"/>
    <w:qFormat/>
    <w:uiPriority w:val="0"/>
    <w:rPr>
      <w:rFonts w:ascii="宋体" w:hAnsi="宋体" w:eastAsia="宋体" w:cs="Times New Roman"/>
      <w:kern w:val="2"/>
      <w:sz w:val="24"/>
      <w:szCs w:val="24"/>
      <w:u w:val="single"/>
      <w:lang w:val="en-US" w:eastAsia="zh-CN" w:bidi="ar-SA"/>
    </w:rPr>
  </w:style>
  <w:style w:type="paragraph" w:customStyle="1" w:styleId="169">
    <w:name w:val="目录"/>
    <w:basedOn w:val="1"/>
    <w:qFormat/>
    <w:uiPriority w:val="0"/>
    <w:pPr>
      <w:widowControl/>
      <w:jc w:val="center"/>
    </w:pPr>
    <w:rPr>
      <w:rFonts w:hint="eastAsia" w:ascii="宋体" w:hAnsi="Times New Roman"/>
      <w:b/>
      <w:kern w:val="0"/>
      <w:sz w:val="36"/>
      <w:szCs w:val="20"/>
    </w:rPr>
  </w:style>
  <w:style w:type="paragraph" w:customStyle="1" w:styleId="17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1">
    <w:name w:val="保留正文"/>
    <w:basedOn w:val="3"/>
    <w:qFormat/>
    <w:uiPriority w:val="0"/>
    <w:pPr>
      <w:keepNext/>
      <w:spacing w:after="160"/>
    </w:pPr>
    <w:rPr>
      <w:szCs w:val="24"/>
    </w:rPr>
  </w:style>
  <w:style w:type="paragraph" w:customStyle="1" w:styleId="172">
    <w:name w:val="普通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3">
    <w:name w:val="目录文字"/>
    <w:basedOn w:val="1"/>
    <w:qFormat/>
    <w:uiPriority w:val="0"/>
    <w:pPr>
      <w:widowControl/>
      <w:spacing w:line="480" w:lineRule="auto"/>
      <w:jc w:val="left"/>
    </w:pPr>
    <w:rPr>
      <w:rFonts w:ascii="宋体" w:hAnsi="宋体"/>
      <w:kern w:val="0"/>
      <w:sz w:val="24"/>
      <w:szCs w:val="20"/>
    </w:rPr>
  </w:style>
  <w:style w:type="paragraph" w:customStyle="1" w:styleId="17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75">
    <w:name w:val="Para head"/>
    <w:qFormat/>
    <w:uiPriority w:val="0"/>
    <w:rPr>
      <w:rFonts w:ascii="Arial" w:hAnsi="Arial" w:eastAsia="Times New Roman"/>
      <w:kern w:val="2"/>
      <w:sz w:val="20"/>
      <w:szCs w:val="24"/>
      <w:lang w:val="en-US" w:eastAsia="zh-CN" w:bidi="ar-SA"/>
    </w:rPr>
  </w:style>
  <w:style w:type="paragraph" w:customStyle="1" w:styleId="176">
    <w:name w:val="菲页2"/>
    <w:basedOn w:val="8"/>
    <w:qFormat/>
    <w:uiPriority w:val="0"/>
    <w:pPr>
      <w:keepNext/>
      <w:keepLines/>
      <w:tabs>
        <w:tab w:val="left" w:pos="840"/>
        <w:tab w:val="left" w:pos="1053"/>
      </w:tabs>
      <w:spacing w:before="0" w:beforeAutospacing="0" w:after="0" w:afterAutospacing="0"/>
      <w:ind w:left="1053" w:hanging="528"/>
      <w:jc w:val="center"/>
    </w:pPr>
    <w:rPr>
      <w:rFonts w:ascii="黑体" w:eastAsia="黑体" w:cs="Times New Roman"/>
      <w:sz w:val="44"/>
      <w:szCs w:val="20"/>
    </w:rPr>
  </w:style>
  <w:style w:type="paragraph" w:customStyle="1" w:styleId="177">
    <w:name w:val="菲页1"/>
    <w:basedOn w:val="6"/>
    <w:qFormat/>
    <w:uiPriority w:val="0"/>
    <w:pPr>
      <w:widowControl/>
      <w:spacing w:before="260" w:after="260" w:line="416" w:lineRule="auto"/>
      <w:ind w:hanging="454"/>
    </w:pPr>
    <w:rPr>
      <w:rFonts w:ascii="黑体" w:hAnsi="宋体" w:eastAsia="黑体"/>
      <w:b w:val="0"/>
      <w:color w:val="auto"/>
      <w:kern w:val="0"/>
      <w:sz w:val="52"/>
      <w:szCs w:val="20"/>
    </w:rPr>
  </w:style>
  <w:style w:type="paragraph" w:customStyle="1" w:styleId="178">
    <w:name w:val="样式1"/>
    <w:basedOn w:val="1"/>
    <w:qFormat/>
    <w:uiPriority w:val="0"/>
    <w:pPr>
      <w:spacing w:before="120" w:after="120" w:line="300" w:lineRule="auto"/>
    </w:pPr>
    <w:rPr>
      <w:rFonts w:ascii="宋体" w:hAnsi="宋体"/>
      <w:b/>
      <w:sz w:val="24"/>
      <w:szCs w:val="20"/>
    </w:rPr>
  </w:style>
  <w:style w:type="paragraph" w:customStyle="1" w:styleId="179">
    <w:name w:val="菲页(卷)"/>
    <w:basedOn w:val="4"/>
    <w:next w:val="174"/>
    <w:qFormat/>
    <w:uiPriority w:val="0"/>
    <w:pPr>
      <w:keepLines w:val="0"/>
      <w:widowControl/>
      <w:tabs>
        <w:tab w:val="left" w:pos="1053"/>
      </w:tabs>
      <w:spacing w:before="0" w:after="0" w:line="240" w:lineRule="auto"/>
      <w:ind w:left="1053" w:hanging="528"/>
      <w:outlineLvl w:val="1"/>
    </w:pPr>
    <w:rPr>
      <w:rFonts w:ascii="黑体" w:hAnsi="Times New Roman" w:eastAsia="黑体"/>
      <w:b w:val="0"/>
      <w:kern w:val="0"/>
      <w:sz w:val="52"/>
      <w:szCs w:val="20"/>
    </w:rPr>
  </w:style>
  <w:style w:type="paragraph" w:customStyle="1" w:styleId="18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181">
    <w:name w:val="标题 Char1"/>
    <w:qFormat/>
    <w:uiPriority w:val="0"/>
    <w:rPr>
      <w:rFonts w:ascii="Arial" w:hAnsi="Arial" w:eastAsia="宋体"/>
      <w:b/>
      <w:kern w:val="2"/>
      <w:sz w:val="44"/>
      <w:szCs w:val="24"/>
      <w:lang w:val="en-US" w:eastAsia="zh-CN" w:bidi="ar-SA"/>
    </w:rPr>
  </w:style>
  <w:style w:type="character" w:customStyle="1" w:styleId="182">
    <w:name w:val="标题 1 Char1"/>
    <w:qFormat/>
    <w:uiPriority w:val="0"/>
    <w:rPr>
      <w:rFonts w:ascii="Arial" w:hAnsi="Arial" w:eastAsia="宋体"/>
      <w:b/>
      <w:bCs/>
      <w:kern w:val="44"/>
      <w:sz w:val="36"/>
      <w:szCs w:val="24"/>
      <w:lang w:val="en-US" w:eastAsia="zh-CN" w:bidi="ar-SA"/>
    </w:rPr>
  </w:style>
  <w:style w:type="paragraph" w:customStyle="1" w:styleId="183">
    <w:name w:val="cjk"/>
    <w:basedOn w:val="1"/>
    <w:qFormat/>
    <w:uiPriority w:val="0"/>
    <w:pPr>
      <w:widowControl/>
      <w:spacing w:before="284" w:after="100" w:afterAutospacing="1" w:line="360" w:lineRule="auto"/>
      <w:jc w:val="left"/>
    </w:pPr>
    <w:rPr>
      <w:rFonts w:ascii="宋体" w:hAnsi="宋体" w:cs="宋体"/>
      <w:kern w:val="0"/>
      <w:sz w:val="22"/>
    </w:rPr>
  </w:style>
  <w:style w:type="paragraph" w:customStyle="1" w:styleId="184">
    <w:name w:val="cjk1"/>
    <w:basedOn w:val="1"/>
    <w:qFormat/>
    <w:uiPriority w:val="0"/>
    <w:pPr>
      <w:widowControl/>
      <w:spacing w:before="284" w:line="360" w:lineRule="auto"/>
      <w:jc w:val="left"/>
    </w:pPr>
    <w:rPr>
      <w:rFonts w:ascii="宋体" w:hAnsi="宋体" w:cs="宋体"/>
      <w:kern w:val="0"/>
      <w:sz w:val="22"/>
    </w:rPr>
  </w:style>
  <w:style w:type="paragraph" w:customStyle="1" w:styleId="185">
    <w:name w:val="cjk2"/>
    <w:basedOn w:val="1"/>
    <w:qFormat/>
    <w:uiPriority w:val="0"/>
    <w:pPr>
      <w:widowControl/>
      <w:spacing w:before="284" w:line="360" w:lineRule="auto"/>
      <w:jc w:val="left"/>
    </w:pPr>
    <w:rPr>
      <w:rFonts w:ascii="宋体" w:hAnsi="宋体" w:cs="宋体"/>
      <w:kern w:val="0"/>
      <w:sz w:val="22"/>
    </w:rPr>
  </w:style>
  <w:style w:type="paragraph" w:customStyle="1" w:styleId="186">
    <w:name w:val="普通(Web)1"/>
    <w:basedOn w:val="1"/>
    <w:qFormat/>
    <w:uiPriority w:val="0"/>
    <w:pPr>
      <w:widowControl/>
      <w:spacing w:before="284" w:line="360" w:lineRule="auto"/>
      <w:jc w:val="left"/>
    </w:pPr>
    <w:rPr>
      <w:rFonts w:ascii="宋体" w:hAnsi="宋体" w:cs="宋体"/>
      <w:kern w:val="0"/>
      <w:sz w:val="24"/>
      <w:szCs w:val="24"/>
    </w:rPr>
  </w:style>
  <w:style w:type="paragraph" w:customStyle="1" w:styleId="187">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88">
    <w:name w:val="1"/>
    <w:basedOn w:val="1"/>
    <w:next w:val="7"/>
    <w:qFormat/>
    <w:uiPriority w:val="0"/>
    <w:pPr>
      <w:numPr>
        <w:ilvl w:val="1"/>
        <w:numId w:val="4"/>
      </w:numPr>
      <w:tabs>
        <w:tab w:val="clear" w:pos="992"/>
      </w:tabs>
      <w:ind w:left="0" w:firstLine="420"/>
    </w:pPr>
    <w:rPr>
      <w:rFonts w:ascii="Times New Roman" w:hAnsi="Times New Roman"/>
      <w:szCs w:val="20"/>
    </w:rPr>
  </w:style>
  <w:style w:type="paragraph" w:customStyle="1" w:styleId="189">
    <w:name w:val="font5"/>
    <w:basedOn w:val="1"/>
    <w:qFormat/>
    <w:uiPriority w:val="0"/>
    <w:pPr>
      <w:widowControl/>
      <w:spacing w:before="100" w:beforeAutospacing="1" w:after="100" w:afterAutospacing="1"/>
      <w:jc w:val="left"/>
    </w:pPr>
    <w:rPr>
      <w:rFonts w:hint="eastAsia" w:ascii="宋体" w:hAnsi="宋体" w:cs="Arial Unicode MS"/>
      <w:kern w:val="0"/>
      <w:sz w:val="18"/>
      <w:szCs w:val="18"/>
      <w:lang w:eastAsia="en-US"/>
    </w:rPr>
  </w:style>
  <w:style w:type="paragraph" w:customStyle="1" w:styleId="190">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16"/>
      <w:szCs w:val="16"/>
      <w:lang w:eastAsia="en-US"/>
    </w:rPr>
  </w:style>
  <w:style w:type="paragraph" w:customStyle="1" w:styleId="19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Times New Roman" w:hAnsi="Times New Roman" w:eastAsia="Arial Unicode MS"/>
      <w:kern w:val="0"/>
      <w:szCs w:val="21"/>
      <w:lang w:eastAsia="en-US"/>
    </w:rPr>
  </w:style>
  <w:style w:type="paragraph" w:customStyle="1" w:styleId="192">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Arial Unicode MS"/>
      <w:kern w:val="0"/>
      <w:szCs w:val="21"/>
      <w:lang w:eastAsia="en-US"/>
    </w:rPr>
  </w:style>
  <w:style w:type="paragraph" w:customStyle="1" w:styleId="193">
    <w:name w:val="xl3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194">
    <w:name w:val="xl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195">
    <w:name w:val="xl32"/>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196">
    <w:name w:val="xl3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197">
    <w:name w:val="xl34"/>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198">
    <w:name w:val="xl3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199">
    <w:name w:val="xl3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200">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201">
    <w:name w:val="xl39"/>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02">
    <w:name w:val="xl4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03">
    <w:name w:val="xl4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4">
    <w:name w:val="xl42"/>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5">
    <w:name w:val="xl4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06">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07">
    <w:name w:val="font7"/>
    <w:basedOn w:val="1"/>
    <w:qFormat/>
    <w:uiPriority w:val="0"/>
    <w:pPr>
      <w:widowControl/>
      <w:spacing w:before="100" w:beforeAutospacing="1" w:after="100" w:afterAutospacing="1"/>
      <w:jc w:val="left"/>
    </w:pPr>
    <w:rPr>
      <w:rFonts w:hint="eastAsia" w:ascii="宋体" w:hAnsi="宋体" w:cs="Arial Unicode MS"/>
      <w:kern w:val="0"/>
      <w:sz w:val="22"/>
      <w:lang w:eastAsia="en-US"/>
    </w:rPr>
  </w:style>
  <w:style w:type="paragraph" w:customStyle="1" w:styleId="208">
    <w:name w:val="font8"/>
    <w:basedOn w:val="1"/>
    <w:qFormat/>
    <w:uiPriority w:val="0"/>
    <w:pPr>
      <w:widowControl/>
      <w:spacing w:before="100" w:beforeAutospacing="1" w:after="100" w:afterAutospacing="1"/>
      <w:jc w:val="left"/>
    </w:pPr>
    <w:rPr>
      <w:rFonts w:ascii="Times New Roman" w:hAnsi="Times New Roman" w:eastAsia="Arial Unicode MS"/>
      <w:kern w:val="0"/>
      <w:sz w:val="22"/>
      <w:lang w:eastAsia="en-US"/>
    </w:rPr>
  </w:style>
  <w:style w:type="paragraph" w:customStyle="1" w:styleId="209">
    <w:name w:val="font9"/>
    <w:basedOn w:val="1"/>
    <w:qFormat/>
    <w:uiPriority w:val="0"/>
    <w:pPr>
      <w:widowControl/>
      <w:spacing w:before="100" w:beforeAutospacing="1" w:after="100" w:afterAutospacing="1"/>
      <w:jc w:val="left"/>
    </w:pPr>
    <w:rPr>
      <w:rFonts w:ascii="Times New Roman" w:hAnsi="Times New Roman" w:eastAsia="Arial Unicode MS"/>
      <w:kern w:val="0"/>
      <w:sz w:val="18"/>
      <w:szCs w:val="18"/>
      <w:lang w:eastAsia="en-US"/>
    </w:rPr>
  </w:style>
  <w:style w:type="paragraph" w:customStyle="1" w:styleId="210">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lang w:eastAsia="en-US"/>
    </w:rPr>
  </w:style>
  <w:style w:type="paragraph" w:customStyle="1" w:styleId="21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2"/>
      <w:lang w:eastAsia="en-US"/>
    </w:rPr>
  </w:style>
  <w:style w:type="paragraph" w:customStyle="1" w:styleId="21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Cs w:val="21"/>
      <w:lang w:eastAsia="en-US"/>
    </w:rPr>
  </w:style>
  <w:style w:type="paragraph" w:customStyle="1" w:styleId="213">
    <w:name w:val="xl4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szCs w:val="24"/>
      <w:lang w:eastAsia="en-US"/>
    </w:rPr>
  </w:style>
  <w:style w:type="paragraph" w:customStyle="1" w:styleId="214">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lang w:eastAsia="en-US"/>
    </w:rPr>
  </w:style>
  <w:style w:type="paragraph" w:customStyle="1" w:styleId="21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1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1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19">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22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2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222">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3">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24">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u w:val="single"/>
      <w:lang w:eastAsia="en-US"/>
    </w:rPr>
  </w:style>
  <w:style w:type="paragraph" w:customStyle="1" w:styleId="225">
    <w:name w:val="样式 标题 5 + 小四 行距: 1.5 倍行距"/>
    <w:basedOn w:val="10"/>
    <w:qFormat/>
    <w:uiPriority w:val="0"/>
    <w:pPr>
      <w:keepNext w:val="0"/>
      <w:keepLines w:val="0"/>
      <w:widowControl/>
      <w:numPr>
        <w:ilvl w:val="0"/>
        <w:numId w:val="0"/>
      </w:numPr>
      <w:tabs>
        <w:tab w:val="left" w:pos="840"/>
      </w:tabs>
      <w:adjustRightInd w:val="0"/>
      <w:spacing w:before="120" w:beforeLines="0" w:after="120" w:afterLines="0" w:line="360" w:lineRule="auto"/>
      <w:textAlignment w:val="baseline"/>
    </w:pPr>
    <w:rPr>
      <w:rFonts w:ascii="Times New Roman" w:hAnsi="Times New Roman" w:eastAsia="黑体"/>
      <w:bCs/>
      <w:color w:val="auto"/>
      <w:kern w:val="0"/>
      <w:sz w:val="28"/>
      <w:szCs w:val="28"/>
      <w:lang w:val="zh-CN"/>
    </w:rPr>
  </w:style>
  <w:style w:type="paragraph" w:customStyle="1" w:styleId="226">
    <w:name w:val="样式 标题 6 + 行距: 1.5 倍行距"/>
    <w:basedOn w:val="11"/>
    <w:qFormat/>
    <w:uiPriority w:val="0"/>
    <w:pPr>
      <w:numPr>
        <w:ilvl w:val="0"/>
        <w:numId w:val="0"/>
      </w:numPr>
      <w:tabs>
        <w:tab w:val="left" w:pos="-147"/>
      </w:tabs>
      <w:adjustRightInd w:val="0"/>
      <w:spacing w:before="0" w:after="0" w:line="360" w:lineRule="auto"/>
      <w:ind w:left="-147" w:firstLine="567"/>
      <w:jc w:val="left"/>
      <w:textAlignment w:val="baseline"/>
    </w:pPr>
    <w:rPr>
      <w:rFonts w:ascii="Times New Roman" w:hAnsi="Times New Roman"/>
      <w:b w:val="0"/>
      <w:kern w:val="0"/>
      <w:szCs w:val="28"/>
    </w:rPr>
  </w:style>
  <w:style w:type="paragraph" w:customStyle="1" w:styleId="227">
    <w:name w:val="正方框图"/>
    <w:basedOn w:val="1"/>
    <w:qFormat/>
    <w:uiPriority w:val="0"/>
    <w:pPr>
      <w:snapToGrid w:val="0"/>
      <w:jc w:val="center"/>
    </w:pPr>
    <w:rPr>
      <w:rFonts w:ascii="Times New Roman" w:hAnsi="Times New Roman"/>
      <w:sz w:val="24"/>
      <w:szCs w:val="20"/>
    </w:rPr>
  </w:style>
  <w:style w:type="paragraph" w:customStyle="1" w:styleId="228">
    <w:name w:val="样式2"/>
    <w:basedOn w:val="6"/>
    <w:qFormat/>
    <w:uiPriority w:val="0"/>
    <w:pPr>
      <w:keepNext w:val="0"/>
      <w:keepLines w:val="0"/>
      <w:widowControl/>
      <w:spacing w:before="260" w:after="260" w:afterAutospacing="1" w:line="416" w:lineRule="auto"/>
      <w:ind w:right="-512" w:rightChars="-244" w:hanging="454"/>
    </w:pPr>
    <w:rPr>
      <w:rFonts w:ascii="宋体" w:hAnsi="宋体" w:eastAsia="华文中宋"/>
      <w:snapToGrid w:val="0"/>
      <w:color w:val="auto"/>
      <w:kern w:val="0"/>
      <w:sz w:val="36"/>
      <w:szCs w:val="36"/>
    </w:rPr>
  </w:style>
  <w:style w:type="character" w:customStyle="1" w:styleId="229">
    <w:name w:val="Char Char Char"/>
    <w:qFormat/>
    <w:uiPriority w:val="0"/>
    <w:rPr>
      <w:rFonts w:ascii="Arial" w:hAnsi="Arial" w:eastAsia="黑体"/>
      <w:b/>
      <w:bCs/>
      <w:kern w:val="2"/>
      <w:sz w:val="32"/>
      <w:szCs w:val="32"/>
      <w:lang w:val="en-US" w:eastAsia="zh-CN" w:bidi="ar-SA"/>
    </w:rPr>
  </w:style>
  <w:style w:type="paragraph" w:customStyle="1" w:styleId="230">
    <w:name w:val="样式 标题 1合同标题章标题 1 Char Char标题 1 Char第1章第1章 Char卷标题标题 1 1..."/>
    <w:basedOn w:val="4"/>
    <w:qFormat/>
    <w:uiPriority w:val="0"/>
    <w:pPr>
      <w:keepNext w:val="0"/>
      <w:keepLines w:val="0"/>
      <w:widowControl/>
      <w:tabs>
        <w:tab w:val="left" w:pos="0"/>
      </w:tabs>
      <w:spacing w:before="284" w:after="0"/>
    </w:pPr>
    <w:rPr>
      <w:rFonts w:ascii="宋体" w:hAnsi="宋体" w:cs="宋体"/>
      <w:bCs/>
      <w:color w:val="000000"/>
      <w:kern w:val="36"/>
      <w:sz w:val="44"/>
      <w:szCs w:val="48"/>
    </w:rPr>
  </w:style>
  <w:style w:type="paragraph" w:customStyle="1" w:styleId="231">
    <w:name w:val="样式 标题 1合同标题章标题 1 Char Char标题 1 Char第1章第1章 Char卷标题标题 1 1...1"/>
    <w:basedOn w:val="4"/>
    <w:qFormat/>
    <w:uiPriority w:val="0"/>
    <w:pPr>
      <w:keepNext w:val="0"/>
      <w:keepLines w:val="0"/>
      <w:widowControl/>
      <w:numPr>
        <w:ilvl w:val="0"/>
        <w:numId w:val="5"/>
      </w:numPr>
      <w:tabs>
        <w:tab w:val="left" w:pos="360"/>
        <w:tab w:val="clear" w:pos="0"/>
      </w:tabs>
      <w:spacing w:before="284" w:after="0"/>
    </w:pPr>
    <w:rPr>
      <w:rFonts w:ascii="宋体" w:hAnsi="宋体" w:cs="宋体"/>
      <w:bCs/>
      <w:color w:val="000000"/>
      <w:kern w:val="36"/>
      <w:szCs w:val="48"/>
    </w:rPr>
  </w:style>
  <w:style w:type="character" w:customStyle="1" w:styleId="232">
    <w:name w:val="样式 标题 1合同标题章标题 1 Char Char标题 1 Char第1章第1章 Char卷标题标题 1 1...1 Char"/>
    <w:qFormat/>
    <w:uiPriority w:val="0"/>
    <w:rPr>
      <w:rFonts w:ascii="宋体" w:hAnsi="宋体" w:eastAsia="宋体" w:cs="宋体"/>
      <w:b/>
      <w:bCs/>
      <w:kern w:val="36"/>
      <w:sz w:val="28"/>
      <w:szCs w:val="48"/>
      <w:lang w:val="en-US" w:eastAsia="zh-CN" w:bidi="ar-SA"/>
    </w:rPr>
  </w:style>
  <w:style w:type="paragraph" w:customStyle="1" w:styleId="233">
    <w:name w:val="首行缩进:  2 字符"/>
    <w:basedOn w:val="1"/>
    <w:qFormat/>
    <w:uiPriority w:val="0"/>
    <w:pPr>
      <w:spacing w:line="360" w:lineRule="auto"/>
      <w:ind w:firstLine="480" w:firstLineChars="200"/>
    </w:pPr>
    <w:rPr>
      <w:rFonts w:ascii="Times New Roman" w:hAnsi="Times New Roman" w:cs="宋体"/>
      <w:sz w:val="24"/>
      <w:szCs w:val="20"/>
    </w:rPr>
  </w:style>
  <w:style w:type="character" w:customStyle="1" w:styleId="234">
    <w:name w:val="首行缩进:  2 字符 Char Char"/>
    <w:qFormat/>
    <w:uiPriority w:val="0"/>
    <w:rPr>
      <w:rFonts w:eastAsia="宋体" w:cs="宋体"/>
      <w:b/>
      <w:kern w:val="2"/>
      <w:sz w:val="24"/>
      <w:szCs w:val="24"/>
      <w:lang w:val="en-US" w:eastAsia="zh-CN" w:bidi="ar-SA"/>
    </w:rPr>
  </w:style>
  <w:style w:type="paragraph" w:customStyle="1" w:styleId="235">
    <w:name w:val="样式 居中"/>
    <w:basedOn w:val="1"/>
    <w:qFormat/>
    <w:uiPriority w:val="0"/>
    <w:pPr>
      <w:spacing w:line="360" w:lineRule="auto"/>
      <w:jc w:val="center"/>
    </w:pPr>
    <w:rPr>
      <w:rFonts w:ascii="Times New Roman" w:hAnsi="Times New Roman"/>
      <w:sz w:val="24"/>
      <w:szCs w:val="24"/>
    </w:rPr>
  </w:style>
  <w:style w:type="paragraph" w:customStyle="1" w:styleId="236">
    <w:name w:val="图表文字"/>
    <w:basedOn w:val="1"/>
    <w:semiHidden/>
    <w:qFormat/>
    <w:uiPriority w:val="0"/>
    <w:pPr>
      <w:widowControl/>
      <w:adjustRightInd w:val="0"/>
      <w:spacing w:before="120" w:after="120"/>
      <w:jc w:val="center"/>
    </w:pPr>
    <w:rPr>
      <w:rFonts w:ascii="黑体" w:hAnsi="Times New Roman" w:eastAsia="黑体"/>
      <w:kern w:val="0"/>
      <w:sz w:val="28"/>
      <w:szCs w:val="20"/>
    </w:rPr>
  </w:style>
  <w:style w:type="paragraph" w:customStyle="1" w:styleId="237">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kern w:val="0"/>
      <w:sz w:val="24"/>
      <w:szCs w:val="20"/>
    </w:rPr>
  </w:style>
  <w:style w:type="paragraph" w:customStyle="1" w:styleId="238">
    <w:name w:val="Char Char Char1 Char Char"/>
    <w:basedOn w:val="1"/>
    <w:qFormat/>
    <w:uiPriority w:val="0"/>
    <w:rPr>
      <w:rFonts w:ascii="Times New Roman" w:hAnsi="Times New Roman"/>
      <w:szCs w:val="24"/>
    </w:rPr>
  </w:style>
  <w:style w:type="paragraph" w:customStyle="1" w:styleId="239">
    <w:name w:val="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0">
    <w:name w:val="表文字"/>
    <w:qFormat/>
    <w:uiPriority w:val="0"/>
    <w:rPr>
      <w:rFonts w:ascii="宋体" w:hAnsi="Times New Roman" w:eastAsia="宋体" w:cs="Times New Roman"/>
      <w:kern w:val="2"/>
      <w:lang w:val="en-US" w:eastAsia="zh-CN" w:bidi="ar-SA"/>
    </w:rPr>
  </w:style>
  <w:style w:type="character" w:customStyle="1" w:styleId="241">
    <w:name w:val="纯文本 Char1"/>
    <w:qFormat/>
    <w:uiPriority w:val="0"/>
    <w:rPr>
      <w:rFonts w:ascii="宋体" w:hAnsi="Courier New" w:eastAsia="宋体" w:cs="Times New Roman"/>
      <w:szCs w:val="24"/>
    </w:rPr>
  </w:style>
  <w:style w:type="character" w:customStyle="1" w:styleId="242">
    <w:name w:val="合同标题 Char1"/>
    <w:qFormat/>
    <w:uiPriority w:val="0"/>
    <w:rPr>
      <w:rFonts w:ascii="宋体" w:hAnsi="Arial" w:eastAsia="宋体"/>
      <w:b/>
      <w:bCs/>
      <w:snapToGrid w:val="0"/>
      <w:kern w:val="2"/>
      <w:sz w:val="36"/>
      <w:szCs w:val="36"/>
      <w:lang w:val="en-US" w:eastAsia="zh-CN" w:bidi="ar-SA"/>
    </w:rPr>
  </w:style>
  <w:style w:type="character" w:customStyle="1" w:styleId="243">
    <w:name w:val="FtrF Char Char"/>
    <w:qFormat/>
    <w:uiPriority w:val="0"/>
    <w:rPr>
      <w:rFonts w:eastAsia="宋体"/>
      <w:kern w:val="2"/>
      <w:sz w:val="18"/>
      <w:szCs w:val="24"/>
      <w:lang w:val="en-US" w:eastAsia="zh-CN" w:bidi="ar-SA"/>
    </w:rPr>
  </w:style>
  <w:style w:type="paragraph" w:customStyle="1" w:styleId="244">
    <w:name w:val="news"/>
    <w:basedOn w:val="1"/>
    <w:qFormat/>
    <w:uiPriority w:val="0"/>
    <w:pPr>
      <w:widowControl/>
      <w:spacing w:before="100" w:beforeAutospacing="1" w:after="100" w:afterAutospacing="1" w:line="360" w:lineRule="auto"/>
      <w:jc w:val="left"/>
    </w:pPr>
    <w:rPr>
      <w:rFonts w:ascii="ˎ̥" w:hAnsi="ˎ̥" w:cs="宋体"/>
      <w:kern w:val="0"/>
      <w:sz w:val="18"/>
      <w:szCs w:val="18"/>
    </w:rPr>
  </w:style>
  <w:style w:type="paragraph" w:customStyle="1" w:styleId="245">
    <w:name w:val="di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6">
    <w:name w:val="Char Char2"/>
    <w:basedOn w:val="1"/>
    <w:qFormat/>
    <w:uiPriority w:val="0"/>
    <w:pPr>
      <w:adjustRightInd w:val="0"/>
      <w:spacing w:line="360" w:lineRule="atLeast"/>
    </w:pPr>
    <w:rPr>
      <w:rFonts w:ascii="Times New Roman" w:hAnsi="Times New Roman"/>
      <w:szCs w:val="24"/>
    </w:rPr>
  </w:style>
  <w:style w:type="paragraph" w:customStyle="1" w:styleId="247">
    <w:name w:val="需求书2"/>
    <w:basedOn w:val="1"/>
    <w:qFormat/>
    <w:uiPriority w:val="0"/>
    <w:pPr>
      <w:numPr>
        <w:ilvl w:val="0"/>
        <w:numId w:val="6"/>
      </w:numPr>
      <w:spacing w:line="360" w:lineRule="auto"/>
    </w:pPr>
    <w:rPr>
      <w:rFonts w:ascii="黑体" w:hAnsi="宋体" w:eastAsia="黑体"/>
      <w:b/>
      <w:bCs/>
      <w:sz w:val="24"/>
      <w:szCs w:val="24"/>
    </w:rPr>
  </w:style>
  <w:style w:type="paragraph" w:customStyle="1" w:styleId="248">
    <w:name w:val="Char Char Char Char Char Char"/>
    <w:basedOn w:val="20"/>
    <w:qFormat/>
    <w:uiPriority w:val="0"/>
    <w:pPr>
      <w:adjustRightInd w:val="0"/>
      <w:spacing w:line="436" w:lineRule="exact"/>
      <w:ind w:left="357"/>
      <w:jc w:val="left"/>
      <w:outlineLvl w:val="3"/>
    </w:pPr>
    <w:rPr>
      <w:rFonts w:ascii="Tahoma" w:hAnsi="Tahoma"/>
      <w:b/>
      <w:sz w:val="24"/>
      <w:szCs w:val="24"/>
    </w:rPr>
  </w:style>
  <w:style w:type="character" w:customStyle="1" w:styleId="249">
    <w:name w:val="标题一 宋体 小二 红色 升高量  0.5 磅"/>
    <w:qFormat/>
    <w:uiPriority w:val="0"/>
    <w:rPr>
      <w:rFonts w:ascii="宋体" w:hAnsi="宋体" w:eastAsia="宋体"/>
      <w:color w:val="FF0000"/>
      <w:kern w:val="0"/>
      <w:position w:val="1"/>
      <w:sz w:val="36"/>
      <w:szCs w:val="24"/>
      <w:lang w:val="en-US" w:eastAsia="zh-CN" w:bidi="ar-SA"/>
    </w:rPr>
  </w:style>
  <w:style w:type="character" w:customStyle="1" w:styleId="250">
    <w:name w:val="样式 一 黑体 (中文) 黑体 (符号) 宋体 小二 升高量  0.5 磅"/>
    <w:qFormat/>
    <w:uiPriority w:val="0"/>
    <w:rPr>
      <w:rFonts w:ascii="黑体" w:hAnsi="黑体" w:eastAsia="黑体"/>
      <w:kern w:val="0"/>
      <w:position w:val="1"/>
      <w:sz w:val="36"/>
      <w:szCs w:val="24"/>
      <w:lang w:val="en-US" w:eastAsia="zh-CN" w:bidi="ar-SA"/>
    </w:rPr>
  </w:style>
  <w:style w:type="paragraph" w:customStyle="1" w:styleId="251">
    <w:name w:val="标题二 黑体 (中文) 黑体 (符号) 宋体 小四 左 左侧:  0.18 厘米 右侧:  -0.04 厘米"/>
    <w:basedOn w:val="1"/>
    <w:qFormat/>
    <w:uiPriority w:val="0"/>
    <w:pPr>
      <w:ind w:left="101" w:right="-20"/>
      <w:jc w:val="left"/>
    </w:pPr>
    <w:rPr>
      <w:rFonts w:ascii="黑体" w:hAnsi="宋体" w:eastAsia="黑体" w:cs="宋体"/>
      <w:kern w:val="0"/>
      <w:sz w:val="24"/>
      <w:szCs w:val="20"/>
    </w:rPr>
  </w:style>
  <w:style w:type="paragraph" w:customStyle="1" w:styleId="252">
    <w:name w:val="标题三 黑体 (中文) 黑体 (符号) 宋体 三号 居中 左侧:  7.34 厘米 右侧:  7.52 厘米"/>
    <w:basedOn w:val="1"/>
    <w:qFormat/>
    <w:uiPriority w:val="0"/>
    <w:pPr>
      <w:ind w:left="4160" w:right="4265"/>
      <w:jc w:val="center"/>
    </w:pPr>
    <w:rPr>
      <w:rFonts w:ascii="黑体" w:hAnsi="宋体" w:eastAsia="黑体" w:cs="宋体"/>
      <w:kern w:val="0"/>
      <w:sz w:val="32"/>
      <w:szCs w:val="20"/>
    </w:rPr>
  </w:style>
  <w:style w:type="character" w:customStyle="1" w:styleId="253">
    <w:name w:val="标题四 (西文) 黑体 (中文) 黑体 (符号) 宋体 小三 升高量  0.5 磅"/>
    <w:qFormat/>
    <w:uiPriority w:val="0"/>
    <w:rPr>
      <w:rFonts w:ascii="黑体" w:hAnsi="黑体" w:eastAsia="黑体"/>
      <w:kern w:val="0"/>
      <w:position w:val="1"/>
      <w:sz w:val="30"/>
      <w:szCs w:val="24"/>
      <w:lang w:val="en-US" w:eastAsia="zh-CN" w:bidi="ar-SA"/>
    </w:rPr>
  </w:style>
  <w:style w:type="paragraph" w:customStyle="1" w:styleId="254">
    <w:name w:val="样式100"/>
    <w:basedOn w:val="1"/>
    <w:link w:val="255"/>
    <w:qFormat/>
    <w:uiPriority w:val="0"/>
    <w:pPr>
      <w:tabs>
        <w:tab w:val="left" w:pos="800"/>
        <w:tab w:val="left" w:pos="5887"/>
        <w:tab w:val="left" w:pos="9880"/>
      </w:tabs>
      <w:autoSpaceDE w:val="0"/>
      <w:autoSpaceDN w:val="0"/>
      <w:adjustRightInd w:val="0"/>
      <w:spacing w:line="240" w:lineRule="atLeast"/>
      <w:ind w:left="142" w:right="-153"/>
      <w:jc w:val="left"/>
      <w:outlineLvl w:val="3"/>
    </w:pPr>
    <w:rPr>
      <w:rFonts w:ascii="宋体" w:hAnsi="宋体"/>
      <w:sz w:val="24"/>
      <w:szCs w:val="24"/>
    </w:rPr>
  </w:style>
  <w:style w:type="character" w:customStyle="1" w:styleId="255">
    <w:name w:val="样式100 Char"/>
    <w:link w:val="254"/>
    <w:qFormat/>
    <w:uiPriority w:val="0"/>
    <w:rPr>
      <w:rFonts w:ascii="宋体" w:hAnsi="宋体" w:eastAsia="宋体"/>
      <w:kern w:val="2"/>
      <w:sz w:val="24"/>
      <w:szCs w:val="24"/>
    </w:rPr>
  </w:style>
  <w:style w:type="paragraph" w:customStyle="1" w:styleId="256">
    <w:name w:val="正文21"/>
    <w:basedOn w:val="1"/>
    <w:qFormat/>
    <w:uiPriority w:val="0"/>
    <w:pPr>
      <w:ind w:firstLine="735"/>
    </w:pPr>
    <w:rPr>
      <w:rFonts w:ascii="Times New Roman" w:hAnsi="Times New Roman"/>
      <w:b/>
      <w:sz w:val="32"/>
      <w:szCs w:val="20"/>
    </w:rPr>
  </w:style>
  <w:style w:type="character" w:customStyle="1" w:styleId="257">
    <w:name w:val="正 文 1 Char Char"/>
    <w:qFormat/>
    <w:uiPriority w:val="0"/>
    <w:rPr>
      <w:rFonts w:ascii="宋体" w:hAnsi="Courier New" w:eastAsia="宋体"/>
      <w:kern w:val="2"/>
      <w:sz w:val="21"/>
      <w:szCs w:val="24"/>
      <w:lang w:val="en-US" w:eastAsia="zh-CN" w:bidi="ar-SA"/>
    </w:rPr>
  </w:style>
  <w:style w:type="character" w:customStyle="1" w:styleId="258">
    <w:name w:val="合同标题 Char2"/>
    <w:qFormat/>
    <w:uiPriority w:val="0"/>
    <w:rPr>
      <w:rFonts w:ascii="Arial" w:hAnsi="Arial" w:eastAsia="宋体"/>
      <w:b/>
      <w:bCs/>
      <w:kern w:val="44"/>
      <w:sz w:val="32"/>
      <w:szCs w:val="32"/>
      <w:lang w:val="en-US" w:eastAsia="zh-CN" w:bidi="ar-SA"/>
    </w:rPr>
  </w:style>
  <w:style w:type="character" w:customStyle="1" w:styleId="259">
    <w:name w:val="FtrF Char Char1"/>
    <w:qFormat/>
    <w:uiPriority w:val="0"/>
    <w:rPr>
      <w:rFonts w:eastAsia="宋体"/>
      <w:kern w:val="2"/>
      <w:sz w:val="18"/>
      <w:szCs w:val="24"/>
      <w:lang w:val="en-US" w:eastAsia="zh-CN" w:bidi="ar-SA"/>
    </w:rPr>
  </w:style>
  <w:style w:type="character" w:customStyle="1" w:styleId="260">
    <w:name w:val="正 文 1 Char"/>
    <w:qFormat/>
    <w:uiPriority w:val="0"/>
    <w:rPr>
      <w:rFonts w:ascii="宋体" w:hAnsi="Courier New" w:eastAsia="宋体"/>
      <w:kern w:val="2"/>
      <w:sz w:val="21"/>
      <w:szCs w:val="24"/>
      <w:lang w:val="en-US" w:eastAsia="zh-CN" w:bidi="ar-SA"/>
    </w:rPr>
  </w:style>
  <w:style w:type="character" w:customStyle="1" w:styleId="261">
    <w:name w:val="批注文字 Char1"/>
    <w:qFormat/>
    <w:uiPriority w:val="99"/>
    <w:rPr>
      <w:rFonts w:ascii="Times New Roman" w:hAnsi="Times New Roman" w:eastAsia="宋体" w:cs="Times New Roman"/>
      <w:szCs w:val="20"/>
    </w:rPr>
  </w:style>
  <w:style w:type="character" w:customStyle="1" w:styleId="262">
    <w:name w:val="正文首行缩进 Char1"/>
    <w:qFormat/>
    <w:uiPriority w:val="99"/>
    <w:rPr>
      <w:rFonts w:ascii="Times New Roman" w:hAnsi="Times New Roman" w:eastAsia="宋体" w:cs="Times New Roman"/>
      <w:szCs w:val="24"/>
    </w:rPr>
  </w:style>
  <w:style w:type="character" w:customStyle="1" w:styleId="263">
    <w:name w:val="正文文本缩进 Char1"/>
    <w:qFormat/>
    <w:uiPriority w:val="99"/>
    <w:rPr>
      <w:rFonts w:ascii="Times New Roman" w:hAnsi="Times New Roman" w:eastAsia="宋体" w:cs="Times New Roman"/>
      <w:sz w:val="28"/>
      <w:szCs w:val="24"/>
    </w:rPr>
  </w:style>
  <w:style w:type="character" w:customStyle="1" w:styleId="264">
    <w:name w:val="正文文本缩进 2 Char1"/>
    <w:qFormat/>
    <w:uiPriority w:val="99"/>
    <w:rPr>
      <w:rFonts w:ascii="Times New Roman" w:hAnsi="Times New Roman" w:eastAsia="宋体" w:cs="Times New Roman"/>
      <w:color w:val="000000"/>
      <w:sz w:val="24"/>
      <w:szCs w:val="24"/>
    </w:rPr>
  </w:style>
  <w:style w:type="paragraph" w:customStyle="1" w:styleId="265">
    <w:name w:val="列出段落1"/>
    <w:basedOn w:val="1"/>
    <w:qFormat/>
    <w:uiPriority w:val="34"/>
    <w:pPr>
      <w:ind w:firstLine="420" w:firstLineChars="200"/>
    </w:pPr>
    <w:rPr>
      <w:szCs w:val="24"/>
    </w:rPr>
  </w:style>
  <w:style w:type="character" w:customStyle="1" w:styleId="266">
    <w:name w:val="日期 Char1"/>
    <w:qFormat/>
    <w:locked/>
    <w:uiPriority w:val="99"/>
    <w:rPr>
      <w:rFonts w:ascii="Times New Roman" w:hAnsi="Times New Roman" w:eastAsia="宋体" w:cs="Times New Roman"/>
      <w:szCs w:val="24"/>
    </w:rPr>
  </w:style>
  <w:style w:type="character" w:customStyle="1" w:styleId="267">
    <w:name w:val="批注框文本 Char1"/>
    <w:qFormat/>
    <w:locked/>
    <w:uiPriority w:val="99"/>
    <w:rPr>
      <w:rFonts w:ascii="Times New Roman" w:hAnsi="Times New Roman" w:eastAsia="宋体" w:cs="Times New Roman"/>
      <w:sz w:val="18"/>
      <w:szCs w:val="18"/>
    </w:rPr>
  </w:style>
  <w:style w:type="character" w:customStyle="1" w:styleId="268">
    <w:name w:val="批注主题 Char1"/>
    <w:qFormat/>
    <w:locked/>
    <w:uiPriority w:val="99"/>
    <w:rPr>
      <w:rFonts w:ascii="Times New Roman" w:hAnsi="Times New Roman" w:eastAsia="宋体" w:cs="Times New Roman"/>
      <w:b/>
      <w:bCs/>
      <w:szCs w:val="20"/>
    </w:rPr>
  </w:style>
  <w:style w:type="paragraph" w:customStyle="1" w:styleId="269">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270">
    <w:name w:val="称呼 字符"/>
    <w:basedOn w:val="56"/>
    <w:link w:val="23"/>
    <w:qFormat/>
    <w:uiPriority w:val="0"/>
    <w:rPr>
      <w:rFonts w:ascii="Times New Roman" w:hAnsi="Times New Roman" w:eastAsia="宋体"/>
      <w:sz w:val="30"/>
    </w:rPr>
  </w:style>
  <w:style w:type="character" w:customStyle="1" w:styleId="271">
    <w:name w:val="称呼 Char"/>
    <w:basedOn w:val="56"/>
    <w:qFormat/>
    <w:uiPriority w:val="0"/>
    <w:rPr>
      <w:rFonts w:ascii="Calibri" w:hAnsi="Calibri" w:eastAsia="宋体"/>
      <w:kern w:val="2"/>
      <w:sz w:val="21"/>
      <w:szCs w:val="22"/>
    </w:rPr>
  </w:style>
  <w:style w:type="character" w:customStyle="1" w:styleId="272">
    <w:name w:val="签名 字符"/>
    <w:basedOn w:val="56"/>
    <w:link w:val="38"/>
    <w:qFormat/>
    <w:uiPriority w:val="0"/>
    <w:rPr>
      <w:rFonts w:ascii="Wund" w:hAnsi="Wund" w:eastAsia="宋体"/>
      <w:sz w:val="22"/>
      <w:lang w:val="de-DE" w:eastAsia="de-DE"/>
    </w:rPr>
  </w:style>
  <w:style w:type="character" w:customStyle="1" w:styleId="273">
    <w:name w:val="签名 Char"/>
    <w:basedOn w:val="56"/>
    <w:qFormat/>
    <w:uiPriority w:val="0"/>
    <w:rPr>
      <w:rFonts w:ascii="Calibri" w:hAnsi="Calibri" w:eastAsia="宋体"/>
      <w:kern w:val="2"/>
      <w:sz w:val="21"/>
      <w:szCs w:val="22"/>
    </w:rPr>
  </w:style>
  <w:style w:type="character" w:customStyle="1" w:styleId="274">
    <w:name w:val="副标题 字符"/>
    <w:basedOn w:val="56"/>
    <w:link w:val="41"/>
    <w:qFormat/>
    <w:uiPriority w:val="0"/>
    <w:rPr>
      <w:rFonts w:ascii="Cambria" w:hAnsi="Cambria" w:eastAsia="宋体"/>
      <w:b/>
      <w:bCs/>
      <w:kern w:val="28"/>
      <w:sz w:val="32"/>
      <w:szCs w:val="32"/>
      <w:lang w:val="de-DE" w:eastAsia="de-DE"/>
    </w:rPr>
  </w:style>
  <w:style w:type="character" w:customStyle="1" w:styleId="275">
    <w:name w:val="副标题 Char"/>
    <w:basedOn w:val="56"/>
    <w:qFormat/>
    <w:uiPriority w:val="0"/>
    <w:rPr>
      <w:rFonts w:eastAsia="宋体" w:asciiTheme="majorHAnsi" w:hAnsiTheme="majorHAnsi" w:cstheme="majorBidi"/>
      <w:b/>
      <w:bCs/>
      <w:kern w:val="28"/>
      <w:sz w:val="32"/>
      <w:szCs w:val="32"/>
    </w:rPr>
  </w:style>
  <w:style w:type="character" w:customStyle="1" w:styleId="276">
    <w:name w:val="HTML 预设格式 字符"/>
    <w:basedOn w:val="56"/>
    <w:link w:val="49"/>
    <w:qFormat/>
    <w:uiPriority w:val="0"/>
    <w:rPr>
      <w:rFonts w:ascii="Courier New" w:hAnsi="Courier New" w:eastAsia="宋体"/>
      <w:lang w:val="de-DE" w:eastAsia="de-DE"/>
    </w:rPr>
  </w:style>
  <w:style w:type="character" w:customStyle="1" w:styleId="277">
    <w:name w:val="HTML 预设格式 Char"/>
    <w:basedOn w:val="56"/>
    <w:qFormat/>
    <w:uiPriority w:val="0"/>
    <w:rPr>
      <w:rFonts w:ascii="Courier New" w:hAnsi="Courier New" w:eastAsia="宋体" w:cs="Courier New"/>
      <w:kern w:val="2"/>
    </w:rPr>
  </w:style>
  <w:style w:type="character" w:customStyle="1" w:styleId="278">
    <w:name w:val="标题 5 Char1"/>
    <w:qFormat/>
    <w:uiPriority w:val="9"/>
    <w:rPr>
      <w:rFonts w:ascii="Arial" w:hAnsi="Arial" w:eastAsia="宋体" w:cs="Times New Roman"/>
      <w:color w:val="000000"/>
      <w:kern w:val="2"/>
      <w:sz w:val="21"/>
      <w:szCs w:val="21"/>
    </w:rPr>
  </w:style>
  <w:style w:type="character" w:customStyle="1" w:styleId="279">
    <w:name w:val="times"/>
    <w:qFormat/>
    <w:uiPriority w:val="0"/>
    <w:rPr>
      <w:color w:val="CDCDCD"/>
      <w:bdr w:val="single" w:color="CDCDCD" w:sz="6" w:space="0"/>
      <w:shd w:val="clear" w:color="auto" w:fill="EFEFEF"/>
    </w:rPr>
  </w:style>
  <w:style w:type="character" w:customStyle="1" w:styleId="280">
    <w:name w:val="标题 4 Char1"/>
    <w:qFormat/>
    <w:uiPriority w:val="9"/>
    <w:rPr>
      <w:rFonts w:ascii="Arial" w:hAnsi="Arial"/>
      <w:color w:val="000000"/>
      <w:kern w:val="2"/>
      <w:sz w:val="21"/>
      <w:szCs w:val="21"/>
    </w:rPr>
  </w:style>
  <w:style w:type="paragraph" w:customStyle="1" w:styleId="281">
    <w:name w:val="_Style 28"/>
    <w:basedOn w:val="1"/>
    <w:next w:val="131"/>
    <w:qFormat/>
    <w:uiPriority w:val="0"/>
    <w:pPr>
      <w:ind w:firstLine="420" w:firstLineChars="200"/>
    </w:pPr>
    <w:rPr>
      <w:rFonts w:ascii="Times New Roman" w:hAnsi="Times New Roman"/>
      <w:kern w:val="0"/>
      <w:sz w:val="20"/>
      <w:szCs w:val="20"/>
    </w:rPr>
  </w:style>
  <w:style w:type="character" w:customStyle="1" w:styleId="282">
    <w:name w:val="hover42"/>
    <w:basedOn w:val="56"/>
    <w:qFormat/>
    <w:uiPriority w:val="0"/>
  </w:style>
  <w:style w:type="character" w:customStyle="1" w:styleId="283">
    <w:name w:val="标题 9 Char1"/>
    <w:qFormat/>
    <w:uiPriority w:val="9"/>
    <w:rPr>
      <w:rFonts w:ascii="Arial" w:hAnsi="Arial" w:eastAsia="黑体"/>
      <w:kern w:val="2"/>
      <w:sz w:val="21"/>
    </w:rPr>
  </w:style>
  <w:style w:type="character" w:customStyle="1" w:styleId="284">
    <w:name w:val="标题 7 Char1"/>
    <w:qFormat/>
    <w:uiPriority w:val="9"/>
    <w:rPr>
      <w:b/>
      <w:kern w:val="2"/>
      <w:sz w:val="24"/>
    </w:rPr>
  </w:style>
  <w:style w:type="character" w:customStyle="1" w:styleId="285">
    <w:name w:val="times1"/>
    <w:qFormat/>
    <w:uiPriority w:val="0"/>
    <w:rPr>
      <w:color w:val="3399FF"/>
      <w:bdr w:val="single" w:color="D1EDF8" w:sz="6" w:space="0"/>
      <w:shd w:val="clear" w:color="auto" w:fill="EAF9FF"/>
    </w:rPr>
  </w:style>
  <w:style w:type="character" w:customStyle="1" w:styleId="286">
    <w:name w:val="标题 8 Char1"/>
    <w:qFormat/>
    <w:uiPriority w:val="9"/>
    <w:rPr>
      <w:rFonts w:ascii="Arial" w:hAnsi="Arial" w:eastAsia="黑体"/>
      <w:kern w:val="2"/>
      <w:sz w:val="24"/>
    </w:rPr>
  </w:style>
  <w:style w:type="character" w:customStyle="1" w:styleId="287">
    <w:name w:val="hover41"/>
    <w:basedOn w:val="56"/>
    <w:qFormat/>
    <w:uiPriority w:val="0"/>
  </w:style>
  <w:style w:type="paragraph" w:customStyle="1" w:styleId="288">
    <w:name w:val="List Paragraph1"/>
    <w:basedOn w:val="1"/>
    <w:qFormat/>
    <w:uiPriority w:val="99"/>
    <w:pPr>
      <w:ind w:firstLine="420" w:firstLineChars="200"/>
    </w:pPr>
  </w:style>
  <w:style w:type="character" w:customStyle="1" w:styleId="289">
    <w:name w:val="hover40"/>
    <w:basedOn w:val="56"/>
    <w:qFormat/>
    <w:uiPriority w:val="0"/>
  </w:style>
  <w:style w:type="paragraph" w:customStyle="1" w:styleId="29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1">
    <w:name w:val="sh141"/>
    <w:qFormat/>
    <w:uiPriority w:val="0"/>
    <w:rPr>
      <w:color w:val="auto"/>
      <w:sz w:val="21"/>
      <w:szCs w:val="21"/>
    </w:rPr>
  </w:style>
  <w:style w:type="character" w:customStyle="1" w:styleId="292">
    <w:name w:val="标题 5 Char Char"/>
    <w:qFormat/>
    <w:uiPriority w:val="0"/>
    <w:rPr>
      <w:b/>
      <w:kern w:val="2"/>
      <w:sz w:val="28"/>
    </w:rPr>
  </w:style>
  <w:style w:type="character" w:customStyle="1" w:styleId="293">
    <w:name w:val="正文文本 Char1"/>
    <w:qFormat/>
    <w:uiPriority w:val="99"/>
    <w:rPr>
      <w:kern w:val="2"/>
      <w:sz w:val="21"/>
      <w:szCs w:val="24"/>
    </w:rPr>
  </w:style>
  <w:style w:type="character" w:customStyle="1" w:styleId="294">
    <w:name w:val="Char Char10"/>
    <w:qFormat/>
    <w:uiPriority w:val="0"/>
    <w:rPr>
      <w:rFonts w:hint="eastAsia" w:ascii="楷体_GB2312" w:eastAsia="楷体_GB2312"/>
      <w:b/>
      <w:spacing w:val="-24"/>
      <w:sz w:val="28"/>
    </w:rPr>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Char Char11"/>
    <w:qFormat/>
    <w:uiPriority w:val="0"/>
    <w:rPr>
      <w:rFonts w:ascii="楷体_GB2312" w:eastAsia="楷体_GB2312"/>
      <w:sz w:val="18"/>
    </w:rPr>
  </w:style>
  <w:style w:type="character" w:customStyle="1" w:styleId="297">
    <w:name w:val="Char Char9"/>
    <w:qFormat/>
    <w:uiPriority w:val="0"/>
    <w:rPr>
      <w:sz w:val="18"/>
      <w:szCs w:val="18"/>
    </w:rPr>
  </w:style>
  <w:style w:type="character" w:customStyle="1" w:styleId="298">
    <w:name w:val="正文文本 3 Char1"/>
    <w:qFormat/>
    <w:uiPriority w:val="99"/>
    <w:rPr>
      <w:kern w:val="2"/>
      <w:sz w:val="16"/>
      <w:szCs w:val="16"/>
    </w:rPr>
  </w:style>
  <w:style w:type="character" w:customStyle="1" w:styleId="299">
    <w:name w:val="标题 1 Char Char"/>
    <w:qFormat/>
    <w:uiPriority w:val="0"/>
    <w:rPr>
      <w:b/>
      <w:kern w:val="44"/>
      <w:sz w:val="44"/>
    </w:rPr>
  </w:style>
  <w:style w:type="character" w:customStyle="1" w:styleId="300">
    <w:name w:val="font11"/>
    <w:qFormat/>
    <w:uiPriority w:val="0"/>
    <w:rPr>
      <w:rFonts w:hint="default" w:ascii="Times New Roman" w:hAnsi="Times New Roman" w:cs="Times New Roman"/>
      <w:color w:val="000000"/>
      <w:sz w:val="24"/>
      <w:szCs w:val="24"/>
      <w:u w:val="none"/>
    </w:rPr>
  </w:style>
  <w:style w:type="character" w:customStyle="1" w:styleId="301">
    <w:name w:val="Char Char13"/>
    <w:qFormat/>
    <w:uiPriority w:val="0"/>
    <w:rPr>
      <w:rFonts w:ascii="宋体"/>
      <w:sz w:val="28"/>
    </w:rPr>
  </w:style>
  <w:style w:type="character" w:customStyle="1" w:styleId="302">
    <w:name w:val="Numerierungszeichen"/>
    <w:qFormat/>
    <w:uiPriority w:val="0"/>
    <w:rPr>
      <w:sz w:val="24"/>
      <w:szCs w:val="24"/>
    </w:rPr>
  </w:style>
  <w:style w:type="character" w:customStyle="1" w:styleId="303">
    <w:name w:val="Char Char121"/>
    <w:qFormat/>
    <w:uiPriority w:val="0"/>
    <w:rPr>
      <w:rFonts w:ascii="Wund" w:hAnsi="Wund" w:eastAsia="宋体" w:cs="Wund"/>
      <w:sz w:val="22"/>
      <w:szCs w:val="22"/>
      <w:lang w:val="de-DE" w:eastAsia="de-DE"/>
    </w:rPr>
  </w:style>
  <w:style w:type="character" w:customStyle="1" w:styleId="304">
    <w:name w:val="HTML 预设格式 Char1"/>
    <w:qFormat/>
    <w:uiPriority w:val="0"/>
    <w:rPr>
      <w:rFonts w:ascii="Courier New" w:hAnsi="Courier New" w:cs="Courier New"/>
      <w:kern w:val="2"/>
    </w:rPr>
  </w:style>
  <w:style w:type="character" w:customStyle="1" w:styleId="305">
    <w:name w:val="WW-Endnotenzeichen"/>
    <w:qFormat/>
    <w:uiPriority w:val="0"/>
    <w:rPr>
      <w:sz w:val="24"/>
      <w:szCs w:val="24"/>
      <w:vertAlign w:val="superscript"/>
    </w:rPr>
  </w:style>
  <w:style w:type="character" w:customStyle="1" w:styleId="306">
    <w:name w:val="Einleitung"/>
    <w:qFormat/>
    <w:uiPriority w:val="0"/>
    <w:rPr>
      <w:b/>
      <w:bCs/>
      <w:i/>
      <w:iCs/>
      <w:sz w:val="24"/>
      <w:szCs w:val="24"/>
    </w:rPr>
  </w:style>
  <w:style w:type="character" w:customStyle="1" w:styleId="307">
    <w:name w:val="Char Char91"/>
    <w:qFormat/>
    <w:uiPriority w:val="0"/>
    <w:rPr>
      <w:sz w:val="18"/>
      <w:szCs w:val="18"/>
    </w:rPr>
  </w:style>
  <w:style w:type="character" w:customStyle="1" w:styleId="308">
    <w:name w:val="Char Char6"/>
    <w:qFormat/>
    <w:uiPriority w:val="0"/>
    <w:rPr>
      <w:shd w:val="clear" w:color="auto" w:fill="000080"/>
    </w:rPr>
  </w:style>
  <w:style w:type="character" w:customStyle="1" w:styleId="309">
    <w:name w:val="日期 Char Char"/>
    <w:qFormat/>
    <w:uiPriority w:val="0"/>
    <w:rPr>
      <w:kern w:val="2"/>
      <w:sz w:val="21"/>
    </w:rPr>
  </w:style>
  <w:style w:type="character" w:customStyle="1" w:styleId="310">
    <w:name w:val="正文文本缩进 3 Char Char"/>
    <w:qFormat/>
    <w:uiPriority w:val="0"/>
    <w:rPr>
      <w:kern w:val="2"/>
      <w:sz w:val="16"/>
    </w:rPr>
  </w:style>
  <w:style w:type="character" w:customStyle="1" w:styleId="311">
    <w:name w:val="页眉 Char2"/>
    <w:qFormat/>
    <w:uiPriority w:val="99"/>
    <w:rPr>
      <w:kern w:val="2"/>
      <w:sz w:val="18"/>
      <w:szCs w:val="18"/>
    </w:rPr>
  </w:style>
  <w:style w:type="character" w:customStyle="1" w:styleId="312">
    <w:name w:val="页脚 Char Char"/>
    <w:qFormat/>
    <w:uiPriority w:val="0"/>
    <w:rPr>
      <w:kern w:val="2"/>
      <w:sz w:val="18"/>
    </w:rPr>
  </w:style>
  <w:style w:type="character" w:customStyle="1" w:styleId="313">
    <w:name w:val="样式 楷体_GB2312"/>
    <w:qFormat/>
    <w:uiPriority w:val="0"/>
    <w:rPr>
      <w:rFonts w:ascii="楷体_GB2312" w:hAnsi="楷体_GB2312" w:eastAsia="楷体_GB2312" w:cs="楷体_GB2312"/>
    </w:rPr>
  </w:style>
  <w:style w:type="character" w:customStyle="1" w:styleId="314">
    <w:name w:val="正文文本 Char Char"/>
    <w:qFormat/>
    <w:uiPriority w:val="0"/>
    <w:rPr>
      <w:kern w:val="2"/>
      <w:sz w:val="21"/>
    </w:rPr>
  </w:style>
  <w:style w:type="character" w:customStyle="1" w:styleId="315">
    <w:name w:val="批注框文本 Char Char"/>
    <w:qFormat/>
    <w:uiPriority w:val="0"/>
    <w:rPr>
      <w:kern w:val="2"/>
      <w:sz w:val="18"/>
    </w:rPr>
  </w:style>
  <w:style w:type="character" w:customStyle="1" w:styleId="316">
    <w:name w:val="标书正文格式 Char Char"/>
    <w:link w:val="317"/>
    <w:qFormat/>
    <w:uiPriority w:val="0"/>
    <w:rPr>
      <w:rFonts w:eastAsia="楷体_GB2312"/>
      <w:sz w:val="24"/>
      <w:szCs w:val="24"/>
    </w:rPr>
  </w:style>
  <w:style w:type="paragraph" w:customStyle="1" w:styleId="317">
    <w:name w:val="标书正文格式"/>
    <w:link w:val="316"/>
    <w:qFormat/>
    <w:uiPriority w:val="0"/>
    <w:pPr>
      <w:spacing w:line="360" w:lineRule="auto"/>
      <w:ind w:firstLine="200" w:firstLineChars="200"/>
    </w:pPr>
    <w:rPr>
      <w:rFonts w:ascii="等线" w:hAnsi="等线" w:eastAsia="楷体_GB2312" w:cs="Times New Roman"/>
      <w:sz w:val="24"/>
      <w:szCs w:val="24"/>
      <w:lang w:val="en-US" w:eastAsia="zh-CN" w:bidi="ar-SA"/>
    </w:rPr>
  </w:style>
  <w:style w:type="character" w:customStyle="1" w:styleId="318">
    <w:name w:val="标题 3 Char1"/>
    <w:qFormat/>
    <w:uiPriority w:val="0"/>
    <w:rPr>
      <w:rFonts w:ascii="仿宋_GB2312" w:eastAsia="仿宋_GB2312"/>
      <w:kern w:val="2"/>
      <w:sz w:val="32"/>
      <w:lang w:val="en-US" w:eastAsia="zh-CN" w:bidi="ar-SA"/>
    </w:rPr>
  </w:style>
  <w:style w:type="character" w:customStyle="1" w:styleId="319">
    <w:name w:val="副标题 Char1"/>
    <w:qFormat/>
    <w:uiPriority w:val="0"/>
    <w:rPr>
      <w:rFonts w:ascii="Cambria" w:hAnsi="Cambria" w:cs="Times New Roman"/>
      <w:b/>
      <w:bCs/>
      <w:kern w:val="28"/>
      <w:sz w:val="32"/>
      <w:szCs w:val="32"/>
    </w:rPr>
  </w:style>
  <w:style w:type="character" w:customStyle="1" w:styleId="320">
    <w:name w:val="Char Char101"/>
    <w:qFormat/>
    <w:uiPriority w:val="0"/>
    <w:rPr>
      <w:rFonts w:ascii="楷体_GB2312" w:eastAsia="楷体_GB2312"/>
      <w:b/>
      <w:spacing w:val="-24"/>
      <w:sz w:val="28"/>
    </w:rPr>
  </w:style>
  <w:style w:type="character" w:customStyle="1" w:styleId="321">
    <w:name w:val="Char Char61"/>
    <w:qFormat/>
    <w:uiPriority w:val="0"/>
    <w:rPr>
      <w:shd w:val="clear" w:color="auto" w:fill="000080"/>
    </w:rPr>
  </w:style>
  <w:style w:type="character" w:customStyle="1" w:styleId="322">
    <w:name w:val="标题 Char Char"/>
    <w:qFormat/>
    <w:uiPriority w:val="0"/>
    <w:rPr>
      <w:rFonts w:ascii="Cambria" w:hAnsi="Cambria"/>
      <w:b/>
      <w:kern w:val="2"/>
      <w:sz w:val="32"/>
    </w:rPr>
  </w:style>
  <w:style w:type="character" w:customStyle="1" w:styleId="323">
    <w:name w:val="p12"/>
    <w:basedOn w:val="56"/>
    <w:qFormat/>
    <w:uiPriority w:val="0"/>
  </w:style>
  <w:style w:type="character" w:customStyle="1" w:styleId="324">
    <w:name w:val="Char Char8"/>
    <w:qFormat/>
    <w:uiPriority w:val="0"/>
    <w:rPr>
      <w:sz w:val="18"/>
      <w:szCs w:val="18"/>
    </w:rPr>
  </w:style>
  <w:style w:type="character" w:customStyle="1" w:styleId="325">
    <w:name w:val="textcontents"/>
    <w:basedOn w:val="56"/>
    <w:qFormat/>
    <w:uiPriority w:val="0"/>
  </w:style>
  <w:style w:type="character" w:customStyle="1" w:styleId="326">
    <w:name w:val="消息标题号"/>
    <w:qFormat/>
    <w:uiPriority w:val="0"/>
    <w:rPr>
      <w:rFonts w:ascii="Arial Black" w:hAnsi="Arial Black" w:eastAsia="黑体"/>
      <w:b/>
      <w:sz w:val="21"/>
      <w:lang w:eastAsia="zh-CN"/>
    </w:rPr>
  </w:style>
  <w:style w:type="character" w:customStyle="1" w:styleId="327">
    <w:name w:val="Body Text Char"/>
    <w:qFormat/>
    <w:uiPriority w:val="0"/>
    <w:rPr>
      <w:rFonts w:ascii="Wund" w:hAnsi="Wund" w:eastAsia="宋体" w:cs="Times New Roman"/>
      <w:sz w:val="22"/>
      <w:lang w:val="de-DE" w:eastAsia="de-DE"/>
    </w:rPr>
  </w:style>
  <w:style w:type="character" w:customStyle="1" w:styleId="328">
    <w:name w:val="WW-Anmerkungszeichen"/>
    <w:qFormat/>
    <w:uiPriority w:val="0"/>
    <w:rPr>
      <w:sz w:val="16"/>
      <w:szCs w:val="16"/>
    </w:rPr>
  </w:style>
  <w:style w:type="character" w:customStyle="1" w:styleId="329">
    <w:name w:val="Hochgestellt"/>
    <w:qFormat/>
    <w:uiPriority w:val="0"/>
    <w:rPr>
      <w:sz w:val="24"/>
      <w:szCs w:val="24"/>
      <w:vertAlign w:val="superscript"/>
    </w:rPr>
  </w:style>
  <w:style w:type="character" w:customStyle="1" w:styleId="330">
    <w:name w:val="称呼 Char2"/>
    <w:qFormat/>
    <w:uiPriority w:val="0"/>
    <w:rPr>
      <w:kern w:val="2"/>
      <w:sz w:val="21"/>
      <w:szCs w:val="24"/>
    </w:rPr>
  </w:style>
  <w:style w:type="character" w:customStyle="1" w:styleId="331">
    <w:name w:val="脚注文本 Char Char"/>
    <w:qFormat/>
    <w:uiPriority w:val="0"/>
    <w:rPr>
      <w:kern w:val="2"/>
      <w:sz w:val="18"/>
    </w:rPr>
  </w:style>
  <w:style w:type="character" w:customStyle="1" w:styleId="332">
    <w:name w:val="WW-Zeilennummer"/>
    <w:qFormat/>
    <w:uiPriority w:val="0"/>
    <w:rPr>
      <w:rFonts w:ascii="Arial" w:hAnsi="Arial" w:cs="Arial"/>
      <w:sz w:val="18"/>
      <w:szCs w:val="18"/>
    </w:rPr>
  </w:style>
  <w:style w:type="character" w:customStyle="1" w:styleId="333">
    <w:name w:val="hl"/>
    <w:qFormat/>
    <w:uiPriority w:val="0"/>
    <w:rPr>
      <w:b/>
      <w:bCs/>
    </w:rPr>
  </w:style>
  <w:style w:type="character" w:customStyle="1" w:styleId="334">
    <w:name w:val="highlight1"/>
    <w:qFormat/>
    <w:uiPriority w:val="0"/>
    <w:rPr>
      <w:sz w:val="28"/>
      <w:szCs w:val="28"/>
    </w:rPr>
  </w:style>
  <w:style w:type="character" w:customStyle="1" w:styleId="335">
    <w:name w:val="不明显强调1"/>
    <w:qFormat/>
    <w:uiPriority w:val="19"/>
    <w:rPr>
      <w:rFonts w:eastAsia="宋体" w:cs="Times New Roman"/>
      <w:i/>
      <w:iCs/>
      <w:color w:val="808080"/>
      <w:szCs w:val="22"/>
      <w:lang w:eastAsia="zh-CN"/>
    </w:rPr>
  </w:style>
  <w:style w:type="character" w:customStyle="1" w:styleId="336">
    <w:name w:val="Char Char111"/>
    <w:qFormat/>
    <w:uiPriority w:val="0"/>
    <w:rPr>
      <w:rFonts w:hint="eastAsia" w:ascii="楷体_GB2312" w:eastAsia="楷体_GB2312"/>
      <w:sz w:val="18"/>
    </w:rPr>
  </w:style>
  <w:style w:type="character" w:customStyle="1" w:styleId="337">
    <w:name w:val="WW-Absatz-Standardschriftart"/>
    <w:qFormat/>
    <w:uiPriority w:val="0"/>
    <w:rPr>
      <w:sz w:val="24"/>
      <w:szCs w:val="24"/>
    </w:rPr>
  </w:style>
  <w:style w:type="character" w:customStyle="1" w:styleId="338">
    <w:name w:val="正文文本缩进 2 Char Char"/>
    <w:qFormat/>
    <w:uiPriority w:val="0"/>
    <w:rPr>
      <w:kern w:val="2"/>
      <w:sz w:val="21"/>
    </w:rPr>
  </w:style>
  <w:style w:type="character" w:customStyle="1" w:styleId="339">
    <w:name w:val="纯文本 Char Char Char1"/>
    <w:qFormat/>
    <w:uiPriority w:val="0"/>
    <w:rPr>
      <w:rFonts w:ascii="宋体" w:hAnsi="Courier New" w:cs="金山简魏碑"/>
      <w:kern w:val="2"/>
      <w:sz w:val="21"/>
      <w:szCs w:val="21"/>
    </w:rPr>
  </w:style>
  <w:style w:type="character" w:customStyle="1" w:styleId="340">
    <w:name w:val="页脚 Char1"/>
    <w:qFormat/>
    <w:uiPriority w:val="99"/>
    <w:rPr>
      <w:kern w:val="2"/>
      <w:sz w:val="18"/>
      <w:szCs w:val="18"/>
    </w:rPr>
  </w:style>
  <w:style w:type="character" w:customStyle="1" w:styleId="341">
    <w:name w:val="Char Char7"/>
    <w:qFormat/>
    <w:uiPriority w:val="0"/>
    <w:rPr>
      <w:rFonts w:ascii="仿宋_GB2312" w:eastAsia="仿宋_GB2312"/>
      <w:sz w:val="28"/>
    </w:rPr>
  </w:style>
  <w:style w:type="character" w:customStyle="1" w:styleId="342">
    <w:name w:val="Char Char12"/>
    <w:qFormat/>
    <w:uiPriority w:val="0"/>
    <w:rPr>
      <w:rFonts w:hint="eastAsia" w:ascii="宋体" w:hAnsi="宋体" w:eastAsia="宋体"/>
      <w:sz w:val="28"/>
    </w:rPr>
  </w:style>
  <w:style w:type="character" w:customStyle="1" w:styleId="343">
    <w:name w:val="Platzhalter"/>
    <w:qFormat/>
    <w:uiPriority w:val="0"/>
    <w:rPr>
      <w:smallCaps/>
      <w:color w:val="008080"/>
      <w:sz w:val="24"/>
      <w:szCs w:val="24"/>
      <w:u w:val="dotted"/>
    </w:rPr>
  </w:style>
  <w:style w:type="character" w:customStyle="1" w:styleId="344">
    <w:name w:val="Char Char14"/>
    <w:qFormat/>
    <w:uiPriority w:val="0"/>
    <w:rPr>
      <w:b/>
      <w:bCs/>
      <w:kern w:val="2"/>
      <w:sz w:val="32"/>
      <w:szCs w:val="32"/>
    </w:rPr>
  </w:style>
  <w:style w:type="character" w:customStyle="1" w:styleId="345">
    <w:name w:val="Char Char15"/>
    <w:qFormat/>
    <w:uiPriority w:val="0"/>
    <w:rPr>
      <w:b/>
      <w:bCs/>
      <w:kern w:val="44"/>
      <w:sz w:val="44"/>
      <w:szCs w:val="44"/>
    </w:rPr>
  </w:style>
  <w:style w:type="character" w:customStyle="1" w:styleId="346">
    <w:name w:val="无间隔 字符"/>
    <w:link w:val="347"/>
    <w:qFormat/>
    <w:uiPriority w:val="1"/>
    <w:rPr>
      <w:rFonts w:ascii="Calibri" w:hAnsi="Calibri"/>
      <w:sz w:val="22"/>
      <w:szCs w:val="22"/>
    </w:rPr>
  </w:style>
  <w:style w:type="paragraph" w:styleId="347">
    <w:name w:val="No Spacing"/>
    <w:link w:val="346"/>
    <w:qFormat/>
    <w:uiPriority w:val="1"/>
    <w:rPr>
      <w:rFonts w:ascii="Calibri" w:hAnsi="Calibri" w:eastAsia="等线" w:cs="Times New Roman"/>
      <w:sz w:val="22"/>
      <w:szCs w:val="22"/>
      <w:lang w:val="en-US" w:eastAsia="zh-CN" w:bidi="ar-SA"/>
    </w:rPr>
  </w:style>
  <w:style w:type="character" w:customStyle="1" w:styleId="348">
    <w:name w:val="Footer Char"/>
    <w:qFormat/>
    <w:uiPriority w:val="0"/>
    <w:rPr>
      <w:rFonts w:ascii="Wund" w:hAnsi="Wund" w:cs="Times New Roman"/>
      <w:sz w:val="22"/>
      <w:lang w:val="de-DE" w:eastAsia="de-DE"/>
    </w:rPr>
  </w:style>
  <w:style w:type="character" w:customStyle="1" w:styleId="349">
    <w:name w:val="Char Char71"/>
    <w:qFormat/>
    <w:uiPriority w:val="0"/>
    <w:rPr>
      <w:rFonts w:hint="eastAsia" w:ascii="仿宋_GB2312" w:eastAsia="仿宋_GB2312"/>
      <w:sz w:val="28"/>
    </w:rPr>
  </w:style>
  <w:style w:type="character" w:customStyle="1" w:styleId="350">
    <w:name w:val="Char Char122"/>
    <w:qFormat/>
    <w:uiPriority w:val="0"/>
    <w:rPr>
      <w:rFonts w:ascii="宋体"/>
      <w:sz w:val="28"/>
    </w:rPr>
  </w:style>
  <w:style w:type="character" w:customStyle="1" w:styleId="351">
    <w:name w:val="标题 6 Char Char"/>
    <w:qFormat/>
    <w:uiPriority w:val="0"/>
    <w:rPr>
      <w:rFonts w:ascii="Cambria" w:hAnsi="Cambria" w:eastAsia="宋体"/>
      <w:b/>
      <w:kern w:val="2"/>
      <w:sz w:val="24"/>
    </w:rPr>
  </w:style>
  <w:style w:type="character" w:customStyle="1" w:styleId="352">
    <w:name w:val="Char Char21"/>
    <w:qFormat/>
    <w:uiPriority w:val="0"/>
    <w:rPr>
      <w:rFonts w:ascii="Wund" w:hAnsi="Wund" w:eastAsia="宋体" w:cs="Wund"/>
      <w:sz w:val="22"/>
      <w:szCs w:val="22"/>
      <w:lang w:val="de-DE" w:eastAsia="de-DE"/>
    </w:rPr>
  </w:style>
  <w:style w:type="character" w:customStyle="1" w:styleId="353">
    <w:name w:val="bar_info2"/>
    <w:basedOn w:val="56"/>
    <w:qFormat/>
    <w:uiPriority w:val="0"/>
  </w:style>
  <w:style w:type="character" w:customStyle="1" w:styleId="354">
    <w:name w:val="标书正文 Char1"/>
    <w:link w:val="355"/>
    <w:qFormat/>
    <w:uiPriority w:val="0"/>
    <w:rPr>
      <w:rFonts w:ascii="宋体" w:hAnsi="宋体"/>
      <w:bCs/>
      <w:sz w:val="24"/>
      <w:szCs w:val="24"/>
    </w:rPr>
  </w:style>
  <w:style w:type="paragraph" w:customStyle="1" w:styleId="355">
    <w:name w:val="标书正文"/>
    <w:basedOn w:val="1"/>
    <w:link w:val="354"/>
    <w:qFormat/>
    <w:uiPriority w:val="0"/>
    <w:pPr>
      <w:tabs>
        <w:tab w:val="left" w:pos="4680"/>
      </w:tabs>
      <w:adjustRightInd w:val="0"/>
      <w:snapToGrid w:val="0"/>
      <w:spacing w:line="360" w:lineRule="auto"/>
      <w:ind w:firstLine="480" w:firstLineChars="200"/>
      <w:jc w:val="left"/>
    </w:pPr>
    <w:rPr>
      <w:rFonts w:ascii="宋体" w:hAnsi="宋体" w:eastAsia="等线"/>
      <w:bCs/>
      <w:kern w:val="0"/>
      <w:sz w:val="24"/>
      <w:szCs w:val="24"/>
    </w:rPr>
  </w:style>
  <w:style w:type="character" w:customStyle="1" w:styleId="356">
    <w:name w:val="Char Char81"/>
    <w:qFormat/>
    <w:uiPriority w:val="0"/>
    <w:rPr>
      <w:sz w:val="18"/>
      <w:szCs w:val="18"/>
    </w:rPr>
  </w:style>
  <w:style w:type="character" w:customStyle="1" w:styleId="357">
    <w:name w:val="标题 4 Char Char"/>
    <w:qFormat/>
    <w:uiPriority w:val="0"/>
    <w:rPr>
      <w:rFonts w:ascii="Cambria" w:hAnsi="Cambria" w:eastAsia="宋体"/>
      <w:b/>
      <w:kern w:val="2"/>
      <w:sz w:val="28"/>
    </w:rPr>
  </w:style>
  <w:style w:type="character" w:customStyle="1" w:styleId="358">
    <w:name w:val="页眉 Char Char"/>
    <w:qFormat/>
    <w:uiPriority w:val="0"/>
    <w:rPr>
      <w:kern w:val="2"/>
      <w:sz w:val="18"/>
    </w:rPr>
  </w:style>
  <w:style w:type="character" w:customStyle="1" w:styleId="359">
    <w:name w:val="z正文 Char Char Char"/>
    <w:link w:val="360"/>
    <w:qFormat/>
    <w:uiPriority w:val="0"/>
    <w:rPr>
      <w:sz w:val="24"/>
    </w:rPr>
  </w:style>
  <w:style w:type="paragraph" w:customStyle="1" w:styleId="360">
    <w:name w:val="z正文 Char"/>
    <w:basedOn w:val="1"/>
    <w:link w:val="359"/>
    <w:qFormat/>
    <w:uiPriority w:val="0"/>
    <w:pPr>
      <w:adjustRightInd w:val="0"/>
      <w:spacing w:line="360" w:lineRule="auto"/>
    </w:pPr>
    <w:rPr>
      <w:rFonts w:ascii="等线" w:hAnsi="等线" w:eastAsia="等线"/>
      <w:kern w:val="0"/>
      <w:sz w:val="24"/>
      <w:szCs w:val="20"/>
    </w:rPr>
  </w:style>
  <w:style w:type="character" w:customStyle="1" w:styleId="361">
    <w:name w:val="正文文本 3 Char Char"/>
    <w:qFormat/>
    <w:uiPriority w:val="0"/>
    <w:rPr>
      <w:kern w:val="2"/>
      <w:sz w:val="16"/>
    </w:rPr>
  </w:style>
  <w:style w:type="character" w:customStyle="1" w:styleId="362">
    <w:name w:val="fontp1"/>
    <w:qFormat/>
    <w:uiPriority w:val="0"/>
    <w:rPr>
      <w:rFonts w:hint="eastAsia" w:ascii="宋体" w:hAnsi="宋体" w:eastAsia="宋体"/>
      <w:sz w:val="18"/>
      <w:szCs w:val="18"/>
    </w:rPr>
  </w:style>
  <w:style w:type="character" w:customStyle="1" w:styleId="363">
    <w:name w:val="font41"/>
    <w:qFormat/>
    <w:uiPriority w:val="0"/>
    <w:rPr>
      <w:rFonts w:hint="eastAsia" w:ascii="宋体" w:hAnsi="宋体" w:eastAsia="宋体" w:cs="宋体"/>
      <w:color w:val="000000"/>
      <w:sz w:val="24"/>
      <w:szCs w:val="24"/>
      <w:u w:val="none"/>
    </w:rPr>
  </w:style>
  <w:style w:type="character" w:customStyle="1" w:styleId="364">
    <w:name w:val="正文文本缩进 Char Char"/>
    <w:qFormat/>
    <w:uiPriority w:val="0"/>
    <w:rPr>
      <w:kern w:val="2"/>
      <w:sz w:val="21"/>
    </w:rPr>
  </w:style>
  <w:style w:type="character" w:customStyle="1" w:styleId="365">
    <w:name w:val="正文首行缩进 Char2"/>
    <w:qFormat/>
    <w:uiPriority w:val="0"/>
    <w:rPr>
      <w:color w:val="000000"/>
      <w:kern w:val="2"/>
      <w:sz w:val="21"/>
      <w:szCs w:val="24"/>
    </w:rPr>
  </w:style>
  <w:style w:type="character" w:customStyle="1" w:styleId="366">
    <w:name w:val="正文文本 2 Char Char"/>
    <w:qFormat/>
    <w:uiPriority w:val="0"/>
    <w:rPr>
      <w:kern w:val="2"/>
      <w:sz w:val="21"/>
    </w:rPr>
  </w:style>
  <w:style w:type="character" w:customStyle="1" w:styleId="367">
    <w:name w:val="标题 9 Char Char"/>
    <w:qFormat/>
    <w:uiPriority w:val="0"/>
    <w:rPr>
      <w:rFonts w:ascii="Cambria" w:hAnsi="Cambria" w:eastAsia="宋体"/>
      <w:kern w:val="2"/>
      <w:sz w:val="21"/>
    </w:rPr>
  </w:style>
  <w:style w:type="character" w:customStyle="1" w:styleId="368">
    <w:name w:val="Char Char141"/>
    <w:qFormat/>
    <w:uiPriority w:val="0"/>
    <w:rPr>
      <w:b/>
      <w:bCs/>
      <w:kern w:val="2"/>
      <w:sz w:val="32"/>
      <w:szCs w:val="32"/>
    </w:rPr>
  </w:style>
  <w:style w:type="character" w:customStyle="1" w:styleId="369">
    <w:name w:val="font01"/>
    <w:basedOn w:val="56"/>
    <w:qFormat/>
    <w:uiPriority w:val="0"/>
    <w:rPr>
      <w:rFonts w:hint="default" w:ascii="Times New Roman" w:hAnsi="Times New Roman" w:cs="Times New Roman"/>
      <w:color w:val="000000"/>
      <w:sz w:val="24"/>
      <w:szCs w:val="24"/>
      <w:u w:val="none"/>
      <w:vertAlign w:val="subscript"/>
    </w:rPr>
  </w:style>
  <w:style w:type="character" w:customStyle="1" w:styleId="370">
    <w:name w:val="HTML 预设格式 Char Char"/>
    <w:qFormat/>
    <w:uiPriority w:val="0"/>
    <w:rPr>
      <w:rFonts w:ascii="Courier New" w:hAnsi="Courier New"/>
      <w:kern w:val="2"/>
    </w:rPr>
  </w:style>
  <w:style w:type="character" w:customStyle="1" w:styleId="371">
    <w:name w:val="Char Char151"/>
    <w:qFormat/>
    <w:uiPriority w:val="0"/>
    <w:rPr>
      <w:b/>
      <w:bCs/>
      <w:kern w:val="44"/>
      <w:sz w:val="44"/>
      <w:szCs w:val="44"/>
    </w:rPr>
  </w:style>
  <w:style w:type="character" w:customStyle="1" w:styleId="372">
    <w:name w:val="apple-style-span"/>
    <w:basedOn w:val="56"/>
    <w:qFormat/>
    <w:uiPriority w:val="0"/>
  </w:style>
  <w:style w:type="character" w:customStyle="1" w:styleId="373">
    <w:name w:val="st1"/>
    <w:basedOn w:val="56"/>
    <w:qFormat/>
    <w:uiPriority w:val="0"/>
  </w:style>
  <w:style w:type="character" w:customStyle="1" w:styleId="374">
    <w:name w:val="批注文字 Char Char"/>
    <w:qFormat/>
    <w:uiPriority w:val="0"/>
    <w:rPr>
      <w:kern w:val="2"/>
      <w:sz w:val="21"/>
    </w:rPr>
  </w:style>
  <w:style w:type="character" w:customStyle="1" w:styleId="375">
    <w:name w:val="Header Char"/>
    <w:qFormat/>
    <w:uiPriority w:val="0"/>
    <w:rPr>
      <w:rFonts w:eastAsia="宋体"/>
      <w:kern w:val="2"/>
      <w:sz w:val="18"/>
      <w:szCs w:val="18"/>
      <w:lang w:val="en-US" w:eastAsia="zh-CN" w:bidi="ar-SA"/>
    </w:rPr>
  </w:style>
  <w:style w:type="character" w:customStyle="1" w:styleId="376">
    <w:name w:val="正文文本缩进 Char Char Char"/>
    <w:qFormat/>
    <w:uiPriority w:val="0"/>
    <w:rPr>
      <w:rFonts w:ascii="宋体" w:eastAsia="宋体"/>
      <w:sz w:val="28"/>
      <w:lang w:val="en-US" w:eastAsia="zh-CN" w:bidi="ar-SA"/>
    </w:rPr>
  </w:style>
  <w:style w:type="character" w:customStyle="1" w:styleId="377">
    <w:name w:val="标题 8 Char Char"/>
    <w:qFormat/>
    <w:uiPriority w:val="0"/>
    <w:rPr>
      <w:rFonts w:ascii="Cambria" w:hAnsi="Cambria" w:eastAsia="宋体"/>
      <w:kern w:val="2"/>
      <w:sz w:val="24"/>
    </w:rPr>
  </w:style>
  <w:style w:type="character" w:customStyle="1" w:styleId="378">
    <w:name w:val="标题 7 Char Char"/>
    <w:qFormat/>
    <w:uiPriority w:val="0"/>
    <w:rPr>
      <w:b/>
      <w:kern w:val="2"/>
      <w:sz w:val="24"/>
    </w:rPr>
  </w:style>
  <w:style w:type="character" w:customStyle="1" w:styleId="379">
    <w:name w:val="Char Char131"/>
    <w:qFormat/>
    <w:uiPriority w:val="0"/>
    <w:rPr>
      <w:rFonts w:hint="eastAsia" w:ascii="宋体" w:hAnsi="宋体" w:eastAsia="宋体"/>
      <w:sz w:val="28"/>
    </w:rPr>
  </w:style>
  <w:style w:type="character" w:customStyle="1" w:styleId="380">
    <w:name w:val="标题 2 Char Char"/>
    <w:qFormat/>
    <w:uiPriority w:val="0"/>
    <w:rPr>
      <w:rFonts w:ascii="Wund" w:hAnsi="Wund" w:eastAsia="宋体" w:cs="Wund"/>
      <w:sz w:val="28"/>
      <w:szCs w:val="28"/>
      <w:lang w:val="en-US" w:eastAsia="de-DE"/>
    </w:rPr>
  </w:style>
  <w:style w:type="character" w:customStyle="1" w:styleId="381">
    <w:name w:val="正文文本缩进 3 Char1"/>
    <w:qFormat/>
    <w:uiPriority w:val="99"/>
    <w:rPr>
      <w:kern w:val="2"/>
      <w:sz w:val="16"/>
      <w:szCs w:val="16"/>
    </w:rPr>
  </w:style>
  <w:style w:type="character" w:customStyle="1" w:styleId="382">
    <w:name w:val="t11"/>
    <w:qFormat/>
    <w:uiPriority w:val="0"/>
    <w:rPr>
      <w:spacing w:val="300"/>
      <w:sz w:val="18"/>
      <w:szCs w:val="18"/>
    </w:rPr>
  </w:style>
  <w:style w:type="paragraph" w:customStyle="1" w:styleId="383">
    <w:name w:val="WW-Listenfortsetzung 4"/>
    <w:basedOn w:val="384"/>
    <w:qFormat/>
    <w:uiPriority w:val="0"/>
    <w:pPr>
      <w:tabs>
        <w:tab w:val="left" w:pos="720"/>
      </w:tabs>
      <w:ind w:left="1800"/>
    </w:pPr>
  </w:style>
  <w:style w:type="paragraph" w:customStyle="1" w:styleId="384">
    <w:name w:val="WW-Listenfortsetzung"/>
    <w:basedOn w:val="19"/>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385">
    <w:name w:val="CM8"/>
    <w:basedOn w:val="269"/>
    <w:next w:val="269"/>
    <w:qFormat/>
    <w:uiPriority w:val="0"/>
    <w:pPr>
      <w:spacing w:line="246" w:lineRule="atLeast"/>
    </w:pPr>
    <w:rPr>
      <w:rFonts w:ascii="宋体" w:eastAsia="宋体" w:cs="宋体"/>
      <w:color w:val="auto"/>
    </w:rPr>
  </w:style>
  <w:style w:type="paragraph" w:customStyle="1" w:styleId="386">
    <w:name w:val="Zu Händen von"/>
    <w:basedOn w:val="3"/>
    <w:qFormat/>
    <w:uiPriority w:val="0"/>
    <w:pPr>
      <w:suppressAutoHyphens/>
      <w:overflowPunct w:val="0"/>
      <w:autoSpaceDE w:val="0"/>
      <w:autoSpaceDN w:val="0"/>
      <w:adjustRightInd w:val="0"/>
      <w:spacing w:line="340" w:lineRule="atLeast"/>
      <w:textAlignment w:val="baseline"/>
    </w:pPr>
    <w:rPr>
      <w:rFonts w:ascii="Arial Narrow" w:hAnsi="Arial Narrow" w:cs="Arial Narrow"/>
      <w:b/>
      <w:bCs/>
      <w:i/>
      <w:iCs/>
      <w:kern w:val="0"/>
      <w:sz w:val="22"/>
      <w:szCs w:val="22"/>
      <w:lang w:val="de-DE" w:eastAsia="de-DE"/>
    </w:rPr>
  </w:style>
  <w:style w:type="paragraph" w:customStyle="1" w:styleId="38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88">
    <w:name w:val="Fußzeile Erste"/>
    <w:basedOn w:val="36"/>
    <w:qFormat/>
    <w:uiPriority w:val="0"/>
    <w:pPr>
      <w:keepLines/>
      <w:widowControl/>
      <w:tabs>
        <w:tab w:val="center" w:pos="4320"/>
        <w:tab w:val="right" w:pos="8640"/>
        <w:tab w:val="clear" w:pos="4153"/>
        <w:tab w:val="clear" w:pos="8306"/>
      </w:tabs>
      <w:overflowPunct w:val="0"/>
      <w:autoSpaceDE w:val="0"/>
      <w:autoSpaceDN w:val="0"/>
      <w:adjustRightInd w:val="0"/>
      <w:snapToGrid/>
      <w:spacing w:after="120" w:line="360" w:lineRule="auto"/>
      <w:jc w:val="center"/>
      <w:textAlignment w:val="baseline"/>
    </w:pPr>
    <w:rPr>
      <w:rFonts w:ascii="Wund" w:hAnsi="Wund"/>
      <w:kern w:val="0"/>
      <w:lang w:val="de-DE" w:eastAsia="de-DE"/>
    </w:rPr>
  </w:style>
  <w:style w:type="paragraph" w:customStyle="1" w:styleId="389">
    <w:name w:val="Bildunterschrift HW"/>
    <w:basedOn w:val="3"/>
    <w:qFormat/>
    <w:uiPriority w:val="0"/>
    <w:pPr>
      <w:suppressAutoHyphens/>
      <w:overflowPunct w:val="0"/>
      <w:autoSpaceDE w:val="0"/>
      <w:autoSpaceDN w:val="0"/>
      <w:adjustRightInd w:val="0"/>
      <w:spacing w:before="120" w:after="360" w:line="340" w:lineRule="atLeast"/>
      <w:jc w:val="center"/>
      <w:textAlignment w:val="baseline"/>
    </w:pPr>
    <w:rPr>
      <w:rFonts w:ascii="Arial Narrow" w:hAnsi="Arial Narrow" w:cs="Arial Narrow"/>
      <w:i/>
      <w:iCs/>
      <w:kern w:val="0"/>
      <w:sz w:val="22"/>
      <w:szCs w:val="22"/>
      <w:lang w:val="de-DE" w:eastAsia="de-DE"/>
    </w:rPr>
  </w:style>
  <w:style w:type="paragraph" w:customStyle="1" w:styleId="390">
    <w:name w:val="CM141"/>
    <w:basedOn w:val="269"/>
    <w:next w:val="269"/>
    <w:qFormat/>
    <w:uiPriority w:val="0"/>
    <w:pPr>
      <w:spacing w:after="67"/>
    </w:pPr>
    <w:rPr>
      <w:rFonts w:ascii="宋体" w:eastAsia="宋体" w:cs="宋体"/>
      <w:color w:val="auto"/>
    </w:rPr>
  </w:style>
  <w:style w:type="paragraph" w:customStyle="1" w:styleId="391">
    <w:name w:val="CM3"/>
    <w:basedOn w:val="269"/>
    <w:next w:val="269"/>
    <w:qFormat/>
    <w:uiPriority w:val="0"/>
    <w:pPr>
      <w:spacing w:line="500" w:lineRule="atLeast"/>
    </w:pPr>
    <w:rPr>
      <w:rFonts w:ascii="宋体" w:eastAsia="宋体" w:cs="宋体"/>
      <w:color w:val="auto"/>
    </w:rPr>
  </w:style>
  <w:style w:type="paragraph" w:customStyle="1" w:styleId="392">
    <w:name w:val="p0"/>
    <w:basedOn w:val="1"/>
    <w:qFormat/>
    <w:uiPriority w:val="0"/>
    <w:pPr>
      <w:widowControl/>
    </w:pPr>
    <w:rPr>
      <w:rFonts w:ascii="宋体" w:hAnsi="宋体" w:cs="宋体"/>
      <w:kern w:val="0"/>
      <w:sz w:val="24"/>
      <w:szCs w:val="24"/>
    </w:rPr>
  </w:style>
  <w:style w:type="paragraph" w:customStyle="1" w:styleId="393">
    <w:name w:val="CM47"/>
    <w:basedOn w:val="269"/>
    <w:next w:val="269"/>
    <w:qFormat/>
    <w:uiPriority w:val="0"/>
    <w:pPr>
      <w:spacing w:line="440" w:lineRule="atLeast"/>
    </w:pPr>
    <w:rPr>
      <w:rFonts w:ascii="宋体" w:eastAsia="宋体" w:cs="宋体"/>
      <w:color w:val="auto"/>
    </w:rPr>
  </w:style>
  <w:style w:type="paragraph" w:customStyle="1" w:styleId="394">
    <w:name w:val="WW-Verzeichnis 9"/>
    <w:basedOn w:val="1"/>
    <w:qFormat/>
    <w:uiPriority w:val="0"/>
    <w:pPr>
      <w:widowControl/>
      <w:tabs>
        <w:tab w:val="right" w:leader="dot" w:pos="9072"/>
      </w:tabs>
      <w:overflowPunct w:val="0"/>
      <w:autoSpaceDE w:val="0"/>
      <w:autoSpaceDN w:val="0"/>
      <w:adjustRightInd w:val="0"/>
      <w:spacing w:after="120" w:line="360" w:lineRule="auto"/>
      <w:ind w:left="1680"/>
      <w:jc w:val="left"/>
      <w:textAlignment w:val="baseline"/>
    </w:pPr>
    <w:rPr>
      <w:rFonts w:ascii="Times New Roman" w:hAnsi="Times New Roman"/>
      <w:kern w:val="0"/>
      <w:sz w:val="18"/>
      <w:szCs w:val="18"/>
      <w:lang w:val="de-DE" w:eastAsia="de-DE"/>
    </w:rPr>
  </w:style>
  <w:style w:type="paragraph" w:customStyle="1" w:styleId="395">
    <w:name w:val="kopf-wörner"/>
    <w:basedOn w:val="1"/>
    <w:qFormat/>
    <w:uiPriority w:val="0"/>
    <w:pPr>
      <w:widowControl/>
      <w:tabs>
        <w:tab w:val="center" w:pos="8080"/>
      </w:tabs>
      <w:overflowPunct w:val="0"/>
      <w:autoSpaceDE w:val="0"/>
      <w:autoSpaceDN w:val="0"/>
      <w:adjustRightInd w:val="0"/>
      <w:spacing w:after="120"/>
      <w:textAlignment w:val="baseline"/>
    </w:pPr>
    <w:rPr>
      <w:rFonts w:ascii="Wund" w:hAnsi="Wund" w:cs="Wund"/>
      <w:b/>
      <w:bCs/>
      <w:i/>
      <w:iCs/>
      <w:kern w:val="0"/>
      <w:sz w:val="18"/>
      <w:szCs w:val="18"/>
      <w:lang w:val="de-DE" w:eastAsia="de-DE"/>
    </w:rPr>
  </w:style>
  <w:style w:type="paragraph" w:customStyle="1" w:styleId="396">
    <w:name w:val="CM80"/>
    <w:basedOn w:val="269"/>
    <w:next w:val="269"/>
    <w:qFormat/>
    <w:uiPriority w:val="0"/>
    <w:pPr>
      <w:spacing w:line="440" w:lineRule="atLeast"/>
    </w:pPr>
    <w:rPr>
      <w:rFonts w:ascii="宋体" w:eastAsia="宋体" w:cs="宋体"/>
      <w:color w:val="auto"/>
    </w:rPr>
  </w:style>
  <w:style w:type="paragraph" w:customStyle="1" w:styleId="397">
    <w:name w:val="CM77"/>
    <w:basedOn w:val="269"/>
    <w:next w:val="269"/>
    <w:qFormat/>
    <w:uiPriority w:val="0"/>
    <w:pPr>
      <w:spacing w:line="400" w:lineRule="atLeast"/>
    </w:pPr>
    <w:rPr>
      <w:rFonts w:ascii="宋体" w:eastAsia="宋体" w:cs="宋体"/>
      <w:color w:val="auto"/>
    </w:rPr>
  </w:style>
  <w:style w:type="paragraph" w:customStyle="1" w:styleId="398">
    <w:name w:val="Textkörper Einzug negativ"/>
    <w:basedOn w:val="3"/>
    <w:qFormat/>
    <w:uiPriority w:val="0"/>
    <w:pPr>
      <w:tabs>
        <w:tab w:val="left" w:pos="360"/>
      </w:tabs>
      <w:suppressAutoHyphens/>
      <w:overflowPunct w:val="0"/>
      <w:autoSpaceDE w:val="0"/>
      <w:autoSpaceDN w:val="0"/>
      <w:adjustRightInd w:val="0"/>
      <w:spacing w:line="340" w:lineRule="atLeast"/>
      <w:ind w:left="360"/>
      <w:textAlignment w:val="baseline"/>
    </w:pPr>
    <w:rPr>
      <w:rFonts w:ascii="Arial Narrow" w:hAnsi="Arial Narrow" w:cs="Arial Narrow"/>
      <w:kern w:val="0"/>
      <w:sz w:val="22"/>
      <w:szCs w:val="22"/>
      <w:lang w:val="de-DE" w:eastAsia="de-DE"/>
    </w:rPr>
  </w:style>
  <w:style w:type="paragraph" w:customStyle="1" w:styleId="399">
    <w:name w:val="Blockzitat Ende"/>
    <w:basedOn w:val="400"/>
    <w:next w:val="3"/>
    <w:qFormat/>
    <w:uiPriority w:val="0"/>
    <w:pPr>
      <w:spacing w:after="240"/>
    </w:pPr>
  </w:style>
  <w:style w:type="paragraph" w:customStyle="1" w:styleId="400">
    <w:name w:val="Blockzitat"/>
    <w:basedOn w:val="3"/>
    <w:qFormat/>
    <w:uiPriority w:val="0"/>
    <w:pPr>
      <w:keepLines/>
      <w:suppressAutoHyphens/>
      <w:overflowPunct w:val="0"/>
      <w:autoSpaceDE w:val="0"/>
      <w:autoSpaceDN w:val="0"/>
      <w:adjustRightInd w:val="0"/>
      <w:spacing w:line="340" w:lineRule="atLeast"/>
      <w:ind w:left="720" w:right="720"/>
      <w:textAlignment w:val="baseline"/>
    </w:pPr>
    <w:rPr>
      <w:rFonts w:ascii="Arial Narrow" w:hAnsi="Arial Narrow" w:cs="Arial Narrow"/>
      <w:i/>
      <w:iCs/>
      <w:kern w:val="0"/>
      <w:sz w:val="22"/>
      <w:szCs w:val="22"/>
      <w:lang w:val="de-DE" w:eastAsia="de-DE"/>
    </w:rPr>
  </w:style>
  <w:style w:type="paragraph" w:customStyle="1" w:styleId="401">
    <w:name w:val="CM93"/>
    <w:basedOn w:val="269"/>
    <w:next w:val="269"/>
    <w:qFormat/>
    <w:uiPriority w:val="0"/>
    <w:pPr>
      <w:spacing w:after="628"/>
    </w:pPr>
    <w:rPr>
      <w:rFonts w:ascii="宋体" w:eastAsia="宋体" w:cs="宋体"/>
      <w:color w:val="auto"/>
    </w:rPr>
  </w:style>
  <w:style w:type="paragraph" w:customStyle="1" w:styleId="402">
    <w:name w:val="Char Char Char Char Char Char Char1"/>
    <w:basedOn w:val="1"/>
    <w:qFormat/>
    <w:uiPriority w:val="0"/>
    <w:rPr>
      <w:rFonts w:ascii="Times New Roman" w:hAnsi="Times New Roman"/>
      <w:szCs w:val="24"/>
    </w:rPr>
  </w:style>
  <w:style w:type="paragraph" w:customStyle="1" w:styleId="403">
    <w:name w:val="Stichwortverzeichnis Überschrift"/>
    <w:basedOn w:val="1"/>
    <w:next w:val="51"/>
    <w:qFormat/>
    <w:uiPriority w:val="0"/>
    <w:pPr>
      <w:widowControl/>
      <w:overflowPunct w:val="0"/>
      <w:autoSpaceDE w:val="0"/>
      <w:autoSpaceDN w:val="0"/>
      <w:adjustRightInd w:val="0"/>
      <w:spacing w:before="240" w:after="120" w:line="360" w:lineRule="auto"/>
      <w:textAlignment w:val="baseline"/>
    </w:pPr>
    <w:rPr>
      <w:rFonts w:ascii="Arial" w:hAnsi="Arial" w:cs="Arial"/>
      <w:b/>
      <w:bCs/>
      <w:kern w:val="0"/>
      <w:sz w:val="28"/>
      <w:szCs w:val="28"/>
      <w:lang w:val="de-DE" w:eastAsia="de-DE"/>
    </w:rPr>
  </w:style>
  <w:style w:type="paragraph" w:customStyle="1" w:styleId="404">
    <w:name w:val="章标题"/>
    <w:next w:val="405"/>
    <w:qFormat/>
    <w:uiPriority w:val="0"/>
    <w:pPr>
      <w:tabs>
        <w:tab w:val="left" w:pos="840"/>
      </w:tabs>
      <w:spacing w:beforeLines="50"/>
      <w:jc w:val="both"/>
      <w:outlineLvl w:val="1"/>
    </w:pPr>
    <w:rPr>
      <w:rFonts w:ascii="黑体" w:hAnsi="Times New Roman" w:eastAsia="黑体" w:cs="Times New Roman"/>
      <w:sz w:val="21"/>
      <w:lang w:val="en-US" w:eastAsia="zh-CN" w:bidi="ar-SA"/>
    </w:rPr>
  </w:style>
  <w:style w:type="paragraph" w:customStyle="1" w:styleId="40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06">
    <w:name w:val="Zchn Zchn2"/>
    <w:basedOn w:val="20"/>
    <w:qFormat/>
    <w:uiPriority w:val="0"/>
    <w:rPr>
      <w:rFonts w:ascii="Calibri" w:hAnsi="Calibri"/>
      <w:kern w:val="0"/>
      <w:sz w:val="16"/>
      <w:szCs w:val="16"/>
      <w:lang w:val="de-DE" w:eastAsia="de-DE"/>
    </w:rPr>
  </w:style>
  <w:style w:type="paragraph" w:customStyle="1" w:styleId="407">
    <w:name w:val="CM99"/>
    <w:basedOn w:val="269"/>
    <w:next w:val="269"/>
    <w:qFormat/>
    <w:uiPriority w:val="0"/>
    <w:pPr>
      <w:spacing w:after="443"/>
    </w:pPr>
    <w:rPr>
      <w:rFonts w:ascii="宋体" w:eastAsia="宋体" w:cs="宋体"/>
      <w:color w:val="auto"/>
    </w:rPr>
  </w:style>
  <w:style w:type="paragraph" w:customStyle="1" w:styleId="408">
    <w:name w:val="CM89"/>
    <w:basedOn w:val="269"/>
    <w:next w:val="269"/>
    <w:qFormat/>
    <w:uiPriority w:val="0"/>
    <w:pPr>
      <w:spacing w:line="440" w:lineRule="atLeast"/>
    </w:pPr>
    <w:rPr>
      <w:rFonts w:ascii="宋体" w:eastAsia="宋体" w:cs="宋体"/>
      <w:color w:val="auto"/>
    </w:rPr>
  </w:style>
  <w:style w:type="paragraph" w:customStyle="1" w:styleId="409">
    <w:name w:val="2"/>
    <w:basedOn w:val="1"/>
    <w:next w:val="48"/>
    <w:qFormat/>
    <w:uiPriority w:val="0"/>
    <w:pPr>
      <w:spacing w:afterLines="50" w:line="300" w:lineRule="auto"/>
    </w:pPr>
    <w:rPr>
      <w:rFonts w:ascii="Arial" w:hAnsi="Arial" w:cs="Arial"/>
      <w:sz w:val="24"/>
      <w:szCs w:val="24"/>
    </w:rPr>
  </w:style>
  <w:style w:type="paragraph" w:customStyle="1" w:styleId="410">
    <w:name w:val="CM72"/>
    <w:basedOn w:val="269"/>
    <w:next w:val="269"/>
    <w:qFormat/>
    <w:uiPriority w:val="0"/>
    <w:rPr>
      <w:rFonts w:ascii="宋体" w:eastAsia="宋体" w:cs="宋体"/>
      <w:color w:val="auto"/>
    </w:rPr>
  </w:style>
  <w:style w:type="paragraph" w:customStyle="1" w:styleId="411">
    <w:name w:val="CM57"/>
    <w:basedOn w:val="269"/>
    <w:next w:val="269"/>
    <w:qFormat/>
    <w:uiPriority w:val="0"/>
    <w:pPr>
      <w:spacing w:line="400" w:lineRule="atLeast"/>
    </w:pPr>
    <w:rPr>
      <w:rFonts w:ascii="宋体" w:eastAsia="宋体" w:cs="宋体"/>
      <w:color w:val="auto"/>
    </w:rPr>
  </w:style>
  <w:style w:type="paragraph" w:customStyle="1" w:styleId="412">
    <w:name w:val="WW-Überschrift 9"/>
    <w:basedOn w:val="1"/>
    <w:next w:val="3"/>
    <w:qFormat/>
    <w:uiPriority w:val="0"/>
    <w:pPr>
      <w:widowControl/>
      <w:overflowPunct w:val="0"/>
      <w:autoSpaceDE w:val="0"/>
      <w:autoSpaceDN w:val="0"/>
      <w:adjustRightInd w:val="0"/>
      <w:spacing w:before="80" w:after="60" w:line="360" w:lineRule="auto"/>
      <w:ind w:left="6372" w:hanging="708"/>
      <w:textAlignment w:val="baseline"/>
    </w:pPr>
    <w:rPr>
      <w:rFonts w:ascii="Wund" w:hAnsi="Wund" w:cs="Wund"/>
      <w:b/>
      <w:bCs/>
      <w:i/>
      <w:iCs/>
      <w:kern w:val="0"/>
      <w:sz w:val="22"/>
      <w:lang w:val="de-DE" w:eastAsia="de-DE"/>
    </w:rPr>
  </w:style>
  <w:style w:type="paragraph" w:customStyle="1" w:styleId="413">
    <w:name w:val="WW-Überschrift 8"/>
    <w:basedOn w:val="1"/>
    <w:next w:val="3"/>
    <w:qFormat/>
    <w:uiPriority w:val="0"/>
    <w:pPr>
      <w:widowControl/>
      <w:overflowPunct w:val="0"/>
      <w:autoSpaceDE w:val="0"/>
      <w:autoSpaceDN w:val="0"/>
      <w:adjustRightInd w:val="0"/>
      <w:spacing w:before="80" w:after="60" w:line="360" w:lineRule="auto"/>
      <w:ind w:left="5664" w:hanging="708"/>
      <w:textAlignment w:val="baseline"/>
    </w:pPr>
    <w:rPr>
      <w:rFonts w:ascii="Wund" w:hAnsi="Wund" w:cs="Wund"/>
      <w:b/>
      <w:bCs/>
      <w:i/>
      <w:iCs/>
      <w:kern w:val="0"/>
      <w:sz w:val="22"/>
      <w:lang w:val="de-DE" w:eastAsia="de-DE"/>
    </w:rPr>
  </w:style>
  <w:style w:type="paragraph" w:customStyle="1" w:styleId="414">
    <w:name w:val="Kopfzeile rechts"/>
    <w:basedOn w:val="1"/>
    <w:qFormat/>
    <w:uiPriority w:val="0"/>
    <w:pPr>
      <w:widowControl/>
      <w:tabs>
        <w:tab w:val="center" w:pos="4819"/>
        <w:tab w:val="right" w:pos="9639"/>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415">
    <w:name w:val="Kapitelunterüberschrift"/>
    <w:basedOn w:val="1"/>
    <w:next w:val="3"/>
    <w:qFormat/>
    <w:uiPriority w:val="0"/>
    <w:pPr>
      <w:keepLines/>
      <w:widowControl/>
      <w:overflowPunct w:val="0"/>
      <w:autoSpaceDE w:val="0"/>
      <w:autoSpaceDN w:val="0"/>
      <w:adjustRightInd w:val="0"/>
      <w:spacing w:before="360" w:after="360" w:line="360" w:lineRule="auto"/>
      <w:jc w:val="center"/>
      <w:textAlignment w:val="baseline"/>
    </w:pPr>
    <w:rPr>
      <w:rFonts w:ascii="Arial" w:hAnsi="Arial" w:cs="Arial"/>
      <w:i/>
      <w:iCs/>
      <w:kern w:val="0"/>
      <w:sz w:val="28"/>
      <w:szCs w:val="28"/>
      <w:lang w:val="de-DE" w:eastAsia="de-DE"/>
    </w:rPr>
  </w:style>
  <w:style w:type="paragraph" w:customStyle="1" w:styleId="416">
    <w:name w:val="Basis-Fußnote"/>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18"/>
      <w:szCs w:val="18"/>
      <w:lang w:val="de-DE" w:eastAsia="de-DE"/>
    </w:rPr>
  </w:style>
  <w:style w:type="paragraph" w:customStyle="1" w:styleId="417">
    <w:name w:val="CM94"/>
    <w:basedOn w:val="269"/>
    <w:next w:val="269"/>
    <w:qFormat/>
    <w:uiPriority w:val="0"/>
    <w:pPr>
      <w:spacing w:after="63"/>
    </w:pPr>
    <w:rPr>
      <w:rFonts w:ascii="宋体" w:eastAsia="宋体" w:cs="宋体"/>
      <w:color w:val="auto"/>
    </w:rPr>
  </w:style>
  <w:style w:type="paragraph" w:customStyle="1" w:styleId="418">
    <w:name w:val="WW-Listenfortsetzung 5"/>
    <w:basedOn w:val="384"/>
    <w:qFormat/>
    <w:uiPriority w:val="0"/>
    <w:pPr>
      <w:ind w:left="2160"/>
    </w:pPr>
  </w:style>
  <w:style w:type="paragraph" w:customStyle="1" w:styleId="419">
    <w:name w:val="CM32"/>
    <w:basedOn w:val="269"/>
    <w:next w:val="269"/>
    <w:qFormat/>
    <w:uiPriority w:val="0"/>
    <w:pPr>
      <w:spacing w:after="383"/>
    </w:pPr>
    <w:rPr>
      <w:rFonts w:ascii="Century Gothic" w:hAnsi="Century Gothic" w:eastAsia="宋体" w:cs="Century Gothic"/>
      <w:color w:val="auto"/>
    </w:rPr>
  </w:style>
  <w:style w:type="paragraph" w:customStyle="1" w:styleId="420">
    <w:name w:val="CM96"/>
    <w:basedOn w:val="269"/>
    <w:next w:val="269"/>
    <w:qFormat/>
    <w:uiPriority w:val="0"/>
    <w:pPr>
      <w:spacing w:after="298"/>
    </w:pPr>
    <w:rPr>
      <w:rFonts w:ascii="宋体" w:eastAsia="宋体" w:cs="宋体"/>
      <w:color w:val="auto"/>
    </w:rPr>
  </w:style>
  <w:style w:type="paragraph" w:customStyle="1" w:styleId="421">
    <w:name w:val="font10"/>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422">
    <w:name w:val="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23">
    <w:name w:val="Char1 Char Char Char Char Char1 Char"/>
    <w:basedOn w:val="1"/>
    <w:qFormat/>
    <w:uiPriority w:val="0"/>
    <w:pPr>
      <w:spacing w:line="360" w:lineRule="auto"/>
      <w:jc w:val="left"/>
    </w:pPr>
    <w:rPr>
      <w:rFonts w:ascii="Times New Roman" w:hAnsi="Times New Roman" w:eastAsia="仿宋_GB2312"/>
      <w:b/>
      <w:bCs/>
      <w:sz w:val="32"/>
      <w:szCs w:val="32"/>
    </w:rPr>
  </w:style>
  <w:style w:type="paragraph" w:customStyle="1" w:styleId="424">
    <w:name w:val="CM49"/>
    <w:basedOn w:val="269"/>
    <w:next w:val="269"/>
    <w:qFormat/>
    <w:uiPriority w:val="0"/>
    <w:pPr>
      <w:spacing w:line="440" w:lineRule="atLeast"/>
    </w:pPr>
    <w:rPr>
      <w:rFonts w:ascii="宋体" w:eastAsia="宋体" w:cs="宋体"/>
      <w:color w:val="auto"/>
    </w:rPr>
  </w:style>
  <w:style w:type="paragraph" w:customStyle="1" w:styleId="425">
    <w:name w:val="CM1"/>
    <w:basedOn w:val="269"/>
    <w:next w:val="269"/>
    <w:qFormat/>
    <w:uiPriority w:val="0"/>
    <w:rPr>
      <w:rFonts w:ascii="宋体" w:eastAsia="宋体" w:cs="宋体"/>
      <w:color w:val="auto"/>
    </w:rPr>
  </w:style>
  <w:style w:type="paragraph" w:customStyle="1" w:styleId="426">
    <w:name w:val="WW-Listennummer 3"/>
    <w:basedOn w:val="427"/>
    <w:qFormat/>
    <w:uiPriority w:val="0"/>
    <w:pPr>
      <w:tabs>
        <w:tab w:val="left" w:pos="720"/>
      </w:tabs>
      <w:ind w:left="1440"/>
    </w:pPr>
  </w:style>
  <w:style w:type="paragraph" w:customStyle="1" w:styleId="427">
    <w:name w:val="WW-Listennummer"/>
    <w:basedOn w:val="19"/>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28">
    <w:name w:val="CM6"/>
    <w:basedOn w:val="269"/>
    <w:next w:val="269"/>
    <w:qFormat/>
    <w:uiPriority w:val="0"/>
    <w:pPr>
      <w:spacing w:line="318" w:lineRule="atLeast"/>
    </w:pPr>
    <w:rPr>
      <w:rFonts w:ascii="宋体" w:eastAsia="宋体" w:cs="宋体"/>
      <w:color w:val="auto"/>
    </w:rPr>
  </w:style>
  <w:style w:type="paragraph" w:customStyle="1" w:styleId="429">
    <w:name w:val="p16"/>
    <w:basedOn w:val="1"/>
    <w:qFormat/>
    <w:uiPriority w:val="0"/>
    <w:pPr>
      <w:widowControl/>
      <w:spacing w:line="420" w:lineRule="atLeast"/>
      <w:ind w:firstLine="525"/>
    </w:pPr>
    <w:rPr>
      <w:rFonts w:ascii="宋体" w:hAnsi="宋体" w:cs="宋体"/>
      <w:kern w:val="0"/>
      <w:szCs w:val="21"/>
    </w:rPr>
  </w:style>
  <w:style w:type="paragraph" w:customStyle="1" w:styleId="430">
    <w:name w:val="CM25"/>
    <w:basedOn w:val="269"/>
    <w:next w:val="269"/>
    <w:qFormat/>
    <w:uiPriority w:val="0"/>
    <w:pPr>
      <w:spacing w:line="440" w:lineRule="atLeast"/>
    </w:pPr>
    <w:rPr>
      <w:rFonts w:ascii="宋体" w:eastAsia="宋体" w:cs="宋体"/>
      <w:color w:val="auto"/>
    </w:rPr>
  </w:style>
  <w:style w:type="paragraph" w:customStyle="1" w:styleId="431">
    <w:name w:val="Aufzählung 1 Fortsetzung"/>
    <w:basedOn w:val="19"/>
    <w:qFormat/>
    <w:uiPriority w:val="0"/>
    <w:pPr>
      <w:tabs>
        <w:tab w:val="left" w:pos="720"/>
      </w:tabs>
      <w:suppressAutoHyphens/>
      <w:overflowPunct w:val="0"/>
      <w:autoSpaceDE w:val="0"/>
      <w:autoSpaceDN w:val="0"/>
      <w:spacing w:after="120" w:line="340" w:lineRule="atLeast"/>
      <w:ind w:left="283" w:firstLine="0"/>
      <w:jc w:val="both"/>
      <w:textAlignment w:val="baseline"/>
    </w:pPr>
    <w:rPr>
      <w:rFonts w:hint="default" w:ascii="Arial Narrow" w:hAnsi="Arial Narrow" w:cs="Arial Narrow"/>
      <w:sz w:val="22"/>
      <w:szCs w:val="22"/>
      <w:lang w:val="de-DE" w:eastAsia="de-DE"/>
    </w:rPr>
  </w:style>
  <w:style w:type="paragraph" w:customStyle="1" w:styleId="432">
    <w:name w:val="Adresse"/>
    <w:basedOn w:val="1"/>
    <w:qFormat/>
    <w:uiPriority w:val="0"/>
    <w:pPr>
      <w:widowControl/>
      <w:overflowPunct w:val="0"/>
      <w:autoSpaceDE w:val="0"/>
      <w:autoSpaceDN w:val="0"/>
      <w:adjustRightInd w:val="0"/>
      <w:spacing w:after="120"/>
      <w:jc w:val="left"/>
      <w:textAlignment w:val="baseline"/>
    </w:pPr>
    <w:rPr>
      <w:rFonts w:ascii="Wund" w:hAnsi="Wund" w:cs="Wund"/>
      <w:kern w:val="0"/>
      <w:sz w:val="22"/>
      <w:lang w:val="de-DE" w:eastAsia="de-DE"/>
    </w:rPr>
  </w:style>
  <w:style w:type="paragraph" w:customStyle="1" w:styleId="433">
    <w:name w:val="Kopfzeile Erste"/>
    <w:basedOn w:val="37"/>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120" w:line="360" w:lineRule="auto"/>
      <w:textAlignment w:val="baseline"/>
    </w:pPr>
    <w:rPr>
      <w:rFonts w:ascii="Wund" w:hAnsi="Wund"/>
      <w:kern w:val="0"/>
      <w:lang w:val="de-DE" w:eastAsia="de-DE"/>
    </w:rPr>
  </w:style>
  <w:style w:type="paragraph" w:customStyle="1" w:styleId="434">
    <w:name w:val="Kapitelbezeichnung"/>
    <w:basedOn w:val="1"/>
    <w:next w:val="1"/>
    <w:qFormat/>
    <w:uiPriority w:val="0"/>
    <w:pPr>
      <w:widowControl/>
      <w:overflowPunct w:val="0"/>
      <w:autoSpaceDE w:val="0"/>
      <w:autoSpaceDN w:val="0"/>
      <w:adjustRightInd w:val="0"/>
      <w:spacing w:before="360" w:after="120" w:line="360" w:lineRule="auto"/>
      <w:jc w:val="center"/>
      <w:textAlignment w:val="baseline"/>
    </w:pPr>
    <w:rPr>
      <w:rFonts w:ascii="Arial" w:hAnsi="Arial" w:cs="Arial"/>
      <w:b/>
      <w:bCs/>
      <w:kern w:val="0"/>
      <w:sz w:val="22"/>
      <w:u w:val="single"/>
      <w:lang w:val="de-DE" w:eastAsia="de-DE"/>
    </w:rPr>
  </w:style>
  <w:style w:type="paragraph" w:customStyle="1" w:styleId="435">
    <w:name w:val="Liste Anfang"/>
    <w:basedOn w:val="19"/>
    <w:next w:val="19"/>
    <w:qFormat/>
    <w:uiPriority w:val="0"/>
    <w:pPr>
      <w:tabs>
        <w:tab w:val="left" w:pos="720"/>
      </w:tabs>
      <w:suppressAutoHyphens/>
      <w:overflowPunct w:val="0"/>
      <w:autoSpaceDE w:val="0"/>
      <w:autoSpaceDN w:val="0"/>
      <w:spacing w:before="80" w:after="8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36">
    <w:name w:val="CM33"/>
    <w:basedOn w:val="269"/>
    <w:next w:val="269"/>
    <w:qFormat/>
    <w:uiPriority w:val="0"/>
    <w:pPr>
      <w:spacing w:line="240" w:lineRule="atLeast"/>
    </w:pPr>
    <w:rPr>
      <w:rFonts w:ascii="宋体" w:eastAsia="宋体" w:cs="宋体"/>
      <w:color w:val="auto"/>
    </w:rPr>
  </w:style>
  <w:style w:type="paragraph" w:customStyle="1" w:styleId="437">
    <w:name w:val="WW-Listennummer 4"/>
    <w:basedOn w:val="427"/>
    <w:qFormat/>
    <w:uiPriority w:val="0"/>
    <w:pPr>
      <w:ind w:left="1800"/>
    </w:pPr>
  </w:style>
  <w:style w:type="paragraph" w:customStyle="1" w:styleId="438">
    <w:name w:val="Kapitelüberschrift"/>
    <w:basedOn w:val="1"/>
    <w:next w:val="415"/>
    <w:qFormat/>
    <w:uiPriority w:val="0"/>
    <w:pPr>
      <w:keepLines/>
      <w:widowControl/>
      <w:overflowPunct w:val="0"/>
      <w:autoSpaceDE w:val="0"/>
      <w:autoSpaceDN w:val="0"/>
      <w:adjustRightInd w:val="0"/>
      <w:spacing w:before="600" w:after="120" w:line="360" w:lineRule="auto"/>
      <w:jc w:val="center"/>
      <w:textAlignment w:val="baseline"/>
    </w:pPr>
    <w:rPr>
      <w:rFonts w:ascii="Arial" w:hAnsi="Arial" w:cs="Arial"/>
      <w:b/>
      <w:bCs/>
      <w:kern w:val="0"/>
      <w:sz w:val="32"/>
      <w:szCs w:val="32"/>
      <w:lang w:val="de-DE" w:eastAsia="de-DE"/>
    </w:rPr>
  </w:style>
  <w:style w:type="paragraph" w:customStyle="1" w:styleId="439">
    <w:name w:val="WW-Index 9"/>
    <w:basedOn w:val="1"/>
    <w:qFormat/>
    <w:uiPriority w:val="0"/>
    <w:pPr>
      <w:widowControl/>
      <w:tabs>
        <w:tab w:val="right" w:leader="dot" w:pos="3960"/>
      </w:tabs>
      <w:overflowPunct w:val="0"/>
      <w:autoSpaceDE w:val="0"/>
      <w:autoSpaceDN w:val="0"/>
      <w:adjustRightInd w:val="0"/>
      <w:spacing w:after="120" w:line="360" w:lineRule="auto"/>
      <w:ind w:left="2880" w:hanging="720"/>
      <w:textAlignment w:val="baseline"/>
    </w:pPr>
    <w:rPr>
      <w:rFonts w:ascii="Wund" w:hAnsi="Wund" w:cs="Wund"/>
      <w:kern w:val="0"/>
      <w:sz w:val="22"/>
      <w:lang w:val="de-DE" w:eastAsia="de-DE"/>
    </w:rPr>
  </w:style>
  <w:style w:type="paragraph" w:customStyle="1" w:styleId="440">
    <w:name w:val="CM20"/>
    <w:basedOn w:val="269"/>
    <w:next w:val="269"/>
    <w:qFormat/>
    <w:uiPriority w:val="0"/>
    <w:pPr>
      <w:spacing w:line="400" w:lineRule="atLeast"/>
    </w:pPr>
    <w:rPr>
      <w:rFonts w:ascii="宋体" w:eastAsia="宋体" w:cs="宋体"/>
      <w:color w:val="auto"/>
    </w:rPr>
  </w:style>
  <w:style w:type="paragraph" w:customStyle="1" w:styleId="441">
    <w:name w:val="日期1"/>
    <w:basedOn w:val="3"/>
    <w:qFormat/>
    <w:uiPriority w:val="0"/>
    <w:pPr>
      <w:suppressAutoHyphens/>
      <w:overflowPunct w:val="0"/>
      <w:autoSpaceDE w:val="0"/>
      <w:autoSpaceDN w:val="0"/>
      <w:adjustRightInd w:val="0"/>
      <w:spacing w:before="480" w:line="340" w:lineRule="atLeast"/>
      <w:textAlignment w:val="baseline"/>
    </w:pPr>
    <w:rPr>
      <w:rFonts w:ascii="Arial Narrow" w:hAnsi="Arial Narrow" w:cs="Arial Narrow"/>
      <w:b/>
      <w:bCs/>
      <w:kern w:val="0"/>
      <w:sz w:val="22"/>
      <w:szCs w:val="22"/>
      <w:lang w:val="de-DE" w:eastAsia="de-DE"/>
    </w:rPr>
  </w:style>
  <w:style w:type="paragraph" w:customStyle="1" w:styleId="442">
    <w:name w:val="CM97"/>
    <w:basedOn w:val="269"/>
    <w:next w:val="269"/>
    <w:qFormat/>
    <w:uiPriority w:val="0"/>
    <w:pPr>
      <w:spacing w:after="373"/>
    </w:pPr>
    <w:rPr>
      <w:rFonts w:ascii="宋体" w:eastAsia="宋体" w:cs="宋体"/>
      <w:color w:val="auto"/>
    </w:rPr>
  </w:style>
  <w:style w:type="paragraph" w:customStyle="1" w:styleId="443">
    <w:name w:val="Firmenname"/>
    <w:basedOn w:val="3"/>
    <w:next w:val="1"/>
    <w:qFormat/>
    <w:uiPriority w:val="0"/>
    <w:pPr>
      <w:suppressAutoHyphens/>
      <w:overflowPunct w:val="0"/>
      <w:autoSpaceDE w:val="0"/>
      <w:autoSpaceDN w:val="0"/>
      <w:adjustRightInd w:val="0"/>
      <w:spacing w:before="80"/>
      <w:jc w:val="right"/>
      <w:textAlignment w:val="baseline"/>
    </w:pPr>
    <w:rPr>
      <w:b/>
      <w:bCs/>
      <w:kern w:val="0"/>
      <w:sz w:val="20"/>
      <w:lang w:val="de-DE" w:eastAsia="de-DE"/>
    </w:rPr>
  </w:style>
  <w:style w:type="paragraph" w:customStyle="1" w:styleId="444">
    <w:name w:val="WW-Index 6"/>
    <w:basedOn w:val="1"/>
    <w:qFormat/>
    <w:uiPriority w:val="0"/>
    <w:pPr>
      <w:widowControl/>
      <w:tabs>
        <w:tab w:val="right" w:leader="dot" w:pos="3960"/>
      </w:tabs>
      <w:overflowPunct w:val="0"/>
      <w:autoSpaceDE w:val="0"/>
      <w:autoSpaceDN w:val="0"/>
      <w:adjustRightInd w:val="0"/>
      <w:spacing w:after="120" w:line="360" w:lineRule="auto"/>
      <w:ind w:left="1800" w:hanging="720"/>
      <w:textAlignment w:val="baseline"/>
    </w:pPr>
    <w:rPr>
      <w:rFonts w:ascii="Wund" w:hAnsi="Wund" w:cs="Wund"/>
      <w:kern w:val="0"/>
      <w:sz w:val="22"/>
      <w:lang w:val="de-DE" w:eastAsia="de-DE"/>
    </w:rPr>
  </w:style>
  <w:style w:type="paragraph" w:customStyle="1" w:styleId="445">
    <w:name w:val="CM92"/>
    <w:basedOn w:val="269"/>
    <w:next w:val="269"/>
    <w:qFormat/>
    <w:uiPriority w:val="0"/>
    <w:pPr>
      <w:spacing w:after="530"/>
    </w:pPr>
    <w:rPr>
      <w:rFonts w:ascii="宋体" w:eastAsia="宋体" w:cs="宋体"/>
      <w:color w:val="auto"/>
    </w:rPr>
  </w:style>
  <w:style w:type="paragraph" w:customStyle="1" w:styleId="446">
    <w:name w:val="CM48"/>
    <w:basedOn w:val="269"/>
    <w:next w:val="269"/>
    <w:qFormat/>
    <w:uiPriority w:val="0"/>
    <w:pPr>
      <w:spacing w:line="540" w:lineRule="atLeast"/>
    </w:pPr>
    <w:rPr>
      <w:rFonts w:ascii="宋体" w:eastAsia="宋体" w:cs="宋体"/>
      <w:color w:val="auto"/>
    </w:rPr>
  </w:style>
  <w:style w:type="paragraph" w:customStyle="1" w:styleId="447">
    <w:name w:val="WW-Verzeichnis 8"/>
    <w:basedOn w:val="1"/>
    <w:qFormat/>
    <w:uiPriority w:val="0"/>
    <w:pPr>
      <w:widowControl/>
      <w:tabs>
        <w:tab w:val="right" w:leader="dot" w:pos="9072"/>
      </w:tabs>
      <w:overflowPunct w:val="0"/>
      <w:autoSpaceDE w:val="0"/>
      <w:autoSpaceDN w:val="0"/>
      <w:adjustRightInd w:val="0"/>
      <w:spacing w:after="120" w:line="360" w:lineRule="auto"/>
      <w:ind w:left="1440"/>
      <w:jc w:val="left"/>
      <w:textAlignment w:val="baseline"/>
    </w:pPr>
    <w:rPr>
      <w:rFonts w:ascii="Times New Roman" w:hAnsi="Times New Roman"/>
      <w:kern w:val="0"/>
      <w:sz w:val="18"/>
      <w:szCs w:val="18"/>
      <w:lang w:val="de-DE" w:eastAsia="de-DE"/>
    </w:rPr>
  </w:style>
  <w:style w:type="paragraph" w:customStyle="1" w:styleId="448">
    <w:name w:val="CM18"/>
    <w:basedOn w:val="269"/>
    <w:next w:val="269"/>
    <w:qFormat/>
    <w:uiPriority w:val="0"/>
    <w:pPr>
      <w:spacing w:line="313" w:lineRule="atLeast"/>
    </w:pPr>
    <w:rPr>
      <w:rFonts w:ascii="宋体" w:eastAsia="宋体" w:cs="宋体"/>
      <w:color w:val="auto"/>
    </w:rPr>
  </w:style>
  <w:style w:type="paragraph" w:customStyle="1" w:styleId="449">
    <w:name w:val="Blockzitat Anfang"/>
    <w:basedOn w:val="400"/>
    <w:next w:val="400"/>
    <w:qFormat/>
    <w:uiPriority w:val="0"/>
    <w:pPr>
      <w:spacing w:before="120"/>
    </w:pPr>
  </w:style>
  <w:style w:type="paragraph" w:customStyle="1" w:styleId="450">
    <w:name w:val="Zchn Zchn"/>
    <w:basedOn w:val="20"/>
    <w:qFormat/>
    <w:uiPriority w:val="0"/>
    <w:rPr>
      <w:rFonts w:ascii="Calibri" w:hAnsi="Calibri"/>
      <w:sz w:val="24"/>
      <w:szCs w:val="24"/>
    </w:rPr>
  </w:style>
  <w:style w:type="paragraph" w:customStyle="1" w:styleId="451">
    <w:name w:val="CM28"/>
    <w:basedOn w:val="269"/>
    <w:next w:val="269"/>
    <w:qFormat/>
    <w:uiPriority w:val="0"/>
    <w:rPr>
      <w:rFonts w:ascii="宋体" w:eastAsia="宋体" w:cs="宋体"/>
      <w:color w:val="auto"/>
    </w:rPr>
  </w:style>
  <w:style w:type="paragraph" w:customStyle="1" w:styleId="45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53">
    <w:name w:val="CM15"/>
    <w:basedOn w:val="269"/>
    <w:next w:val="269"/>
    <w:qFormat/>
    <w:uiPriority w:val="0"/>
    <w:pPr>
      <w:spacing w:line="313" w:lineRule="atLeast"/>
    </w:pPr>
    <w:rPr>
      <w:rFonts w:ascii="宋体" w:eastAsia="宋体" w:cs="宋体"/>
      <w:color w:val="auto"/>
    </w:rPr>
  </w:style>
  <w:style w:type="paragraph" w:customStyle="1" w:styleId="454">
    <w:name w:val="CM91"/>
    <w:basedOn w:val="269"/>
    <w:next w:val="269"/>
    <w:qFormat/>
    <w:uiPriority w:val="0"/>
    <w:pPr>
      <w:spacing w:after="160"/>
    </w:pPr>
    <w:rPr>
      <w:rFonts w:ascii="宋体" w:eastAsia="宋体" w:cs="宋体"/>
      <w:color w:val="auto"/>
    </w:rPr>
  </w:style>
  <w:style w:type="paragraph" w:customStyle="1" w:styleId="455">
    <w:name w:val="CM4"/>
    <w:basedOn w:val="269"/>
    <w:next w:val="269"/>
    <w:qFormat/>
    <w:uiPriority w:val="0"/>
    <w:rPr>
      <w:rFonts w:ascii="宋体" w:eastAsia="宋体" w:cs="宋体"/>
      <w:color w:val="auto"/>
    </w:rPr>
  </w:style>
  <w:style w:type="paragraph" w:customStyle="1" w:styleId="456">
    <w:name w:val="CM65"/>
    <w:basedOn w:val="269"/>
    <w:next w:val="269"/>
    <w:qFormat/>
    <w:uiPriority w:val="0"/>
    <w:rPr>
      <w:rFonts w:ascii="宋体" w:eastAsia="宋体" w:cs="宋体"/>
      <w:color w:val="auto"/>
    </w:rPr>
  </w:style>
  <w:style w:type="paragraph" w:customStyle="1" w:styleId="457">
    <w:name w:val="CM174"/>
    <w:basedOn w:val="269"/>
    <w:next w:val="269"/>
    <w:qFormat/>
    <w:uiPriority w:val="0"/>
    <w:pPr>
      <w:spacing w:after="238"/>
    </w:pPr>
    <w:rPr>
      <w:rFonts w:ascii="宋体" w:eastAsia="宋体" w:cs="宋体"/>
      <w:color w:val="auto"/>
    </w:rPr>
  </w:style>
  <w:style w:type="paragraph" w:customStyle="1" w:styleId="458">
    <w:name w:val="WW-Index 4"/>
    <w:basedOn w:val="1"/>
    <w:qFormat/>
    <w:uiPriority w:val="0"/>
    <w:pPr>
      <w:widowControl/>
      <w:tabs>
        <w:tab w:val="right" w:leader="dot" w:pos="3960"/>
      </w:tabs>
      <w:overflowPunct w:val="0"/>
      <w:autoSpaceDE w:val="0"/>
      <w:autoSpaceDN w:val="0"/>
      <w:adjustRightInd w:val="0"/>
      <w:spacing w:after="120" w:line="360" w:lineRule="auto"/>
      <w:ind w:left="1800" w:hanging="720"/>
      <w:textAlignment w:val="baseline"/>
    </w:pPr>
    <w:rPr>
      <w:rFonts w:ascii="Wund" w:hAnsi="Wund" w:cs="Wund"/>
      <w:kern w:val="0"/>
      <w:sz w:val="22"/>
      <w:lang w:val="de-DE" w:eastAsia="de-DE"/>
    </w:rPr>
  </w:style>
  <w:style w:type="paragraph" w:customStyle="1" w:styleId="459">
    <w:name w:val="标书---正文"/>
    <w:qFormat/>
    <w:uiPriority w:val="0"/>
    <w:pPr>
      <w:spacing w:line="276" w:lineRule="auto"/>
      <w:ind w:firstLine="200" w:firstLineChars="200"/>
    </w:pPr>
    <w:rPr>
      <w:rFonts w:ascii="宋体" w:hAnsi="Times New Roman" w:eastAsia="宋体" w:cs="Times New Roman"/>
      <w:kern w:val="2"/>
      <w:sz w:val="21"/>
      <w:lang w:val="en-US" w:eastAsia="zh-CN" w:bidi="ar-SA"/>
    </w:rPr>
  </w:style>
  <w:style w:type="paragraph" w:customStyle="1" w:styleId="460">
    <w:name w:val="Unterüberschrift Titelseite"/>
    <w:basedOn w:val="1"/>
    <w:next w:val="3"/>
    <w:qFormat/>
    <w:uiPriority w:val="0"/>
    <w:pPr>
      <w:widowControl/>
      <w:overflowPunct w:val="0"/>
      <w:autoSpaceDE w:val="0"/>
      <w:autoSpaceDN w:val="0"/>
      <w:adjustRightInd w:val="0"/>
      <w:spacing w:before="240" w:after="160" w:line="360" w:lineRule="auto"/>
      <w:jc w:val="center"/>
      <w:textAlignment w:val="baseline"/>
    </w:pPr>
    <w:rPr>
      <w:rFonts w:ascii="Arial" w:hAnsi="Arial" w:cs="Arial"/>
      <w:i/>
      <w:iCs/>
      <w:kern w:val="0"/>
      <w:sz w:val="36"/>
      <w:szCs w:val="36"/>
      <w:lang w:val="de-DE" w:eastAsia="de-DE"/>
    </w:rPr>
  </w:style>
  <w:style w:type="paragraph" w:customStyle="1" w:styleId="461">
    <w:name w:val="Überschrift Titelseite"/>
    <w:basedOn w:val="462"/>
    <w:next w:val="460"/>
    <w:qFormat/>
    <w:uiPriority w:val="0"/>
    <w:pPr>
      <w:spacing w:before="720" w:after="160"/>
      <w:jc w:val="center"/>
    </w:pPr>
    <w:rPr>
      <w:sz w:val="48"/>
      <w:szCs w:val="48"/>
    </w:rPr>
  </w:style>
  <w:style w:type="paragraph" w:customStyle="1" w:styleId="462">
    <w:name w:val="Basis-Überschrift"/>
    <w:basedOn w:val="1"/>
    <w:next w:val="3"/>
    <w:qFormat/>
    <w:uiPriority w:val="0"/>
    <w:pPr>
      <w:keepLines/>
      <w:widowControl/>
      <w:overflowPunct w:val="0"/>
      <w:autoSpaceDE w:val="0"/>
      <w:autoSpaceDN w:val="0"/>
      <w:adjustRightInd w:val="0"/>
      <w:spacing w:before="240" w:after="120" w:line="360" w:lineRule="auto"/>
      <w:textAlignment w:val="baseline"/>
    </w:pPr>
    <w:rPr>
      <w:rFonts w:ascii="Arial" w:hAnsi="Arial" w:cs="Arial"/>
      <w:b/>
      <w:bCs/>
      <w:kern w:val="0"/>
      <w:sz w:val="36"/>
      <w:szCs w:val="36"/>
      <w:lang w:val="de-DE" w:eastAsia="de-DE"/>
    </w:rPr>
  </w:style>
  <w:style w:type="paragraph" w:customStyle="1" w:styleId="463">
    <w:name w:val="Kopfzeile links"/>
    <w:basedOn w:val="1"/>
    <w:qFormat/>
    <w:uiPriority w:val="0"/>
    <w:pPr>
      <w:widowControl/>
      <w:tabs>
        <w:tab w:val="center" w:pos="4819"/>
        <w:tab w:val="right" w:pos="9639"/>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464">
    <w:name w:val="CM12"/>
    <w:basedOn w:val="269"/>
    <w:next w:val="269"/>
    <w:qFormat/>
    <w:uiPriority w:val="0"/>
    <w:pPr>
      <w:spacing w:line="286" w:lineRule="atLeast"/>
    </w:pPr>
    <w:rPr>
      <w:rFonts w:ascii="宋体" w:eastAsia="宋体" w:cs="宋体"/>
      <w:color w:val="auto"/>
    </w:rPr>
  </w:style>
  <w:style w:type="paragraph" w:customStyle="1" w:styleId="465">
    <w:name w:val="Grafik"/>
    <w:basedOn w:val="3"/>
    <w:next w:val="17"/>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466">
    <w:name w:val="WW-Aufzählungszeichen 4"/>
    <w:basedOn w:val="467"/>
    <w:qFormat/>
    <w:uiPriority w:val="0"/>
    <w:pPr>
      <w:tabs>
        <w:tab w:val="left" w:pos="720"/>
      </w:tabs>
      <w:ind w:left="1800"/>
    </w:pPr>
  </w:style>
  <w:style w:type="paragraph" w:customStyle="1" w:styleId="467">
    <w:name w:val="WW-Aufzählungszeichen"/>
    <w:basedOn w:val="19"/>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68">
    <w:name w:val="xl23"/>
    <w:basedOn w:val="1"/>
    <w:qFormat/>
    <w:uiPriority w:val="0"/>
    <w:pPr>
      <w:widowControl/>
      <w:shd w:val="clear" w:color="auto" w:fill="FFFFFF"/>
      <w:spacing w:before="100" w:beforeAutospacing="1" w:after="100" w:afterAutospacing="1"/>
      <w:jc w:val="center"/>
    </w:pPr>
    <w:rPr>
      <w:rFonts w:ascii="黑体" w:hAnsi="黑体" w:eastAsia="黑体" w:cs="宋体"/>
      <w:b/>
      <w:bCs/>
      <w:color w:val="000000"/>
      <w:kern w:val="0"/>
      <w:sz w:val="36"/>
      <w:szCs w:val="36"/>
    </w:rPr>
  </w:style>
  <w:style w:type="paragraph" w:customStyle="1" w:styleId="469">
    <w:name w:val="Bezeichnung"/>
    <w:basedOn w:val="1"/>
    <w:qFormat/>
    <w:uiPriority w:val="0"/>
    <w:pPr>
      <w:widowControl/>
      <w:overflowPunct w:val="0"/>
      <w:autoSpaceDE w:val="0"/>
      <w:autoSpaceDN w:val="0"/>
      <w:adjustRightInd w:val="0"/>
      <w:spacing w:before="240" w:after="360" w:line="360" w:lineRule="auto"/>
      <w:textAlignment w:val="baseline"/>
    </w:pPr>
    <w:rPr>
      <w:rFonts w:ascii="Wund" w:hAnsi="Wund" w:cs="Wund"/>
      <w:b/>
      <w:bCs/>
      <w:kern w:val="0"/>
      <w:sz w:val="36"/>
      <w:szCs w:val="36"/>
      <w:lang w:val="de-DE" w:eastAsia="de-DE"/>
    </w:rPr>
  </w:style>
  <w:style w:type="paragraph" w:customStyle="1" w:styleId="470">
    <w:name w:val="Liste Ende"/>
    <w:basedOn w:val="19"/>
    <w:next w:val="3"/>
    <w:qFormat/>
    <w:uiPriority w:val="0"/>
    <w:pPr>
      <w:tabs>
        <w:tab w:val="left" w:pos="720"/>
      </w:tabs>
      <w:suppressAutoHyphens/>
      <w:overflowPunct w:val="0"/>
      <w:autoSpaceDE w:val="0"/>
      <w:autoSpaceDN w:val="0"/>
      <w:spacing w:after="24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71">
    <w:name w:val="CM125"/>
    <w:basedOn w:val="269"/>
    <w:next w:val="269"/>
    <w:qFormat/>
    <w:uiPriority w:val="0"/>
    <w:pPr>
      <w:spacing w:after="140"/>
    </w:pPr>
    <w:rPr>
      <w:rFonts w:ascii="宋体" w:eastAsia="宋体" w:cs="宋体"/>
      <w:color w:val="auto"/>
    </w:rPr>
  </w:style>
  <w:style w:type="paragraph" w:customStyle="1" w:styleId="472">
    <w:name w:val="CM103"/>
    <w:basedOn w:val="269"/>
    <w:next w:val="269"/>
    <w:qFormat/>
    <w:uiPriority w:val="0"/>
    <w:pPr>
      <w:spacing w:after="1508"/>
    </w:pPr>
    <w:rPr>
      <w:rFonts w:ascii="宋体" w:eastAsia="宋体" w:cs="宋体"/>
      <w:color w:val="auto"/>
    </w:rPr>
  </w:style>
  <w:style w:type="paragraph" w:customStyle="1" w:styleId="473">
    <w:name w:val="CM69"/>
    <w:basedOn w:val="269"/>
    <w:next w:val="269"/>
    <w:qFormat/>
    <w:uiPriority w:val="0"/>
    <w:pPr>
      <w:spacing w:line="400" w:lineRule="atLeast"/>
    </w:pPr>
    <w:rPr>
      <w:rFonts w:ascii="宋体" w:eastAsia="宋体" w:cs="宋体"/>
      <w:color w:val="auto"/>
    </w:rPr>
  </w:style>
  <w:style w:type="paragraph" w:customStyle="1" w:styleId="474">
    <w:name w:val="Basis-Index"/>
    <w:basedOn w:val="1"/>
    <w:qFormat/>
    <w:uiPriority w:val="0"/>
    <w:pPr>
      <w:widowControl/>
      <w:tabs>
        <w:tab w:val="right" w:leader="dot" w:pos="3960"/>
      </w:tabs>
      <w:overflowPunct w:val="0"/>
      <w:autoSpaceDE w:val="0"/>
      <w:autoSpaceDN w:val="0"/>
      <w:adjustRightInd w:val="0"/>
      <w:spacing w:after="120" w:line="360" w:lineRule="auto"/>
      <w:ind w:left="720" w:hanging="720"/>
      <w:textAlignment w:val="baseline"/>
    </w:pPr>
    <w:rPr>
      <w:rFonts w:ascii="Wund" w:hAnsi="Wund" w:cs="Wund"/>
      <w:kern w:val="0"/>
      <w:sz w:val="22"/>
      <w:lang w:val="de-DE" w:eastAsia="de-DE"/>
    </w:rPr>
  </w:style>
  <w:style w:type="paragraph" w:customStyle="1" w:styleId="475">
    <w:name w:val="Decimal Aligned"/>
    <w:basedOn w:val="1"/>
    <w:qFormat/>
    <w:uiPriority w:val="40"/>
    <w:pPr>
      <w:widowControl/>
      <w:tabs>
        <w:tab w:val="decimal" w:pos="360"/>
      </w:tabs>
      <w:spacing w:after="200" w:line="276" w:lineRule="auto"/>
      <w:jc w:val="left"/>
    </w:pPr>
    <w:rPr>
      <w:kern w:val="0"/>
      <w:sz w:val="22"/>
    </w:rPr>
  </w:style>
  <w:style w:type="paragraph" w:customStyle="1" w:styleId="476">
    <w:name w:val="CM98"/>
    <w:basedOn w:val="269"/>
    <w:next w:val="269"/>
    <w:qFormat/>
    <w:uiPriority w:val="0"/>
    <w:pPr>
      <w:spacing w:after="570"/>
    </w:pPr>
    <w:rPr>
      <w:rFonts w:ascii="宋体" w:eastAsia="宋体" w:cs="宋体"/>
      <w:color w:val="auto"/>
    </w:rPr>
  </w:style>
  <w:style w:type="paragraph" w:customStyle="1" w:styleId="477">
    <w:name w:val="Numerierung 1 Anfang"/>
    <w:basedOn w:val="19"/>
    <w:qFormat/>
    <w:uiPriority w:val="0"/>
    <w:pPr>
      <w:tabs>
        <w:tab w:val="left" w:pos="720"/>
      </w:tabs>
      <w:suppressAutoHyphens/>
      <w:overflowPunct w:val="0"/>
      <w:autoSpaceDE w:val="0"/>
      <w:autoSpaceDN w:val="0"/>
      <w:spacing w:before="240"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478">
    <w:name w:val="CM130"/>
    <w:basedOn w:val="269"/>
    <w:next w:val="269"/>
    <w:qFormat/>
    <w:uiPriority w:val="0"/>
    <w:pPr>
      <w:spacing w:after="540"/>
    </w:pPr>
    <w:rPr>
      <w:rFonts w:ascii="宋体" w:eastAsia="宋体" w:cs="宋体"/>
      <w:color w:val="auto"/>
    </w:rPr>
  </w:style>
  <w:style w:type="paragraph" w:customStyle="1" w:styleId="479">
    <w:name w:val="纯文本1"/>
    <w:basedOn w:val="1"/>
    <w:qFormat/>
    <w:uiPriority w:val="0"/>
    <w:pPr>
      <w:adjustRightInd w:val="0"/>
      <w:textAlignment w:val="baseline"/>
    </w:pPr>
    <w:rPr>
      <w:rFonts w:ascii="宋体" w:hAnsi="Courier New" w:eastAsia="楷体_GB2312"/>
      <w:sz w:val="26"/>
      <w:szCs w:val="20"/>
    </w:rPr>
  </w:style>
  <w:style w:type="paragraph" w:customStyle="1" w:styleId="480">
    <w:name w:val="CM19"/>
    <w:basedOn w:val="269"/>
    <w:next w:val="269"/>
    <w:qFormat/>
    <w:uiPriority w:val="0"/>
    <w:pPr>
      <w:spacing w:line="398" w:lineRule="atLeast"/>
    </w:pPr>
    <w:rPr>
      <w:rFonts w:ascii="宋体" w:eastAsia="宋体" w:cs="宋体"/>
      <w:color w:val="auto"/>
    </w:rPr>
  </w:style>
  <w:style w:type="paragraph" w:customStyle="1" w:styleId="481">
    <w:name w:val="CM90"/>
    <w:basedOn w:val="269"/>
    <w:next w:val="269"/>
    <w:qFormat/>
    <w:uiPriority w:val="0"/>
    <w:rPr>
      <w:rFonts w:ascii="宋体" w:eastAsia="宋体" w:cs="宋体"/>
      <w:color w:val="auto"/>
    </w:rPr>
  </w:style>
  <w:style w:type="paragraph" w:customStyle="1" w:styleId="482">
    <w:name w:val="CM83"/>
    <w:basedOn w:val="269"/>
    <w:next w:val="269"/>
    <w:qFormat/>
    <w:uiPriority w:val="0"/>
    <w:pPr>
      <w:spacing w:line="440" w:lineRule="atLeast"/>
    </w:pPr>
    <w:rPr>
      <w:rFonts w:ascii="宋体" w:eastAsia="宋体" w:cs="宋体"/>
      <w:color w:val="auto"/>
    </w:rPr>
  </w:style>
  <w:style w:type="paragraph" w:customStyle="1" w:styleId="483">
    <w:name w:val="xl22"/>
    <w:basedOn w:val="1"/>
    <w:qFormat/>
    <w:uiPriority w:val="0"/>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84">
    <w:name w:val="WW-Endnotentext"/>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18"/>
      <w:szCs w:val="18"/>
      <w:lang w:val="de-DE" w:eastAsia="de-DE"/>
    </w:rPr>
  </w:style>
  <w:style w:type="paragraph" w:customStyle="1" w:styleId="485">
    <w:name w:val="正文文本 21"/>
    <w:basedOn w:val="1"/>
    <w:qFormat/>
    <w:uiPriority w:val="0"/>
    <w:pPr>
      <w:widowControl/>
      <w:overflowPunct w:val="0"/>
      <w:autoSpaceDE w:val="0"/>
      <w:autoSpaceDN w:val="0"/>
      <w:adjustRightInd w:val="0"/>
      <w:spacing w:line="360" w:lineRule="auto"/>
      <w:textAlignment w:val="baseline"/>
    </w:pPr>
    <w:rPr>
      <w:rFonts w:ascii="Wund" w:hAnsi="Wund" w:cs="Wund"/>
      <w:kern w:val="0"/>
      <w:sz w:val="22"/>
      <w:lang w:val="de-DE" w:eastAsia="de-DE"/>
    </w:rPr>
  </w:style>
  <w:style w:type="paragraph" w:customStyle="1" w:styleId="486">
    <w:name w:val="Aufzählung 1"/>
    <w:basedOn w:val="19"/>
    <w:qFormat/>
    <w:uiPriority w:val="0"/>
    <w:pPr>
      <w:tabs>
        <w:tab w:val="left" w:pos="720"/>
      </w:tabs>
      <w:suppressAutoHyphens/>
      <w:overflowPunct w:val="0"/>
      <w:autoSpaceDE w:val="0"/>
      <w:autoSpaceDN w:val="0"/>
      <w:spacing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487">
    <w:name w:val="p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88">
    <w:name w:val="CM56"/>
    <w:basedOn w:val="269"/>
    <w:next w:val="269"/>
    <w:qFormat/>
    <w:uiPriority w:val="0"/>
    <w:rPr>
      <w:rFonts w:ascii="宋体" w:eastAsia="宋体" w:cs="宋体"/>
      <w:color w:val="auto"/>
    </w:rPr>
  </w:style>
  <w:style w:type="paragraph" w:customStyle="1" w:styleId="489">
    <w:name w:val="Kopfzeile ungerade"/>
    <w:basedOn w:val="37"/>
    <w:qFormat/>
    <w:uiPriority w:val="0"/>
    <w:pPr>
      <w:keepLines/>
      <w:widowControl/>
      <w:pBdr>
        <w:bottom w:val="none" w:color="auto" w:sz="0" w:space="0"/>
      </w:pBdr>
      <w:tabs>
        <w:tab w:val="right" w:pos="0"/>
        <w:tab w:val="clear" w:pos="4153"/>
        <w:tab w:val="clear" w:pos="8306"/>
      </w:tabs>
      <w:overflowPunct w:val="0"/>
      <w:autoSpaceDE w:val="0"/>
      <w:autoSpaceDN w:val="0"/>
      <w:adjustRightInd w:val="0"/>
      <w:snapToGrid/>
      <w:spacing w:after="120" w:line="360" w:lineRule="auto"/>
      <w:jc w:val="right"/>
      <w:textAlignment w:val="baseline"/>
    </w:pPr>
    <w:rPr>
      <w:rFonts w:ascii="Wund" w:hAnsi="Wund"/>
      <w:kern w:val="0"/>
      <w:lang w:val="de-DE" w:eastAsia="de-DE"/>
    </w:rPr>
  </w:style>
  <w:style w:type="paragraph" w:customStyle="1" w:styleId="490">
    <w:name w:val="WW-Verzeichnis 6"/>
    <w:basedOn w:val="1"/>
    <w:qFormat/>
    <w:uiPriority w:val="0"/>
    <w:pPr>
      <w:widowControl/>
      <w:tabs>
        <w:tab w:val="right" w:leader="dot" w:pos="9072"/>
      </w:tabs>
      <w:overflowPunct w:val="0"/>
      <w:autoSpaceDE w:val="0"/>
      <w:autoSpaceDN w:val="0"/>
      <w:adjustRightInd w:val="0"/>
      <w:spacing w:after="120" w:line="360" w:lineRule="auto"/>
      <w:ind w:left="960"/>
      <w:jc w:val="left"/>
      <w:textAlignment w:val="baseline"/>
    </w:pPr>
    <w:rPr>
      <w:rFonts w:ascii="Times New Roman" w:hAnsi="Times New Roman"/>
      <w:kern w:val="0"/>
      <w:sz w:val="18"/>
      <w:szCs w:val="18"/>
      <w:lang w:val="de-DE" w:eastAsia="de-DE"/>
    </w:rPr>
  </w:style>
  <w:style w:type="paragraph" w:customStyle="1" w:styleId="491">
    <w:name w:val="Aufzählung Anfang"/>
    <w:basedOn w:val="467"/>
    <w:next w:val="467"/>
    <w:qFormat/>
    <w:uiPriority w:val="0"/>
    <w:pPr>
      <w:spacing w:before="80"/>
    </w:pPr>
  </w:style>
  <w:style w:type="paragraph" w:customStyle="1" w:styleId="492">
    <w:name w:val="CM23"/>
    <w:basedOn w:val="269"/>
    <w:next w:val="269"/>
    <w:qFormat/>
    <w:uiPriority w:val="0"/>
    <w:pPr>
      <w:spacing w:line="398" w:lineRule="atLeast"/>
    </w:pPr>
    <w:rPr>
      <w:rFonts w:ascii="宋体" w:eastAsia="宋体" w:cs="宋体"/>
      <w:color w:val="auto"/>
    </w:rPr>
  </w:style>
  <w:style w:type="paragraph" w:customStyle="1" w:styleId="493">
    <w:name w:val="WW-Aufzählungszeichen 3"/>
    <w:basedOn w:val="467"/>
    <w:qFormat/>
    <w:uiPriority w:val="0"/>
    <w:pPr>
      <w:ind w:left="1440"/>
    </w:pPr>
  </w:style>
  <w:style w:type="paragraph" w:customStyle="1" w:styleId="494">
    <w:name w:val="CM62"/>
    <w:basedOn w:val="269"/>
    <w:next w:val="269"/>
    <w:qFormat/>
    <w:uiPriority w:val="0"/>
    <w:pPr>
      <w:spacing w:line="400" w:lineRule="atLeast"/>
    </w:pPr>
    <w:rPr>
      <w:rFonts w:ascii="宋体" w:eastAsia="宋体" w:cs="宋体"/>
      <w:color w:val="auto"/>
    </w:rPr>
  </w:style>
  <w:style w:type="paragraph" w:customStyle="1" w:styleId="495">
    <w:name w:val="WW-Aufzählungszeichen 5"/>
    <w:basedOn w:val="467"/>
    <w:qFormat/>
    <w:uiPriority w:val="0"/>
    <w:pPr>
      <w:ind w:left="2160"/>
    </w:pPr>
  </w:style>
  <w:style w:type="paragraph" w:customStyle="1" w:styleId="496">
    <w:name w:val="WW-Zusatz 2"/>
    <w:basedOn w:val="1"/>
    <w:qFormat/>
    <w:uiPriority w:val="0"/>
    <w:pPr>
      <w:widowControl/>
      <w:tabs>
        <w:tab w:val="right" w:leader="dot" w:pos="8640"/>
      </w:tabs>
      <w:overflowPunct w:val="0"/>
      <w:autoSpaceDE w:val="0"/>
      <w:autoSpaceDN w:val="0"/>
      <w:adjustRightInd w:val="0"/>
      <w:spacing w:after="120" w:line="360" w:lineRule="auto"/>
      <w:ind w:left="360" w:hanging="360"/>
      <w:textAlignment w:val="baseline"/>
    </w:pPr>
    <w:rPr>
      <w:rFonts w:ascii="Wund" w:hAnsi="Wund" w:cs="Wund"/>
      <w:kern w:val="0"/>
      <w:sz w:val="22"/>
      <w:lang w:val="de-DE" w:eastAsia="de-DE"/>
    </w:rPr>
  </w:style>
  <w:style w:type="paragraph" w:customStyle="1" w:styleId="497">
    <w:name w:val="Überschrift Abschnitt"/>
    <w:basedOn w:val="462"/>
    <w:qFormat/>
    <w:uiPriority w:val="0"/>
    <w:pPr>
      <w:spacing w:after="80"/>
    </w:pPr>
    <w:rPr>
      <w:sz w:val="28"/>
      <w:szCs w:val="28"/>
    </w:rPr>
  </w:style>
  <w:style w:type="paragraph" w:customStyle="1" w:styleId="498">
    <w:name w:val="WW-Zusatz 1"/>
    <w:basedOn w:val="497"/>
    <w:next w:val="496"/>
    <w:qFormat/>
    <w:uiPriority w:val="0"/>
  </w:style>
  <w:style w:type="paragraph" w:customStyle="1" w:styleId="499">
    <w:name w:val="CM44"/>
    <w:basedOn w:val="269"/>
    <w:next w:val="269"/>
    <w:qFormat/>
    <w:uiPriority w:val="0"/>
    <w:pPr>
      <w:spacing w:line="440" w:lineRule="atLeast"/>
    </w:pPr>
    <w:rPr>
      <w:rFonts w:ascii="宋体" w:eastAsia="宋体" w:cs="宋体"/>
      <w:color w:val="auto"/>
    </w:rPr>
  </w:style>
  <w:style w:type="paragraph" w:customStyle="1" w:styleId="500">
    <w:name w:val="Kopfzeile gerade"/>
    <w:basedOn w:val="37"/>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120" w:line="360" w:lineRule="auto"/>
      <w:jc w:val="both"/>
      <w:textAlignment w:val="baseline"/>
    </w:pPr>
    <w:rPr>
      <w:rFonts w:ascii="Wund" w:hAnsi="Wund"/>
      <w:kern w:val="0"/>
      <w:lang w:val="de-DE" w:eastAsia="de-DE"/>
    </w:rPr>
  </w:style>
  <w:style w:type="paragraph" w:customStyle="1" w:styleId="501">
    <w:name w:val="_Style 5"/>
    <w:basedOn w:val="1"/>
    <w:qFormat/>
    <w:uiPriority w:val="34"/>
    <w:pPr>
      <w:ind w:firstLine="420" w:firstLineChars="200"/>
    </w:pPr>
    <w:rPr>
      <w:rFonts w:ascii="宋体" w:hAnsi="Times New Roman"/>
      <w:kern w:val="0"/>
      <w:sz w:val="20"/>
      <w:szCs w:val="24"/>
    </w:rPr>
  </w:style>
  <w:style w:type="paragraph" w:customStyle="1" w:styleId="502">
    <w:name w:val="_Style 216"/>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3">
    <w:name w:val="Fließtext"/>
    <w:basedOn w:val="1"/>
    <w:qFormat/>
    <w:uiPriority w:val="0"/>
    <w:pPr>
      <w:widowControl/>
      <w:jc w:val="left"/>
    </w:pPr>
    <w:rPr>
      <w:rFonts w:ascii="Times New Roman" w:hAnsi="Times New Roman"/>
      <w:kern w:val="0"/>
      <w:sz w:val="22"/>
      <w:lang w:val="de-DE" w:eastAsia="de-DE"/>
    </w:rPr>
  </w:style>
  <w:style w:type="paragraph" w:customStyle="1" w:styleId="504">
    <w:name w:val="Absätze zusammenhalten"/>
    <w:basedOn w:val="3"/>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505">
    <w:name w:val="TOC 标题2"/>
    <w:basedOn w:val="4"/>
    <w:next w:val="1"/>
    <w:qFormat/>
    <w:uiPriority w:val="39"/>
    <w:pPr>
      <w:widowControl/>
      <w:tabs>
        <w:tab w:val="left" w:pos="1140"/>
      </w:tabs>
      <w:spacing w:before="480" w:after="0" w:line="276" w:lineRule="auto"/>
      <w:jc w:val="left"/>
      <w:outlineLvl w:val="9"/>
    </w:pPr>
    <w:rPr>
      <w:rFonts w:ascii="Cambria" w:hAnsi="Cambria"/>
      <w:bCs/>
      <w:color w:val="365F91"/>
      <w:kern w:val="0"/>
    </w:rPr>
  </w:style>
  <w:style w:type="paragraph" w:customStyle="1" w:styleId="506">
    <w:name w:val="CM95"/>
    <w:basedOn w:val="269"/>
    <w:next w:val="269"/>
    <w:qFormat/>
    <w:uiPriority w:val="0"/>
    <w:pPr>
      <w:spacing w:after="115"/>
    </w:pPr>
    <w:rPr>
      <w:rFonts w:ascii="宋体" w:eastAsia="宋体" w:cs="宋体"/>
      <w:color w:val="auto"/>
    </w:rPr>
  </w:style>
  <w:style w:type="paragraph" w:customStyle="1" w:styleId="507">
    <w:name w:val="CM35"/>
    <w:basedOn w:val="269"/>
    <w:next w:val="269"/>
    <w:qFormat/>
    <w:uiPriority w:val="0"/>
    <w:pPr>
      <w:spacing w:line="400" w:lineRule="atLeast"/>
    </w:pPr>
    <w:rPr>
      <w:rFonts w:ascii="宋体" w:eastAsia="宋体" w:cs="宋体"/>
      <w:color w:val="auto"/>
    </w:rPr>
  </w:style>
  <w:style w:type="paragraph" w:customStyle="1" w:styleId="508">
    <w:name w:val="WW-Anmerkungstext"/>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22"/>
      <w:lang w:val="de-DE" w:eastAsia="de-DE"/>
    </w:rPr>
  </w:style>
  <w:style w:type="paragraph" w:customStyle="1" w:styleId="509">
    <w:name w:val="Fußzeile gerade"/>
    <w:basedOn w:val="36"/>
    <w:qFormat/>
    <w:uiPriority w:val="0"/>
    <w:pPr>
      <w:keepLines/>
      <w:widowControl/>
      <w:tabs>
        <w:tab w:val="center" w:pos="4320"/>
        <w:tab w:val="right" w:pos="8640"/>
        <w:tab w:val="clear" w:pos="4153"/>
        <w:tab w:val="clear" w:pos="8306"/>
      </w:tabs>
      <w:overflowPunct w:val="0"/>
      <w:autoSpaceDE w:val="0"/>
      <w:autoSpaceDN w:val="0"/>
      <w:adjustRightInd w:val="0"/>
      <w:snapToGrid/>
      <w:spacing w:after="120" w:line="360" w:lineRule="auto"/>
      <w:jc w:val="both"/>
      <w:textAlignment w:val="baseline"/>
    </w:pPr>
    <w:rPr>
      <w:rFonts w:ascii="Wund" w:hAnsi="Wund"/>
      <w:kern w:val="0"/>
      <w:lang w:val="de-DE" w:eastAsia="de-DE"/>
    </w:rPr>
  </w:style>
  <w:style w:type="paragraph" w:customStyle="1" w:styleId="510">
    <w:name w:val="p17"/>
    <w:basedOn w:val="1"/>
    <w:qFormat/>
    <w:uiPriority w:val="0"/>
    <w:pPr>
      <w:widowControl/>
      <w:ind w:firstLine="420"/>
    </w:pPr>
    <w:rPr>
      <w:rFonts w:ascii="Times New Roman" w:hAnsi="Times New Roman"/>
      <w:kern w:val="0"/>
      <w:szCs w:val="21"/>
    </w:rPr>
  </w:style>
  <w:style w:type="paragraph" w:customStyle="1" w:styleId="511">
    <w:name w:val="WW-Listenfortsetzung 3"/>
    <w:basedOn w:val="384"/>
    <w:qFormat/>
    <w:uiPriority w:val="0"/>
    <w:pPr>
      <w:ind w:left="1440"/>
    </w:pPr>
  </w:style>
  <w:style w:type="paragraph" w:customStyle="1" w:styleId="512">
    <w:name w:val="CM36"/>
    <w:basedOn w:val="269"/>
    <w:next w:val="269"/>
    <w:qFormat/>
    <w:uiPriority w:val="0"/>
    <w:pPr>
      <w:spacing w:after="68"/>
    </w:pPr>
    <w:rPr>
      <w:rFonts w:ascii="Century Gothic" w:hAnsi="Century Gothic" w:eastAsia="宋体" w:cs="Century Gothic"/>
      <w:color w:val="auto"/>
    </w:rPr>
  </w:style>
  <w:style w:type="paragraph" w:customStyle="1" w:styleId="513">
    <w:name w:val="WW-Listenfortsetzung 2"/>
    <w:basedOn w:val="384"/>
    <w:qFormat/>
    <w:uiPriority w:val="0"/>
    <w:pPr>
      <w:ind w:left="1080"/>
    </w:pPr>
  </w:style>
  <w:style w:type="paragraph" w:customStyle="1" w:styleId="514">
    <w:name w:val="Verzeichnis"/>
    <w:basedOn w:val="1"/>
    <w:qFormat/>
    <w:uiPriority w:val="0"/>
    <w:pPr>
      <w:widowControl/>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15">
    <w:name w:val="xl60"/>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16">
    <w:name w:val="WW-Index 7"/>
    <w:basedOn w:val="1"/>
    <w:qFormat/>
    <w:uiPriority w:val="0"/>
    <w:pPr>
      <w:widowControl/>
      <w:tabs>
        <w:tab w:val="right" w:leader="dot" w:pos="3960"/>
      </w:tabs>
      <w:overflowPunct w:val="0"/>
      <w:autoSpaceDE w:val="0"/>
      <w:autoSpaceDN w:val="0"/>
      <w:adjustRightInd w:val="0"/>
      <w:spacing w:after="120" w:line="360" w:lineRule="auto"/>
      <w:ind w:left="2160" w:hanging="720"/>
      <w:textAlignment w:val="baseline"/>
    </w:pPr>
    <w:rPr>
      <w:rFonts w:ascii="Wund" w:hAnsi="Wund" w:cs="Wund"/>
      <w:kern w:val="0"/>
      <w:sz w:val="22"/>
      <w:lang w:val="de-DE" w:eastAsia="de-DE"/>
    </w:rPr>
  </w:style>
  <w:style w:type="paragraph" w:customStyle="1" w:styleId="517">
    <w:name w:val="Heading #1|1"/>
    <w:basedOn w:val="1"/>
    <w:qFormat/>
    <w:uiPriority w:val="0"/>
    <w:pPr>
      <w:spacing w:after="100"/>
      <w:jc w:val="center"/>
      <w:outlineLvl w:val="0"/>
    </w:pPr>
    <w:rPr>
      <w:rFonts w:ascii="宋体" w:hAnsi="宋体" w:cs="宋体"/>
      <w:sz w:val="44"/>
      <w:szCs w:val="44"/>
      <w:lang w:val="zh-TW" w:eastAsia="zh-TW" w:bidi="zh-TW"/>
    </w:rPr>
  </w:style>
  <w:style w:type="paragraph" w:customStyle="1" w:styleId="518">
    <w:name w:val="WW-Aufzählungszeichen 2"/>
    <w:basedOn w:val="467"/>
    <w:qFormat/>
    <w:uiPriority w:val="0"/>
    <w:pPr>
      <w:ind w:left="1080"/>
    </w:pPr>
  </w:style>
  <w:style w:type="paragraph" w:customStyle="1" w:styleId="519">
    <w:name w:val="CM34"/>
    <w:basedOn w:val="269"/>
    <w:next w:val="269"/>
    <w:qFormat/>
    <w:uiPriority w:val="0"/>
    <w:pPr>
      <w:spacing w:line="398" w:lineRule="atLeast"/>
    </w:pPr>
    <w:rPr>
      <w:rFonts w:ascii="宋体" w:eastAsia="宋体" w:cs="宋体"/>
      <w:color w:val="auto"/>
    </w:rPr>
  </w:style>
  <w:style w:type="paragraph" w:customStyle="1" w:styleId="520">
    <w:name w:val="WW-Überschrift 7"/>
    <w:basedOn w:val="1"/>
    <w:next w:val="3"/>
    <w:qFormat/>
    <w:uiPriority w:val="0"/>
    <w:pPr>
      <w:widowControl/>
      <w:overflowPunct w:val="0"/>
      <w:autoSpaceDE w:val="0"/>
      <w:autoSpaceDN w:val="0"/>
      <w:adjustRightInd w:val="0"/>
      <w:spacing w:before="80" w:after="60" w:line="360" w:lineRule="auto"/>
      <w:ind w:left="4956" w:hanging="708"/>
      <w:textAlignment w:val="baseline"/>
    </w:pPr>
    <w:rPr>
      <w:rFonts w:ascii="Wund" w:hAnsi="Wund" w:cs="Wund"/>
      <w:b/>
      <w:bCs/>
      <w:kern w:val="0"/>
      <w:sz w:val="22"/>
      <w:lang w:val="de-DE" w:eastAsia="de-DE"/>
    </w:rPr>
  </w:style>
  <w:style w:type="paragraph" w:customStyle="1" w:styleId="521">
    <w:name w:val="CM46"/>
    <w:basedOn w:val="269"/>
    <w:next w:val="269"/>
    <w:qFormat/>
    <w:uiPriority w:val="0"/>
    <w:rPr>
      <w:rFonts w:ascii="宋体" w:eastAsia="宋体" w:cs="宋体"/>
      <w:color w:val="auto"/>
    </w:rPr>
  </w:style>
  <w:style w:type="paragraph" w:customStyle="1" w:styleId="522">
    <w:name w:val="Absender"/>
    <w:basedOn w:val="1"/>
    <w:next w:val="1"/>
    <w:qFormat/>
    <w:uiPriority w:val="0"/>
    <w:pPr>
      <w:keepLines/>
      <w:widowControl/>
      <w:overflowPunct w:val="0"/>
      <w:autoSpaceDE w:val="0"/>
      <w:autoSpaceDN w:val="0"/>
      <w:adjustRightInd w:val="0"/>
      <w:spacing w:after="120"/>
      <w:jc w:val="right"/>
      <w:textAlignment w:val="baseline"/>
    </w:pPr>
    <w:rPr>
      <w:rFonts w:ascii="Times New Roman" w:hAnsi="Times New Roman"/>
      <w:kern w:val="0"/>
      <w:sz w:val="20"/>
      <w:szCs w:val="20"/>
      <w:lang w:val="de-DE" w:eastAsia="de-DE"/>
    </w:rPr>
  </w:style>
  <w:style w:type="paragraph" w:customStyle="1" w:styleId="523">
    <w:name w:val="CM102"/>
    <w:basedOn w:val="269"/>
    <w:next w:val="269"/>
    <w:qFormat/>
    <w:uiPriority w:val="0"/>
    <w:pPr>
      <w:spacing w:after="878"/>
    </w:pPr>
    <w:rPr>
      <w:rFonts w:ascii="宋体" w:eastAsia="宋体" w:cs="宋体"/>
      <w:color w:val="auto"/>
    </w:rPr>
  </w:style>
  <w:style w:type="paragraph" w:customStyle="1" w:styleId="524">
    <w:name w:val="修订3"/>
    <w:qFormat/>
    <w:uiPriority w:val="99"/>
    <w:rPr>
      <w:rFonts w:ascii="Times New Roman" w:hAnsi="Times New Roman" w:eastAsia="宋体" w:cs="Times New Roman"/>
      <w:kern w:val="2"/>
      <w:sz w:val="21"/>
      <w:szCs w:val="24"/>
      <w:lang w:val="en-US" w:eastAsia="zh-CN" w:bidi="ar-SA"/>
    </w:rPr>
  </w:style>
  <w:style w:type="paragraph" w:customStyle="1" w:styleId="525">
    <w:name w:val="Teil Beschriftung"/>
    <w:basedOn w:val="462"/>
    <w:next w:val="1"/>
    <w:qFormat/>
    <w:uiPriority w:val="0"/>
    <w:pPr>
      <w:spacing w:before="600" w:after="160"/>
      <w:jc w:val="center"/>
    </w:pPr>
    <w:rPr>
      <w:b w:val="0"/>
      <w:bCs w:val="0"/>
      <w:sz w:val="24"/>
      <w:szCs w:val="24"/>
      <w:u w:val="single"/>
    </w:rPr>
  </w:style>
  <w:style w:type="paragraph" w:customStyle="1" w:styleId="526">
    <w:name w:val="CM40"/>
    <w:basedOn w:val="269"/>
    <w:next w:val="269"/>
    <w:qFormat/>
    <w:uiPriority w:val="0"/>
    <w:pPr>
      <w:spacing w:after="60"/>
    </w:pPr>
    <w:rPr>
      <w:rFonts w:ascii="Century Gothic" w:hAnsi="Century Gothic" w:eastAsia="宋体" w:cs="Century Gothic"/>
      <w:color w:val="auto"/>
    </w:rPr>
  </w:style>
  <w:style w:type="paragraph" w:customStyle="1" w:styleId="527">
    <w:name w:val="CM53"/>
    <w:basedOn w:val="269"/>
    <w:next w:val="269"/>
    <w:qFormat/>
    <w:uiPriority w:val="0"/>
    <w:pPr>
      <w:spacing w:line="400" w:lineRule="atLeast"/>
    </w:pPr>
    <w:rPr>
      <w:rFonts w:ascii="宋体" w:eastAsia="宋体" w:cs="宋体"/>
      <w:color w:val="auto"/>
    </w:rPr>
  </w:style>
  <w:style w:type="paragraph" w:customStyle="1" w:styleId="528">
    <w:name w:val="WW-Liste 4"/>
    <w:basedOn w:val="19"/>
    <w:qFormat/>
    <w:uiPriority w:val="0"/>
    <w:pPr>
      <w:tabs>
        <w:tab w:val="left" w:pos="1800"/>
      </w:tabs>
      <w:suppressAutoHyphens/>
      <w:overflowPunct w:val="0"/>
      <w:autoSpaceDE w:val="0"/>
      <w:autoSpaceDN w:val="0"/>
      <w:spacing w:after="80" w:line="340" w:lineRule="atLeast"/>
      <w:ind w:left="1800" w:hanging="360"/>
      <w:jc w:val="both"/>
      <w:textAlignment w:val="baseline"/>
    </w:pPr>
    <w:rPr>
      <w:rFonts w:hint="default" w:ascii="Arial Narrow" w:hAnsi="Arial Narrow" w:cs="Arial Narrow"/>
      <w:sz w:val="22"/>
      <w:szCs w:val="22"/>
      <w:lang w:val="de-DE" w:eastAsia="de-DE"/>
    </w:rPr>
  </w:style>
  <w:style w:type="paragraph" w:customStyle="1" w:styleId="529">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530">
    <w:name w:val="CM39"/>
    <w:basedOn w:val="269"/>
    <w:next w:val="269"/>
    <w:qFormat/>
    <w:uiPriority w:val="0"/>
    <w:pPr>
      <w:spacing w:line="400" w:lineRule="atLeast"/>
    </w:pPr>
    <w:rPr>
      <w:rFonts w:ascii="宋体" w:eastAsia="宋体" w:cs="宋体"/>
      <w:color w:val="auto"/>
    </w:rPr>
  </w:style>
  <w:style w:type="paragraph" w:customStyle="1" w:styleId="531">
    <w:name w:val="Basis-Verzeichnis"/>
    <w:basedOn w:val="1"/>
    <w:qFormat/>
    <w:uiPriority w:val="0"/>
    <w:pPr>
      <w:widowControl/>
      <w:tabs>
        <w:tab w:val="right" w:leader="dot" w:pos="8640"/>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32">
    <w:name w:val="Überschrift"/>
    <w:basedOn w:val="1"/>
    <w:next w:val="3"/>
    <w:qFormat/>
    <w:uiPriority w:val="0"/>
    <w:pPr>
      <w:keepNext/>
      <w:widowControl/>
      <w:overflowPunct w:val="0"/>
      <w:autoSpaceDE w:val="0"/>
      <w:autoSpaceDN w:val="0"/>
      <w:adjustRightInd w:val="0"/>
      <w:spacing w:before="240" w:after="120" w:line="360" w:lineRule="auto"/>
      <w:ind w:left="993" w:hanging="993"/>
      <w:textAlignment w:val="baseline"/>
    </w:pPr>
    <w:rPr>
      <w:rFonts w:ascii="Wund" w:hAnsi="Wund" w:cs="Wund"/>
      <w:b/>
      <w:bCs/>
      <w:smallCaps/>
      <w:kern w:val="0"/>
      <w:sz w:val="36"/>
      <w:szCs w:val="36"/>
      <w:lang w:val="de-DE" w:eastAsia="de-DE"/>
    </w:rPr>
  </w:style>
  <w:style w:type="paragraph" w:customStyle="1" w:styleId="533">
    <w:name w:val="Inhaltsverzeichnis Überschrift"/>
    <w:basedOn w:val="532"/>
    <w:qFormat/>
    <w:uiPriority w:val="0"/>
    <w:pPr>
      <w:ind w:left="0" w:firstLine="0"/>
    </w:pPr>
    <w:rPr>
      <w:sz w:val="32"/>
      <w:szCs w:val="32"/>
    </w:rPr>
  </w:style>
  <w:style w:type="paragraph" w:customStyle="1" w:styleId="534">
    <w:name w:val="列出段落2"/>
    <w:basedOn w:val="1"/>
    <w:qFormat/>
    <w:uiPriority w:val="0"/>
    <w:pPr>
      <w:ind w:firstLine="420" w:firstLineChars="200"/>
    </w:pPr>
    <w:rPr>
      <w:rFonts w:ascii="Times New Roman" w:hAnsi="Times New Roman"/>
      <w:szCs w:val="24"/>
    </w:rPr>
  </w:style>
  <w:style w:type="paragraph" w:customStyle="1" w:styleId="535">
    <w:name w:val="Textkörper Einzug"/>
    <w:basedOn w:val="1"/>
    <w:qFormat/>
    <w:uiPriority w:val="0"/>
    <w:pPr>
      <w:widowControl/>
      <w:overflowPunct w:val="0"/>
      <w:autoSpaceDE w:val="0"/>
      <w:autoSpaceDN w:val="0"/>
      <w:adjustRightInd w:val="0"/>
      <w:spacing w:after="120" w:line="280" w:lineRule="atLeast"/>
      <w:ind w:left="1080"/>
      <w:textAlignment w:val="baseline"/>
    </w:pPr>
    <w:rPr>
      <w:rFonts w:ascii="Arial" w:hAnsi="Arial" w:cs="Arial"/>
      <w:kern w:val="0"/>
      <w:sz w:val="22"/>
      <w:lang w:val="de-DE" w:eastAsia="de-DE"/>
    </w:rPr>
  </w:style>
  <w:style w:type="paragraph" w:customStyle="1" w:styleId="536">
    <w:name w:val="CM76"/>
    <w:basedOn w:val="269"/>
    <w:next w:val="269"/>
    <w:qFormat/>
    <w:uiPriority w:val="0"/>
    <w:pPr>
      <w:spacing w:line="400" w:lineRule="atLeast"/>
    </w:pPr>
    <w:rPr>
      <w:rFonts w:ascii="宋体" w:eastAsia="宋体" w:cs="宋体"/>
      <w:color w:val="auto"/>
    </w:rPr>
  </w:style>
  <w:style w:type="paragraph" w:customStyle="1" w:styleId="537">
    <w:name w:val="CM50"/>
    <w:basedOn w:val="269"/>
    <w:next w:val="269"/>
    <w:qFormat/>
    <w:uiPriority w:val="0"/>
    <w:pPr>
      <w:spacing w:line="1020" w:lineRule="atLeast"/>
    </w:pPr>
    <w:rPr>
      <w:rFonts w:ascii="宋体" w:eastAsia="宋体" w:cs="宋体"/>
      <w:color w:val="auto"/>
    </w:rPr>
  </w:style>
  <w:style w:type="paragraph" w:customStyle="1" w:styleId="538">
    <w:name w:val="CM81"/>
    <w:basedOn w:val="269"/>
    <w:next w:val="269"/>
    <w:qFormat/>
    <w:uiPriority w:val="0"/>
    <w:pPr>
      <w:spacing w:line="440" w:lineRule="atLeast"/>
    </w:pPr>
    <w:rPr>
      <w:rFonts w:ascii="宋体" w:eastAsia="宋体" w:cs="宋体"/>
      <w:color w:val="auto"/>
    </w:rPr>
  </w:style>
  <w:style w:type="paragraph" w:customStyle="1" w:styleId="539">
    <w:name w:val="WW-Verzeichnis 7"/>
    <w:basedOn w:val="1"/>
    <w:qFormat/>
    <w:uiPriority w:val="0"/>
    <w:pPr>
      <w:widowControl/>
      <w:tabs>
        <w:tab w:val="right" w:leader="dot" w:pos="9072"/>
      </w:tabs>
      <w:overflowPunct w:val="0"/>
      <w:autoSpaceDE w:val="0"/>
      <w:autoSpaceDN w:val="0"/>
      <w:adjustRightInd w:val="0"/>
      <w:spacing w:after="120" w:line="360" w:lineRule="auto"/>
      <w:ind w:left="1200"/>
      <w:jc w:val="left"/>
      <w:textAlignment w:val="baseline"/>
    </w:pPr>
    <w:rPr>
      <w:rFonts w:ascii="Times New Roman" w:hAnsi="Times New Roman"/>
      <w:kern w:val="0"/>
      <w:sz w:val="18"/>
      <w:szCs w:val="18"/>
      <w:lang w:val="de-DE" w:eastAsia="de-DE"/>
    </w:rPr>
  </w:style>
  <w:style w:type="paragraph" w:customStyle="1" w:styleId="540">
    <w:name w:val="WW-Liste 5"/>
    <w:basedOn w:val="19"/>
    <w:qFormat/>
    <w:uiPriority w:val="0"/>
    <w:pPr>
      <w:tabs>
        <w:tab w:val="left" w:pos="2160"/>
      </w:tabs>
      <w:suppressAutoHyphens/>
      <w:overflowPunct w:val="0"/>
      <w:autoSpaceDE w:val="0"/>
      <w:autoSpaceDN w:val="0"/>
      <w:spacing w:after="80" w:line="340" w:lineRule="atLeast"/>
      <w:ind w:left="2160" w:hanging="360"/>
      <w:jc w:val="both"/>
      <w:textAlignment w:val="baseline"/>
    </w:pPr>
    <w:rPr>
      <w:rFonts w:hint="default" w:ascii="Arial Narrow" w:hAnsi="Arial Narrow" w:cs="Arial Narrow"/>
      <w:sz w:val="22"/>
      <w:szCs w:val="22"/>
      <w:lang w:val="de-DE" w:eastAsia="de-DE"/>
    </w:rPr>
  </w:style>
  <w:style w:type="paragraph" w:customStyle="1" w:styleId="541">
    <w:name w:val="Char Char Char Char Char Char Char Char Char Char Char Char Char"/>
    <w:basedOn w:val="1"/>
    <w:qFormat/>
    <w:uiPriority w:val="0"/>
    <w:pPr>
      <w:spacing w:afterLines="100"/>
    </w:pPr>
    <w:rPr>
      <w:rFonts w:ascii="仿宋_GB2312" w:hAnsi="Times New Roman"/>
      <w:b/>
      <w:sz w:val="36"/>
      <w:szCs w:val="32"/>
    </w:rPr>
  </w:style>
  <w:style w:type="paragraph" w:customStyle="1" w:styleId="542">
    <w:name w:val="Teil Titel"/>
    <w:basedOn w:val="462"/>
    <w:next w:val="543"/>
    <w:qFormat/>
    <w:uiPriority w:val="0"/>
    <w:pPr>
      <w:spacing w:before="600"/>
      <w:jc w:val="center"/>
    </w:pPr>
  </w:style>
  <w:style w:type="paragraph" w:customStyle="1" w:styleId="543">
    <w:name w:val="Teil Untertitel"/>
    <w:basedOn w:val="1"/>
    <w:next w:val="3"/>
    <w:qFormat/>
    <w:uiPriority w:val="0"/>
    <w:pPr>
      <w:widowControl/>
      <w:overflowPunct w:val="0"/>
      <w:autoSpaceDE w:val="0"/>
      <w:autoSpaceDN w:val="0"/>
      <w:adjustRightInd w:val="0"/>
      <w:spacing w:before="360" w:after="120" w:line="360" w:lineRule="auto"/>
      <w:jc w:val="center"/>
      <w:textAlignment w:val="baseline"/>
    </w:pPr>
    <w:rPr>
      <w:rFonts w:ascii="Arial" w:hAnsi="Arial" w:cs="Arial"/>
      <w:i/>
      <w:iCs/>
      <w:kern w:val="0"/>
      <w:sz w:val="32"/>
      <w:szCs w:val="32"/>
      <w:lang w:val="de-DE" w:eastAsia="de-DE"/>
    </w:rPr>
  </w:style>
  <w:style w:type="paragraph" w:customStyle="1" w:styleId="544">
    <w:name w:val="Bildunterschrift"/>
    <w:basedOn w:val="1"/>
    <w:qFormat/>
    <w:uiPriority w:val="0"/>
    <w:pPr>
      <w:widowControl/>
      <w:overflowPunct w:val="0"/>
      <w:autoSpaceDE w:val="0"/>
      <w:autoSpaceDN w:val="0"/>
      <w:adjustRightInd w:val="0"/>
      <w:spacing w:before="5670" w:after="120" w:line="360" w:lineRule="auto"/>
      <w:jc w:val="center"/>
      <w:textAlignment w:val="baseline"/>
    </w:pPr>
    <w:rPr>
      <w:rFonts w:ascii="Arial" w:hAnsi="Arial" w:cs="Arial"/>
      <w:i/>
      <w:iCs/>
      <w:kern w:val="0"/>
      <w:sz w:val="22"/>
      <w:lang w:val="de-DE" w:eastAsia="de-DE"/>
    </w:rPr>
  </w:style>
  <w:style w:type="paragraph" w:customStyle="1" w:styleId="545">
    <w:name w:val="p15"/>
    <w:basedOn w:val="1"/>
    <w:qFormat/>
    <w:uiPriority w:val="0"/>
    <w:pPr>
      <w:widowControl/>
      <w:snapToGrid w:val="0"/>
      <w:jc w:val="left"/>
    </w:pPr>
    <w:rPr>
      <w:rFonts w:ascii="宋体" w:hAnsi="宋体" w:cs="宋体"/>
      <w:b/>
      <w:bCs/>
      <w:kern w:val="0"/>
      <w:sz w:val="24"/>
      <w:szCs w:val="24"/>
    </w:rPr>
  </w:style>
  <w:style w:type="paragraph" w:customStyle="1" w:styleId="546">
    <w:name w:val="CM31"/>
    <w:basedOn w:val="269"/>
    <w:next w:val="269"/>
    <w:qFormat/>
    <w:uiPriority w:val="0"/>
    <w:pPr>
      <w:spacing w:line="400" w:lineRule="atLeast"/>
    </w:pPr>
    <w:rPr>
      <w:rFonts w:ascii="宋体" w:eastAsia="宋体" w:cs="宋体"/>
      <w:color w:val="auto"/>
    </w:rPr>
  </w:style>
  <w:style w:type="paragraph" w:customStyle="1" w:styleId="547">
    <w:name w:val="Char16"/>
    <w:basedOn w:val="1"/>
    <w:qFormat/>
    <w:uiPriority w:val="0"/>
    <w:rPr>
      <w:rFonts w:ascii="Times New Roman" w:hAnsi="Times New Roman"/>
      <w:szCs w:val="20"/>
    </w:rPr>
  </w:style>
  <w:style w:type="paragraph" w:customStyle="1" w:styleId="548">
    <w:name w:val="CM13"/>
    <w:basedOn w:val="269"/>
    <w:next w:val="269"/>
    <w:qFormat/>
    <w:uiPriority w:val="0"/>
    <w:pPr>
      <w:spacing w:line="276" w:lineRule="atLeast"/>
    </w:pPr>
    <w:rPr>
      <w:rFonts w:ascii="Century Gothic" w:hAnsi="Century Gothic" w:eastAsia="宋体" w:cs="Century Gothic"/>
      <w:color w:val="auto"/>
    </w:rPr>
  </w:style>
  <w:style w:type="paragraph" w:customStyle="1" w:styleId="549">
    <w:name w:val="样式4"/>
    <w:basedOn w:val="4"/>
    <w:qFormat/>
    <w:uiPriority w:val="0"/>
    <w:pPr>
      <w:spacing w:before="340" w:after="330" w:line="578" w:lineRule="auto"/>
      <w:ind w:firstLine="641"/>
      <w:jc w:val="both"/>
    </w:pPr>
    <w:rPr>
      <w:rFonts w:ascii="仿宋_GB2312" w:hAnsi="仿宋_GB2312" w:eastAsia="楷体_GB2312"/>
      <w:b w:val="0"/>
      <w:bCs/>
      <w:sz w:val="32"/>
      <w:szCs w:val="32"/>
    </w:rPr>
  </w:style>
  <w:style w:type="paragraph" w:customStyle="1" w:styleId="550">
    <w:name w:val="Fußzeile ungerade"/>
    <w:basedOn w:val="36"/>
    <w:qFormat/>
    <w:uiPriority w:val="0"/>
    <w:pPr>
      <w:keepLines/>
      <w:widowControl/>
      <w:tabs>
        <w:tab w:val="right" w:pos="0"/>
        <w:tab w:val="clear" w:pos="4153"/>
        <w:tab w:val="clear" w:pos="8306"/>
      </w:tabs>
      <w:overflowPunct w:val="0"/>
      <w:autoSpaceDE w:val="0"/>
      <w:autoSpaceDN w:val="0"/>
      <w:adjustRightInd w:val="0"/>
      <w:snapToGrid/>
      <w:spacing w:after="120" w:line="360" w:lineRule="auto"/>
      <w:jc w:val="right"/>
      <w:textAlignment w:val="baseline"/>
    </w:pPr>
    <w:rPr>
      <w:rFonts w:ascii="Wund" w:hAnsi="Wund"/>
      <w:kern w:val="0"/>
      <w:lang w:val="de-DE" w:eastAsia="de-DE"/>
    </w:rPr>
  </w:style>
  <w:style w:type="paragraph" w:customStyle="1" w:styleId="551">
    <w:name w:val="段落"/>
    <w:qFormat/>
    <w:uiPriority w:val="0"/>
    <w:pPr>
      <w:spacing w:line="310" w:lineRule="exact"/>
      <w:ind w:firstLine="200" w:firstLineChars="200"/>
    </w:pPr>
    <w:rPr>
      <w:rFonts w:ascii="Times New Roman" w:hAnsi="Times New Roman" w:eastAsia="宋体" w:cs="Times New Roman"/>
      <w:sz w:val="21"/>
      <w:lang w:val="en-US" w:eastAsia="zh-CN" w:bidi="ar-SA"/>
    </w:rPr>
  </w:style>
  <w:style w:type="paragraph" w:customStyle="1" w:styleId="552">
    <w:name w:val="CM101"/>
    <w:basedOn w:val="269"/>
    <w:next w:val="269"/>
    <w:qFormat/>
    <w:uiPriority w:val="0"/>
    <w:pPr>
      <w:spacing w:after="800"/>
    </w:pPr>
    <w:rPr>
      <w:rFonts w:ascii="宋体" w:eastAsia="宋体" w:cs="宋体"/>
      <w:color w:val="auto"/>
    </w:rPr>
  </w:style>
  <w:style w:type="paragraph" w:customStyle="1" w:styleId="553">
    <w:name w:val="CM29"/>
    <w:basedOn w:val="269"/>
    <w:next w:val="269"/>
    <w:qFormat/>
    <w:uiPriority w:val="0"/>
    <w:pPr>
      <w:spacing w:line="400" w:lineRule="atLeast"/>
    </w:pPr>
    <w:rPr>
      <w:rFonts w:ascii="宋体" w:eastAsia="宋体" w:cs="宋体"/>
      <w:color w:val="auto"/>
    </w:rPr>
  </w:style>
  <w:style w:type="paragraph" w:customStyle="1" w:styleId="554">
    <w:name w:val="Char Char Char Char Char Char Char"/>
    <w:basedOn w:val="1"/>
    <w:qFormat/>
    <w:uiPriority w:val="0"/>
    <w:pPr>
      <w:tabs>
        <w:tab w:val="left" w:pos="360"/>
      </w:tabs>
    </w:pPr>
    <w:rPr>
      <w:rFonts w:ascii="Times New Roman" w:hAnsi="Times New Roman"/>
      <w:szCs w:val="24"/>
    </w:rPr>
  </w:style>
  <w:style w:type="paragraph" w:customStyle="1" w:styleId="555">
    <w:name w:val="_Style 6"/>
    <w:basedOn w:val="1"/>
    <w:qFormat/>
    <w:uiPriority w:val="0"/>
    <w:pPr>
      <w:widowControl/>
      <w:spacing w:after="200" w:line="252" w:lineRule="auto"/>
      <w:ind w:left="720"/>
      <w:contextualSpacing/>
      <w:jc w:val="left"/>
    </w:pPr>
    <w:rPr>
      <w:rFonts w:ascii="Cambria" w:hAnsi="Cambria"/>
      <w:kern w:val="0"/>
      <w:sz w:val="22"/>
      <w:szCs w:val="24"/>
      <w:lang w:eastAsia="en-US" w:bidi="en-US"/>
    </w:rPr>
  </w:style>
  <w:style w:type="paragraph" w:customStyle="1" w:styleId="556">
    <w:name w:val="CM14"/>
    <w:basedOn w:val="269"/>
    <w:next w:val="269"/>
    <w:qFormat/>
    <w:uiPriority w:val="0"/>
    <w:pPr>
      <w:spacing w:line="278" w:lineRule="atLeast"/>
    </w:pPr>
    <w:rPr>
      <w:rFonts w:ascii="Century Gothic" w:hAnsi="Century Gothic" w:eastAsia="宋体" w:cs="Century Gothic"/>
      <w:color w:val="auto"/>
    </w:rPr>
  </w:style>
  <w:style w:type="paragraph" w:customStyle="1" w:styleId="557">
    <w:name w:val="默认段落字体 Para Char Char Char Char Char Char Char"/>
    <w:basedOn w:val="20"/>
    <w:qFormat/>
    <w:uiPriority w:val="0"/>
    <w:pPr>
      <w:adjustRightInd w:val="0"/>
      <w:spacing w:line="436" w:lineRule="exact"/>
      <w:ind w:left="357"/>
      <w:jc w:val="left"/>
      <w:outlineLvl w:val="3"/>
    </w:pPr>
    <w:rPr>
      <w:rFonts w:ascii="Tahoma" w:hAnsi="Tahoma"/>
      <w:b/>
      <w:sz w:val="24"/>
      <w:szCs w:val="24"/>
    </w:rPr>
  </w:style>
  <w:style w:type="paragraph" w:customStyle="1" w:styleId="558">
    <w:name w:val="默认段落字体 Para Char Char Char Char"/>
    <w:basedOn w:val="1"/>
    <w:qFormat/>
    <w:uiPriority w:val="0"/>
    <w:rPr>
      <w:rFonts w:ascii="Times New Roman" w:hAnsi="Times New Roman"/>
      <w:kern w:val="0"/>
      <w:sz w:val="24"/>
      <w:szCs w:val="20"/>
    </w:rPr>
  </w:style>
  <w:style w:type="paragraph" w:customStyle="1" w:styleId="559">
    <w:name w:val="Numerierung Ende"/>
    <w:basedOn w:val="427"/>
    <w:next w:val="3"/>
    <w:qFormat/>
    <w:uiPriority w:val="0"/>
    <w:pPr>
      <w:spacing w:after="240"/>
    </w:pPr>
  </w:style>
  <w:style w:type="paragraph" w:customStyle="1" w:styleId="560">
    <w:name w:val="WW-Liste 3"/>
    <w:basedOn w:val="19"/>
    <w:qFormat/>
    <w:uiPriority w:val="0"/>
    <w:pPr>
      <w:tabs>
        <w:tab w:val="left" w:pos="1440"/>
      </w:tabs>
      <w:suppressAutoHyphens/>
      <w:overflowPunct w:val="0"/>
      <w:autoSpaceDE w:val="0"/>
      <w:autoSpaceDN w:val="0"/>
      <w:spacing w:after="80" w:line="340" w:lineRule="atLeast"/>
      <w:ind w:left="1440" w:hanging="360"/>
      <w:jc w:val="both"/>
      <w:textAlignment w:val="baseline"/>
    </w:pPr>
    <w:rPr>
      <w:rFonts w:hint="default" w:ascii="Arial Narrow" w:hAnsi="Arial Narrow" w:cs="Arial Narrow"/>
      <w:sz w:val="22"/>
      <w:szCs w:val="22"/>
      <w:lang w:val="de-DE" w:eastAsia="de-DE"/>
    </w:rPr>
  </w:style>
  <w:style w:type="paragraph" w:customStyle="1" w:styleId="561">
    <w:name w:val="Numerierung Anfang"/>
    <w:basedOn w:val="427"/>
    <w:next w:val="427"/>
    <w:qFormat/>
    <w:uiPriority w:val="0"/>
    <w:pPr>
      <w:spacing w:before="80"/>
    </w:pPr>
  </w:style>
  <w:style w:type="paragraph" w:customStyle="1" w:styleId="562">
    <w:name w:val="Aufzählung Ende"/>
    <w:basedOn w:val="467"/>
    <w:next w:val="3"/>
    <w:qFormat/>
    <w:uiPriority w:val="0"/>
    <w:pPr>
      <w:spacing w:after="240"/>
    </w:pPr>
  </w:style>
  <w:style w:type="paragraph" w:customStyle="1" w:styleId="563">
    <w:name w:val="WW-Index 8"/>
    <w:basedOn w:val="1"/>
    <w:qFormat/>
    <w:uiPriority w:val="0"/>
    <w:pPr>
      <w:widowControl/>
      <w:tabs>
        <w:tab w:val="right" w:leader="dot" w:pos="3960"/>
      </w:tabs>
      <w:overflowPunct w:val="0"/>
      <w:autoSpaceDE w:val="0"/>
      <w:autoSpaceDN w:val="0"/>
      <w:adjustRightInd w:val="0"/>
      <w:spacing w:after="120" w:line="360" w:lineRule="auto"/>
      <w:ind w:left="2520" w:hanging="720"/>
      <w:textAlignment w:val="baseline"/>
    </w:pPr>
    <w:rPr>
      <w:rFonts w:ascii="Wund" w:hAnsi="Wund" w:cs="Wund"/>
      <w:kern w:val="0"/>
      <w:sz w:val="22"/>
      <w:lang w:val="de-DE" w:eastAsia="de-DE"/>
    </w:rPr>
  </w:style>
  <w:style w:type="paragraph" w:customStyle="1" w:styleId="564">
    <w:name w:val="CM24"/>
    <w:basedOn w:val="269"/>
    <w:next w:val="269"/>
    <w:qFormat/>
    <w:uiPriority w:val="0"/>
    <w:pPr>
      <w:spacing w:line="440" w:lineRule="atLeast"/>
    </w:pPr>
    <w:rPr>
      <w:rFonts w:ascii="宋体" w:eastAsia="宋体" w:cs="宋体"/>
      <w:color w:val="auto"/>
    </w:rPr>
  </w:style>
  <w:style w:type="paragraph" w:customStyle="1" w:styleId="565">
    <w:name w:val="正文文字缩进"/>
    <w:basedOn w:val="1"/>
    <w:next w:val="1"/>
    <w:qFormat/>
    <w:uiPriority w:val="0"/>
    <w:pPr>
      <w:widowControl/>
      <w:tabs>
        <w:tab w:val="left" w:pos="0"/>
        <w:tab w:val="left" w:pos="993"/>
        <w:tab w:val="left" w:pos="1134"/>
      </w:tabs>
      <w:spacing w:line="500" w:lineRule="exact"/>
      <w:ind w:firstLine="567"/>
    </w:pPr>
    <w:rPr>
      <w:rFonts w:ascii="宋体" w:hAnsi="Times New Roman"/>
      <w:color w:val="000000"/>
      <w:kern w:val="0"/>
      <w:sz w:val="28"/>
      <w:szCs w:val="20"/>
    </w:rPr>
  </w:style>
  <w:style w:type="paragraph" w:customStyle="1" w:styleId="566">
    <w:name w:val="Aufzählung 1 Anfang"/>
    <w:basedOn w:val="19"/>
    <w:qFormat/>
    <w:uiPriority w:val="0"/>
    <w:pPr>
      <w:tabs>
        <w:tab w:val="left" w:pos="720"/>
      </w:tabs>
      <w:suppressAutoHyphens/>
      <w:overflowPunct w:val="0"/>
      <w:autoSpaceDE w:val="0"/>
      <w:autoSpaceDN w:val="0"/>
      <w:spacing w:before="240"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67">
    <w:name w:val="CM26"/>
    <w:basedOn w:val="269"/>
    <w:next w:val="269"/>
    <w:qFormat/>
    <w:uiPriority w:val="0"/>
    <w:pPr>
      <w:spacing w:line="400" w:lineRule="atLeast"/>
    </w:pPr>
    <w:rPr>
      <w:rFonts w:ascii="宋体" w:eastAsia="宋体" w:cs="宋体"/>
      <w:color w:val="auto"/>
    </w:rPr>
  </w:style>
  <w:style w:type="paragraph" w:customStyle="1" w:styleId="568">
    <w:name w:val="Titel-Gutachten"/>
    <w:basedOn w:val="1"/>
    <w:qFormat/>
    <w:uiPriority w:val="0"/>
    <w:pPr>
      <w:widowControl/>
      <w:overflowPunct w:val="0"/>
      <w:autoSpaceDE w:val="0"/>
      <w:autoSpaceDN w:val="0"/>
      <w:adjustRightInd w:val="0"/>
      <w:spacing w:after="120" w:line="360" w:lineRule="auto"/>
      <w:jc w:val="center"/>
      <w:textAlignment w:val="baseline"/>
    </w:pPr>
    <w:rPr>
      <w:rFonts w:ascii="Wund" w:hAnsi="Wund" w:cs="Wund"/>
      <w:b/>
      <w:bCs/>
      <w:kern w:val="0"/>
      <w:sz w:val="36"/>
      <w:szCs w:val="36"/>
      <w:lang w:val="de-DE" w:eastAsia="de-DE"/>
    </w:rPr>
  </w:style>
  <w:style w:type="paragraph" w:customStyle="1" w:styleId="569">
    <w:name w:val="WW-Index 5"/>
    <w:basedOn w:val="1"/>
    <w:qFormat/>
    <w:uiPriority w:val="0"/>
    <w:pPr>
      <w:widowControl/>
      <w:tabs>
        <w:tab w:val="right" w:leader="dot" w:pos="3960"/>
      </w:tabs>
      <w:overflowPunct w:val="0"/>
      <w:autoSpaceDE w:val="0"/>
      <w:autoSpaceDN w:val="0"/>
      <w:adjustRightInd w:val="0"/>
      <w:spacing w:after="120" w:line="360" w:lineRule="auto"/>
      <w:ind w:left="2160" w:hanging="720"/>
      <w:textAlignment w:val="baseline"/>
    </w:pPr>
    <w:rPr>
      <w:rFonts w:ascii="Wund" w:hAnsi="Wund" w:cs="Wund"/>
      <w:kern w:val="0"/>
      <w:sz w:val="22"/>
      <w:lang w:val="de-DE" w:eastAsia="de-DE"/>
    </w:rPr>
  </w:style>
  <w:style w:type="paragraph" w:customStyle="1" w:styleId="570">
    <w:name w:val="CM85"/>
    <w:basedOn w:val="269"/>
    <w:next w:val="269"/>
    <w:qFormat/>
    <w:uiPriority w:val="0"/>
    <w:pPr>
      <w:spacing w:line="443" w:lineRule="atLeast"/>
    </w:pPr>
    <w:rPr>
      <w:rFonts w:ascii="宋体" w:eastAsia="宋体" w:cs="宋体"/>
      <w:color w:val="auto"/>
    </w:rPr>
  </w:style>
  <w:style w:type="paragraph" w:customStyle="1" w:styleId="571">
    <w:name w:val="CM104"/>
    <w:basedOn w:val="269"/>
    <w:next w:val="269"/>
    <w:qFormat/>
    <w:uiPriority w:val="0"/>
    <w:pPr>
      <w:spacing w:after="1318"/>
    </w:pPr>
    <w:rPr>
      <w:rFonts w:ascii="宋体" w:eastAsia="宋体" w:cs="宋体"/>
      <w:color w:val="auto"/>
    </w:rPr>
  </w:style>
  <w:style w:type="paragraph" w:customStyle="1" w:styleId="572">
    <w:name w:val="Zchn Zchn21"/>
    <w:basedOn w:val="20"/>
    <w:qFormat/>
    <w:uiPriority w:val="0"/>
    <w:rPr>
      <w:rFonts w:ascii="Calibri" w:hAnsi="Calibri"/>
      <w:kern w:val="0"/>
      <w:sz w:val="16"/>
      <w:szCs w:val="16"/>
      <w:lang w:val="de-DE" w:eastAsia="de-DE"/>
    </w:rPr>
  </w:style>
  <w:style w:type="paragraph" w:customStyle="1" w:styleId="573">
    <w:name w:val="WW-Makrotext"/>
    <w:basedOn w:val="3"/>
    <w:qFormat/>
    <w:uiPriority w:val="0"/>
    <w:pPr>
      <w:suppressAutoHyphens/>
      <w:overflowPunct w:val="0"/>
      <w:autoSpaceDE w:val="0"/>
      <w:autoSpaceDN w:val="0"/>
      <w:adjustRightInd w:val="0"/>
      <w:spacing w:line="340" w:lineRule="atLeast"/>
      <w:textAlignment w:val="baseline"/>
    </w:pPr>
    <w:rPr>
      <w:rFonts w:ascii="Courier New" w:hAnsi="Courier New" w:cs="Courier New"/>
      <w:kern w:val="0"/>
      <w:sz w:val="22"/>
      <w:szCs w:val="22"/>
      <w:lang w:val="de-DE" w:eastAsia="de-DE"/>
    </w:rPr>
  </w:style>
  <w:style w:type="paragraph" w:customStyle="1" w:styleId="574">
    <w:name w:val="CM30"/>
    <w:basedOn w:val="269"/>
    <w:next w:val="269"/>
    <w:qFormat/>
    <w:uiPriority w:val="0"/>
    <w:pPr>
      <w:spacing w:after="260"/>
    </w:pPr>
    <w:rPr>
      <w:rFonts w:ascii="Century Gothic" w:hAnsi="Century Gothic" w:eastAsia="宋体" w:cs="Century Gothic"/>
      <w:color w:val="auto"/>
    </w:rPr>
  </w:style>
  <w:style w:type="paragraph" w:customStyle="1" w:styleId="575">
    <w:name w:val="CM2"/>
    <w:basedOn w:val="269"/>
    <w:next w:val="269"/>
    <w:qFormat/>
    <w:uiPriority w:val="0"/>
    <w:pPr>
      <w:spacing w:line="500" w:lineRule="atLeast"/>
    </w:pPr>
    <w:rPr>
      <w:rFonts w:ascii="宋体" w:eastAsia="宋体" w:cs="宋体"/>
      <w:color w:val="auto"/>
    </w:rPr>
  </w:style>
  <w:style w:type="paragraph" w:customStyle="1" w:styleId="576">
    <w:name w:val="Char Char Char Char Char Char Char Char Char Char Char Char Char1"/>
    <w:basedOn w:val="1"/>
    <w:qFormat/>
    <w:uiPriority w:val="0"/>
    <w:rPr>
      <w:rFonts w:ascii="仿宋_GB2312" w:hAnsi="Times New Roman" w:eastAsia="仿宋_GB2312"/>
      <w:b/>
      <w:sz w:val="32"/>
      <w:szCs w:val="32"/>
    </w:rPr>
  </w:style>
  <w:style w:type="paragraph" w:customStyle="1" w:styleId="577">
    <w:name w:val="Basis-Kopfzeile"/>
    <w:basedOn w:val="1"/>
    <w:qFormat/>
    <w:uiPriority w:val="0"/>
    <w:pPr>
      <w:keepLines/>
      <w:widowControl/>
      <w:tabs>
        <w:tab w:val="center" w:pos="4320"/>
        <w:tab w:val="right" w:pos="8640"/>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78">
    <w:name w:val="CM140"/>
    <w:basedOn w:val="269"/>
    <w:next w:val="269"/>
    <w:qFormat/>
    <w:uiPriority w:val="0"/>
    <w:pPr>
      <w:spacing w:after="115"/>
    </w:pPr>
    <w:rPr>
      <w:rFonts w:ascii="宋体" w:eastAsia="宋体" w:cs="宋体"/>
      <w:color w:val="auto"/>
    </w:rPr>
  </w:style>
  <w:style w:type="paragraph" w:customStyle="1" w:styleId="579">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580">
    <w:name w:val="1.正文"/>
    <w:qFormat/>
    <w:uiPriority w:val="0"/>
    <w:pPr>
      <w:widowControl w:val="0"/>
      <w:adjustRightInd w:val="0"/>
      <w:spacing w:line="360" w:lineRule="auto"/>
      <w:ind w:firstLine="397"/>
      <w:jc w:val="both"/>
      <w:textAlignment w:val="baseline"/>
    </w:pPr>
    <w:rPr>
      <w:rFonts w:ascii="Times New Roman" w:hAnsi="Times New Roman" w:eastAsia="宋体" w:cs="Times New Roman"/>
      <w:spacing w:val="20"/>
      <w:sz w:val="24"/>
      <w:szCs w:val="24"/>
      <w:lang w:val="en-US" w:eastAsia="zh-CN" w:bidi="ar-SA"/>
    </w:rPr>
  </w:style>
  <w:style w:type="paragraph" w:customStyle="1" w:styleId="581">
    <w:name w:val="WW-Nachrichtenkopf"/>
    <w:basedOn w:val="3"/>
    <w:qFormat/>
    <w:uiPriority w:val="0"/>
    <w:pPr>
      <w:keepLines/>
      <w:tabs>
        <w:tab w:val="left" w:pos="3600"/>
        <w:tab w:val="left" w:pos="4680"/>
      </w:tabs>
      <w:suppressAutoHyphens/>
      <w:overflowPunct w:val="0"/>
      <w:autoSpaceDE w:val="0"/>
      <w:autoSpaceDN w:val="0"/>
      <w:adjustRightInd w:val="0"/>
      <w:spacing w:after="240" w:line="340" w:lineRule="atLeast"/>
      <w:ind w:left="1080" w:right="2880" w:hanging="1080"/>
      <w:textAlignment w:val="baseline"/>
    </w:pPr>
    <w:rPr>
      <w:rFonts w:ascii="Wund" w:hAnsi="Wund"/>
      <w:kern w:val="0"/>
      <w:sz w:val="22"/>
      <w:szCs w:val="22"/>
      <w:lang w:val="de-DE" w:eastAsia="de-DE"/>
    </w:rPr>
  </w:style>
  <w:style w:type="paragraph" w:customStyle="1" w:styleId="582">
    <w:name w:val="正文文本1"/>
    <w:basedOn w:val="1"/>
    <w:qFormat/>
    <w:uiPriority w:val="0"/>
    <w:pPr>
      <w:suppressAutoHyphens/>
      <w:overflowPunct w:val="0"/>
      <w:autoSpaceDE w:val="0"/>
      <w:autoSpaceDN w:val="0"/>
      <w:adjustRightInd w:val="0"/>
      <w:spacing w:after="160" w:line="56" w:lineRule="atLeast"/>
      <w:textAlignment w:val="baseline"/>
    </w:pPr>
    <w:rPr>
      <w:rFonts w:ascii="Arial Narrow" w:hAnsi="Arial Narrow" w:cs="Arial Narrow"/>
      <w:kern w:val="0"/>
      <w:sz w:val="24"/>
      <w:szCs w:val="24"/>
      <w:lang w:val="de-DE" w:eastAsia="de-DE"/>
    </w:rPr>
  </w:style>
  <w:style w:type="paragraph" w:customStyle="1" w:styleId="583">
    <w:name w:val="CM105"/>
    <w:basedOn w:val="269"/>
    <w:next w:val="269"/>
    <w:qFormat/>
    <w:uiPriority w:val="0"/>
    <w:pPr>
      <w:spacing w:after="1040"/>
    </w:pPr>
    <w:rPr>
      <w:rFonts w:ascii="宋体" w:eastAsia="宋体" w:cs="宋体"/>
      <w:color w:val="auto"/>
    </w:rPr>
  </w:style>
  <w:style w:type="paragraph" w:customStyle="1" w:styleId="584">
    <w:name w:val="SS正文首行缩进 +"/>
    <w:basedOn w:val="2"/>
    <w:qFormat/>
    <w:uiPriority w:val="0"/>
    <w:pPr>
      <w:spacing w:beforeLines="50" w:after="0" w:line="360" w:lineRule="auto"/>
      <w:ind w:firstLine="480" w:firstLineChars="200"/>
    </w:pPr>
    <w:rPr>
      <w:rFonts w:eastAsia="Times New Roman"/>
      <w:color w:val="000000"/>
      <w:sz w:val="24"/>
      <w:szCs w:val="24"/>
    </w:rPr>
  </w:style>
  <w:style w:type="paragraph" w:customStyle="1" w:styleId="585">
    <w:name w:val="正文缩进1"/>
    <w:qFormat/>
    <w:uiPriority w:val="0"/>
    <w:pPr>
      <w:widowControl w:val="0"/>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s>
      <w:spacing w:line="440" w:lineRule="exact"/>
      <w:ind w:firstLine="200"/>
      <w:jc w:val="center"/>
    </w:pPr>
    <w:rPr>
      <w:rFonts w:ascii="Lucida Grande" w:hAnsi="Lucida Grande" w:eastAsia="宋体" w:cs="Times New Roman"/>
      <w:b/>
      <w:color w:val="000000"/>
      <w:spacing w:val="14"/>
      <w:kern w:val="24"/>
      <w:sz w:val="21"/>
      <w:lang w:val="en-US" w:eastAsia="zh-CN" w:bidi="ar-SA"/>
    </w:rPr>
  </w:style>
  <w:style w:type="paragraph" w:customStyle="1" w:styleId="586">
    <w:name w:val="Betreff"/>
    <w:basedOn w:val="3"/>
    <w:next w:val="3"/>
    <w:qFormat/>
    <w:uiPriority w:val="0"/>
    <w:pPr>
      <w:suppressAutoHyphens/>
      <w:overflowPunct w:val="0"/>
      <w:autoSpaceDE w:val="0"/>
      <w:autoSpaceDN w:val="0"/>
      <w:adjustRightInd w:val="0"/>
      <w:spacing w:line="340" w:lineRule="atLeast"/>
      <w:textAlignment w:val="baseline"/>
    </w:pPr>
    <w:rPr>
      <w:rFonts w:ascii="Arial Narrow" w:hAnsi="Arial Narrow" w:cs="Arial Narrow"/>
      <w:i/>
      <w:iCs/>
      <w:kern w:val="0"/>
      <w:sz w:val="22"/>
      <w:szCs w:val="22"/>
      <w:u w:val="single"/>
      <w:lang w:val="de-DE" w:eastAsia="de-DE"/>
    </w:rPr>
  </w:style>
  <w:style w:type="paragraph" w:customStyle="1" w:styleId="587">
    <w:name w:val="Char161"/>
    <w:basedOn w:val="1"/>
    <w:qFormat/>
    <w:uiPriority w:val="0"/>
    <w:rPr>
      <w:rFonts w:ascii="Times New Roman" w:hAnsi="Times New Roman"/>
      <w:szCs w:val="20"/>
    </w:rPr>
  </w:style>
  <w:style w:type="paragraph" w:customStyle="1" w:styleId="588">
    <w:name w:val="CM172"/>
    <w:basedOn w:val="269"/>
    <w:next w:val="269"/>
    <w:qFormat/>
    <w:uiPriority w:val="0"/>
    <w:pPr>
      <w:spacing w:after="108"/>
    </w:pPr>
    <w:rPr>
      <w:rFonts w:ascii="宋体" w:eastAsia="宋体" w:cs="宋体"/>
      <w:color w:val="auto"/>
    </w:rPr>
  </w:style>
  <w:style w:type="paragraph" w:customStyle="1" w:styleId="589">
    <w:name w:val="Char Char Char1"/>
    <w:basedOn w:val="1"/>
    <w:qFormat/>
    <w:uiPriority w:val="0"/>
    <w:rPr>
      <w:rFonts w:ascii="Times New Roman" w:hAnsi="Times New Roman"/>
      <w:szCs w:val="20"/>
    </w:rPr>
  </w:style>
  <w:style w:type="paragraph" w:customStyle="1" w:styleId="590">
    <w:name w:val="CM42"/>
    <w:basedOn w:val="269"/>
    <w:next w:val="269"/>
    <w:qFormat/>
    <w:uiPriority w:val="0"/>
    <w:pPr>
      <w:spacing w:after="120"/>
    </w:pPr>
    <w:rPr>
      <w:rFonts w:ascii="Century Gothic" w:hAnsi="Century Gothic" w:eastAsia="宋体" w:cs="Century Gothic"/>
      <w:color w:val="auto"/>
    </w:rPr>
  </w:style>
  <w:style w:type="paragraph" w:customStyle="1" w:styleId="591">
    <w:name w:val="Aufzählung 1 Ende"/>
    <w:basedOn w:val="19"/>
    <w:qFormat/>
    <w:uiPriority w:val="0"/>
    <w:pPr>
      <w:tabs>
        <w:tab w:val="left" w:pos="720"/>
      </w:tabs>
      <w:suppressAutoHyphens/>
      <w:overflowPunct w:val="0"/>
      <w:autoSpaceDE w:val="0"/>
      <w:autoSpaceDN w:val="0"/>
      <w:spacing w:after="24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92">
    <w:name w:val="Numerierung 1 Ende"/>
    <w:basedOn w:val="19"/>
    <w:qFormat/>
    <w:uiPriority w:val="0"/>
    <w:pPr>
      <w:tabs>
        <w:tab w:val="left" w:pos="720"/>
      </w:tabs>
      <w:suppressAutoHyphens/>
      <w:overflowPunct w:val="0"/>
      <w:autoSpaceDE w:val="0"/>
      <w:autoSpaceDN w:val="0"/>
      <w:spacing w:after="24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93">
    <w:name w:val="WW-Listennummer 5"/>
    <w:basedOn w:val="427"/>
    <w:qFormat/>
    <w:uiPriority w:val="0"/>
    <w:pPr>
      <w:ind w:left="2160"/>
    </w:pPr>
  </w:style>
  <w:style w:type="paragraph" w:customStyle="1" w:styleId="594">
    <w:name w:val="CM54"/>
    <w:basedOn w:val="269"/>
    <w:next w:val="269"/>
    <w:qFormat/>
    <w:uiPriority w:val="0"/>
    <w:pPr>
      <w:spacing w:line="398" w:lineRule="atLeast"/>
    </w:pPr>
    <w:rPr>
      <w:rFonts w:ascii="宋体" w:eastAsia="宋体" w:cs="宋体"/>
      <w:color w:val="auto"/>
    </w:rPr>
  </w:style>
  <w:style w:type="paragraph" w:customStyle="1" w:styleId="595">
    <w:name w:val="Abschnittsbezeichnung"/>
    <w:basedOn w:val="462"/>
    <w:next w:val="3"/>
    <w:qFormat/>
    <w:uiPriority w:val="0"/>
    <w:pPr>
      <w:spacing w:after="360"/>
      <w:jc w:val="center"/>
    </w:pPr>
  </w:style>
  <w:style w:type="paragraph" w:customStyle="1" w:styleId="596">
    <w:name w:val="Rahmeninhalt"/>
    <w:basedOn w:val="3"/>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597">
    <w:name w:val="Char Char Char Char Char Char1"/>
    <w:basedOn w:val="1"/>
    <w:qFormat/>
    <w:uiPriority w:val="0"/>
    <w:rPr>
      <w:rFonts w:ascii="Tahoma" w:hAnsi="Tahoma"/>
      <w:sz w:val="24"/>
      <w:szCs w:val="20"/>
    </w:rPr>
  </w:style>
  <w:style w:type="paragraph" w:customStyle="1" w:styleId="598">
    <w:name w:val="WW-Liste 2"/>
    <w:basedOn w:val="19"/>
    <w:qFormat/>
    <w:uiPriority w:val="0"/>
    <w:pPr>
      <w:tabs>
        <w:tab w:val="left" w:pos="1080"/>
      </w:tabs>
      <w:suppressAutoHyphens/>
      <w:overflowPunct w:val="0"/>
      <w:autoSpaceDE w:val="0"/>
      <w:autoSpaceDN w:val="0"/>
      <w:spacing w:after="80" w:line="340" w:lineRule="atLeast"/>
      <w:ind w:left="1080" w:hanging="360"/>
      <w:jc w:val="both"/>
      <w:textAlignment w:val="baseline"/>
    </w:pPr>
    <w:rPr>
      <w:rFonts w:hint="default" w:ascii="Arial Narrow" w:hAnsi="Arial Narrow" w:cs="Arial Narrow"/>
      <w:sz w:val="22"/>
      <w:szCs w:val="22"/>
      <w:lang w:val="de-DE" w:eastAsia="de-DE"/>
    </w:rPr>
  </w:style>
  <w:style w:type="paragraph" w:customStyle="1" w:styleId="599">
    <w:name w:val="Numerierung 1"/>
    <w:basedOn w:val="19"/>
    <w:qFormat/>
    <w:uiPriority w:val="0"/>
    <w:pPr>
      <w:tabs>
        <w:tab w:val="left" w:pos="720"/>
      </w:tabs>
      <w:suppressAutoHyphens/>
      <w:overflowPunct w:val="0"/>
      <w:autoSpaceDE w:val="0"/>
      <w:autoSpaceDN w:val="0"/>
      <w:spacing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600">
    <w:name w:val="CM16"/>
    <w:basedOn w:val="269"/>
    <w:next w:val="269"/>
    <w:qFormat/>
    <w:uiPriority w:val="0"/>
    <w:pPr>
      <w:spacing w:line="276" w:lineRule="atLeast"/>
    </w:pPr>
    <w:rPr>
      <w:rFonts w:ascii="Century Gothic" w:hAnsi="Century Gothic" w:eastAsia="宋体" w:cs="Century Gothic"/>
      <w:color w:val="auto"/>
    </w:rPr>
  </w:style>
  <w:style w:type="paragraph" w:customStyle="1" w:styleId="601">
    <w:name w:val="Numerierung 1 Fortsetzung"/>
    <w:basedOn w:val="19"/>
    <w:qFormat/>
    <w:uiPriority w:val="0"/>
    <w:pPr>
      <w:tabs>
        <w:tab w:val="left" w:pos="720"/>
      </w:tabs>
      <w:suppressAutoHyphens/>
      <w:overflowPunct w:val="0"/>
      <w:autoSpaceDE w:val="0"/>
      <w:autoSpaceDN w:val="0"/>
      <w:spacing w:after="120" w:line="340" w:lineRule="atLeast"/>
      <w:ind w:left="283" w:firstLine="0"/>
      <w:jc w:val="both"/>
      <w:textAlignment w:val="baseline"/>
    </w:pPr>
    <w:rPr>
      <w:rFonts w:hint="default" w:ascii="Arial Narrow" w:hAnsi="Arial Narrow" w:cs="Arial Narrow"/>
      <w:sz w:val="22"/>
      <w:szCs w:val="22"/>
      <w:lang w:val="de-DE" w:eastAsia="de-DE"/>
    </w:rPr>
  </w:style>
  <w:style w:type="paragraph" w:customStyle="1" w:styleId="602">
    <w:name w:val="CM38"/>
    <w:basedOn w:val="269"/>
    <w:next w:val="269"/>
    <w:qFormat/>
    <w:uiPriority w:val="0"/>
    <w:pPr>
      <w:spacing w:after="525"/>
    </w:pPr>
    <w:rPr>
      <w:rFonts w:ascii="Century Gothic" w:hAnsi="Century Gothic" w:eastAsia="宋体" w:cs="Century Gothic"/>
      <w:color w:val="auto"/>
    </w:rPr>
  </w:style>
  <w:style w:type="paragraph" w:customStyle="1" w:styleId="603">
    <w:name w:val="CM9"/>
    <w:basedOn w:val="269"/>
    <w:next w:val="269"/>
    <w:qFormat/>
    <w:uiPriority w:val="0"/>
    <w:pPr>
      <w:spacing w:line="323" w:lineRule="atLeast"/>
    </w:pPr>
    <w:rPr>
      <w:rFonts w:ascii="Century Gothic" w:hAnsi="Century Gothic" w:eastAsia="宋体" w:cs="Century Gothic"/>
      <w:color w:val="auto"/>
    </w:rPr>
  </w:style>
  <w:style w:type="paragraph" w:customStyle="1" w:styleId="604">
    <w:name w:val="WW-Listennummer 2"/>
    <w:basedOn w:val="427"/>
    <w:qFormat/>
    <w:uiPriority w:val="0"/>
    <w:pPr>
      <w:ind w:left="1080"/>
    </w:pPr>
  </w:style>
  <w:style w:type="paragraph" w:customStyle="1" w:styleId="605">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606">
    <w:name w:val="列出段落31"/>
    <w:basedOn w:val="1"/>
    <w:qFormat/>
    <w:uiPriority w:val="0"/>
    <w:pPr>
      <w:ind w:firstLine="420" w:firstLineChars="200"/>
    </w:pPr>
  </w:style>
  <w:style w:type="paragraph" w:customStyle="1" w:styleId="607">
    <w:name w:val="修订5"/>
    <w:hidden/>
    <w:semiHidden/>
    <w:qFormat/>
    <w:uiPriority w:val="99"/>
    <w:rPr>
      <w:rFonts w:ascii="Calibri" w:hAnsi="Calibri" w:eastAsia="宋体" w:cs="Times New Roman"/>
      <w:kern w:val="2"/>
      <w:sz w:val="21"/>
      <w:szCs w:val="22"/>
      <w:lang w:val="en-US" w:eastAsia="zh-CN" w:bidi="ar-SA"/>
    </w:rPr>
  </w:style>
  <w:style w:type="paragraph" w:customStyle="1" w:styleId="608">
    <w:name w:val="修订6"/>
    <w:hidden/>
    <w:semiHidden/>
    <w:qFormat/>
    <w:uiPriority w:val="99"/>
    <w:rPr>
      <w:rFonts w:ascii="Calibri" w:hAnsi="Calibri" w:eastAsia="宋体" w:cs="Times New Roman"/>
      <w:kern w:val="2"/>
      <w:sz w:val="21"/>
      <w:szCs w:val="22"/>
      <w:lang w:val="en-US" w:eastAsia="zh-CN" w:bidi="ar-SA"/>
    </w:rPr>
  </w:style>
  <w:style w:type="character" w:customStyle="1" w:styleId="609">
    <w:name w:val="font51"/>
    <w:basedOn w:val="56"/>
    <w:qFormat/>
    <w:uiPriority w:val="0"/>
    <w:rPr>
      <w:rFonts w:hint="eastAsia" w:ascii="新宋体" w:hAnsi="新宋体" w:eastAsia="新宋体" w:cs="新宋体"/>
      <w:color w:val="000000"/>
      <w:sz w:val="22"/>
      <w:szCs w:val="22"/>
      <w:u w:val="none"/>
    </w:rPr>
  </w:style>
  <w:style w:type="character" w:customStyle="1" w:styleId="610">
    <w:name w:val="font141"/>
    <w:basedOn w:val="56"/>
    <w:qFormat/>
    <w:uiPriority w:val="0"/>
    <w:rPr>
      <w:rFonts w:hint="eastAsia" w:ascii="宋体" w:hAnsi="宋体" w:eastAsia="宋体" w:cs="宋体"/>
      <w:color w:val="000000"/>
      <w:sz w:val="22"/>
      <w:szCs w:val="22"/>
      <w:u w:val="none"/>
    </w:rPr>
  </w:style>
  <w:style w:type="character" w:customStyle="1" w:styleId="611">
    <w:name w:val="font61"/>
    <w:basedOn w:val="56"/>
    <w:qFormat/>
    <w:uiPriority w:val="0"/>
    <w:rPr>
      <w:rFonts w:hint="eastAsia" w:ascii="新宋体" w:hAnsi="新宋体" w:eastAsia="新宋体" w:cs="新宋体"/>
      <w:color w:val="000000"/>
      <w:sz w:val="22"/>
      <w:szCs w:val="22"/>
      <w:u w:val="none"/>
    </w:rPr>
  </w:style>
  <w:style w:type="character" w:customStyle="1" w:styleId="612">
    <w:name w:val="font112"/>
    <w:basedOn w:val="56"/>
    <w:qFormat/>
    <w:uiPriority w:val="0"/>
    <w:rPr>
      <w:rFonts w:hint="eastAsia" w:ascii="新宋体" w:hAnsi="新宋体" w:eastAsia="新宋体" w:cs="新宋体"/>
      <w:color w:val="FF0000"/>
      <w:sz w:val="22"/>
      <w:szCs w:val="22"/>
      <w:u w:val="none"/>
    </w:rPr>
  </w:style>
  <w:style w:type="character" w:customStyle="1" w:styleId="613">
    <w:name w:val="font81"/>
    <w:basedOn w:val="56"/>
    <w:qFormat/>
    <w:uiPriority w:val="0"/>
    <w:rPr>
      <w:rFonts w:hint="eastAsia" w:ascii="宋体" w:hAnsi="宋体" w:eastAsia="宋体" w:cs="宋体"/>
      <w:color w:val="000000"/>
      <w:sz w:val="20"/>
      <w:szCs w:val="20"/>
      <w:u w:val="none"/>
    </w:rPr>
  </w:style>
  <w:style w:type="character" w:customStyle="1" w:styleId="614">
    <w:name w:val="font101"/>
    <w:basedOn w:val="56"/>
    <w:qFormat/>
    <w:uiPriority w:val="0"/>
    <w:rPr>
      <w:rFonts w:hint="default" w:ascii="Times New Roman" w:hAnsi="Times New Roman" w:cs="Times New Roman"/>
      <w:color w:val="000000"/>
      <w:sz w:val="20"/>
      <w:szCs w:val="20"/>
      <w:u w:val="none"/>
    </w:rPr>
  </w:style>
  <w:style w:type="character" w:customStyle="1" w:styleId="615">
    <w:name w:val="font71"/>
    <w:basedOn w:val="56"/>
    <w:qFormat/>
    <w:uiPriority w:val="0"/>
    <w:rPr>
      <w:rFonts w:hint="eastAsia" w:ascii="宋体" w:hAnsi="宋体" w:eastAsia="宋体" w:cs="宋体"/>
      <w:color w:val="000000"/>
      <w:sz w:val="22"/>
      <w:szCs w:val="22"/>
      <w:u w:val="none"/>
    </w:rPr>
  </w:style>
  <w:style w:type="character" w:customStyle="1" w:styleId="616">
    <w:name w:val="font31"/>
    <w:basedOn w:val="56"/>
    <w:qFormat/>
    <w:uiPriority w:val="0"/>
    <w:rPr>
      <w:rFonts w:hint="eastAsia" w:ascii="宋体" w:hAnsi="宋体" w:eastAsia="宋体" w:cs="宋体"/>
      <w:color w:val="000000"/>
      <w:sz w:val="22"/>
      <w:szCs w:val="22"/>
      <w:u w:val="none"/>
    </w:rPr>
  </w:style>
  <w:style w:type="character" w:customStyle="1" w:styleId="617">
    <w:name w:val="font21"/>
    <w:basedOn w:val="56"/>
    <w:qFormat/>
    <w:uiPriority w:val="0"/>
    <w:rPr>
      <w:rFonts w:hint="eastAsia" w:ascii="宋体" w:hAnsi="宋体" w:eastAsia="宋体" w:cs="宋体"/>
      <w:color w:val="000000"/>
      <w:sz w:val="21"/>
      <w:szCs w:val="21"/>
      <w:u w:val="none"/>
    </w:rPr>
  </w:style>
  <w:style w:type="character" w:customStyle="1" w:styleId="618">
    <w:name w:val="font91"/>
    <w:basedOn w:val="56"/>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A346F4-69EC-4835-8E10-DD5D566D4D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148</Pages>
  <Words>16687</Words>
  <Characters>95118</Characters>
  <Lines>792</Lines>
  <Paragraphs>223</Paragraphs>
  <TotalTime>70</TotalTime>
  <ScaleCrop>false</ScaleCrop>
  <LinksUpToDate>false</LinksUpToDate>
  <CharactersWithSpaces>111582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2023-02-23T10:33:00Z</dcterms:created>
  <dc:creator>管理员</dc:creator>
  <cp:lastModifiedBy>卓工</cp:lastModifiedBy>
  <cp:lastPrinted>2023-02-27T08:28:00Z</cp:lastPrinted>
  <dcterms:modified xsi:type="dcterms:W3CDTF">2023-02-28T04:18:14Z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F1F67B968DA84FD2AC506E65DE1AD7B8</vt:lpwstr>
  </property>
</Properties>
</file>