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8"/>
        <w:rPr>
          <w:rFonts w:hAnsi="Courier New" w:asciiTheme="minorEastAsia"/>
          <w:color w:val="auto"/>
          <w:sz w:val="24"/>
          <w:szCs w:val="28"/>
          <w:highlight w:val="none"/>
        </w:rPr>
      </w:pPr>
    </w:p>
    <w:p w14:paraId="1DFC4BED">
      <w:pPr>
        <w:rPr>
          <w:color w:val="auto"/>
          <w:highlight w:val="none"/>
        </w:rPr>
      </w:pPr>
    </w:p>
    <w:p w14:paraId="3E632663">
      <w:pPr>
        <w:pStyle w:val="8"/>
        <w:spacing w:line="360" w:lineRule="auto"/>
        <w:jc w:val="center"/>
        <w:rPr>
          <w:rFonts w:hint="eastAsia"/>
          <w:color w:val="auto"/>
          <w:highlight w:val="none"/>
        </w:rPr>
      </w:pPr>
      <w:r>
        <w:rPr>
          <w:rFonts w:hint="eastAsia" w:ascii="宋体" w:hAnsi="宋体" w:cs="宋体"/>
          <w:b/>
          <w:color w:val="auto"/>
          <w:kern w:val="2"/>
          <w:sz w:val="48"/>
          <w:szCs w:val="40"/>
          <w:highlight w:val="none"/>
        </w:rPr>
        <w:t>广州市白云区棠涌村城中村改造项目首开区第二批安置地块及安置区配套道路项目勘察设计施工总承包（EPC）</w:t>
      </w:r>
    </w:p>
    <w:p w14:paraId="7CC48B96">
      <w:pPr>
        <w:pStyle w:val="8"/>
        <w:spacing w:line="360" w:lineRule="auto"/>
        <w:rPr>
          <w:rFonts w:hint="eastAsia"/>
          <w:color w:val="auto"/>
          <w:highlight w:val="none"/>
        </w:rPr>
      </w:pPr>
    </w:p>
    <w:p w14:paraId="1B2C01B7">
      <w:pPr>
        <w:spacing w:line="360" w:lineRule="auto"/>
        <w:jc w:val="center"/>
        <w:rPr>
          <w:rFonts w:hint="eastAsia" w:ascii="宋体" w:hAnsi="宋体" w:cs="宋体"/>
          <w:color w:val="auto"/>
          <w:kern w:val="2"/>
          <w:sz w:val="72"/>
          <w:szCs w:val="72"/>
          <w:highlight w:val="none"/>
        </w:rPr>
      </w:pPr>
    </w:p>
    <w:p w14:paraId="024A85A7">
      <w:pPr>
        <w:spacing w:line="360" w:lineRule="auto"/>
        <w:jc w:val="center"/>
        <w:rPr>
          <w:rFonts w:hint="eastAsia"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hint="eastAsia" w:ascii="宋体" w:hAnsi="宋体" w:cs="宋体"/>
          <w:color w:val="auto"/>
          <w:kern w:val="2"/>
          <w:sz w:val="48"/>
          <w:szCs w:val="21"/>
          <w:highlight w:val="none"/>
        </w:rPr>
      </w:pPr>
    </w:p>
    <w:p w14:paraId="1C44858F">
      <w:pPr>
        <w:spacing w:line="360" w:lineRule="auto"/>
        <w:jc w:val="center"/>
        <w:rPr>
          <w:rFonts w:hint="eastAsia" w:ascii="宋体" w:hAnsi="宋体" w:cs="宋体"/>
          <w:color w:val="auto"/>
          <w:kern w:val="2"/>
          <w:sz w:val="32"/>
          <w:szCs w:val="32"/>
          <w:highlight w:val="none"/>
        </w:rPr>
      </w:pPr>
    </w:p>
    <w:p w14:paraId="0BC482EA">
      <w:pPr>
        <w:pStyle w:val="8"/>
        <w:spacing w:line="360" w:lineRule="auto"/>
        <w:rPr>
          <w:rFonts w:hAnsi="Courier New" w:asciiTheme="minorEastAsia"/>
          <w:color w:val="auto"/>
          <w:sz w:val="21"/>
          <w:szCs w:val="22"/>
          <w:highlight w:val="none"/>
        </w:rPr>
      </w:pPr>
    </w:p>
    <w:p w14:paraId="0CDEF4D2">
      <w:pPr>
        <w:spacing w:line="360" w:lineRule="auto"/>
        <w:rPr>
          <w:rFonts w:hint="eastAsia" w:ascii="宋体" w:hAnsi="宋体" w:cs="宋体"/>
          <w:color w:val="auto"/>
          <w:kern w:val="2"/>
          <w:highlight w:val="none"/>
        </w:rPr>
      </w:pPr>
    </w:p>
    <w:p w14:paraId="6062DD66">
      <w:pPr>
        <w:pStyle w:val="8"/>
        <w:rPr>
          <w:rFonts w:hAnsi="Courier New" w:asciiTheme="minorEastAsia"/>
          <w:color w:val="auto"/>
          <w:highlight w:val="none"/>
        </w:rPr>
      </w:pPr>
    </w:p>
    <w:p w14:paraId="4BD48C56">
      <w:pPr>
        <w:pStyle w:val="8"/>
        <w:rPr>
          <w:rFonts w:hint="eastAsia"/>
          <w:color w:val="auto"/>
          <w:highlight w:val="none"/>
        </w:rPr>
      </w:pPr>
    </w:p>
    <w:p w14:paraId="3418A9DE">
      <w:pPr>
        <w:pStyle w:val="8"/>
        <w:rPr>
          <w:rFonts w:hint="eastAsia"/>
          <w:color w:val="auto"/>
          <w:highlight w:val="none"/>
        </w:rPr>
      </w:pPr>
    </w:p>
    <w:p w14:paraId="31396F55">
      <w:pPr>
        <w:pStyle w:val="8"/>
        <w:rPr>
          <w:rFonts w:hint="eastAsia"/>
          <w:color w:val="auto"/>
          <w:highlight w:val="none"/>
        </w:rPr>
      </w:pPr>
    </w:p>
    <w:p w14:paraId="0370E6E0">
      <w:pPr>
        <w:pStyle w:val="8"/>
        <w:rPr>
          <w:rFonts w:hint="eastAsia"/>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广州白云棠涌置地有限公司</w:t>
      </w:r>
    </w:p>
    <w:p w14:paraId="7FDD2E7E">
      <w:pPr>
        <w:spacing w:line="360" w:lineRule="auto"/>
        <w:ind w:left="283" w:leftChars="135"/>
        <w:rPr>
          <w:rFonts w:hint="eastAsia"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hint="eastAsia"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11</w:t>
      </w:r>
      <w:r>
        <w:rPr>
          <w:rFonts w:hint="eastAsia" w:ascii="宋体" w:hAnsi="宋体" w:cs="宋体"/>
          <w:b/>
          <w:color w:val="auto"/>
          <w:kern w:val="2"/>
          <w:sz w:val="32"/>
          <w:szCs w:val="32"/>
          <w:highlight w:val="none"/>
        </w:rPr>
        <w:t>月</w:t>
      </w:r>
      <w:bookmarkStart w:id="1" w:name="_Toc152042286"/>
      <w:bookmarkEnd w:id="1"/>
      <w:bookmarkStart w:id="2" w:name="_Toc300834926"/>
      <w:bookmarkEnd w:id="2"/>
      <w:bookmarkStart w:id="3" w:name="_Toc367729707"/>
      <w:bookmarkEnd w:id="3"/>
      <w:bookmarkStart w:id="4" w:name="_Toc144974478"/>
      <w:bookmarkEnd w:id="4"/>
      <w:bookmarkStart w:id="5" w:name="_Toc247527532"/>
      <w:bookmarkEnd w:id="5"/>
    </w:p>
    <w:p w14:paraId="438AC5E2">
      <w:pPr>
        <w:rPr>
          <w:rFonts w:ascii="宋体" w:hAnsi="宋体" w:cs="宋体"/>
          <w:b/>
          <w:color w:val="auto"/>
          <w:sz w:val="32"/>
          <w:szCs w:val="32"/>
          <w:highlight w:val="none"/>
        </w:rPr>
        <w:sectPr>
          <w:pgSz w:w="11906" w:h="16838"/>
          <w:pgMar w:top="1440" w:right="1274" w:bottom="1440" w:left="1800" w:header="851" w:footer="992" w:gutter="0"/>
          <w:cols w:space="425" w:num="1"/>
          <w:docGrid w:type="lines" w:linePitch="312" w:charSpace="0"/>
        </w:sectPr>
      </w:pPr>
      <w:bookmarkStart w:id="6" w:name="_Hlk116483058"/>
    </w:p>
    <w:p w14:paraId="527BBFA3">
      <w:pPr>
        <w:widowControl/>
        <w:jc w:val="left"/>
        <w:rPr>
          <w:rFonts w:hint="eastAsia" w:ascii="宋体" w:hAnsi="宋体" w:cs="宋体"/>
          <w:b/>
          <w:color w:val="auto"/>
          <w:sz w:val="32"/>
          <w:szCs w:val="32"/>
          <w:highlight w:val="none"/>
        </w:rPr>
        <w:sectPr>
          <w:footerReference r:id="rId3" w:type="default"/>
          <w:pgSz w:w="11906" w:h="16838"/>
          <w:pgMar w:top="1440" w:right="1274" w:bottom="1440" w:left="1800" w:header="851" w:footer="992" w:gutter="0"/>
          <w:pgNumType w:start="1"/>
          <w:cols w:space="425" w:num="1"/>
          <w:docGrid w:type="lines" w:linePitch="312" w:charSpace="0"/>
        </w:sectPr>
      </w:pPr>
    </w:p>
    <w:p w14:paraId="199BEC80">
      <w:pPr>
        <w:widowControl/>
        <w:jc w:val="left"/>
        <w:rPr>
          <w:rFonts w:hint="eastAsia" w:ascii="宋体" w:hAnsi="宋体" w:cs="宋体"/>
          <w:b/>
          <w:color w:val="auto"/>
          <w:sz w:val="32"/>
          <w:szCs w:val="32"/>
          <w:highlight w:val="none"/>
        </w:rPr>
      </w:pPr>
    </w:p>
    <w:bookmarkEnd w:id="6"/>
    <w:p w14:paraId="63CFA920">
      <w:pPr>
        <w:pStyle w:val="13"/>
        <w:adjustRightInd w:val="0"/>
        <w:snapToGrid w:val="0"/>
        <w:spacing w:after="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广州市白云区棠涌村城中村改造项目首开区第二批安置地块及安置区配套道路项目勘察设计施工总承包（EPC）</w:t>
      </w:r>
    </w:p>
    <w:p w14:paraId="309816D4">
      <w:pPr>
        <w:pStyle w:val="13"/>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7219DF44">
      <w:pPr>
        <w:pStyle w:val="8"/>
        <w:spacing w:line="360" w:lineRule="auto"/>
        <w:ind w:left="239" w:leftChars="114" w:firstLine="321" w:firstLineChars="134"/>
        <w:rPr>
          <w:rFonts w:hint="eastAsia"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广州市白云区棠涌村城中村改造项目首开区第二批安置地块及安置区配套道路项目</w:t>
      </w:r>
      <w:r>
        <w:rPr>
          <w:rFonts w:hint="eastAsia" w:cs="宋体"/>
          <w:color w:val="auto"/>
          <w:sz w:val="24"/>
          <w:highlight w:val="none"/>
        </w:rPr>
        <w:t>已由</w:t>
      </w:r>
      <w:r>
        <w:rPr>
          <w:rFonts w:hint="eastAsia" w:cs="宋体"/>
          <w:color w:val="auto"/>
          <w:sz w:val="24"/>
          <w:highlight w:val="none"/>
          <w:u w:val="single"/>
          <w:lang w:val="en-US" w:eastAsia="zh-CN"/>
        </w:rPr>
        <w:t>穗白发改投批【2025】85号</w:t>
      </w:r>
      <w:r>
        <w:rPr>
          <w:rFonts w:cs="宋体"/>
          <w:color w:val="auto"/>
          <w:sz w:val="24"/>
          <w:highlight w:val="none"/>
        </w:rPr>
        <w:t>批准实施</w:t>
      </w:r>
      <w:r>
        <w:rPr>
          <w:rFonts w:hint="eastAsia" w:cs="宋体"/>
          <w:color w:val="auto"/>
          <w:sz w:val="24"/>
          <w:highlight w:val="none"/>
        </w:rPr>
        <w:t>建设，项目业主为：</w:t>
      </w:r>
      <w:r>
        <w:rPr>
          <w:rFonts w:hint="eastAsia" w:cs="宋体"/>
          <w:color w:val="auto"/>
          <w:sz w:val="24"/>
          <w:highlight w:val="none"/>
          <w:u w:val="single"/>
          <w:lang w:eastAsia="zh-CN"/>
        </w:rPr>
        <w:t>广州白云棠涌置地有限公司</w:t>
      </w:r>
      <w:r>
        <w:rPr>
          <w:rFonts w:hint="eastAsia" w:cs="宋体"/>
          <w:color w:val="auto"/>
          <w:sz w:val="24"/>
          <w:highlight w:val="none"/>
        </w:rPr>
        <w:t>，建设资金来自</w:t>
      </w:r>
      <w:r>
        <w:rPr>
          <w:rFonts w:hint="eastAsia" w:cs="宋体"/>
          <w:color w:val="auto"/>
          <w:sz w:val="24"/>
          <w:highlight w:val="none"/>
          <w:u w:val="single"/>
          <w:lang w:val="en-US" w:eastAsia="zh-CN"/>
        </w:rPr>
        <w:t>财政资金和</w:t>
      </w:r>
      <w:r>
        <w:rPr>
          <w:rFonts w:hint="eastAsia" w:cs="宋体"/>
          <w:color w:val="auto"/>
          <w:sz w:val="24"/>
          <w:highlight w:val="none"/>
          <w:u w:val="single"/>
        </w:rPr>
        <w:t>企业自筹</w:t>
      </w:r>
      <w:r>
        <w:rPr>
          <w:rFonts w:hint="eastAsia" w:cs="宋体"/>
          <w:color w:val="auto"/>
          <w:sz w:val="24"/>
          <w:highlight w:val="none"/>
          <w:u w:val="single"/>
          <w:lang w:val="en-US" w:eastAsia="zh-CN"/>
        </w:rPr>
        <w:t>资金</w:t>
      </w:r>
      <w:r>
        <w:rPr>
          <w:rFonts w:hint="eastAsia" w:cs="宋体"/>
          <w:color w:val="auto"/>
          <w:sz w:val="24"/>
          <w:highlight w:val="none"/>
        </w:rPr>
        <w:t>，招标人为</w:t>
      </w:r>
      <w:r>
        <w:rPr>
          <w:rFonts w:hint="eastAsia" w:cs="宋体"/>
          <w:color w:val="auto"/>
          <w:sz w:val="24"/>
          <w:highlight w:val="none"/>
          <w:u w:val="single"/>
          <w:lang w:eastAsia="zh-CN"/>
        </w:rPr>
        <w:t>广州白云棠涌置地有限公司</w:t>
      </w:r>
      <w:r>
        <w:rPr>
          <w:rFonts w:hint="eastAsia" w:cs="宋体"/>
          <w:color w:val="auto"/>
          <w:sz w:val="24"/>
          <w:highlight w:val="none"/>
        </w:rPr>
        <w:t>，项目已具备招标条件，现对该项目</w:t>
      </w:r>
      <w:r>
        <w:rPr>
          <w:rFonts w:hint="eastAsia" w:cs="宋体"/>
          <w:color w:val="auto"/>
          <w:sz w:val="24"/>
          <w:highlight w:val="none"/>
          <w:u w:val="single"/>
        </w:rPr>
        <w:t>勘察设计施工总承包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hint="eastAsia"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48F40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eastAsia="宋体" w:cs="宋体"/>
          <w:color w:val="auto"/>
          <w:sz w:val="24"/>
          <w:szCs w:val="22"/>
          <w:highlight w:val="none"/>
          <w:u w:val="single"/>
          <w:lang w:val="en-US" w:eastAsia="zh-CN" w:bidi="ar-SA"/>
        </w:rPr>
        <w:t>位于棠涌片区北面，整合地块（</w:t>
      </w:r>
      <w:r>
        <w:rPr>
          <w:rFonts w:hint="eastAsia" w:ascii="宋体" w:hAnsi="宋体" w:eastAsia="宋体" w:cs="宋体"/>
          <w:color w:val="auto"/>
          <w:sz w:val="24"/>
          <w:szCs w:val="22"/>
          <w:highlight w:val="none"/>
          <w:u w:val="single"/>
          <w:lang w:val="en-US" w:eastAsia="zh" w:bidi="ar-SA"/>
        </w:rPr>
        <w:t>AB2801009、</w:t>
      </w:r>
      <w:r>
        <w:rPr>
          <w:rFonts w:hint="eastAsia" w:ascii="宋体" w:hAnsi="宋体" w:eastAsia="宋体" w:cs="宋体"/>
          <w:color w:val="auto"/>
          <w:sz w:val="24"/>
          <w:szCs w:val="22"/>
          <w:highlight w:val="none"/>
          <w:u w:val="single"/>
          <w:lang w:val="en-US" w:eastAsia="zh-CN" w:bidi="ar-SA"/>
        </w:rPr>
        <w:t>AB2801042、AB2801044地块）位于汇侨中路以北、汇侨北路以南、纵六路以东范围。地块2（AB2801082）位于汇侨中路以北、纵五路以西范围。</w:t>
      </w:r>
    </w:p>
    <w:p w14:paraId="071124E0">
      <w:pPr>
        <w:spacing w:line="360" w:lineRule="auto"/>
        <w:rPr>
          <w:rFonts w:hint="eastAsia" w:ascii="宋体" w:hAnsi="宋体" w:cs="宋体"/>
          <w:color w:val="auto"/>
          <w:sz w:val="24"/>
          <w:szCs w:val="20"/>
          <w:highlight w:val="none"/>
          <w:u w:val="single"/>
          <w:lang w:val="zh-CN" w:eastAsia="zh-CN"/>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eastAsia="zh-CN"/>
        </w:rPr>
        <w:t>本项目包括安置房部分和配套道路部分。安置房部分总建筑面积约214495平方米，其中地块1(AB2801009、AB2801042、AB2801044地块)总建筑面积约208631平方米,计容建筑面积约 148457平方米,不计容建筑面积约 60174平方米，建筑高度 99.9米，</w:t>
      </w:r>
      <w:r>
        <w:rPr>
          <w:rFonts w:hint="eastAsia" w:ascii="宋体" w:hAnsi="宋体" w:cs="宋体"/>
          <w:color w:val="auto"/>
          <w:sz w:val="24"/>
          <w:szCs w:val="20"/>
          <w:highlight w:val="none"/>
          <w:u w:val="single"/>
          <w:lang w:val="en-US" w:eastAsia="zh-CN"/>
        </w:rPr>
        <w:t>建筑层数不超过33层</w:t>
      </w:r>
      <w:r>
        <w:rPr>
          <w:rFonts w:hint="eastAsia" w:ascii="宋体" w:hAnsi="宋体" w:cs="宋体"/>
          <w:color w:val="auto"/>
          <w:sz w:val="24"/>
          <w:szCs w:val="20"/>
          <w:highlight w:val="none"/>
          <w:u w:val="single"/>
          <w:lang w:val="zh-CN" w:eastAsia="zh-CN"/>
        </w:rPr>
        <w:t>；地块 2(AB2801082地块)总建筑面积约 5864平方米,计容建筑面积约 3814平方米，不计容建筑面积约 2050 平方米，建筑高度 23.9米。小区与外部市政道路连接的配套道路部分总长约 675 米。</w:t>
      </w:r>
    </w:p>
    <w:p w14:paraId="574E04F2">
      <w:pPr>
        <w:spacing w:line="360" w:lineRule="auto"/>
        <w:ind w:firstLine="480" w:firstLineChars="200"/>
        <w:rPr>
          <w:rFonts w:hint="eastAsia" w:ascii="宋体" w:hAnsi="宋体" w:cs="宋体"/>
          <w:color w:val="auto"/>
          <w:sz w:val="24"/>
          <w:szCs w:val="20"/>
          <w:highlight w:val="none"/>
          <w:u w:val="single"/>
          <w:lang w:val="zh-CN" w:eastAsia="zh-CN"/>
        </w:rPr>
      </w:pPr>
      <w:r>
        <w:rPr>
          <w:rFonts w:hint="eastAsia" w:ascii="宋体" w:hAnsi="宋体" w:cs="宋体"/>
          <w:color w:val="auto"/>
          <w:sz w:val="24"/>
          <w:szCs w:val="20"/>
          <w:highlight w:val="none"/>
          <w:u w:val="single"/>
          <w:lang w:val="zh-CN" w:eastAsia="zh-CN"/>
        </w:rPr>
        <w:t>建设内容包括拆除工程、建筑工程、安装工程、道路工程排水工程、给水工程、电力通信管廊工程、燃气工程、交通工程照明工程、绿化景观工程等。</w:t>
      </w:r>
    </w:p>
    <w:p w14:paraId="0DAB0F19">
      <w:pPr>
        <w:spacing w:line="360" w:lineRule="auto"/>
        <w:ind w:firstLine="480" w:firstLineChars="200"/>
        <w:rPr>
          <w:rFonts w:hint="eastAsia" w:ascii="宋体" w:hAnsi="宋体" w:cs="宋体"/>
          <w:color w:val="auto"/>
          <w:sz w:val="24"/>
          <w:szCs w:val="20"/>
          <w:highlight w:val="none"/>
          <w:u w:val="single"/>
          <w:lang w:val="zh-CN" w:eastAsia="zh-CN"/>
        </w:rPr>
      </w:pPr>
      <w:r>
        <w:rPr>
          <w:rFonts w:hint="eastAsia" w:ascii="宋体" w:hAnsi="宋体" w:cs="宋体"/>
          <w:color w:val="auto"/>
          <w:sz w:val="24"/>
          <w:szCs w:val="20"/>
          <w:highlight w:val="none"/>
          <w:u w:val="single"/>
          <w:lang w:val="zh-CN" w:eastAsia="zh-CN"/>
        </w:rPr>
        <w:t>(最终建设规模及指标以批复方案为准)</w:t>
      </w:r>
    </w:p>
    <w:p w14:paraId="79A6013D">
      <w:pPr>
        <w:adjustRightInd w:val="0"/>
        <w:snapToGrid w:val="0"/>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660</w:t>
      </w:r>
      <w:r>
        <w:rPr>
          <w:rFonts w:hint="eastAsia" w:ascii="宋体" w:hAnsi="宋体" w:cs="宋体"/>
          <w:color w:val="auto"/>
          <w:sz w:val="24"/>
          <w:szCs w:val="24"/>
          <w:highlight w:val="none"/>
          <w:u w:val="single"/>
        </w:rPr>
        <w:t>个日历天。</w:t>
      </w:r>
    </w:p>
    <w:p w14:paraId="4D496FF7">
      <w:pPr>
        <w:adjustRightInd w:val="0"/>
        <w:snapToGrid w:val="0"/>
        <w:spacing w:line="360" w:lineRule="auto"/>
        <w:ind w:firstLine="566" w:firstLineChars="236"/>
        <w:rPr>
          <w:rFonts w:hint="eastAsia"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05B7F54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（1）勘察部分：</w:t>
      </w:r>
      <w:r>
        <w:rPr>
          <w:rFonts w:hint="eastAsia" w:ascii="宋体" w:hAnsi="宋体" w:cs="宋体"/>
          <w:color w:val="auto"/>
          <w:sz w:val="24"/>
          <w:highlight w:val="none"/>
          <w:u w:val="single"/>
        </w:rPr>
        <w:t>内容包括但不限于如下内容：</w:t>
      </w:r>
      <w:r>
        <w:rPr>
          <w:rFonts w:hint="eastAsia" w:ascii="宋体" w:hAnsi="宋体" w:cs="宋体"/>
          <w:color w:val="auto"/>
          <w:sz w:val="24"/>
          <w:szCs w:val="24"/>
          <w:highlight w:val="none"/>
          <w:u w:val="single"/>
          <w:lang w:bidi="ar"/>
        </w:rPr>
        <w:t>岩土工程勘察（初勘、详勘）、超前钻、工程物探〔管线探测、工程桩管波探测〕、地形测绘及工程测量（IV等水准测量）、剪切波速、抽水试验、土壤氡浓度检测及噪声测试，包括但不限于勘察大纲、岩土工程勘察、详细勘察等其他工作。</w:t>
      </w:r>
      <w:r>
        <w:rPr>
          <w:rFonts w:hint="eastAsia" w:ascii="宋体" w:hAnsi="宋体" w:cs="宋体"/>
          <w:color w:val="auto"/>
          <w:sz w:val="24"/>
          <w:highlight w:val="none"/>
          <w:u w:val="single"/>
        </w:rPr>
        <w:t>（具体详见勘察设计任务书和合同约定条款）。</w:t>
      </w:r>
    </w:p>
    <w:p w14:paraId="67AC2F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）设计部分：</w:t>
      </w:r>
      <w:r>
        <w:rPr>
          <w:rFonts w:hint="eastAsia" w:ascii="宋体" w:hAnsi="宋体" w:cs="宋体"/>
          <w:color w:val="auto"/>
          <w:sz w:val="24"/>
          <w:highlight w:val="none"/>
          <w:u w:val="single"/>
        </w:rPr>
        <w:t>包括但不限于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pPr>
        <w:numPr>
          <w:ilvl w:val="255"/>
          <w:numId w:val="0"/>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2D3F10CE">
      <w:pPr>
        <w:adjustRightInd/>
        <w:snapToGrid/>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eastAsia="宋体"/>
          <w:color w:val="auto"/>
          <w:kern w:val="2"/>
          <w:sz w:val="24"/>
          <w:szCs w:val="24"/>
          <w:highlight w:val="none"/>
          <w:u w:val="single"/>
          <w:lang w:bidi="ar"/>
        </w:rPr>
        <w:t>本项目按国家绿色建筑评价标准</w:t>
      </w:r>
      <w:r>
        <w:rPr>
          <w:rFonts w:hint="eastAsia" w:ascii="宋体" w:hAnsi="宋体" w:eastAsia="宋体"/>
          <w:color w:val="auto"/>
          <w:kern w:val="2"/>
          <w:sz w:val="24"/>
          <w:szCs w:val="24"/>
          <w:highlight w:val="none"/>
          <w:u w:val="single"/>
          <w:lang w:val="en-US" w:eastAsia="zh-CN" w:bidi="ar"/>
        </w:rPr>
        <w:t>二</w:t>
      </w:r>
      <w:r>
        <w:rPr>
          <w:rFonts w:hint="eastAsia" w:ascii="宋体" w:hAnsi="宋体" w:eastAsia="宋体"/>
          <w:color w:val="auto"/>
          <w:kern w:val="2"/>
          <w:sz w:val="24"/>
          <w:szCs w:val="24"/>
          <w:highlight w:val="none"/>
          <w:u w:val="single"/>
          <w:lang w:bidi="ar"/>
        </w:rPr>
        <w:t>星绿色建筑标准规划设计</w:t>
      </w:r>
      <w:r>
        <w:rPr>
          <w:rFonts w:hint="eastAsia" w:ascii="宋体" w:hAnsi="宋体" w:eastAsia="宋体"/>
          <w:color w:val="auto"/>
          <w:kern w:val="2"/>
          <w:sz w:val="24"/>
          <w:szCs w:val="24"/>
          <w:highlight w:val="none"/>
          <w:u w:val="single"/>
          <w:lang w:eastAsia="zh-CN" w:bidi="ar"/>
        </w:rPr>
        <w:t>，</w:t>
      </w:r>
      <w:r>
        <w:rPr>
          <w:rFonts w:hint="eastAsia" w:ascii="宋体" w:hAnsi="宋体" w:cs="宋体"/>
          <w:color w:val="auto"/>
          <w:sz w:val="24"/>
          <w:highlight w:val="none"/>
          <w:u w:val="single"/>
        </w:rPr>
        <w:t>具体详见勘察设计任务书。</w:t>
      </w:r>
    </w:p>
    <w:p w14:paraId="170BBC95">
      <w:pPr>
        <w:adjustRightInd w:val="0"/>
        <w:snapToGrid w:val="0"/>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竣工备案及合同约定的其它工作。</w:t>
      </w:r>
    </w:p>
    <w:p w14:paraId="344580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2.4.4.1勘察设计部分：</w:t>
      </w:r>
      <w:r>
        <w:rPr>
          <w:rFonts w:hint="eastAsia" w:ascii="宋体" w:hAnsi="宋体" w:cs="宋体"/>
          <w:color w:val="auto"/>
          <w:sz w:val="24"/>
          <w:highlight w:val="none"/>
          <w:u w:val="single"/>
        </w:rPr>
        <w:t>符合国家、行业、地方相关强制性标准及勘察、设计任务书等的要求。</w:t>
      </w:r>
    </w:p>
    <w:p w14:paraId="4D70844D">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2.4.5.安全文明目标：</w:t>
      </w:r>
      <w:r>
        <w:rPr>
          <w:rFonts w:hint="eastAsia" w:ascii="宋体" w:hAnsi="宋体" w:cs="宋体"/>
          <w:color w:val="auto"/>
          <w:sz w:val="24"/>
          <w:highlight w:val="none"/>
          <w:u w:val="single"/>
        </w:rPr>
        <w:t>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hint="eastAsia"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color w:val="auto"/>
          <w:sz w:val="24"/>
          <w:highlight w:val="none"/>
          <w:u w:val="single"/>
        </w:rPr>
        <w:t>广州市白云工程咨询管理有限公司（可行性研究报告编制单位）</w:t>
      </w:r>
      <w:r>
        <w:rPr>
          <w:rFonts w:hint="eastAsia" w:ascii="宋体" w:hAnsi="宋体" w:cs="宋体"/>
          <w:color w:val="auto"/>
          <w:sz w:val="24"/>
          <w:highlight w:val="none"/>
        </w:rPr>
        <w:t>。</w:t>
      </w:r>
    </w:p>
    <w:p w14:paraId="0871B41B">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BB06FD6">
      <w:pPr>
        <w:widowControl/>
        <w:tabs>
          <w:tab w:val="left" w:pos="105"/>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本次招标最高投标限价为</w:t>
      </w:r>
      <w:r>
        <w:rPr>
          <w:rFonts w:hint="eastAsia" w:ascii="宋体" w:hAnsi="宋体" w:cs="宋体"/>
          <w:color w:val="auto"/>
          <w:sz w:val="24"/>
          <w:highlight w:val="none"/>
          <w:u w:val="single"/>
          <w:lang w:val="en-US" w:eastAsia="zh-CN"/>
        </w:rPr>
        <w:t>110338.58</w:t>
      </w:r>
      <w:r>
        <w:rPr>
          <w:rFonts w:hint="eastAsia" w:ascii="宋体" w:hAnsi="宋体" w:cs="宋体"/>
          <w:color w:val="auto"/>
          <w:sz w:val="24"/>
          <w:highlight w:val="none"/>
        </w:rPr>
        <w:t>万元，其中：勘察费最高投标限价为</w:t>
      </w:r>
      <w:r>
        <w:rPr>
          <w:rFonts w:hint="eastAsia" w:ascii="宋体" w:hAnsi="宋体" w:cs="宋体"/>
          <w:color w:val="auto"/>
          <w:sz w:val="24"/>
          <w:highlight w:val="none"/>
          <w:u w:val="single"/>
          <w:lang w:val="en-US" w:eastAsia="zh-CN"/>
        </w:rPr>
        <w:t>900.63</w:t>
      </w:r>
      <w:r>
        <w:rPr>
          <w:rFonts w:hint="eastAsia" w:ascii="宋体" w:hAnsi="宋体" w:cs="宋体"/>
          <w:color w:val="auto"/>
          <w:sz w:val="24"/>
          <w:highlight w:val="none"/>
        </w:rPr>
        <w:t>万元；设计费最高投标限价为</w:t>
      </w:r>
      <w:r>
        <w:rPr>
          <w:rFonts w:hint="eastAsia" w:ascii="宋体" w:hAnsi="宋体" w:cs="宋体"/>
          <w:color w:val="auto"/>
          <w:sz w:val="24"/>
          <w:highlight w:val="none"/>
          <w:u w:val="single"/>
          <w:lang w:val="en-US" w:eastAsia="zh-CN"/>
        </w:rPr>
        <w:t>1744.49</w:t>
      </w:r>
      <w:r>
        <w:rPr>
          <w:rFonts w:hint="eastAsia" w:ascii="宋体" w:hAnsi="宋体" w:cs="宋体"/>
          <w:color w:val="auto"/>
          <w:sz w:val="24"/>
          <w:highlight w:val="none"/>
        </w:rPr>
        <w:t>万元；工程费最高投标限价为人民币</w:t>
      </w:r>
      <w:r>
        <w:rPr>
          <w:rFonts w:hint="eastAsia" w:ascii="宋体" w:hAnsi="宋体" w:cs="宋体"/>
          <w:color w:val="auto"/>
          <w:sz w:val="24"/>
          <w:highlight w:val="none"/>
          <w:u w:val="single"/>
          <w:lang w:val="en-US" w:eastAsia="zh-CN"/>
        </w:rPr>
        <w:t>107693.46</w:t>
      </w:r>
      <w:r>
        <w:rPr>
          <w:rFonts w:hint="eastAsia" w:ascii="宋体" w:hAnsi="宋体" w:cs="宋体"/>
          <w:color w:val="auto"/>
          <w:sz w:val="24"/>
          <w:highlight w:val="none"/>
        </w:rPr>
        <w:t>万元。</w:t>
      </w:r>
    </w:p>
    <w:p w14:paraId="1415FFB8">
      <w:pPr>
        <w:widowControl/>
        <w:tabs>
          <w:tab w:val="left" w:pos="105"/>
        </w:tabs>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5"/>
        <w:adjustRightInd w:val="0"/>
        <w:snapToGrid w:val="0"/>
        <w:ind w:firstLine="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4EAD852">
      <w:pPr>
        <w:pStyle w:val="25"/>
        <w:adjustRightInd w:val="0"/>
        <w:snapToGrid w:val="0"/>
        <w:ind w:firstLine="566" w:firstLineChars="23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工程勘察资质：</w:t>
      </w:r>
      <w:r>
        <w:rPr>
          <w:rFonts w:hint="eastAsia" w:ascii="宋体" w:hAnsi="宋体" w:eastAsia="宋体" w:cs="宋体"/>
          <w:color w:val="auto"/>
          <w:sz w:val="24"/>
          <w:szCs w:val="24"/>
          <w:highlight w:val="none"/>
          <w:u w:val="single"/>
        </w:rPr>
        <w:t>工程勘察综合甲级资质，或同时具有工程勘察专业类(岩土工程）甲级资质和工程勘察专业类（工程测量）乙级（或以上）资质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同时具有工程勘察专业类（岩土工程（分项）岩土工程勘察）甲级资质和工程勘察专业类（工程测量）乙级（或以上）资质。</w:t>
      </w:r>
    </w:p>
    <w:p w14:paraId="70024478">
      <w:pPr>
        <w:pStyle w:val="25"/>
        <w:adjustRightInd w:val="0"/>
        <w:snapToGrid w:val="0"/>
        <w:ind w:firstLine="566" w:firstLineChars="236"/>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工程设计综合甲级资质，或建筑工程设计资质【建筑行业设计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资质，或建筑行业（建筑工程）专业设计</w:t>
      </w:r>
      <w:r>
        <w:rPr>
          <w:rFonts w:hint="eastAsia" w:ascii="宋体" w:hAnsi="宋体" w:eastAsia="宋体" w:cs="宋体"/>
          <w:color w:val="auto"/>
          <w:sz w:val="24"/>
          <w:szCs w:val="24"/>
          <w:highlight w:val="none"/>
          <w:u w:val="single"/>
        </w:rPr>
        <w:t>甲级</w:t>
      </w:r>
      <w:r>
        <w:rPr>
          <w:rFonts w:hint="eastAsia" w:ascii="宋体" w:hAnsi="宋体" w:eastAsia="宋体" w:cs="宋体"/>
          <w:bCs/>
          <w:color w:val="auto"/>
          <w:sz w:val="24"/>
          <w:szCs w:val="24"/>
          <w:highlight w:val="none"/>
          <w:u w:val="single"/>
        </w:rPr>
        <w:t>资质】，或建筑设计事务所资质证书。</w:t>
      </w:r>
    </w:p>
    <w:p w14:paraId="65965A4A">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号）的规定，香港企业参加勘察、设计投标的，须在广东省住房和城乡建设主管部门备案且备案业务满足招标资格要求的。</w:t>
      </w:r>
    </w:p>
    <w:p w14:paraId="5412B9E0">
      <w:pPr>
        <w:pStyle w:val="25"/>
        <w:adjustRightInd w:val="0"/>
        <w:snapToGrid w:val="0"/>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5"/>
        <w:adjustRightInd w:val="0"/>
        <w:snapToGrid w:val="0"/>
        <w:ind w:firstLine="540"/>
        <w:rPr>
          <w:rFonts w:hint="eastAsia" w:ascii="宋体" w:hAnsi="宋体" w:eastAsia="宋体" w:cs="宋体"/>
          <w:bCs/>
          <w:color w:val="auto"/>
          <w:sz w:val="24"/>
          <w:szCs w:val="24"/>
          <w:highlight w:val="none"/>
          <w:u w:val="single"/>
        </w:rPr>
      </w:pPr>
      <w:r>
        <w:rPr>
          <w:rFonts w:ascii="宋体" w:hAnsi="宋体" w:eastAsia="宋体" w:cs="宋体"/>
          <w:color w:val="auto"/>
          <w:sz w:val="24"/>
          <w:szCs w:val="24"/>
          <w:highlight w:val="none"/>
        </w:rPr>
        <w:t>3.1.3</w:t>
      </w:r>
      <w:r>
        <w:rPr>
          <w:rFonts w:hint="eastAsia" w:ascii="宋体" w:hAnsi="宋体" w:eastAsia="宋体" w:cs="宋体"/>
          <w:color w:val="auto"/>
          <w:sz w:val="24"/>
          <w:szCs w:val="24"/>
          <w:highlight w:val="none"/>
        </w:rPr>
        <w:t>施工资质：具有承接本工程所需的</w:t>
      </w:r>
      <w:r>
        <w:rPr>
          <w:rFonts w:hint="eastAsia" w:ascii="宋体" w:hAnsi="宋体" w:eastAsia="宋体" w:cs="宋体"/>
          <w:bCs/>
          <w:color w:val="auto"/>
          <w:sz w:val="24"/>
          <w:szCs w:val="24"/>
          <w:highlight w:val="none"/>
          <w:u w:val="single"/>
        </w:rPr>
        <w:t>建筑工程施工总承包</w:t>
      </w:r>
      <w:r>
        <w:rPr>
          <w:rFonts w:hint="eastAsia" w:ascii="宋体" w:hAnsi="宋体" w:eastAsia="宋体" w:cs="宋体"/>
          <w:bCs/>
          <w:color w:val="auto"/>
          <w:sz w:val="24"/>
          <w:szCs w:val="24"/>
          <w:highlight w:val="none"/>
          <w:u w:val="single"/>
          <w:lang w:val="en-US" w:eastAsia="zh-CN"/>
        </w:rPr>
        <w:t>壹</w:t>
      </w:r>
      <w:r>
        <w:rPr>
          <w:rFonts w:hint="eastAsia" w:ascii="宋体" w:hAnsi="宋体" w:eastAsia="宋体" w:cs="宋体"/>
          <w:bCs/>
          <w:color w:val="auto"/>
          <w:sz w:val="24"/>
          <w:szCs w:val="24"/>
          <w:highlight w:val="none"/>
          <w:u w:val="single"/>
        </w:rPr>
        <w:t>级（或以上）资质，并具有建设行政主管部门颁发的安全生产许可证。</w:t>
      </w:r>
    </w:p>
    <w:p w14:paraId="4F42C004">
      <w:pPr>
        <w:adjustRightInd w:val="0"/>
        <w:snapToGrid w:val="0"/>
        <w:spacing w:line="360" w:lineRule="auto"/>
        <w:ind w:firstLine="540" w:firstLineChars="224"/>
        <w:rPr>
          <w:rFonts w:hint="eastAsia"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城乡建设部关于建筑业企业资质管理有关问题的通知》（建市[2015]154号）、《住房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城乡建设部关于简化建筑业企业资质标准部分指标的通知》(建市[2016]226号)的要求设置。</w:t>
      </w:r>
    </w:p>
    <w:p w14:paraId="245C0590">
      <w:pPr>
        <w:adjustRightInd w:val="0"/>
        <w:snapToGrid w:val="0"/>
        <w:spacing w:line="360" w:lineRule="auto"/>
        <w:ind w:firstLine="537" w:firstLineChars="224"/>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w:t>
      </w:r>
      <w:r>
        <w:rPr>
          <w:rFonts w:hint="eastAsia" w:ascii="宋体" w:hAnsi="宋体" w:cs="宋体"/>
          <w:bCs/>
          <w:color w:val="auto"/>
          <w:sz w:val="24"/>
          <w:szCs w:val="24"/>
          <w:highlight w:val="none"/>
          <w:u w:val="single"/>
          <w:lang w:val="en-US" w:eastAsia="zh-CN"/>
        </w:rPr>
        <w:t>和</w:t>
      </w:r>
      <w:r>
        <w:rPr>
          <w:rFonts w:hint="eastAsia" w:ascii="宋体" w:hAnsi="宋体" w:cs="宋体"/>
          <w:bCs/>
          <w:color w:val="auto"/>
          <w:sz w:val="24"/>
          <w:szCs w:val="24"/>
          <w:highlight w:val="none"/>
          <w:u w:val="single"/>
        </w:rPr>
        <w:t>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 </w:t>
      </w:r>
      <w:r>
        <w:rPr>
          <w:rFonts w:hint="eastAsia" w:ascii="宋体" w:hAnsi="宋体" w:cs="宋体"/>
          <w:color w:val="auto"/>
          <w:sz w:val="24"/>
          <w:highlight w:val="none"/>
        </w:rPr>
        <w:t>家单位组成的联合体</w:t>
      </w:r>
      <w:r>
        <w:rPr>
          <w:rFonts w:hint="eastAsia" w:ascii="宋体" w:hAnsi="宋体" w:cs="宋体"/>
          <w:color w:val="auto"/>
          <w:sz w:val="24"/>
          <w:highlight w:val="none"/>
          <w:lang w:eastAsia="zh-CN"/>
        </w:rPr>
        <w:t>，</w:t>
      </w:r>
      <w:r>
        <w:rPr>
          <w:rFonts w:ascii="宋体" w:hAnsi="宋体" w:cs="宋体"/>
          <w:color w:val="auto"/>
          <w:sz w:val="24"/>
          <w:highlight w:val="none"/>
        </w:rPr>
        <w:t>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工程勘察资质以承担勘察任务的一方为准。</w:t>
      </w:r>
    </w:p>
    <w:p w14:paraId="35EEA92F">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5"/>
        <w:adjustRightInd w:val="0"/>
        <w:snapToGrid w:val="0"/>
        <w:ind w:firstLine="54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u w:val="single"/>
        </w:rPr>
        <w:t>级</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highlight w:val="non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strike/>
          <w:color w:val="auto"/>
          <w:sz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highlight w:val="none"/>
        </w:rPr>
        <w:t>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hint="eastAsia" w:ascii="宋体" w:hAnsi="宋体" w:cs="宋体"/>
          <w:color w:val="auto"/>
          <w:sz w:val="24"/>
          <w:highlight w:val="none"/>
        </w:rPr>
      </w:pPr>
      <w:r>
        <w:rPr>
          <w:rFonts w:hint="eastAsia" w:ascii="宋体" w:hAnsi="宋体" w:cs="宋体"/>
          <w:color w:val="auto"/>
          <w:sz w:val="24"/>
          <w:highlight w:val="none"/>
        </w:rPr>
        <w:t>3.3.2投标人（若为联合体，指联合体牵头方）拟担任本工程技术负责人的资格要求为：</w:t>
      </w:r>
      <w:r>
        <w:rPr>
          <w:rFonts w:hint="eastAsia" w:ascii="宋体" w:hAnsi="宋体" w:cs="宋体"/>
          <w:color w:val="auto"/>
          <w:sz w:val="24"/>
          <w:highlight w:val="none"/>
          <w:u w:val="single"/>
        </w:rPr>
        <w:t>建筑工程相关专业高级（或以上）工程师技术职称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如多方则</w:t>
      </w:r>
      <w:r>
        <w:rPr>
          <w:rFonts w:hint="eastAsia" w:ascii="宋体" w:hAnsi="宋体" w:cs="宋体"/>
          <w:color w:val="auto"/>
          <w:sz w:val="24"/>
          <w:highlight w:val="none"/>
          <w:lang w:eastAsia="zh-CN"/>
        </w:rPr>
        <w:t>任一</w:t>
      </w:r>
      <w:r>
        <w:rPr>
          <w:rFonts w:hint="eastAsia" w:ascii="宋体" w:hAnsi="宋体" w:cs="宋体"/>
          <w:color w:val="auto"/>
          <w:sz w:val="24"/>
          <w:highlight w:val="none"/>
          <w:lang w:val="en-US" w:eastAsia="zh-CN"/>
        </w:rPr>
        <w:t>设计单位</w:t>
      </w:r>
      <w:r>
        <w:rPr>
          <w:rFonts w:hint="eastAsia" w:ascii="宋体" w:hAnsi="宋体" w:cs="宋体"/>
          <w:color w:val="auto"/>
          <w:sz w:val="24"/>
          <w:highlight w:val="none"/>
        </w:rPr>
        <w:t>）</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hint="eastAsia"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hint="eastAsia"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6E168D37">
      <w:pPr>
        <w:adjustRightInd w:val="0"/>
        <w:snapToGrid w:val="0"/>
        <w:spacing w:line="360" w:lineRule="auto"/>
        <w:ind w:firstLine="537" w:firstLineChars="224"/>
        <w:rPr>
          <w:rFonts w:hint="eastAsia" w:ascii="宋体" w:hAnsi="宋体" w:cs="Calibri"/>
          <w:color w:val="auto"/>
          <w:sz w:val="24"/>
          <w:szCs w:val="22"/>
          <w:highlight w:val="none"/>
          <w:lang w:val="zh-CN"/>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eastAsia="宋体" w:cs="Calibri"/>
          <w:b w:val="0"/>
          <w:color w:val="auto"/>
          <w:kern w:val="0"/>
          <w:sz w:val="24"/>
          <w:szCs w:val="22"/>
          <w:highlight w:val="none"/>
        </w:rPr>
        <w:t>未被列入拖欠农民工工资失信联合惩戒对象名单</w:t>
      </w:r>
      <w:r>
        <w:rPr>
          <w:rFonts w:hint="eastAsia" w:ascii="宋体" w:hAnsi="宋体" w:eastAsia="宋体" w:cs="Calibri"/>
          <w:bCs w:val="0"/>
          <w:color w:val="auto"/>
          <w:kern w:val="0"/>
          <w:sz w:val="24"/>
          <w:szCs w:val="22"/>
          <w:highlight w:val="none"/>
        </w:rPr>
        <w:t>和失信被执行人。</w:t>
      </w:r>
    </w:p>
    <w:p w14:paraId="4C95E2A9">
      <w:pPr>
        <w:adjustRightInd w:val="0"/>
        <w:snapToGrid w:val="0"/>
        <w:spacing w:line="360" w:lineRule="auto"/>
        <w:ind w:firstLine="537" w:firstLineChars="224"/>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hint="eastAsia"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hint="eastAsia"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hint="eastAsia"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hint="eastAsia"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hint="eastAsia"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hint="eastAsia" w:ascii="宋体" w:hAnsi="宋体" w:cs="宋体"/>
          <w:b/>
          <w:color w:val="auto"/>
          <w:sz w:val="32"/>
          <w:szCs w:val="32"/>
          <w:highlight w:val="none"/>
        </w:rPr>
      </w:pPr>
      <w:bookmarkStart w:id="7" w:name="_Toc266093546"/>
      <w:bookmarkStart w:id="8" w:name="_Toc266881398"/>
      <w:bookmarkStart w:id="9" w:name="_Toc253143217"/>
      <w:bookmarkStart w:id="10" w:name="_Toc249845969"/>
      <w:bookmarkStart w:id="11" w:name="_Toc245023998"/>
      <w:bookmarkStart w:id="12" w:name="_Toc302982757"/>
      <w:bookmarkStart w:id="13" w:name="_Toc249846224"/>
      <w:bookmarkStart w:id="14" w:name="_Toc439245991"/>
      <w:bookmarkStart w:id="15" w:name="_Toc309311443"/>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http://www.gzggzy.cn</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9"/>
          <w:rFonts w:hint="eastAsia" w:ascii="宋体" w:hAnsi="宋体" w:cs="宋体"/>
          <w:color w:val="auto"/>
          <w:sz w:val="24"/>
          <w:highlight w:val="none"/>
          <w:shd w:val="clear" w:color="auto" w:fill="FFFFFF"/>
        </w:rPr>
        <w:t>http://www.cebpubservice.com/</w:t>
      </w:r>
      <w:r>
        <w:rPr>
          <w:rStyle w:val="19"/>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9"/>
          <w:rFonts w:hint="eastAsia" w:ascii="宋体" w:hAnsi="宋体" w:cs="宋体"/>
          <w:color w:val="auto"/>
          <w:sz w:val="24"/>
          <w:highlight w:val="none"/>
          <w:shd w:val="clear" w:color="auto" w:fill="FFFFFF"/>
        </w:rPr>
        <w:t>http://zbtb.gd.gov.cn/</w:t>
      </w:r>
      <w:r>
        <w:rPr>
          <w:rStyle w:val="19"/>
          <w:rFonts w:hint="eastAsia" w:ascii="宋体" w:hAnsi="宋体" w:cs="宋体"/>
          <w:color w:val="auto"/>
          <w:sz w:val="24"/>
          <w:highlight w:val="none"/>
          <w:shd w:val="clear" w:color="auto" w:fill="FFFFFF"/>
        </w:rPr>
        <w:fldChar w:fldCharType="end"/>
      </w:r>
      <w:r>
        <w:rPr>
          <w:rStyle w:val="19"/>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w:t>
      </w:r>
      <w:r>
        <w:rPr>
          <w:rFonts w:hint="eastAsia" w:ascii="宋体" w:hAnsi="宋体" w:cs="宋体"/>
          <w:color w:val="auto"/>
          <w:sz w:val="24"/>
          <w:highlight w:val="none"/>
          <w:shd w:val="clear" w:color="auto" w:fill="FFFFFF"/>
          <w:lang w:val="en-US" w:eastAsia="zh-CN"/>
        </w:rPr>
        <w:t>和广东省招标投标监管网</w:t>
      </w:r>
      <w:r>
        <w:rPr>
          <w:rFonts w:hint="eastAsia" w:ascii="宋体" w:hAnsi="宋体" w:cs="宋体"/>
          <w:color w:val="auto"/>
          <w:sz w:val="24"/>
          <w:highlight w:val="none"/>
          <w:shd w:val="clear" w:color="auto" w:fill="FFFFFF"/>
        </w:rPr>
        <w:t>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8"/>
        <w:spacing w:line="360" w:lineRule="auto"/>
        <w:ind w:firstLine="480" w:firstLineChars="200"/>
        <w:rPr>
          <w:rFonts w:hint="eastAsia"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8"/>
        <w:spacing w:line="360" w:lineRule="auto"/>
        <w:ind w:firstLine="480" w:firstLineChars="200"/>
        <w:rPr>
          <w:rFonts w:hint="eastAsia"/>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广州白云棠涌置地有限公司</w:t>
      </w:r>
    </w:p>
    <w:p w14:paraId="658679B2">
      <w:pPr>
        <w:widowControl/>
        <w:adjustRightInd w:val="0"/>
        <w:snapToGrid w:val="0"/>
        <w:spacing w:line="360" w:lineRule="auto"/>
        <w:ind w:firstLine="566" w:firstLineChars="236"/>
        <w:rPr>
          <w:rFonts w:hint="default" w:ascii="宋体" w:hAnsi="宋体" w:eastAsia="宋体"/>
          <w:color w:val="auto"/>
          <w:sz w:val="24"/>
          <w:highlight w:val="none"/>
          <w:u w:val="single"/>
          <w:lang w:val="en-US" w:eastAsia="zh-CN"/>
        </w:rPr>
      </w:pPr>
      <w:r>
        <w:rPr>
          <w:rFonts w:hint="eastAsia" w:ascii="宋体" w:hAnsi="宋体" w:cs="宋体"/>
          <w:color w:val="auto"/>
          <w:sz w:val="24"/>
          <w:highlight w:val="none"/>
        </w:rPr>
        <w:t>联系人：</w:t>
      </w:r>
      <w:r>
        <w:rPr>
          <w:rFonts w:hint="default" w:ascii="宋体" w:hAnsi="宋体" w:cs="宋体"/>
          <w:color w:val="auto"/>
          <w:sz w:val="24"/>
          <w:highlight w:val="none"/>
          <w:u w:val="single"/>
          <w:lang w:val="en-US"/>
        </w:rPr>
        <w:t>黄工</w:t>
      </w:r>
      <w:r>
        <w:rPr>
          <w:rFonts w:ascii="宋体" w:hAnsi="宋体" w:cs="宋体"/>
          <w:color w:val="auto"/>
          <w:sz w:val="24"/>
          <w:highlight w:val="none"/>
        </w:rPr>
        <w:t xml:space="preserve">       联系电话：</w:t>
      </w:r>
      <w:r>
        <w:rPr>
          <w:rFonts w:hint="default" w:ascii="宋体" w:hAnsi="宋体" w:cs="宋体"/>
          <w:color w:val="auto"/>
          <w:sz w:val="24"/>
          <w:highlight w:val="none"/>
          <w:u w:val="single"/>
          <w:lang w:val="en-US"/>
        </w:rPr>
        <w:t>19927525591</w:t>
      </w:r>
    </w:p>
    <w:p w14:paraId="72F794D3">
      <w:pPr>
        <w:widowControl/>
        <w:adjustRightInd w:val="0"/>
        <w:snapToGrid w:val="0"/>
        <w:spacing w:line="360" w:lineRule="auto"/>
        <w:ind w:firstLine="566" w:firstLineChars="236"/>
        <w:rPr>
          <w:rFonts w:hint="default" w:ascii="宋体" w:hAnsi="宋体" w:cs="宋体"/>
          <w:color w:val="auto"/>
          <w:sz w:val="24"/>
          <w:highlight w:val="none"/>
          <w:u w:val="single"/>
          <w:lang w:val="en-US"/>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w:t>
      </w:r>
      <w:r>
        <w:rPr>
          <w:rFonts w:hint="eastAsia" w:ascii="宋体" w:hAnsi="宋体" w:cs="宋体"/>
          <w:color w:val="auto"/>
          <w:sz w:val="24"/>
          <w:highlight w:val="none"/>
          <w:u w:val="single"/>
          <w:lang w:val="en-US" w:eastAsia="zh-CN"/>
        </w:rPr>
        <w:t>11楼</w:t>
      </w:r>
    </w:p>
    <w:p w14:paraId="1F1569D3">
      <w:pPr>
        <w:adjustRightInd w:val="0"/>
        <w:snapToGrid w:val="0"/>
        <w:spacing w:line="360" w:lineRule="auto"/>
        <w:ind w:firstLine="566" w:firstLineChars="236"/>
        <w:rPr>
          <w:rFonts w:hint="eastAsia" w:ascii="宋体" w:hAnsi="宋体" w:cs="宋体"/>
          <w:color w:val="auto"/>
          <w:sz w:val="24"/>
          <w:highlight w:val="none"/>
        </w:rPr>
      </w:pPr>
    </w:p>
    <w:p w14:paraId="13899135">
      <w:pPr>
        <w:adjustRightInd w:val="0"/>
        <w:snapToGrid w:val="0"/>
        <w:spacing w:line="360" w:lineRule="auto"/>
        <w:ind w:firstLine="566" w:firstLineChars="236"/>
        <w:rPr>
          <w:rFonts w:hint="eastAsia"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蔡</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hint="eastAsia"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hint="eastAsia" w:ascii="宋体" w:hAnsi="宋体" w:cs="宋体"/>
          <w:color w:val="auto"/>
          <w:sz w:val="24"/>
          <w:highlight w:val="none"/>
        </w:rPr>
      </w:pPr>
    </w:p>
    <w:p w14:paraId="1850BD9B">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广州白云棠涌置地有限公司</w:t>
      </w:r>
      <w:r>
        <w:rPr>
          <w:rFonts w:hint="eastAsia" w:ascii="宋体" w:hAnsi="宋体" w:cs="宋体"/>
          <w:color w:val="auto"/>
          <w:sz w:val="24"/>
          <w:highlight w:val="none"/>
        </w:rPr>
        <w:t>；</w:t>
      </w:r>
    </w:p>
    <w:p w14:paraId="6C86ADA3">
      <w:pPr>
        <w:adjustRightInd w:val="0"/>
        <w:snapToGrid w:val="0"/>
        <w:spacing w:line="360" w:lineRule="auto"/>
        <w:ind w:left="496" w:leftChars="236"/>
        <w:rPr>
          <w:rFonts w:hint="eastAsia" w:ascii="宋体" w:hAnsi="宋体" w:cs="宋体"/>
          <w:color w:val="auto"/>
          <w:sz w:val="24"/>
          <w:highlight w:val="none"/>
        </w:rPr>
      </w:pPr>
      <w:r>
        <w:rPr>
          <w:rFonts w:hint="eastAsia" w:ascii="宋体" w:hAnsi="宋体" w:cs="宋体"/>
          <w:color w:val="auto"/>
          <w:sz w:val="24"/>
          <w:highlight w:val="none"/>
        </w:rPr>
        <w:t>电话：</w:t>
      </w:r>
      <w:r>
        <w:rPr>
          <w:rFonts w:hint="default" w:ascii="宋体" w:hAnsi="宋体" w:cs="宋体"/>
          <w:color w:val="auto"/>
          <w:sz w:val="24"/>
          <w:highlight w:val="none"/>
          <w:u w:val="single"/>
          <w:lang w:val="en-US"/>
        </w:rPr>
        <w:t>19927525591</w:t>
      </w:r>
    </w:p>
    <w:p w14:paraId="05C02740">
      <w:pPr>
        <w:adjustRightInd w:val="0"/>
        <w:snapToGrid w:val="0"/>
        <w:spacing w:line="360" w:lineRule="auto"/>
        <w:ind w:firstLine="494" w:firstLineChars="206"/>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w:t>
      </w:r>
      <w:r>
        <w:rPr>
          <w:rFonts w:hint="eastAsia" w:ascii="宋体" w:hAnsi="宋体" w:cs="宋体"/>
          <w:color w:val="auto"/>
          <w:sz w:val="24"/>
          <w:highlight w:val="none"/>
          <w:u w:val="single"/>
          <w:lang w:val="en-US" w:eastAsia="zh-CN"/>
        </w:rPr>
        <w:t>11楼</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hint="eastAsia"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8"/>
        <w:spacing w:line="360" w:lineRule="auto"/>
        <w:ind w:firstLine="424" w:firstLineChars="177"/>
        <w:rPr>
          <w:rFonts w:hint="eastAsia" w:cs="宋体"/>
          <w:color w:val="auto"/>
          <w:sz w:val="24"/>
          <w:highlight w:val="none"/>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p w14:paraId="7B5F11F6">
      <w:pPr>
        <w:ind w:firstLine="480" w:firstLineChars="200"/>
        <w:rPr>
          <w:rFonts w:hint="eastAsia" w:ascii="宋体" w:hAnsi="宋体" w:cs="宋体"/>
          <w:color w:val="auto"/>
          <w:sz w:val="24"/>
          <w:szCs w:val="20"/>
          <w:highlight w:val="none"/>
          <w:lang w:val="zh-CN"/>
        </w:rPr>
      </w:pPr>
      <w:r>
        <w:rPr>
          <w:rFonts w:hint="eastAsia" w:ascii="宋体" w:hAnsi="宋体" w:cs="宋体"/>
          <w:color w:val="auto"/>
          <w:sz w:val="24"/>
          <w:szCs w:val="20"/>
          <w:highlight w:val="none"/>
          <w:lang w:val="zh-CN"/>
        </w:rPr>
        <w:t>（11）本项目投标时拟派的专职安全员在其他项目中有任职且在本项目开工前未完成更换确保专职安全员只在本项目上任职的;</w:t>
      </w:r>
    </w:p>
    <w:p w14:paraId="3FEF525B">
      <w:pPr>
        <w:rPr>
          <w:rFonts w:hint="eastAsia"/>
          <w:color w:val="auto"/>
          <w:highlight w:val="none"/>
          <w:lang w:val="en-US"/>
        </w:rPr>
      </w:pPr>
    </w:p>
    <w:bookmarkEnd w:id="7"/>
    <w:bookmarkEnd w:id="8"/>
    <w:bookmarkEnd w:id="9"/>
    <w:bookmarkEnd w:id="10"/>
    <w:bookmarkEnd w:id="11"/>
    <w:bookmarkEnd w:id="12"/>
    <w:bookmarkEnd w:id="13"/>
    <w:bookmarkEnd w:id="14"/>
    <w:bookmarkEnd w:id="15"/>
    <w:p w14:paraId="387E320B">
      <w:pPr>
        <w:pStyle w:val="8"/>
        <w:spacing w:line="360" w:lineRule="auto"/>
        <w:jc w:val="right"/>
        <w:rPr>
          <w:rFonts w:hint="eastAsia"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6"/>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hint="eastAsia"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hint="eastAsia"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hint="eastAsia" w:ascii="宋体" w:hAnsi="宋体" w:cs="宋体"/>
                <w:color w:val="auto"/>
                <w:szCs w:val="21"/>
                <w:highlight w:val="none"/>
              </w:rPr>
            </w:pPr>
            <w:r>
              <w:rPr>
                <w:rFonts w:hint="eastAsia" w:ascii="宋体" w:hAnsi="宋体" w:cs="宋体"/>
                <w:color w:val="auto"/>
                <w:szCs w:val="21"/>
                <w:highlight w:val="none"/>
              </w:rPr>
              <w:t>列明牵头方的联合体共同投标协议书（联合体投标的）</w:t>
            </w:r>
          </w:p>
        </w:tc>
        <w:tc>
          <w:tcPr>
            <w:tcW w:w="3598" w:type="dxa"/>
            <w:tcBorders>
              <w:right w:val="double" w:color="auto" w:sz="4" w:space="0"/>
            </w:tcBorders>
            <w:vAlign w:val="center"/>
          </w:tcPr>
          <w:p w14:paraId="33BAB6A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hint="eastAsia"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hint="eastAsia"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 w:hRule="atLeast"/>
          <w:jc w:val="center"/>
        </w:trPr>
        <w:tc>
          <w:tcPr>
            <w:tcW w:w="8933" w:type="dxa"/>
            <w:gridSpan w:val="3"/>
            <w:tcBorders>
              <w:left w:val="double" w:color="auto" w:sz="4" w:space="0"/>
              <w:right w:val="double" w:color="auto" w:sz="4" w:space="0"/>
            </w:tcBorders>
            <w:vAlign w:val="center"/>
          </w:tcPr>
          <w:p w14:paraId="3C983151">
            <w:pPr>
              <w:jc w:val="center"/>
              <w:rPr>
                <w:rFonts w:hint="eastAsia"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hint="eastAsia"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企业法定代表人证明书（若为联合体，由联合体牵头方出具）</w:t>
            </w:r>
          </w:p>
        </w:tc>
        <w:tc>
          <w:tcPr>
            <w:tcW w:w="3598" w:type="dxa"/>
            <w:tcBorders>
              <w:right w:val="double" w:color="auto" w:sz="4" w:space="0"/>
            </w:tcBorders>
            <w:vAlign w:val="center"/>
          </w:tcPr>
          <w:p w14:paraId="7BD574F4">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hint="eastAsia"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投标人代表的法定代表人授权委托书（若为联合体，由联合体牵头方出具）</w:t>
            </w:r>
          </w:p>
        </w:tc>
        <w:tc>
          <w:tcPr>
            <w:tcW w:w="3598" w:type="dxa"/>
            <w:tcBorders>
              <w:right w:val="double" w:color="auto" w:sz="4" w:space="0"/>
            </w:tcBorders>
            <w:vAlign w:val="center"/>
          </w:tcPr>
          <w:p w14:paraId="2B86EDE7">
            <w:pPr>
              <w:rPr>
                <w:rFonts w:hint="eastAsia"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hint="eastAsia"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hint="eastAsia"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hint="eastAsia"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hint="eastAsia"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hint="eastAsia"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hint="eastAsia"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hint="eastAsia"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hint="eastAsia"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hint="eastAsia"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hint="eastAsia"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hint="eastAsia"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hint="eastAsia"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hint="eastAsia"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hint="eastAsia"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hint="eastAsia"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hint="eastAsia" w:ascii="宋体" w:hAnsi="宋体" w:cs="宋体"/>
                <w:b/>
                <w:color w:val="auto"/>
                <w:szCs w:val="21"/>
                <w:highlight w:val="none"/>
              </w:rPr>
            </w:pPr>
            <w:r>
              <w:rPr>
                <w:rFonts w:hint="eastAsia" w:ascii="宋体" w:hAnsi="宋体" w:cs="宋体"/>
                <w:b/>
                <w:color w:val="auto"/>
                <w:szCs w:val="21"/>
                <w:highlight w:val="none"/>
              </w:rPr>
              <w:t>勘察、设计部分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hint="eastAsia"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hint="eastAsia" w:ascii="宋体" w:hAnsi="宋体" w:cs="宋体"/>
                <w:color w:val="auto"/>
                <w:szCs w:val="21"/>
                <w:highlight w:val="none"/>
              </w:rPr>
            </w:pPr>
            <w:r>
              <w:rPr>
                <w:rFonts w:hint="eastAsia" w:ascii="宋体" w:hAnsi="宋体" w:cs="宋体"/>
                <w:color w:val="auto"/>
                <w:szCs w:val="21"/>
                <w:highlight w:val="none"/>
              </w:rPr>
              <w:t>企业营业执照（勘察、设计单位）</w:t>
            </w:r>
          </w:p>
        </w:tc>
        <w:tc>
          <w:tcPr>
            <w:tcW w:w="3598" w:type="dxa"/>
            <w:tcBorders>
              <w:right w:val="double" w:color="auto" w:sz="4" w:space="0"/>
            </w:tcBorders>
            <w:vAlign w:val="center"/>
          </w:tcPr>
          <w:p w14:paraId="2B5EADAC">
            <w:pPr>
              <w:rPr>
                <w:rFonts w:hint="eastAsia"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hint="eastAsia"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hint="eastAsia" w:ascii="宋体" w:hAnsi="宋体" w:cs="宋体"/>
                <w:color w:val="auto"/>
                <w:szCs w:val="21"/>
                <w:highlight w:val="none"/>
              </w:rPr>
            </w:pPr>
            <w:r>
              <w:rPr>
                <w:rFonts w:hint="eastAsia" w:ascii="宋体" w:hAnsi="宋体" w:cs="宋体"/>
                <w:color w:val="auto"/>
                <w:szCs w:val="21"/>
                <w:highlight w:val="none"/>
              </w:rPr>
              <w:t>企业资质证书（勘察、设计单位）</w:t>
            </w:r>
          </w:p>
        </w:tc>
        <w:tc>
          <w:tcPr>
            <w:tcW w:w="3598" w:type="dxa"/>
            <w:tcBorders>
              <w:right w:val="double" w:color="auto" w:sz="4" w:space="0"/>
            </w:tcBorders>
            <w:vAlign w:val="center"/>
          </w:tcPr>
          <w:p w14:paraId="5C08DDE3">
            <w:pPr>
              <w:rPr>
                <w:rFonts w:hint="eastAsia"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hint="eastAsia"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hint="eastAsia"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hint="eastAsia"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hint="eastAsia"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hint="eastAsia"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hint="eastAsia" w:ascii="宋体" w:hAnsi="宋体" w:cs="宋体"/>
                <w:color w:val="auto"/>
                <w:szCs w:val="21"/>
                <w:highlight w:val="none"/>
              </w:rPr>
            </w:pPr>
            <w:r>
              <w:rPr>
                <w:rFonts w:hint="eastAsia" w:ascii="宋体" w:hAnsi="宋体" w:cs="宋体"/>
                <w:color w:val="auto"/>
                <w:szCs w:val="21"/>
                <w:highlight w:val="none"/>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8"/>
        <w:spacing w:line="360" w:lineRule="auto"/>
        <w:ind w:firstLine="140" w:firstLineChars="67"/>
        <w:jc w:val="left"/>
        <w:rPr>
          <w:rFonts w:hint="eastAsia"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hint="eastAsia"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hint="eastAsia"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5"/>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广州白云棠涌置地有限公司</w:t>
      </w:r>
      <w:r>
        <w:rPr>
          <w:rFonts w:hint="eastAsia" w:ascii="宋体" w:hAnsi="宋体" w:eastAsia="宋体"/>
          <w:color w:val="auto"/>
          <w:sz w:val="24"/>
          <w:szCs w:val="24"/>
          <w:highlight w:val="none"/>
        </w:rPr>
        <w:t>：</w:t>
      </w:r>
    </w:p>
    <w:p w14:paraId="7405B8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A7FC51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32B911C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BAC826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74128BE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068EA30F">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91228E1">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8B6FC95">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F04A67C">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5073D264">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065B1D0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707528B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59A82E3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24024C00">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2A692E">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111C0A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117E62A">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w:t>
      </w:r>
      <w:r>
        <w:rPr>
          <w:rFonts w:hint="eastAsia" w:ascii="宋体" w:hAnsi="宋体" w:eastAsia="宋体"/>
          <w:color w:val="auto"/>
          <w:sz w:val="24"/>
          <w:szCs w:val="24"/>
          <w:highlight w:val="none"/>
          <w:lang w:val="en-US" w:eastAsia="zh-CN"/>
        </w:rPr>
        <w:t>员</w:t>
      </w:r>
      <w:r>
        <w:rPr>
          <w:rFonts w:hint="eastAsia" w:ascii="宋体" w:hAnsi="宋体" w:eastAsia="宋体"/>
          <w:color w:val="auto"/>
          <w:sz w:val="24"/>
          <w:szCs w:val="24"/>
          <w:highlight w:val="none"/>
        </w:rPr>
        <w:t>在其他项目中已有任职的，本公司保证在开工前完成更换，确保专职安全员只在本项目上任职，否则将承担违约责任和法律责任。</w:t>
      </w:r>
    </w:p>
    <w:p w14:paraId="138E0203">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rPr>
        <w:t>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pPr>
        <w:pStyle w:val="25"/>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367820C1">
      <w:pPr>
        <w:pStyle w:val="25"/>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19F7B2F4">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398D6DBF">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pPr>
        <w:pStyle w:val="25"/>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pPr>
        <w:pStyle w:val="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3CB36E75">
      <w:pPr>
        <w:pStyle w:val="26"/>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8F7D274">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6516862">
      <w:pPr>
        <w:pStyle w:val="25"/>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C1E52F1">
      <w:pPr>
        <w:pStyle w:val="25"/>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7260AB22">
      <w:pPr>
        <w:pStyle w:val="25"/>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0192316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（企业公章）</w:t>
      </w:r>
    </w:p>
    <w:p w14:paraId="607E5EF0">
      <w:pPr>
        <w:spacing w:line="360" w:lineRule="auto"/>
        <w:rPr>
          <w:rFonts w:hint="eastAsia" w:ascii="宋体" w:hAnsi="宋体" w:cs="宋体"/>
          <w:color w:val="auto"/>
          <w:sz w:val="24"/>
          <w:highlight w:val="none"/>
        </w:rPr>
      </w:pPr>
      <w:r>
        <w:rPr>
          <w:rFonts w:hint="eastAsia" w:ascii="宋体" w:hAnsi="宋体" w:cs="宋体"/>
          <w:b/>
          <w:color w:val="auto"/>
          <w:sz w:val="20"/>
          <w:szCs w:val="18"/>
          <w:highlight w:val="none"/>
        </w:rPr>
        <w:t>注：投标人（</w:t>
      </w:r>
      <w:r>
        <w:rPr>
          <w:rFonts w:hint="eastAsia" w:ascii="宋体" w:hAnsi="宋体" w:cs="宋体"/>
          <w:b/>
          <w:bCs/>
          <w:color w:val="auto"/>
          <w:sz w:val="20"/>
          <w:szCs w:val="18"/>
          <w:highlight w:val="none"/>
        </w:rPr>
        <w:t>若为联合体投标，指联合体牵头方</w:t>
      </w:r>
      <w:r>
        <w:rPr>
          <w:rFonts w:hint="eastAsia" w:ascii="宋体" w:hAnsi="宋体" w:cs="宋体"/>
          <w:b/>
          <w:color w:val="auto"/>
          <w:sz w:val="20"/>
          <w:szCs w:val="18"/>
          <w:highlight w:val="none"/>
        </w:rPr>
        <w:t>）的项目负责人、项目技术负责人需签字，投标人（</w:t>
      </w:r>
      <w:r>
        <w:rPr>
          <w:rFonts w:hint="eastAsia" w:ascii="宋体" w:hAnsi="宋体" w:cs="宋体"/>
          <w:b/>
          <w:bCs/>
          <w:color w:val="auto"/>
          <w:sz w:val="20"/>
          <w:szCs w:val="18"/>
          <w:highlight w:val="none"/>
        </w:rPr>
        <w:t>若为联合体投标，指承担设计任务的单位</w:t>
      </w:r>
      <w:r>
        <w:rPr>
          <w:rFonts w:hint="eastAsia" w:ascii="宋体" w:hAnsi="宋体" w:cs="宋体"/>
          <w:b/>
          <w:color w:val="auto"/>
          <w:sz w:val="20"/>
          <w:szCs w:val="18"/>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hint="eastAsia"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hint="eastAsia"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80" w:lineRule="exact"/>
        <w:rPr>
          <w:rFonts w:hint="eastAsia"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8"/>
        <w:spacing w:line="380" w:lineRule="exact"/>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p>
    <w:p w14:paraId="79635A3F">
      <w:pPr>
        <w:spacing w:line="380" w:lineRule="exact"/>
        <w:ind w:firstLine="482"/>
        <w:rPr>
          <w:rFonts w:hint="eastAsia"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w:t>
      </w:r>
      <w:r>
        <w:rPr>
          <w:rFonts w:hint="eastAsia" w:ascii="宋体" w:hAnsi="宋体"/>
          <w:color w:val="auto"/>
          <w:sz w:val="24"/>
          <w:highlight w:val="none"/>
        </w:rPr>
        <w:t>牵头方</w:t>
      </w:r>
      <w:r>
        <w:rPr>
          <w:rFonts w:ascii="宋体" w:hAnsi="宋体"/>
          <w:color w:val="auto"/>
          <w:sz w:val="24"/>
          <w:highlight w:val="none"/>
        </w:rPr>
        <w:t>，代表所有联合体成员参加投标、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80" w:lineRule="exact"/>
        <w:ind w:firstLine="482"/>
        <w:rPr>
          <w:rFonts w:hint="eastAsia" w:ascii="宋体" w:hAnsi="宋体"/>
          <w:color w:val="auto"/>
          <w:sz w:val="24"/>
          <w:highlight w:val="none"/>
        </w:rPr>
      </w:pPr>
      <w:r>
        <w:rPr>
          <w:rFonts w:hint="eastAsia" w:ascii="宋体" w:hAnsi="宋体"/>
          <w:color w:val="auto"/>
          <w:sz w:val="24"/>
          <w:highlight w:val="none"/>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80" w:lineRule="exact"/>
        <w:ind w:firstLine="482"/>
        <w:rPr>
          <w:rFonts w:hint="eastAsia"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8"/>
        <w:spacing w:line="380" w:lineRule="exact"/>
        <w:rPr>
          <w:rFonts w:hint="eastAsia"/>
          <w:color w:val="auto"/>
          <w:sz w:val="24"/>
          <w:highlight w:val="none"/>
        </w:rPr>
      </w:pPr>
      <w:r>
        <w:rPr>
          <w:rFonts w:hint="eastAsia"/>
          <w:color w:val="auto"/>
          <w:sz w:val="24"/>
          <w:highlight w:val="none"/>
        </w:rPr>
        <w:t xml:space="preserve">    联合体牵头方：（盖章）</w:t>
      </w:r>
      <w:r>
        <w:rPr>
          <w:rFonts w:hint="eastAsia" w:ascii="楷体_GB2312" w:eastAsia="楷体_GB2312"/>
          <w:b/>
          <w:bCs/>
          <w:color w:val="auto"/>
          <w:sz w:val="24"/>
          <w:highlight w:val="none"/>
          <w:u w:val="single"/>
        </w:rPr>
        <w:t xml:space="preserve">                        </w:t>
      </w:r>
    </w:p>
    <w:p w14:paraId="731F0DF3">
      <w:pPr>
        <w:pStyle w:val="8"/>
        <w:spacing w:line="380" w:lineRule="exact"/>
        <w:rPr>
          <w:rFonts w:hint="eastAsia"/>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8"/>
        <w:spacing w:line="380" w:lineRule="exact"/>
        <w:ind w:left="480" w:hanging="480" w:hangingChars="200"/>
        <w:rPr>
          <w:rFonts w:hint="eastAsia"/>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8"/>
        <w:spacing w:line="380" w:lineRule="exact"/>
        <w:ind w:firstLine="420"/>
        <w:rPr>
          <w:rFonts w:hint="eastAsia"/>
          <w:color w:val="auto"/>
          <w:sz w:val="24"/>
          <w:highlight w:val="none"/>
        </w:rPr>
      </w:pPr>
    </w:p>
    <w:p w14:paraId="03AF6FC3">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8"/>
        <w:spacing w:line="380" w:lineRule="exact"/>
        <w:ind w:firstLine="420"/>
        <w:rPr>
          <w:rFonts w:hint="eastAsia"/>
          <w:color w:val="auto"/>
          <w:sz w:val="24"/>
          <w:highlight w:val="none"/>
        </w:rPr>
      </w:pPr>
    </w:p>
    <w:p w14:paraId="32B3B18C">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32AF17F5">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0236F284">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2C3B5013">
      <w:pPr>
        <w:spacing w:line="380" w:lineRule="exact"/>
        <w:rPr>
          <w:color w:val="auto"/>
          <w:highlight w:val="none"/>
        </w:rPr>
      </w:pPr>
    </w:p>
    <w:p w14:paraId="55962BE0">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25D9D3BD">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389A6DED">
      <w:pPr>
        <w:pStyle w:val="8"/>
        <w:spacing w:line="380" w:lineRule="exact"/>
        <w:rPr>
          <w:rFonts w:hint="eastAsia"/>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4F7CE653">
      <w:pPr>
        <w:pStyle w:val="8"/>
        <w:spacing w:line="380" w:lineRule="exact"/>
        <w:ind w:firstLine="420"/>
        <w:rPr>
          <w:rFonts w:hint="eastAsia"/>
          <w:color w:val="auto"/>
          <w:sz w:val="24"/>
          <w:highlight w:val="none"/>
        </w:rPr>
      </w:pPr>
    </w:p>
    <w:p w14:paraId="4AA6F312">
      <w:pPr>
        <w:pStyle w:val="8"/>
        <w:spacing w:line="380" w:lineRule="exact"/>
        <w:ind w:firstLine="420"/>
        <w:rPr>
          <w:rFonts w:hint="eastAsia"/>
          <w:color w:val="auto"/>
          <w:sz w:val="24"/>
          <w:highlight w:val="none"/>
          <w:u w:val="single"/>
        </w:rPr>
      </w:pPr>
      <w:r>
        <w:rPr>
          <w:rFonts w:hint="eastAsia"/>
          <w:color w:val="auto"/>
          <w:sz w:val="24"/>
          <w:highlight w:val="none"/>
        </w:rPr>
        <w:t>联合体成员：（盖章）</w:t>
      </w:r>
      <w:r>
        <w:rPr>
          <w:rFonts w:ascii="楷体_GB2312" w:eastAsia="楷体_GB2312"/>
          <w:b/>
          <w:bCs/>
          <w:color w:val="auto"/>
          <w:sz w:val="24"/>
          <w:highlight w:val="none"/>
          <w:u w:val="single"/>
        </w:rPr>
        <w:t xml:space="preserve">                         </w:t>
      </w:r>
    </w:p>
    <w:p w14:paraId="4CAD1308">
      <w:pPr>
        <w:pStyle w:val="8"/>
        <w:spacing w:line="380" w:lineRule="exact"/>
        <w:ind w:firstLine="420"/>
        <w:rPr>
          <w:rFonts w:hint="eastAsia"/>
          <w:color w:val="auto"/>
          <w:sz w:val="24"/>
          <w:highlight w:val="none"/>
        </w:rPr>
      </w:pPr>
      <w:r>
        <w:rPr>
          <w:rFonts w:hint="eastAsia"/>
          <w:color w:val="auto"/>
          <w:sz w:val="24"/>
          <w:highlight w:val="none"/>
        </w:rPr>
        <w:t>法定代表人：（签字或盖章）</w:t>
      </w:r>
      <w:r>
        <w:rPr>
          <w:rFonts w:ascii="楷体_GB2312" w:eastAsia="楷体_GB2312"/>
          <w:b/>
          <w:bCs/>
          <w:color w:val="auto"/>
          <w:sz w:val="24"/>
          <w:highlight w:val="none"/>
          <w:u w:val="single"/>
        </w:rPr>
        <w:t xml:space="preserve">                　　    　　                </w:t>
      </w:r>
    </w:p>
    <w:p w14:paraId="141ABA8C">
      <w:pPr>
        <w:pStyle w:val="8"/>
        <w:spacing w:line="380" w:lineRule="exact"/>
        <w:ind w:firstLine="420"/>
        <w:rPr>
          <w:rFonts w:hint="eastAsia"/>
          <w:color w:val="auto"/>
          <w:sz w:val="24"/>
          <w:highlight w:val="none"/>
          <w:u w:val="single"/>
        </w:rPr>
      </w:pPr>
      <w:r>
        <w:rPr>
          <w:rFonts w:hint="eastAsia"/>
          <w:color w:val="auto"/>
          <w:sz w:val="24"/>
          <w:highlight w:val="none"/>
        </w:rPr>
        <w:t>分工内容：</w:t>
      </w:r>
      <w:r>
        <w:rPr>
          <w:color w:val="auto"/>
          <w:sz w:val="24"/>
          <w:highlight w:val="none"/>
          <w:u w:val="single"/>
        </w:rPr>
        <w:t xml:space="preserve">                                        </w:t>
      </w:r>
    </w:p>
    <w:p w14:paraId="7B426396">
      <w:pPr>
        <w:spacing w:line="380" w:lineRule="exact"/>
        <w:rPr>
          <w:color w:val="auto"/>
          <w:highlight w:val="none"/>
          <w:lang w:val="zh-CN"/>
        </w:rPr>
      </w:pPr>
    </w:p>
    <w:p w14:paraId="3CF3712C">
      <w:pPr>
        <w:spacing w:line="380" w:lineRule="exact"/>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spacing w:line="380" w:lineRule="exact"/>
        <w:rPr>
          <w:rFonts w:hint="eastAsia" w:ascii="宋体" w:hAnsi="宋体" w:cs="宋体"/>
          <w:color w:val="auto"/>
          <w:sz w:val="22"/>
          <w:szCs w:val="21"/>
          <w:highlight w:val="none"/>
          <w:lang w:bidi="ar"/>
        </w:rPr>
      </w:pPr>
    </w:p>
    <w:p w14:paraId="35CA5666">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hint="eastAsia"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hint="eastAsia"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8"/>
        <w:rPr>
          <w:rFonts w:hint="eastAsia"/>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bookmarkStart w:id="19" w:name="_GoBack"/>
      <w:bookmarkEnd w:id="19"/>
    </w:p>
    <w:sectPr>
      <w:footerReference r:id="rId4" w:type="default"/>
      <w:pgSz w:w="11906" w:h="16838"/>
      <w:pgMar w:top="1440" w:right="1274"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AFF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056"/>
    </w:sdtPr>
    <w:sdtContent>
      <w:p w14:paraId="1EC444A2">
        <w:pPr>
          <w:pStyle w:val="11"/>
          <w:jc w:val="center"/>
        </w:pPr>
        <w:r>
          <w:fldChar w:fldCharType="begin"/>
        </w:r>
        <w:r>
          <w:instrText xml:space="preserve">PAGE   \* MERGEFORMAT</w:instrText>
        </w:r>
        <w:r>
          <w:fldChar w:fldCharType="separate"/>
        </w:r>
        <w:r>
          <w:rPr>
            <w:lang w:val="zh-CN"/>
          </w:rPr>
          <w:t>17</w:t>
        </w:r>
        <w:r>
          <w:fldChar w:fldCharType="end"/>
        </w:r>
      </w:p>
    </w:sdtContent>
  </w:sdt>
  <w:p w14:paraId="4220A44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E585C"/>
    <w:rsid w:val="00FE613E"/>
    <w:rsid w:val="00FF22B3"/>
    <w:rsid w:val="00FF785B"/>
    <w:rsid w:val="01A506ED"/>
    <w:rsid w:val="01A6215B"/>
    <w:rsid w:val="023A2E4D"/>
    <w:rsid w:val="03B24C65"/>
    <w:rsid w:val="044E4F5F"/>
    <w:rsid w:val="049302DC"/>
    <w:rsid w:val="056B1570"/>
    <w:rsid w:val="05792E4B"/>
    <w:rsid w:val="064C1252"/>
    <w:rsid w:val="068E19BA"/>
    <w:rsid w:val="06930D7E"/>
    <w:rsid w:val="06B17D4E"/>
    <w:rsid w:val="06B31420"/>
    <w:rsid w:val="071579E5"/>
    <w:rsid w:val="07405EC9"/>
    <w:rsid w:val="077566D6"/>
    <w:rsid w:val="081A1F72"/>
    <w:rsid w:val="08422A5C"/>
    <w:rsid w:val="0849203C"/>
    <w:rsid w:val="086C1887"/>
    <w:rsid w:val="08920B45"/>
    <w:rsid w:val="08B922D1"/>
    <w:rsid w:val="08C6543B"/>
    <w:rsid w:val="090348F9"/>
    <w:rsid w:val="093252B1"/>
    <w:rsid w:val="09B73E1A"/>
    <w:rsid w:val="09F85FFA"/>
    <w:rsid w:val="0A581DE2"/>
    <w:rsid w:val="0A7D7D7B"/>
    <w:rsid w:val="0AFE0548"/>
    <w:rsid w:val="0BE24C81"/>
    <w:rsid w:val="0C6F5DE9"/>
    <w:rsid w:val="0C9E5704"/>
    <w:rsid w:val="0CF11F6D"/>
    <w:rsid w:val="0D323C54"/>
    <w:rsid w:val="0D3753CD"/>
    <w:rsid w:val="0D463ADF"/>
    <w:rsid w:val="0DC45CC1"/>
    <w:rsid w:val="0DD73C46"/>
    <w:rsid w:val="0DDC6937"/>
    <w:rsid w:val="0E1E6E95"/>
    <w:rsid w:val="0E320E7D"/>
    <w:rsid w:val="0E527771"/>
    <w:rsid w:val="0E68183E"/>
    <w:rsid w:val="0E707BF7"/>
    <w:rsid w:val="0EBF21E3"/>
    <w:rsid w:val="0EF00CEF"/>
    <w:rsid w:val="0F2C6214"/>
    <w:rsid w:val="0F824086"/>
    <w:rsid w:val="0F827BE2"/>
    <w:rsid w:val="0FF13609"/>
    <w:rsid w:val="1008458B"/>
    <w:rsid w:val="10770845"/>
    <w:rsid w:val="10CA1840"/>
    <w:rsid w:val="10E02E12"/>
    <w:rsid w:val="10E11689"/>
    <w:rsid w:val="12534878"/>
    <w:rsid w:val="125B21DF"/>
    <w:rsid w:val="13843763"/>
    <w:rsid w:val="14822E33"/>
    <w:rsid w:val="14E31122"/>
    <w:rsid w:val="15035321"/>
    <w:rsid w:val="15313C29"/>
    <w:rsid w:val="155D0ED5"/>
    <w:rsid w:val="15A07014"/>
    <w:rsid w:val="15D14DE8"/>
    <w:rsid w:val="16D57191"/>
    <w:rsid w:val="171A4BA4"/>
    <w:rsid w:val="17BE7C25"/>
    <w:rsid w:val="17CF598E"/>
    <w:rsid w:val="18C21C5E"/>
    <w:rsid w:val="18C41FB0"/>
    <w:rsid w:val="18F41CA0"/>
    <w:rsid w:val="18F953B8"/>
    <w:rsid w:val="1901601B"/>
    <w:rsid w:val="19DE008F"/>
    <w:rsid w:val="1A0D279E"/>
    <w:rsid w:val="1A6A7039"/>
    <w:rsid w:val="1AAE5BD8"/>
    <w:rsid w:val="1AC15ADF"/>
    <w:rsid w:val="1AE608DB"/>
    <w:rsid w:val="1B1F6C2C"/>
    <w:rsid w:val="1B6603B7"/>
    <w:rsid w:val="1B746F78"/>
    <w:rsid w:val="1B8459DF"/>
    <w:rsid w:val="1C741708"/>
    <w:rsid w:val="1C821221"/>
    <w:rsid w:val="1CFC0FD3"/>
    <w:rsid w:val="1DD97567"/>
    <w:rsid w:val="1DE41D2A"/>
    <w:rsid w:val="1E05210A"/>
    <w:rsid w:val="1E28738C"/>
    <w:rsid w:val="1E3F1DB5"/>
    <w:rsid w:val="1E6A04B7"/>
    <w:rsid w:val="1EAC4C7B"/>
    <w:rsid w:val="1EAF02C7"/>
    <w:rsid w:val="1EEA6880"/>
    <w:rsid w:val="1F355293"/>
    <w:rsid w:val="1F583BAF"/>
    <w:rsid w:val="1F5C603D"/>
    <w:rsid w:val="1F707B20"/>
    <w:rsid w:val="1FED554B"/>
    <w:rsid w:val="202C7560"/>
    <w:rsid w:val="206C74F6"/>
    <w:rsid w:val="20966AE3"/>
    <w:rsid w:val="217F21D3"/>
    <w:rsid w:val="21C347B6"/>
    <w:rsid w:val="21FA5CFD"/>
    <w:rsid w:val="22BF31CF"/>
    <w:rsid w:val="22E026E2"/>
    <w:rsid w:val="22E449E3"/>
    <w:rsid w:val="22F76A45"/>
    <w:rsid w:val="23C2284B"/>
    <w:rsid w:val="24632CB5"/>
    <w:rsid w:val="24E24B3C"/>
    <w:rsid w:val="252201A4"/>
    <w:rsid w:val="25BC0ABD"/>
    <w:rsid w:val="25BF09D7"/>
    <w:rsid w:val="2607719D"/>
    <w:rsid w:val="261C6242"/>
    <w:rsid w:val="26860917"/>
    <w:rsid w:val="26930C35"/>
    <w:rsid w:val="26BE3D6B"/>
    <w:rsid w:val="26C46336"/>
    <w:rsid w:val="26F471BF"/>
    <w:rsid w:val="26FE3B9A"/>
    <w:rsid w:val="270E7812"/>
    <w:rsid w:val="271635D9"/>
    <w:rsid w:val="27225ADA"/>
    <w:rsid w:val="275E7A2A"/>
    <w:rsid w:val="27AB61D6"/>
    <w:rsid w:val="280E2503"/>
    <w:rsid w:val="28212236"/>
    <w:rsid w:val="2838407F"/>
    <w:rsid w:val="284B0E9E"/>
    <w:rsid w:val="28C33457"/>
    <w:rsid w:val="29200F7C"/>
    <w:rsid w:val="296E14AB"/>
    <w:rsid w:val="2A1738F0"/>
    <w:rsid w:val="2ABD4249"/>
    <w:rsid w:val="2B084FE7"/>
    <w:rsid w:val="2B144DFE"/>
    <w:rsid w:val="2B4F1836"/>
    <w:rsid w:val="2B662D13"/>
    <w:rsid w:val="2B711FE6"/>
    <w:rsid w:val="2B792345"/>
    <w:rsid w:val="2B7E34FB"/>
    <w:rsid w:val="2BD46ECE"/>
    <w:rsid w:val="2C8B2374"/>
    <w:rsid w:val="2CDE0C8A"/>
    <w:rsid w:val="2CE22B82"/>
    <w:rsid w:val="2CE5696E"/>
    <w:rsid w:val="2D6B6A5D"/>
    <w:rsid w:val="2DAB34A1"/>
    <w:rsid w:val="2E271C28"/>
    <w:rsid w:val="2E2C5491"/>
    <w:rsid w:val="2E7110F5"/>
    <w:rsid w:val="2E8039FF"/>
    <w:rsid w:val="2E870919"/>
    <w:rsid w:val="2EB27D4A"/>
    <w:rsid w:val="2ED4713D"/>
    <w:rsid w:val="2ED973C6"/>
    <w:rsid w:val="2F126434"/>
    <w:rsid w:val="2F4A02C4"/>
    <w:rsid w:val="2FA06136"/>
    <w:rsid w:val="2FAD0853"/>
    <w:rsid w:val="30490208"/>
    <w:rsid w:val="30B520A4"/>
    <w:rsid w:val="30C63DB3"/>
    <w:rsid w:val="31230DCD"/>
    <w:rsid w:val="317D0677"/>
    <w:rsid w:val="319B0997"/>
    <w:rsid w:val="31AE7CC4"/>
    <w:rsid w:val="32300DFF"/>
    <w:rsid w:val="32546D64"/>
    <w:rsid w:val="326A2A2B"/>
    <w:rsid w:val="32871E7D"/>
    <w:rsid w:val="33E91C8B"/>
    <w:rsid w:val="3406324F"/>
    <w:rsid w:val="342C61EA"/>
    <w:rsid w:val="345319C9"/>
    <w:rsid w:val="35613C72"/>
    <w:rsid w:val="35787830"/>
    <w:rsid w:val="361B6516"/>
    <w:rsid w:val="3643781B"/>
    <w:rsid w:val="369B4BEC"/>
    <w:rsid w:val="36CC7811"/>
    <w:rsid w:val="36D83E3F"/>
    <w:rsid w:val="36DA3DC2"/>
    <w:rsid w:val="37677539"/>
    <w:rsid w:val="387A12BB"/>
    <w:rsid w:val="38C36F94"/>
    <w:rsid w:val="38D1110E"/>
    <w:rsid w:val="392E47B3"/>
    <w:rsid w:val="39A44A75"/>
    <w:rsid w:val="39E11825"/>
    <w:rsid w:val="3A7B36BC"/>
    <w:rsid w:val="3A7C5D33"/>
    <w:rsid w:val="3A887EF3"/>
    <w:rsid w:val="3A8D375B"/>
    <w:rsid w:val="3A9E6377"/>
    <w:rsid w:val="3AD23825"/>
    <w:rsid w:val="3B246063"/>
    <w:rsid w:val="3BC44F5A"/>
    <w:rsid w:val="3BDF7FE6"/>
    <w:rsid w:val="3C371BD0"/>
    <w:rsid w:val="3C756255"/>
    <w:rsid w:val="3CA10D21"/>
    <w:rsid w:val="3CFC24D2"/>
    <w:rsid w:val="3D12664F"/>
    <w:rsid w:val="3D4D2D2E"/>
    <w:rsid w:val="3E246184"/>
    <w:rsid w:val="3E3944AF"/>
    <w:rsid w:val="3EA9130C"/>
    <w:rsid w:val="3F2226C4"/>
    <w:rsid w:val="3F316DAB"/>
    <w:rsid w:val="3F477AA5"/>
    <w:rsid w:val="3F7B1DD4"/>
    <w:rsid w:val="3F88629F"/>
    <w:rsid w:val="3FA331A6"/>
    <w:rsid w:val="3FE52169"/>
    <w:rsid w:val="3FF35E0E"/>
    <w:rsid w:val="409969B6"/>
    <w:rsid w:val="41150B8F"/>
    <w:rsid w:val="412E12DF"/>
    <w:rsid w:val="4131291D"/>
    <w:rsid w:val="414219E5"/>
    <w:rsid w:val="41D17DFE"/>
    <w:rsid w:val="41FA689E"/>
    <w:rsid w:val="42312C1E"/>
    <w:rsid w:val="42772D26"/>
    <w:rsid w:val="42860430"/>
    <w:rsid w:val="4291041F"/>
    <w:rsid w:val="42C6780A"/>
    <w:rsid w:val="42D27D5B"/>
    <w:rsid w:val="42D576A6"/>
    <w:rsid w:val="43091CC8"/>
    <w:rsid w:val="431247FD"/>
    <w:rsid w:val="441F5664"/>
    <w:rsid w:val="4456696C"/>
    <w:rsid w:val="44E2459E"/>
    <w:rsid w:val="453E18DA"/>
    <w:rsid w:val="45545F62"/>
    <w:rsid w:val="45A80C96"/>
    <w:rsid w:val="45C30031"/>
    <w:rsid w:val="45D00555"/>
    <w:rsid w:val="461C4059"/>
    <w:rsid w:val="461F120F"/>
    <w:rsid w:val="46FF778E"/>
    <w:rsid w:val="48035B59"/>
    <w:rsid w:val="480A2BCD"/>
    <w:rsid w:val="489B5F59"/>
    <w:rsid w:val="492746C4"/>
    <w:rsid w:val="49811DE9"/>
    <w:rsid w:val="49AC01CB"/>
    <w:rsid w:val="49C75424"/>
    <w:rsid w:val="4A346EF9"/>
    <w:rsid w:val="4A357820"/>
    <w:rsid w:val="4AAA7A11"/>
    <w:rsid w:val="4B757667"/>
    <w:rsid w:val="4B820380"/>
    <w:rsid w:val="4BBC4527"/>
    <w:rsid w:val="4C3E67D2"/>
    <w:rsid w:val="4CAC181F"/>
    <w:rsid w:val="4CB6269D"/>
    <w:rsid w:val="4D572089"/>
    <w:rsid w:val="4E161024"/>
    <w:rsid w:val="4E4D5283"/>
    <w:rsid w:val="4E5263F6"/>
    <w:rsid w:val="4E7E2ADA"/>
    <w:rsid w:val="4EAA7FE0"/>
    <w:rsid w:val="4EB64BD7"/>
    <w:rsid w:val="4F632910"/>
    <w:rsid w:val="4FD86DCF"/>
    <w:rsid w:val="504601DC"/>
    <w:rsid w:val="50706A49"/>
    <w:rsid w:val="507E3121"/>
    <w:rsid w:val="5097222A"/>
    <w:rsid w:val="50A72B4E"/>
    <w:rsid w:val="50D07117"/>
    <w:rsid w:val="512C2F2E"/>
    <w:rsid w:val="51387B25"/>
    <w:rsid w:val="51A1583A"/>
    <w:rsid w:val="523F1387"/>
    <w:rsid w:val="527C6137"/>
    <w:rsid w:val="52880638"/>
    <w:rsid w:val="52992845"/>
    <w:rsid w:val="52C27FEE"/>
    <w:rsid w:val="52C33D66"/>
    <w:rsid w:val="52F50A61"/>
    <w:rsid w:val="531D3476"/>
    <w:rsid w:val="53261E58"/>
    <w:rsid w:val="53B93617"/>
    <w:rsid w:val="53EA0E7E"/>
    <w:rsid w:val="545A4D2F"/>
    <w:rsid w:val="557B26D6"/>
    <w:rsid w:val="55A859D5"/>
    <w:rsid w:val="56AF6ADB"/>
    <w:rsid w:val="580B61B0"/>
    <w:rsid w:val="580E7831"/>
    <w:rsid w:val="580F002F"/>
    <w:rsid w:val="58511B64"/>
    <w:rsid w:val="5932754F"/>
    <w:rsid w:val="59871EB0"/>
    <w:rsid w:val="59CF2FF0"/>
    <w:rsid w:val="5A105AE3"/>
    <w:rsid w:val="5A210922"/>
    <w:rsid w:val="5AAE01B7"/>
    <w:rsid w:val="5B1C2265"/>
    <w:rsid w:val="5B313D13"/>
    <w:rsid w:val="5B6305B0"/>
    <w:rsid w:val="5BC621DD"/>
    <w:rsid w:val="5BEA2363"/>
    <w:rsid w:val="5C8A54F9"/>
    <w:rsid w:val="5C974299"/>
    <w:rsid w:val="5CB14C2F"/>
    <w:rsid w:val="5CBB333D"/>
    <w:rsid w:val="5CC5380A"/>
    <w:rsid w:val="5D302934"/>
    <w:rsid w:val="5D537A94"/>
    <w:rsid w:val="5D605FB5"/>
    <w:rsid w:val="5E37645F"/>
    <w:rsid w:val="5E722C62"/>
    <w:rsid w:val="5EA06D09"/>
    <w:rsid w:val="5EA42C9D"/>
    <w:rsid w:val="5ECA4115"/>
    <w:rsid w:val="5ED7742F"/>
    <w:rsid w:val="5F5776B8"/>
    <w:rsid w:val="5F920D48"/>
    <w:rsid w:val="5F97635E"/>
    <w:rsid w:val="60067904"/>
    <w:rsid w:val="6037357D"/>
    <w:rsid w:val="60EF4F3D"/>
    <w:rsid w:val="610A4876"/>
    <w:rsid w:val="62D57C58"/>
    <w:rsid w:val="62D91955"/>
    <w:rsid w:val="62E9320C"/>
    <w:rsid w:val="633F4D43"/>
    <w:rsid w:val="63860BC4"/>
    <w:rsid w:val="639C4724"/>
    <w:rsid w:val="63B82D47"/>
    <w:rsid w:val="63FF44D2"/>
    <w:rsid w:val="64A22BCF"/>
    <w:rsid w:val="64E75692"/>
    <w:rsid w:val="64EA0B03"/>
    <w:rsid w:val="64FB738F"/>
    <w:rsid w:val="65083310"/>
    <w:rsid w:val="65102E3B"/>
    <w:rsid w:val="65DB68B9"/>
    <w:rsid w:val="66017E33"/>
    <w:rsid w:val="66131883"/>
    <w:rsid w:val="661A250E"/>
    <w:rsid w:val="669A3EF5"/>
    <w:rsid w:val="67696832"/>
    <w:rsid w:val="684626D0"/>
    <w:rsid w:val="688976F1"/>
    <w:rsid w:val="6A0D7387"/>
    <w:rsid w:val="6A86594D"/>
    <w:rsid w:val="6B9F6CC6"/>
    <w:rsid w:val="6BB97828"/>
    <w:rsid w:val="6BD5370D"/>
    <w:rsid w:val="6BEA76BB"/>
    <w:rsid w:val="6C1B559E"/>
    <w:rsid w:val="6D350F65"/>
    <w:rsid w:val="6D8B249D"/>
    <w:rsid w:val="6E0F7A08"/>
    <w:rsid w:val="6E4918E3"/>
    <w:rsid w:val="6E731D44"/>
    <w:rsid w:val="6EEB2223"/>
    <w:rsid w:val="6EFF182A"/>
    <w:rsid w:val="6F590786"/>
    <w:rsid w:val="6F6F4C02"/>
    <w:rsid w:val="6FD173BC"/>
    <w:rsid w:val="6FE33998"/>
    <w:rsid w:val="70826C68"/>
    <w:rsid w:val="70EB64DC"/>
    <w:rsid w:val="71461992"/>
    <w:rsid w:val="71A04BC0"/>
    <w:rsid w:val="71B454F3"/>
    <w:rsid w:val="71B52D11"/>
    <w:rsid w:val="71F96A05"/>
    <w:rsid w:val="721F1882"/>
    <w:rsid w:val="72A7186E"/>
    <w:rsid w:val="73C117A4"/>
    <w:rsid w:val="73DC1BB7"/>
    <w:rsid w:val="73FC17BD"/>
    <w:rsid w:val="740718AD"/>
    <w:rsid w:val="747A7B49"/>
    <w:rsid w:val="74FA4F6E"/>
    <w:rsid w:val="752245AB"/>
    <w:rsid w:val="75653498"/>
    <w:rsid w:val="75B4336E"/>
    <w:rsid w:val="76027B21"/>
    <w:rsid w:val="760F75E6"/>
    <w:rsid w:val="766C59F7"/>
    <w:rsid w:val="76783F68"/>
    <w:rsid w:val="76B26E17"/>
    <w:rsid w:val="76B37ACA"/>
    <w:rsid w:val="77A56195"/>
    <w:rsid w:val="77CE17E6"/>
    <w:rsid w:val="783E7253"/>
    <w:rsid w:val="784529A4"/>
    <w:rsid w:val="786C577D"/>
    <w:rsid w:val="78AC2A23"/>
    <w:rsid w:val="78FB3062"/>
    <w:rsid w:val="793F16BF"/>
    <w:rsid w:val="79967B68"/>
    <w:rsid w:val="7A87767C"/>
    <w:rsid w:val="7B5B603A"/>
    <w:rsid w:val="7B8F1E3B"/>
    <w:rsid w:val="7C6453C2"/>
    <w:rsid w:val="7C7632AD"/>
    <w:rsid w:val="7CD9190C"/>
    <w:rsid w:val="7CF93D5D"/>
    <w:rsid w:val="7D140B97"/>
    <w:rsid w:val="7ECB1EA2"/>
    <w:rsid w:val="7F2F4C9E"/>
    <w:rsid w:val="7F4C292B"/>
    <w:rsid w:val="7F585D80"/>
    <w:rsid w:val="7F963AE5"/>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cs="Arial"/>
      <w:b/>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30"/>
    <w:unhideWhenUsed/>
    <w:qFormat/>
    <w:uiPriority w:val="99"/>
    <w:pPr>
      <w:jc w:val="left"/>
    </w:pPr>
  </w:style>
  <w:style w:type="paragraph" w:styleId="5">
    <w:name w:val="Body Text"/>
    <w:basedOn w:val="1"/>
    <w:link w:val="23"/>
    <w:qFormat/>
    <w:uiPriority w:val="0"/>
    <w:pPr>
      <w:spacing w:after="120"/>
    </w:pPr>
    <w:rPr>
      <w:kern w:val="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link w:val="22"/>
    <w:qFormat/>
    <w:uiPriority w:val="0"/>
    <w:rPr>
      <w:rFonts w:ascii="宋体" w:hAnsi="宋体" w:cs="Courier New"/>
      <w:sz w:val="20"/>
      <w:szCs w:val="20"/>
      <w:lang w:val="zh-CN"/>
    </w:rPr>
  </w:style>
  <w:style w:type="paragraph" w:styleId="9">
    <w:name w:val="Date"/>
    <w:basedOn w:val="1"/>
    <w:next w:val="1"/>
    <w:link w:val="34"/>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4"/>
    <w:qFormat/>
    <w:uiPriority w:val="0"/>
    <w:pPr>
      <w:spacing w:after="120" w:line="480" w:lineRule="auto"/>
    </w:pPr>
    <w:rPr>
      <w:sz w:val="20"/>
      <w:szCs w:val="24"/>
    </w:rPr>
  </w:style>
  <w:style w:type="paragraph" w:styleId="14">
    <w:name w:val="annotation subject"/>
    <w:basedOn w:val="4"/>
    <w:next w:val="4"/>
    <w:link w:val="31"/>
    <w:semiHidden/>
    <w:unhideWhenUsed/>
    <w:qFormat/>
    <w:uiPriority w:val="99"/>
    <w:rPr>
      <w:b/>
      <w:bCs/>
    </w:rPr>
  </w:style>
  <w:style w:type="paragraph" w:styleId="15">
    <w:name w:val="Body Text First Indent 2"/>
    <w:basedOn w:val="6"/>
    <w:unhideWhenUsed/>
    <w:qFormat/>
    <w:uiPriority w:val="99"/>
    <w:pPr>
      <w:ind w:firstLine="420" w:firstLineChars="200"/>
    </w:pPr>
    <w:rPr>
      <w:rFonts w:ascii="Times New Roman" w:hAnsi="Times New Roman"/>
      <w:sz w:val="21"/>
      <w:szCs w:val="22"/>
    </w:rPr>
  </w:style>
  <w:style w:type="character" w:styleId="18">
    <w:name w:val="Strong"/>
    <w:basedOn w:val="17"/>
    <w:qFormat/>
    <w:uiPriority w:val="22"/>
    <w:rPr>
      <w:b/>
    </w:rPr>
  </w:style>
  <w:style w:type="character" w:styleId="19">
    <w:name w:val="Hyperlink"/>
    <w:unhideWhenUsed/>
    <w:qFormat/>
    <w:uiPriority w:val="99"/>
    <w:rPr>
      <w:color w:val="0000FF"/>
      <w:u w:val="single"/>
    </w:rPr>
  </w:style>
  <w:style w:type="character" w:styleId="20">
    <w:name w:val="annotation reference"/>
    <w:basedOn w:val="17"/>
    <w:unhideWhenUsed/>
    <w:qFormat/>
    <w:uiPriority w:val="99"/>
    <w:rPr>
      <w:sz w:val="21"/>
      <w:szCs w:val="21"/>
    </w:rPr>
  </w:style>
  <w:style w:type="character" w:customStyle="1" w:styleId="21">
    <w:name w:val="标题 2 字符"/>
    <w:basedOn w:val="17"/>
    <w:link w:val="2"/>
    <w:qFormat/>
    <w:uiPriority w:val="0"/>
    <w:rPr>
      <w:rFonts w:ascii="Arial" w:hAnsi="Arial" w:eastAsia="黑体" w:cs="Arial"/>
      <w:b/>
      <w:color w:val="000000"/>
      <w:kern w:val="0"/>
      <w:sz w:val="32"/>
      <w:szCs w:val="32"/>
    </w:rPr>
  </w:style>
  <w:style w:type="character" w:customStyle="1" w:styleId="22">
    <w:name w:val="纯文本 字符"/>
    <w:basedOn w:val="17"/>
    <w:link w:val="8"/>
    <w:qFormat/>
    <w:uiPriority w:val="0"/>
    <w:rPr>
      <w:rFonts w:ascii="宋体" w:hAnsi="宋体" w:eastAsia="宋体" w:cs="Courier New"/>
      <w:color w:val="000000"/>
      <w:kern w:val="0"/>
      <w:sz w:val="20"/>
      <w:szCs w:val="20"/>
      <w:lang w:val="zh-CN"/>
    </w:rPr>
  </w:style>
  <w:style w:type="character" w:customStyle="1" w:styleId="23">
    <w:name w:val="正文文本 字符"/>
    <w:basedOn w:val="17"/>
    <w:link w:val="5"/>
    <w:qFormat/>
    <w:uiPriority w:val="0"/>
    <w:rPr>
      <w:rFonts w:ascii="Calibri" w:hAnsi="Calibri" w:eastAsia="宋体" w:cs="Calibri"/>
      <w:color w:val="000000"/>
      <w:kern w:val="1"/>
    </w:rPr>
  </w:style>
  <w:style w:type="character" w:customStyle="1" w:styleId="24">
    <w:name w:val="正文文本 2 字符"/>
    <w:basedOn w:val="17"/>
    <w:link w:val="13"/>
    <w:qFormat/>
    <w:uiPriority w:val="0"/>
    <w:rPr>
      <w:rFonts w:ascii="Calibri" w:hAnsi="Calibri" w:eastAsia="宋体" w:cs="Calibri"/>
      <w:color w:val="000000"/>
      <w:kern w:val="0"/>
      <w:sz w:val="20"/>
      <w:szCs w:val="24"/>
    </w:rPr>
  </w:style>
  <w:style w:type="paragraph" w:customStyle="1" w:styleId="25">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页眉 字符"/>
    <w:basedOn w:val="17"/>
    <w:link w:val="12"/>
    <w:qFormat/>
    <w:uiPriority w:val="99"/>
    <w:rPr>
      <w:rFonts w:ascii="Calibri" w:hAnsi="Calibri" w:eastAsia="宋体" w:cs="Calibri"/>
      <w:color w:val="000000"/>
      <w:kern w:val="0"/>
      <w:sz w:val="18"/>
      <w:szCs w:val="18"/>
    </w:rPr>
  </w:style>
  <w:style w:type="character" w:customStyle="1" w:styleId="28">
    <w:name w:val="页脚 字符"/>
    <w:basedOn w:val="17"/>
    <w:link w:val="11"/>
    <w:qFormat/>
    <w:uiPriority w:val="99"/>
    <w:rPr>
      <w:rFonts w:ascii="Calibri" w:hAnsi="Calibri" w:eastAsia="宋体" w:cs="Calibri"/>
      <w:color w:val="000000"/>
      <w:kern w:val="0"/>
      <w:sz w:val="18"/>
      <w:szCs w:val="18"/>
    </w:rPr>
  </w:style>
  <w:style w:type="paragraph" w:customStyle="1" w:styleId="29">
    <w:name w:val="修订1"/>
    <w:hidden/>
    <w:semiHidden/>
    <w:qFormat/>
    <w:uiPriority w:val="99"/>
    <w:rPr>
      <w:rFonts w:ascii="Calibri" w:hAnsi="Calibri" w:eastAsia="宋体" w:cs="Calibri"/>
      <w:color w:val="000000"/>
      <w:sz w:val="21"/>
      <w:szCs w:val="22"/>
      <w:lang w:val="en-US" w:eastAsia="zh-CN" w:bidi="ar-SA"/>
    </w:rPr>
  </w:style>
  <w:style w:type="character" w:customStyle="1" w:styleId="30">
    <w:name w:val="批注文字 字符"/>
    <w:basedOn w:val="17"/>
    <w:link w:val="4"/>
    <w:qFormat/>
    <w:uiPriority w:val="99"/>
    <w:rPr>
      <w:rFonts w:ascii="Calibri" w:hAnsi="Calibri" w:eastAsia="宋体" w:cs="Calibri"/>
      <w:color w:val="000000"/>
      <w:sz w:val="21"/>
      <w:szCs w:val="22"/>
    </w:rPr>
  </w:style>
  <w:style w:type="character" w:customStyle="1" w:styleId="31">
    <w:name w:val="批注主题 字符"/>
    <w:basedOn w:val="30"/>
    <w:link w:val="14"/>
    <w:semiHidden/>
    <w:qFormat/>
    <w:uiPriority w:val="99"/>
    <w:rPr>
      <w:rFonts w:ascii="Calibri" w:hAnsi="Calibri" w:eastAsia="宋体" w:cs="Calibri"/>
      <w:b/>
      <w:bCs/>
      <w:color w:val="000000"/>
      <w:sz w:val="21"/>
      <w:szCs w:val="22"/>
    </w:rPr>
  </w:style>
  <w:style w:type="character" w:customStyle="1" w:styleId="32">
    <w:name w:val="批注框文本 字符"/>
    <w:basedOn w:val="17"/>
    <w:link w:val="10"/>
    <w:semiHidden/>
    <w:qFormat/>
    <w:uiPriority w:val="99"/>
    <w:rPr>
      <w:rFonts w:ascii="Calibri" w:hAnsi="Calibri" w:eastAsia="宋体" w:cs="Calibri"/>
      <w:color w:val="000000"/>
      <w:sz w:val="18"/>
      <w:szCs w:val="18"/>
    </w:rPr>
  </w:style>
  <w:style w:type="character" w:customStyle="1" w:styleId="33">
    <w:name w:val="批注文字 字符1"/>
    <w:basedOn w:val="17"/>
    <w:qFormat/>
    <w:uiPriority w:val="0"/>
    <w:rPr>
      <w:rFonts w:ascii="Calibri" w:hAnsi="Calibri" w:eastAsia="宋体" w:cs="Calibri"/>
      <w:color w:val="000000"/>
      <w:sz w:val="21"/>
      <w:szCs w:val="22"/>
    </w:rPr>
  </w:style>
  <w:style w:type="character" w:customStyle="1" w:styleId="34">
    <w:name w:val="日期 字符"/>
    <w:basedOn w:val="17"/>
    <w:link w:val="9"/>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75AD1-686B-4F9D-8FE9-D22F0F932878}">
  <ds:schemaRefs/>
</ds:datastoreItem>
</file>

<file path=docProps/app.xml><?xml version="1.0" encoding="utf-8"?>
<Properties xmlns="http://schemas.openxmlformats.org/officeDocument/2006/extended-properties" xmlns:vt="http://schemas.openxmlformats.org/officeDocument/2006/docPropsVTypes">
  <Template>Normal</Template>
  <Pages>21</Pages>
  <Words>11903</Words>
  <Characters>12752</Characters>
  <Lines>97</Lines>
  <Paragraphs>27</Paragraphs>
  <TotalTime>0</TotalTime>
  <ScaleCrop>false</ScaleCrop>
  <LinksUpToDate>false</LinksUpToDate>
  <CharactersWithSpaces>13736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cmh</cp:lastModifiedBy>
  <cp:lastPrinted>2025-07-25T03:34:00Z</cp:lastPrinted>
  <dcterms:modified xsi:type="dcterms:W3CDTF">2025-11-19T09:22:44Z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96DE9B2AB2B841B2B69EFC5E83B0139D</vt:lpwstr>
  </property>
  <property fmtid="{D5CDD505-2E9C-101B-9397-08002B2CF9AE}" pid="4" name="KSOTemplateDocerSaveRecord">
    <vt:lpwstr>eyJoZGlkIjoiZGQzOTAyNWM1MGEzZWMwMjNlOWNkNWIwYTEzZmIzYTYiLCJ1c2VySWQiOiI0MjI4Njk3NTYifQ==</vt:lpwstr>
  </property>
</Properties>
</file>