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95EB5">
      <w:pPr>
        <w:pStyle w:val="7"/>
        <w:keepNext w:val="0"/>
        <w:keepLines w:val="0"/>
        <w:pageBreakBefore w:val="0"/>
        <w:kinsoku/>
        <w:bidi w:val="0"/>
        <w:spacing w:line="252" w:lineRule="auto"/>
        <w:rPr>
          <w:rFonts w:hint="eastAsia" w:eastAsia="宋体"/>
          <w:color w:val="auto"/>
          <w:spacing w:val="0"/>
          <w:w w:val="100"/>
          <w:position w:val="0"/>
          <w:highlight w:val="none"/>
          <w:lang w:val="en-US" w:eastAsia="zh-CN"/>
        </w:rPr>
      </w:pPr>
      <w:bookmarkStart w:id="380" w:name="_GoBack"/>
      <w:bookmarkEnd w:id="380"/>
    </w:p>
    <w:p w14:paraId="6D7301EB">
      <w:pPr>
        <w:pStyle w:val="7"/>
        <w:keepNext w:val="0"/>
        <w:keepLines w:val="0"/>
        <w:pageBreakBefore w:val="0"/>
        <w:kinsoku/>
        <w:bidi w:val="0"/>
        <w:spacing w:line="253" w:lineRule="auto"/>
        <w:rPr>
          <w:color w:val="auto"/>
          <w:spacing w:val="0"/>
          <w:w w:val="100"/>
          <w:position w:val="0"/>
          <w:highlight w:val="none"/>
        </w:rPr>
      </w:pPr>
    </w:p>
    <w:p w14:paraId="701D8F1A">
      <w:pPr>
        <w:pStyle w:val="7"/>
        <w:keepNext w:val="0"/>
        <w:keepLines w:val="0"/>
        <w:pageBreakBefore w:val="0"/>
        <w:kinsoku/>
        <w:bidi w:val="0"/>
        <w:spacing w:line="253" w:lineRule="auto"/>
        <w:rPr>
          <w:color w:val="auto"/>
          <w:spacing w:val="0"/>
          <w:w w:val="100"/>
          <w:position w:val="0"/>
          <w:highlight w:val="none"/>
        </w:rPr>
      </w:pPr>
    </w:p>
    <w:p w14:paraId="3907C6AA">
      <w:pPr>
        <w:pStyle w:val="7"/>
        <w:keepNext w:val="0"/>
        <w:keepLines w:val="0"/>
        <w:pageBreakBefore w:val="0"/>
        <w:kinsoku/>
        <w:bidi w:val="0"/>
        <w:spacing w:line="253" w:lineRule="auto"/>
        <w:rPr>
          <w:color w:val="auto"/>
          <w:spacing w:val="0"/>
          <w:w w:val="100"/>
          <w:position w:val="0"/>
          <w:highlight w:val="none"/>
        </w:rPr>
      </w:pPr>
    </w:p>
    <w:p w14:paraId="1C2F1F9C">
      <w:pPr>
        <w:pStyle w:val="7"/>
        <w:keepNext w:val="0"/>
        <w:keepLines w:val="0"/>
        <w:pageBreakBefore w:val="0"/>
        <w:kinsoku/>
        <w:bidi w:val="0"/>
        <w:spacing w:line="253" w:lineRule="auto"/>
        <w:jc w:val="center"/>
        <w:rPr>
          <w:rFonts w:eastAsia="宋体"/>
          <w:color w:val="auto"/>
          <w:spacing w:val="0"/>
          <w:w w:val="100"/>
          <w:position w:val="0"/>
          <w:sz w:val="22"/>
          <w:szCs w:val="22"/>
          <w:highlight w:val="none"/>
          <w:lang w:eastAsia="zh-CN"/>
        </w:rPr>
      </w:pPr>
      <w:r>
        <w:rPr>
          <w:rFonts w:hint="eastAsia" w:ascii="宋体" w:hAnsi="宋体" w:eastAsia="宋体" w:cs="宋体"/>
          <w:b/>
          <w:bCs/>
          <w:color w:val="auto"/>
          <w:spacing w:val="0"/>
          <w:w w:val="100"/>
          <w:position w:val="0"/>
          <w:sz w:val="48"/>
          <w:szCs w:val="48"/>
          <w:highlight w:val="none"/>
          <w:lang w:eastAsia="zh-CN"/>
        </w:rPr>
        <w:t>开投·智行产业空间研发中心和孵化器培育场地改造项目</w:t>
      </w:r>
      <w:r>
        <w:rPr>
          <w:rFonts w:hint="eastAsia" w:ascii="宋体" w:hAnsi="宋体" w:eastAsia="宋体" w:cs="宋体"/>
          <w:b/>
          <w:bCs/>
          <w:color w:val="auto"/>
          <w:spacing w:val="0"/>
          <w:w w:val="100"/>
          <w:position w:val="0"/>
          <w:sz w:val="48"/>
          <w:szCs w:val="48"/>
          <w:highlight w:val="none"/>
          <w:lang w:val="en-US" w:eastAsia="zh-CN"/>
        </w:rPr>
        <w:t>设计施工总承包</w:t>
      </w:r>
    </w:p>
    <w:p w14:paraId="56DC604A">
      <w:pPr>
        <w:pStyle w:val="7"/>
        <w:keepNext w:val="0"/>
        <w:keepLines w:val="0"/>
        <w:pageBreakBefore w:val="0"/>
        <w:kinsoku/>
        <w:bidi w:val="0"/>
        <w:spacing w:line="253" w:lineRule="auto"/>
        <w:rPr>
          <w:color w:val="auto"/>
          <w:spacing w:val="0"/>
          <w:w w:val="100"/>
          <w:position w:val="0"/>
          <w:highlight w:val="none"/>
          <w:lang w:eastAsia="zh-CN"/>
        </w:rPr>
      </w:pPr>
    </w:p>
    <w:p w14:paraId="5F66CEB2">
      <w:pPr>
        <w:pStyle w:val="7"/>
        <w:keepNext w:val="0"/>
        <w:keepLines w:val="0"/>
        <w:pageBreakBefore w:val="0"/>
        <w:kinsoku/>
        <w:bidi w:val="0"/>
        <w:spacing w:line="253" w:lineRule="auto"/>
        <w:rPr>
          <w:color w:val="auto"/>
          <w:spacing w:val="0"/>
          <w:w w:val="100"/>
          <w:position w:val="0"/>
          <w:highlight w:val="none"/>
          <w:lang w:eastAsia="zh-CN"/>
        </w:rPr>
      </w:pPr>
    </w:p>
    <w:p w14:paraId="06147E60">
      <w:pPr>
        <w:pStyle w:val="7"/>
        <w:keepNext w:val="0"/>
        <w:keepLines w:val="0"/>
        <w:pageBreakBefore w:val="0"/>
        <w:kinsoku/>
        <w:bidi w:val="0"/>
        <w:spacing w:line="253" w:lineRule="auto"/>
        <w:rPr>
          <w:color w:val="auto"/>
          <w:spacing w:val="0"/>
          <w:w w:val="100"/>
          <w:position w:val="0"/>
          <w:highlight w:val="none"/>
          <w:lang w:eastAsia="zh-CN"/>
        </w:rPr>
      </w:pPr>
    </w:p>
    <w:p w14:paraId="5B40D814">
      <w:pPr>
        <w:pStyle w:val="7"/>
        <w:keepNext w:val="0"/>
        <w:keepLines w:val="0"/>
        <w:pageBreakBefore w:val="0"/>
        <w:kinsoku/>
        <w:bidi w:val="0"/>
        <w:spacing w:line="253" w:lineRule="auto"/>
        <w:rPr>
          <w:color w:val="auto"/>
          <w:spacing w:val="0"/>
          <w:w w:val="100"/>
          <w:position w:val="0"/>
          <w:highlight w:val="none"/>
          <w:lang w:eastAsia="zh-CN"/>
        </w:rPr>
      </w:pPr>
    </w:p>
    <w:p w14:paraId="61AE61BD">
      <w:pPr>
        <w:pStyle w:val="7"/>
        <w:keepNext w:val="0"/>
        <w:keepLines w:val="0"/>
        <w:pageBreakBefore w:val="0"/>
        <w:kinsoku/>
        <w:bidi w:val="0"/>
        <w:spacing w:line="253" w:lineRule="auto"/>
        <w:rPr>
          <w:color w:val="auto"/>
          <w:spacing w:val="0"/>
          <w:w w:val="100"/>
          <w:position w:val="0"/>
          <w:highlight w:val="none"/>
          <w:lang w:eastAsia="zh-CN"/>
        </w:rPr>
      </w:pPr>
    </w:p>
    <w:p w14:paraId="79E86DC4">
      <w:pPr>
        <w:pStyle w:val="7"/>
        <w:keepNext w:val="0"/>
        <w:keepLines w:val="0"/>
        <w:pageBreakBefore w:val="0"/>
        <w:kinsoku/>
        <w:bidi w:val="0"/>
        <w:spacing w:line="253" w:lineRule="auto"/>
        <w:rPr>
          <w:color w:val="auto"/>
          <w:spacing w:val="0"/>
          <w:w w:val="100"/>
          <w:position w:val="0"/>
          <w:highlight w:val="none"/>
          <w:lang w:eastAsia="zh-CN"/>
        </w:rPr>
      </w:pPr>
    </w:p>
    <w:p w14:paraId="64C7FDCC">
      <w:pPr>
        <w:pStyle w:val="7"/>
        <w:keepNext w:val="0"/>
        <w:keepLines w:val="0"/>
        <w:pageBreakBefore w:val="0"/>
        <w:kinsoku/>
        <w:bidi w:val="0"/>
        <w:spacing w:line="253" w:lineRule="auto"/>
        <w:rPr>
          <w:color w:val="auto"/>
          <w:spacing w:val="0"/>
          <w:w w:val="100"/>
          <w:position w:val="0"/>
          <w:highlight w:val="none"/>
          <w:lang w:eastAsia="zh-CN"/>
        </w:rPr>
      </w:pPr>
    </w:p>
    <w:p w14:paraId="67607637">
      <w:pPr>
        <w:pStyle w:val="7"/>
        <w:keepNext w:val="0"/>
        <w:keepLines w:val="0"/>
        <w:pageBreakBefore w:val="0"/>
        <w:kinsoku/>
        <w:bidi w:val="0"/>
        <w:spacing w:line="253" w:lineRule="auto"/>
        <w:rPr>
          <w:color w:val="auto"/>
          <w:spacing w:val="0"/>
          <w:w w:val="100"/>
          <w:position w:val="0"/>
          <w:highlight w:val="none"/>
          <w:lang w:eastAsia="zh-CN"/>
        </w:rPr>
      </w:pPr>
    </w:p>
    <w:p w14:paraId="7AA40686">
      <w:pPr>
        <w:pStyle w:val="7"/>
        <w:keepNext w:val="0"/>
        <w:keepLines w:val="0"/>
        <w:pageBreakBefore w:val="0"/>
        <w:kinsoku/>
        <w:bidi w:val="0"/>
        <w:spacing w:line="253" w:lineRule="auto"/>
        <w:rPr>
          <w:color w:val="auto"/>
          <w:spacing w:val="0"/>
          <w:w w:val="100"/>
          <w:position w:val="0"/>
          <w:highlight w:val="none"/>
          <w:lang w:eastAsia="zh-CN"/>
        </w:rPr>
      </w:pPr>
    </w:p>
    <w:p w14:paraId="019B4E20">
      <w:pPr>
        <w:pStyle w:val="7"/>
        <w:keepNext w:val="0"/>
        <w:keepLines w:val="0"/>
        <w:pageBreakBefore w:val="0"/>
        <w:kinsoku/>
        <w:bidi w:val="0"/>
        <w:spacing w:line="253" w:lineRule="auto"/>
        <w:rPr>
          <w:color w:val="auto"/>
          <w:spacing w:val="0"/>
          <w:w w:val="100"/>
          <w:position w:val="0"/>
          <w:highlight w:val="none"/>
          <w:lang w:eastAsia="zh-CN"/>
        </w:rPr>
      </w:pPr>
    </w:p>
    <w:p w14:paraId="3E10D673">
      <w:pPr>
        <w:pStyle w:val="7"/>
        <w:keepNext w:val="0"/>
        <w:keepLines w:val="0"/>
        <w:pageBreakBefore w:val="0"/>
        <w:kinsoku/>
        <w:bidi w:val="0"/>
        <w:spacing w:line="254" w:lineRule="auto"/>
        <w:rPr>
          <w:color w:val="auto"/>
          <w:spacing w:val="0"/>
          <w:w w:val="100"/>
          <w:position w:val="0"/>
          <w:highlight w:val="none"/>
          <w:lang w:eastAsia="zh-CN"/>
        </w:rPr>
      </w:pPr>
    </w:p>
    <w:p w14:paraId="26FFD5CB">
      <w:pPr>
        <w:pStyle w:val="7"/>
        <w:keepNext w:val="0"/>
        <w:keepLines w:val="0"/>
        <w:pageBreakBefore w:val="0"/>
        <w:kinsoku/>
        <w:bidi w:val="0"/>
        <w:spacing w:line="254" w:lineRule="auto"/>
        <w:rPr>
          <w:color w:val="auto"/>
          <w:spacing w:val="0"/>
          <w:w w:val="100"/>
          <w:position w:val="0"/>
          <w:highlight w:val="none"/>
          <w:lang w:eastAsia="zh-CN"/>
        </w:rPr>
      </w:pPr>
    </w:p>
    <w:p w14:paraId="3FB98DC9">
      <w:pPr>
        <w:keepNext w:val="0"/>
        <w:keepLines w:val="0"/>
        <w:pageBreakBefore w:val="0"/>
        <w:kinsoku/>
        <w:bidi w:val="0"/>
        <w:spacing w:before="270" w:line="222" w:lineRule="auto"/>
        <w:ind w:left="2667"/>
        <w:rPr>
          <w:rFonts w:ascii="宋体" w:hAnsi="宋体" w:eastAsia="宋体" w:cs="宋体"/>
          <w:color w:val="auto"/>
          <w:spacing w:val="0"/>
          <w:w w:val="100"/>
          <w:position w:val="0"/>
          <w:sz w:val="83"/>
          <w:szCs w:val="83"/>
          <w:highlight w:val="none"/>
          <w:lang w:eastAsia="zh-CN"/>
        </w:rPr>
      </w:pPr>
      <w:r>
        <w:rPr>
          <w:rFonts w:ascii="宋体" w:hAnsi="宋体" w:eastAsia="宋体" w:cs="宋体"/>
          <w:b/>
          <w:bCs/>
          <w:color w:val="auto"/>
          <w:spacing w:val="0"/>
          <w:w w:val="100"/>
          <w:position w:val="0"/>
          <w:sz w:val="83"/>
          <w:szCs w:val="83"/>
          <w:highlight w:val="none"/>
          <w:lang w:eastAsia="zh-CN"/>
        </w:rPr>
        <w:t>招标文件</w:t>
      </w:r>
    </w:p>
    <w:p w14:paraId="4C8124F8">
      <w:pPr>
        <w:pStyle w:val="7"/>
        <w:keepNext w:val="0"/>
        <w:keepLines w:val="0"/>
        <w:pageBreakBefore w:val="0"/>
        <w:kinsoku/>
        <w:bidi w:val="0"/>
        <w:spacing w:line="248" w:lineRule="auto"/>
        <w:rPr>
          <w:color w:val="auto"/>
          <w:spacing w:val="0"/>
          <w:w w:val="100"/>
          <w:position w:val="0"/>
          <w:highlight w:val="none"/>
          <w:lang w:eastAsia="zh-CN"/>
        </w:rPr>
      </w:pPr>
    </w:p>
    <w:p w14:paraId="11742CD7">
      <w:pPr>
        <w:pStyle w:val="7"/>
        <w:keepNext w:val="0"/>
        <w:keepLines w:val="0"/>
        <w:pageBreakBefore w:val="0"/>
        <w:kinsoku/>
        <w:bidi w:val="0"/>
        <w:spacing w:line="248" w:lineRule="auto"/>
        <w:rPr>
          <w:color w:val="auto"/>
          <w:spacing w:val="0"/>
          <w:w w:val="100"/>
          <w:position w:val="0"/>
          <w:highlight w:val="none"/>
          <w:lang w:eastAsia="zh-CN"/>
        </w:rPr>
      </w:pPr>
    </w:p>
    <w:p w14:paraId="30E8F96A">
      <w:pPr>
        <w:pStyle w:val="7"/>
        <w:keepNext w:val="0"/>
        <w:keepLines w:val="0"/>
        <w:pageBreakBefore w:val="0"/>
        <w:kinsoku/>
        <w:bidi w:val="0"/>
        <w:spacing w:line="248" w:lineRule="auto"/>
        <w:rPr>
          <w:color w:val="auto"/>
          <w:spacing w:val="0"/>
          <w:w w:val="100"/>
          <w:position w:val="0"/>
          <w:highlight w:val="none"/>
          <w:lang w:eastAsia="zh-CN"/>
        </w:rPr>
      </w:pPr>
    </w:p>
    <w:p w14:paraId="74B53205">
      <w:pPr>
        <w:pStyle w:val="7"/>
        <w:keepNext w:val="0"/>
        <w:keepLines w:val="0"/>
        <w:pageBreakBefore w:val="0"/>
        <w:kinsoku/>
        <w:bidi w:val="0"/>
        <w:spacing w:line="249" w:lineRule="auto"/>
        <w:rPr>
          <w:color w:val="auto"/>
          <w:spacing w:val="0"/>
          <w:w w:val="100"/>
          <w:position w:val="0"/>
          <w:highlight w:val="none"/>
          <w:lang w:eastAsia="zh-CN"/>
        </w:rPr>
      </w:pPr>
    </w:p>
    <w:p w14:paraId="664CD3D7">
      <w:pPr>
        <w:pStyle w:val="7"/>
        <w:keepNext w:val="0"/>
        <w:keepLines w:val="0"/>
        <w:pageBreakBefore w:val="0"/>
        <w:kinsoku/>
        <w:bidi w:val="0"/>
        <w:spacing w:line="249" w:lineRule="auto"/>
        <w:rPr>
          <w:color w:val="auto"/>
          <w:spacing w:val="0"/>
          <w:w w:val="100"/>
          <w:position w:val="0"/>
          <w:highlight w:val="none"/>
          <w:lang w:eastAsia="zh-CN"/>
        </w:rPr>
      </w:pPr>
    </w:p>
    <w:p w14:paraId="2C67B9D8">
      <w:pPr>
        <w:pStyle w:val="7"/>
        <w:keepNext w:val="0"/>
        <w:keepLines w:val="0"/>
        <w:pageBreakBefore w:val="0"/>
        <w:kinsoku/>
        <w:bidi w:val="0"/>
        <w:spacing w:line="249" w:lineRule="auto"/>
        <w:rPr>
          <w:color w:val="auto"/>
          <w:spacing w:val="0"/>
          <w:w w:val="100"/>
          <w:position w:val="0"/>
          <w:highlight w:val="none"/>
          <w:lang w:eastAsia="zh-CN"/>
        </w:rPr>
      </w:pPr>
    </w:p>
    <w:p w14:paraId="22516C09">
      <w:pPr>
        <w:pStyle w:val="7"/>
        <w:keepNext w:val="0"/>
        <w:keepLines w:val="0"/>
        <w:pageBreakBefore w:val="0"/>
        <w:kinsoku/>
        <w:bidi w:val="0"/>
        <w:spacing w:line="249" w:lineRule="auto"/>
        <w:rPr>
          <w:color w:val="auto"/>
          <w:spacing w:val="0"/>
          <w:w w:val="100"/>
          <w:position w:val="0"/>
          <w:highlight w:val="none"/>
          <w:lang w:eastAsia="zh-CN"/>
        </w:rPr>
      </w:pPr>
    </w:p>
    <w:p w14:paraId="28AA6392">
      <w:pPr>
        <w:pStyle w:val="7"/>
        <w:keepNext w:val="0"/>
        <w:keepLines w:val="0"/>
        <w:pageBreakBefore w:val="0"/>
        <w:kinsoku/>
        <w:bidi w:val="0"/>
        <w:spacing w:line="249" w:lineRule="auto"/>
        <w:rPr>
          <w:color w:val="auto"/>
          <w:spacing w:val="0"/>
          <w:w w:val="100"/>
          <w:position w:val="0"/>
          <w:highlight w:val="none"/>
          <w:lang w:eastAsia="zh-CN"/>
        </w:rPr>
      </w:pPr>
    </w:p>
    <w:p w14:paraId="2BBAAAC3">
      <w:pPr>
        <w:pStyle w:val="7"/>
        <w:keepNext w:val="0"/>
        <w:keepLines w:val="0"/>
        <w:pageBreakBefore w:val="0"/>
        <w:kinsoku/>
        <w:bidi w:val="0"/>
        <w:spacing w:line="249" w:lineRule="auto"/>
        <w:rPr>
          <w:color w:val="auto"/>
          <w:spacing w:val="0"/>
          <w:w w:val="100"/>
          <w:position w:val="0"/>
          <w:highlight w:val="none"/>
          <w:lang w:eastAsia="zh-CN"/>
        </w:rPr>
      </w:pPr>
    </w:p>
    <w:p w14:paraId="3335C2B2">
      <w:pPr>
        <w:pStyle w:val="7"/>
        <w:keepNext w:val="0"/>
        <w:keepLines w:val="0"/>
        <w:pageBreakBefore w:val="0"/>
        <w:kinsoku/>
        <w:bidi w:val="0"/>
        <w:spacing w:line="249" w:lineRule="auto"/>
        <w:rPr>
          <w:color w:val="auto"/>
          <w:spacing w:val="0"/>
          <w:w w:val="100"/>
          <w:position w:val="0"/>
          <w:highlight w:val="none"/>
          <w:lang w:eastAsia="zh-CN"/>
        </w:rPr>
      </w:pPr>
    </w:p>
    <w:p w14:paraId="307B07EC">
      <w:pPr>
        <w:pStyle w:val="7"/>
        <w:keepNext w:val="0"/>
        <w:keepLines w:val="0"/>
        <w:pageBreakBefore w:val="0"/>
        <w:kinsoku/>
        <w:bidi w:val="0"/>
        <w:spacing w:line="249" w:lineRule="auto"/>
        <w:rPr>
          <w:color w:val="auto"/>
          <w:spacing w:val="0"/>
          <w:w w:val="100"/>
          <w:position w:val="0"/>
          <w:highlight w:val="none"/>
          <w:lang w:eastAsia="zh-CN"/>
        </w:rPr>
      </w:pPr>
    </w:p>
    <w:p w14:paraId="7AEBB9BB">
      <w:pPr>
        <w:pStyle w:val="7"/>
        <w:keepNext w:val="0"/>
        <w:keepLines w:val="0"/>
        <w:pageBreakBefore w:val="0"/>
        <w:kinsoku/>
        <w:bidi w:val="0"/>
        <w:spacing w:line="249" w:lineRule="auto"/>
        <w:rPr>
          <w:color w:val="auto"/>
          <w:spacing w:val="0"/>
          <w:w w:val="100"/>
          <w:position w:val="0"/>
          <w:highlight w:val="none"/>
          <w:lang w:eastAsia="zh-CN"/>
        </w:rPr>
      </w:pPr>
    </w:p>
    <w:p w14:paraId="40412256">
      <w:pPr>
        <w:pStyle w:val="7"/>
        <w:keepNext w:val="0"/>
        <w:keepLines w:val="0"/>
        <w:pageBreakBefore w:val="0"/>
        <w:kinsoku/>
        <w:bidi w:val="0"/>
        <w:spacing w:line="249" w:lineRule="auto"/>
        <w:rPr>
          <w:color w:val="auto"/>
          <w:spacing w:val="0"/>
          <w:w w:val="100"/>
          <w:position w:val="0"/>
          <w:highlight w:val="none"/>
          <w:lang w:eastAsia="zh-CN"/>
        </w:rPr>
      </w:pPr>
    </w:p>
    <w:p w14:paraId="1DCF0A32">
      <w:pPr>
        <w:pStyle w:val="7"/>
        <w:keepNext w:val="0"/>
        <w:keepLines w:val="0"/>
        <w:pageBreakBefore w:val="0"/>
        <w:kinsoku/>
        <w:bidi w:val="0"/>
        <w:spacing w:line="249" w:lineRule="auto"/>
        <w:rPr>
          <w:color w:val="auto"/>
          <w:spacing w:val="0"/>
          <w:w w:val="100"/>
          <w:position w:val="0"/>
          <w:highlight w:val="none"/>
          <w:lang w:eastAsia="zh-CN"/>
        </w:rPr>
      </w:pPr>
    </w:p>
    <w:p w14:paraId="318448CB">
      <w:pPr>
        <w:keepNext w:val="0"/>
        <w:keepLines w:val="0"/>
        <w:pageBreakBefore w:val="0"/>
        <w:kinsoku/>
        <w:bidi w:val="0"/>
        <w:spacing w:before="248" w:line="224" w:lineRule="auto"/>
        <w:ind w:left="515"/>
        <w:rPr>
          <w:rFonts w:hint="eastAsia"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招   标   人：</w:t>
      </w:r>
      <w:r>
        <w:rPr>
          <w:rFonts w:hint="eastAsia" w:ascii="宋体" w:hAnsi="宋体" w:eastAsia="宋体" w:cs="宋体"/>
          <w:b/>
          <w:bCs/>
          <w:color w:val="auto"/>
          <w:spacing w:val="0"/>
          <w:w w:val="100"/>
          <w:position w:val="0"/>
          <w:sz w:val="31"/>
          <w:szCs w:val="31"/>
          <w:highlight w:val="none"/>
          <w:lang w:eastAsia="zh-CN"/>
        </w:rPr>
        <w:t>汉成（广州）电子有限公司</w:t>
      </w:r>
    </w:p>
    <w:p w14:paraId="4458F5D0">
      <w:pPr>
        <w:keepNext w:val="0"/>
        <w:keepLines w:val="0"/>
        <w:pageBreakBefore w:val="0"/>
        <w:kinsoku/>
        <w:bidi w:val="0"/>
        <w:spacing w:before="248" w:line="224" w:lineRule="auto"/>
        <w:ind w:left="515"/>
        <w:rPr>
          <w:rFonts w:hint="default" w:ascii="宋体" w:hAnsi="宋体" w:eastAsia="宋体" w:cs="宋体"/>
          <w:b/>
          <w:bCs/>
          <w:color w:val="auto"/>
          <w:spacing w:val="0"/>
          <w:w w:val="100"/>
          <w:position w:val="0"/>
          <w:sz w:val="31"/>
          <w:szCs w:val="31"/>
          <w:highlight w:val="none"/>
          <w:lang w:val="en-US" w:eastAsia="zh-CN"/>
        </w:rPr>
      </w:pPr>
      <w:r>
        <w:rPr>
          <w:rFonts w:hint="eastAsia" w:ascii="宋体" w:hAnsi="宋体" w:eastAsia="宋体" w:cs="宋体"/>
          <w:b/>
          <w:bCs/>
          <w:color w:val="auto"/>
          <w:spacing w:val="0"/>
          <w:w w:val="100"/>
          <w:position w:val="0"/>
          <w:sz w:val="31"/>
          <w:szCs w:val="31"/>
          <w:highlight w:val="none"/>
          <w:lang w:val="en-US" w:eastAsia="zh-CN"/>
        </w:rPr>
        <w:t>代建管理单位：广州开发区建设投资有限公司</w:t>
      </w:r>
    </w:p>
    <w:p w14:paraId="2BD4082B">
      <w:pPr>
        <w:keepNext w:val="0"/>
        <w:keepLines w:val="0"/>
        <w:pageBreakBefore w:val="0"/>
        <w:kinsoku/>
        <w:bidi w:val="0"/>
        <w:spacing w:before="248" w:line="224" w:lineRule="auto"/>
        <w:ind w:left="515"/>
        <w:rPr>
          <w:rFonts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招标代理单位：</w:t>
      </w:r>
      <w:r>
        <w:rPr>
          <w:rFonts w:hint="eastAsia" w:ascii="宋体" w:hAnsi="宋体" w:eastAsia="宋体" w:cs="宋体"/>
          <w:b/>
          <w:bCs/>
          <w:color w:val="auto"/>
          <w:spacing w:val="0"/>
          <w:w w:val="100"/>
          <w:position w:val="0"/>
          <w:sz w:val="31"/>
          <w:szCs w:val="31"/>
          <w:highlight w:val="none"/>
          <w:lang w:eastAsia="zh-CN"/>
        </w:rPr>
        <w:t>广州市兴邦国际项目管理有限公司</w:t>
      </w:r>
    </w:p>
    <w:p w14:paraId="004A3424">
      <w:pPr>
        <w:keepNext w:val="0"/>
        <w:keepLines w:val="0"/>
        <w:pageBreakBefore w:val="0"/>
        <w:kinsoku/>
        <w:bidi w:val="0"/>
        <w:spacing w:before="248" w:line="224" w:lineRule="auto"/>
        <w:ind w:left="515"/>
        <w:rPr>
          <w:rFonts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日        期：2025年</w:t>
      </w:r>
      <w:r>
        <w:rPr>
          <w:rFonts w:hint="eastAsia" w:ascii="宋体" w:hAnsi="宋体" w:eastAsia="宋体" w:cs="宋体"/>
          <w:b/>
          <w:bCs/>
          <w:color w:val="auto"/>
          <w:spacing w:val="0"/>
          <w:w w:val="100"/>
          <w:position w:val="0"/>
          <w:sz w:val="31"/>
          <w:szCs w:val="31"/>
          <w:highlight w:val="none"/>
          <w:lang w:val="en-US" w:eastAsia="zh-CN"/>
        </w:rPr>
        <w:t>11</w:t>
      </w:r>
      <w:r>
        <w:rPr>
          <w:rFonts w:ascii="宋体" w:hAnsi="宋体" w:eastAsia="宋体" w:cs="宋体"/>
          <w:b/>
          <w:bCs/>
          <w:color w:val="auto"/>
          <w:spacing w:val="0"/>
          <w:w w:val="100"/>
          <w:position w:val="0"/>
          <w:sz w:val="31"/>
          <w:szCs w:val="31"/>
          <w:highlight w:val="none"/>
          <w:lang w:eastAsia="zh-CN"/>
        </w:rPr>
        <w:t>月</w:t>
      </w:r>
    </w:p>
    <w:p w14:paraId="1ED4D5BB">
      <w:pPr>
        <w:keepNext w:val="0"/>
        <w:keepLines w:val="0"/>
        <w:pageBreakBefore w:val="0"/>
        <w:kinsoku/>
        <w:bidi w:val="0"/>
        <w:rPr>
          <w:color w:val="auto"/>
          <w:spacing w:val="0"/>
          <w:w w:val="100"/>
          <w:position w:val="0"/>
          <w:highlight w:val="none"/>
          <w:lang w:eastAsia="zh-CN"/>
        </w:rPr>
      </w:pPr>
    </w:p>
    <w:p w14:paraId="36D3B412">
      <w:pPr>
        <w:keepNext w:val="0"/>
        <w:keepLines w:val="0"/>
        <w:pageBreakBefore w:val="0"/>
        <w:kinsoku/>
        <w:bidi w:val="0"/>
        <w:spacing w:before="0" w:line="240" w:lineRule="auto"/>
        <w:ind w:left="0"/>
        <w:outlineLvl w:val="9"/>
        <w:rPr>
          <w:rFonts w:ascii="宋体" w:hAnsi="宋体" w:eastAsia="宋体" w:cs="宋体"/>
          <w:b/>
          <w:bCs/>
          <w:color w:val="auto"/>
          <w:spacing w:val="0"/>
          <w:w w:val="100"/>
          <w:position w:val="0"/>
          <w:sz w:val="43"/>
          <w:szCs w:val="43"/>
          <w:highlight w:val="none"/>
          <w:lang w:eastAsia="zh-CN"/>
        </w:rPr>
      </w:pPr>
      <w:bookmarkStart w:id="0" w:name="_Toc1621"/>
      <w:bookmarkStart w:id="1" w:name="_Toc20727"/>
      <w:bookmarkStart w:id="2" w:name="_Toc22935"/>
      <w:bookmarkStart w:id="3" w:name="_Toc12988"/>
      <w:bookmarkStart w:id="4" w:name="_Toc19231"/>
      <w:r>
        <w:rPr>
          <w:rFonts w:ascii="宋体" w:hAnsi="宋体" w:eastAsia="宋体" w:cs="宋体"/>
          <w:b/>
          <w:bCs/>
          <w:color w:val="auto"/>
          <w:spacing w:val="0"/>
          <w:w w:val="100"/>
          <w:position w:val="0"/>
          <w:sz w:val="43"/>
          <w:szCs w:val="43"/>
          <w:highlight w:val="none"/>
          <w:lang w:eastAsia="zh-CN"/>
        </w:rPr>
        <w:br w:type="page"/>
      </w:r>
    </w:p>
    <w:p w14:paraId="2014412C">
      <w:pPr>
        <w:keepNext w:val="0"/>
        <w:keepLines w:val="0"/>
        <w:pageBreakBefore w:val="0"/>
        <w:kinsoku/>
        <w:bidi w:val="0"/>
        <w:spacing w:before="0" w:line="240" w:lineRule="auto"/>
        <w:ind w:left="0"/>
        <w:outlineLvl w:val="9"/>
        <w:rPr>
          <w:rFonts w:ascii="宋体" w:hAnsi="宋体" w:eastAsia="宋体" w:cs="宋体"/>
          <w:b/>
          <w:bCs/>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br w:type="page"/>
      </w:r>
    </w:p>
    <w:p w14:paraId="20DDC02C">
      <w:pPr>
        <w:pStyle w:val="2"/>
        <w:rPr>
          <w:lang w:eastAsia="zh-CN"/>
        </w:rPr>
        <w:sectPr>
          <w:footerReference r:id="rId3" w:type="default"/>
          <w:pgSz w:w="11905" w:h="16838"/>
          <w:pgMar w:top="1417" w:right="1417" w:bottom="1417" w:left="1417" w:header="850" w:footer="992" w:gutter="0"/>
          <w:pgNumType w:fmt="decimal" w:start="1"/>
          <w:cols w:space="0" w:num="1"/>
          <w:rtlGutter w:val="0"/>
          <w:docGrid w:linePitch="0" w:charSpace="0"/>
        </w:sectPr>
      </w:pPr>
    </w:p>
    <w:p w14:paraId="5FC54D1D">
      <w:pPr>
        <w:keepNext w:val="0"/>
        <w:keepLines w:val="0"/>
        <w:pageBreakBefore w:val="0"/>
        <w:kinsoku/>
        <w:bidi w:val="0"/>
        <w:spacing w:before="140" w:line="223" w:lineRule="auto"/>
        <w:ind w:left="3857"/>
        <w:outlineLvl w:val="0"/>
        <w:rPr>
          <w:rFonts w:ascii="宋体" w:hAnsi="宋体" w:eastAsia="宋体" w:cs="宋体"/>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t>第一卷</w:t>
      </w:r>
      <w:bookmarkEnd w:id="0"/>
      <w:bookmarkEnd w:id="1"/>
      <w:bookmarkEnd w:id="2"/>
      <w:bookmarkEnd w:id="3"/>
      <w:bookmarkEnd w:id="4"/>
    </w:p>
    <w:p w14:paraId="5B8BFE72">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before="0" w:beforeLines="50" w:after="0" w:afterLines="50"/>
        <w:jc w:val="center"/>
        <w:textAlignment w:val="baseline"/>
        <w:rPr>
          <w:rFonts w:hint="default" w:ascii="宋体" w:hAnsi="宋体" w:eastAsia="宋体" w:cs="宋体"/>
          <w:b/>
          <w:bCs w:val="0"/>
          <w:snapToGrid w:val="0"/>
          <w:color w:val="auto"/>
          <w:spacing w:val="0"/>
          <w:w w:val="100"/>
          <w:position w:val="0"/>
          <w:sz w:val="28"/>
          <w:szCs w:val="28"/>
          <w:highlight w:val="none"/>
          <w:lang w:val="en-US" w:eastAsia="zh-CN" w:bidi="ar-SA"/>
        </w:rPr>
      </w:pPr>
      <w:r>
        <w:rPr>
          <w:rFonts w:hint="eastAsia" w:ascii="宋体" w:hAnsi="宋体" w:eastAsia="宋体" w:cs="宋体"/>
          <w:b/>
          <w:bCs w:val="0"/>
          <w:snapToGrid w:val="0"/>
          <w:color w:val="auto"/>
          <w:spacing w:val="0"/>
          <w:w w:val="100"/>
          <w:position w:val="0"/>
          <w:sz w:val="28"/>
          <w:szCs w:val="28"/>
          <w:highlight w:val="none"/>
          <w:lang w:val="en-US" w:eastAsia="zh-CN" w:bidi="ar-SA"/>
        </w:rPr>
        <w:t>目录</w:t>
      </w:r>
    </w:p>
    <w:p w14:paraId="6A6A23FC">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 w:val="21"/>
          <w:szCs w:val="43"/>
          <w:highlight w:val="none"/>
          <w:lang w:val="en-US" w:eastAsia="zh-CN" w:bidi="ar-SA"/>
        </w:rPr>
        <w:fldChar w:fldCharType="begin"/>
      </w:r>
      <w:r>
        <w:rPr>
          <w:rFonts w:hint="eastAsia" w:ascii="宋体" w:hAnsi="宋体" w:eastAsia="宋体" w:cs="宋体"/>
          <w:bCs/>
          <w:snapToGrid w:val="0"/>
          <w:color w:val="auto"/>
          <w:spacing w:val="0"/>
          <w:w w:val="100"/>
          <w:position w:val="0"/>
          <w:sz w:val="21"/>
          <w:szCs w:val="43"/>
          <w:highlight w:val="none"/>
          <w:lang w:val="en-US" w:eastAsia="zh-CN" w:bidi="ar-SA"/>
        </w:rPr>
        <w:instrText xml:space="preserve">TOC \o "1-2" \h \u </w:instrText>
      </w:r>
      <w:r>
        <w:rPr>
          <w:rFonts w:hint="eastAsia" w:ascii="宋体" w:hAnsi="宋体" w:eastAsia="宋体" w:cs="宋体"/>
          <w:bCs/>
          <w:snapToGrid w:val="0"/>
          <w:color w:val="auto"/>
          <w:spacing w:val="0"/>
          <w:w w:val="100"/>
          <w:position w:val="0"/>
          <w:sz w:val="21"/>
          <w:szCs w:val="43"/>
          <w:highlight w:val="none"/>
          <w:lang w:val="en-US" w:eastAsia="zh-CN" w:bidi="ar-SA"/>
        </w:rPr>
        <w:fldChar w:fldCharType="separate"/>
      </w: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_Toc1621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第一卷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2401B3CF">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_Toc24874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第一章</w:t>
      </w:r>
      <w:r>
        <w:rPr>
          <w:rFonts w:hint="eastAsia" w:ascii="宋体" w:hAnsi="宋体" w:eastAsia="宋体" w:cs="宋体"/>
          <w:color w:val="auto"/>
          <w:spacing w:val="0"/>
          <w:w w:val="100"/>
          <w:position w:val="0"/>
          <w:szCs w:val="43"/>
          <w:highlight w:val="none"/>
          <w:lang w:eastAsia="zh-CN"/>
        </w:rPr>
        <w:t xml:space="preserve"> </w:t>
      </w:r>
      <w:r>
        <w:rPr>
          <w:rFonts w:hint="eastAsia" w:ascii="宋体" w:hAnsi="宋体" w:eastAsia="宋体" w:cs="宋体"/>
          <w:bCs/>
          <w:color w:val="auto"/>
          <w:spacing w:val="0"/>
          <w:w w:val="100"/>
          <w:position w:val="0"/>
          <w:szCs w:val="43"/>
          <w:highlight w:val="none"/>
          <w:lang w:eastAsia="zh-CN"/>
        </w:rPr>
        <w:t>招标公告</w:t>
      </w:r>
      <w:r>
        <w:rPr>
          <w:rFonts w:hint="eastAsia" w:ascii="宋体" w:hAnsi="宋体" w:eastAsia="宋体" w:cs="宋体"/>
          <w:color w:val="auto"/>
          <w:spacing w:val="0"/>
          <w:w w:val="100"/>
          <w:position w:val="0"/>
          <w:szCs w:val="43"/>
          <w:highlight w:val="none"/>
          <w:lang w:eastAsia="zh-CN"/>
        </w:rPr>
        <w:t xml:space="preserve"> </w:t>
      </w:r>
      <w:r>
        <w:rPr>
          <w:rFonts w:hint="eastAsia" w:ascii="宋体" w:hAnsi="宋体" w:eastAsia="宋体" w:cs="宋体"/>
          <w:bCs/>
          <w:color w:val="auto"/>
          <w:spacing w:val="0"/>
          <w:w w:val="100"/>
          <w:position w:val="0"/>
          <w:szCs w:val="43"/>
          <w:highlight w:val="none"/>
          <w:lang w:eastAsia="zh-CN"/>
        </w:rPr>
        <w:t>（另册）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6E423332">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_Toc673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274A09F5">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_Toc9290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65D4EC87">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_Toc6486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1. 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_Toc6486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A1A6D26">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_Toc10121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2. 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4DDE34DF">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_Toc665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3.</w:t>
      </w:r>
      <w:r>
        <w:rPr>
          <w:rFonts w:hint="eastAsia" w:ascii="宋体" w:hAnsi="宋体" w:eastAsia="宋体" w:cs="宋体"/>
          <w:color w:val="auto"/>
          <w:spacing w:val="0"/>
          <w:w w:val="100"/>
          <w:position w:val="0"/>
          <w:szCs w:val="28"/>
          <w:highlight w:val="none"/>
          <w:lang w:eastAsia="zh-CN"/>
        </w:rPr>
        <w:t xml:space="preserve"> </w:t>
      </w:r>
      <w:r>
        <w:rPr>
          <w:rFonts w:hint="eastAsia" w:ascii="宋体" w:hAnsi="宋体" w:eastAsia="宋体" w:cs="宋体"/>
          <w:bCs/>
          <w:color w:val="auto"/>
          <w:spacing w:val="0"/>
          <w:w w:val="100"/>
          <w:position w:val="0"/>
          <w:szCs w:val="28"/>
          <w:highlight w:val="none"/>
          <w:lang w:eastAsia="zh-CN"/>
        </w:rPr>
        <w:t>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4A77C75B">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_Toc14174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4. 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050373C">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_Toc608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5.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5309070D">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_Toc29656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6.评标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0F69E8F4">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_Toc15528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7. 合同授予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EBC098E">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_Toc3202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8. 纪律和监督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3F0EF94C">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_Toc22601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9. 需要补充的其他内容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F1FFD57">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_Toc21603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10.电子招标投标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39088996">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_Toc19830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第三章 评标办法（评定分离法）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_Toc19830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5790F567">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_Toc14087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1. 评标方法和定标办法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E4DA53A">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_Toc25899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2. 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DDD9810">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_Toc22805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3. 评标和定标程序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958F889">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_Toc7435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28"/>
          <w:highlight w:val="none"/>
          <w:lang w:eastAsia="zh-CN"/>
        </w:rPr>
        <w:t>4. 评标表格和定标表格</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0029FD1F">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_Toc16314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附表1：评标阶段资格审查表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B691836">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_Toc29542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附表2：评标阶段设计方案投标文件有效性审查表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30EB3019">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_Toc3822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附表3：评标阶段工程总承包实施方案投标文件有效性审查表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1133D5AC">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_Toc15265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附表4：评标阶段经济标投标文件有效性审查表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5DCC35FD">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_Toc3796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附表5：评标阶段设计方案投标文件详细审查评分表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37A0F1B4">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_Toc17350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附表6：评标阶段经济标详细审查评分标准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66295BCF">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_Toc10747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附表7：评标阶段工程总承包实施方案详细审查评分表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4224CB7B">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_Toc30252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附表8：定标阶段答辩因素详细审查评分表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6DA76E46">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_Toc11098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附表9：定标阶段方案因素详细审查评分表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_Toc11098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2619D602">
      <w:pPr>
        <w:pStyle w:val="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_Toc15358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30"/>
          <w:highlight w:val="none"/>
          <w:lang w:eastAsia="zh-CN"/>
        </w:rPr>
        <w:t>附表10：定标阶段价格因素详细审查评分表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5B6C70CE">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_Toc16695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第四章 合同条款及格式（另册）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2FB77221">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_Toc29964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第二卷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2DC5FE4E">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_Toc5183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第五章 发包人要求 （另册）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54</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6DB3BF37">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_Toc14083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第六章 发包人提供的资料 （另册）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55</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6F489E68">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_Toc31827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第三卷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9B8A310">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_Toc22397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4550AAE1">
      <w:pPr>
        <w:pStyle w:val="12"/>
        <w:keepNext w:val="0"/>
        <w:keepLines w:val="0"/>
        <w:pageBreakBefore w:val="0"/>
        <w:widowControl/>
        <w:tabs>
          <w:tab w:val="right" w:leader="dot" w:pos="9071"/>
        </w:tabs>
        <w:kinsoku/>
        <w:wordWrap/>
        <w:overflowPunct/>
        <w:topLinePunct w:val="0"/>
        <w:autoSpaceDE w:val="0"/>
        <w:autoSpaceDN w:val="0"/>
        <w:bidi w:val="0"/>
        <w:adjustRightInd w:val="0"/>
        <w:snapToGrid w:val="0"/>
        <w:spacing w:line="300" w:lineRule="auto"/>
        <w:textAlignment w:val="baseline"/>
        <w:rPr>
          <w:rFonts w:hint="eastAsia" w:ascii="宋体" w:hAnsi="宋体" w:eastAsia="宋体" w:cs="宋体"/>
          <w:color w:val="auto"/>
          <w:highlight w:val="none"/>
        </w:rPr>
      </w:pPr>
      <w:r>
        <w:rPr>
          <w:rFonts w:hint="eastAsia" w:ascii="宋体" w:hAnsi="宋体" w:eastAsia="宋体" w:cs="宋体"/>
          <w:bCs/>
          <w:snapToGrid w:val="0"/>
          <w:color w:val="auto"/>
          <w:spacing w:val="0"/>
          <w:w w:val="100"/>
          <w:position w:val="0"/>
          <w:szCs w:val="43"/>
          <w:highlight w:val="none"/>
          <w:lang w:val="en-US" w:eastAsia="zh-CN" w:bidi="ar-SA"/>
        </w:rPr>
        <w:fldChar w:fldCharType="begin"/>
      </w:r>
      <w:r>
        <w:rPr>
          <w:rFonts w:hint="eastAsia" w:ascii="宋体" w:hAnsi="宋体" w:eastAsia="宋体" w:cs="宋体"/>
          <w:bCs/>
          <w:snapToGrid w:val="0"/>
          <w:color w:val="auto"/>
          <w:spacing w:val="0"/>
          <w:w w:val="100"/>
          <w:position w:val="0"/>
          <w:szCs w:val="43"/>
          <w:highlight w:val="none"/>
          <w:lang w:val="en-US" w:eastAsia="zh-CN" w:bidi="ar-SA"/>
        </w:rPr>
        <w:instrText xml:space="preserve"> HYPERLINK \l _Toc26846 </w:instrText>
      </w:r>
      <w:r>
        <w:rPr>
          <w:rFonts w:hint="eastAsia" w:ascii="宋体" w:hAnsi="宋体" w:eastAsia="宋体" w:cs="宋体"/>
          <w:bCs/>
          <w:snapToGrid w:val="0"/>
          <w:color w:val="auto"/>
          <w:spacing w:val="0"/>
          <w:w w:val="100"/>
          <w:position w:val="0"/>
          <w:szCs w:val="43"/>
          <w:highlight w:val="none"/>
          <w:lang w:val="en-US" w:eastAsia="zh-CN" w:bidi="ar-SA"/>
        </w:rPr>
        <w:fldChar w:fldCharType="separate"/>
      </w:r>
      <w:r>
        <w:rPr>
          <w:rFonts w:hint="eastAsia" w:ascii="宋体" w:hAnsi="宋体" w:eastAsia="宋体" w:cs="宋体"/>
          <w:bCs/>
          <w:color w:val="auto"/>
          <w:spacing w:val="0"/>
          <w:w w:val="100"/>
          <w:position w:val="0"/>
          <w:szCs w:val="43"/>
          <w:highlight w:val="none"/>
          <w:lang w:eastAsia="zh-CN"/>
        </w:rPr>
        <w:t>第八章 其他资料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0"/>
          <w:w w:val="100"/>
          <w:position w:val="0"/>
          <w:szCs w:val="43"/>
          <w:highlight w:val="none"/>
          <w:lang w:val="en-US" w:eastAsia="zh-CN" w:bidi="ar-SA"/>
        </w:rPr>
        <w:fldChar w:fldCharType="end"/>
      </w:r>
    </w:p>
    <w:p w14:paraId="7A8ED8E6">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sectPr>
          <w:footerReference r:id="rId4" w:type="default"/>
          <w:pgSz w:w="11905" w:h="16838"/>
          <w:pgMar w:top="1417" w:right="1417" w:bottom="1417" w:left="1417" w:header="850" w:footer="992" w:gutter="0"/>
          <w:pgNumType w:fmt="decimal" w:start="1"/>
          <w:cols w:space="0" w:num="1"/>
          <w:rtlGutter w:val="0"/>
          <w:docGrid w:linePitch="0" w:charSpace="0"/>
        </w:sectPr>
      </w:pPr>
      <w:r>
        <w:rPr>
          <w:rFonts w:hint="eastAsia" w:ascii="宋体" w:hAnsi="宋体" w:eastAsia="宋体" w:cs="宋体"/>
          <w:bCs/>
          <w:snapToGrid w:val="0"/>
          <w:color w:val="auto"/>
          <w:spacing w:val="0"/>
          <w:w w:val="100"/>
          <w:position w:val="0"/>
          <w:szCs w:val="43"/>
          <w:highlight w:val="none"/>
          <w:lang w:val="en-US" w:eastAsia="zh-CN" w:bidi="ar-SA"/>
        </w:rPr>
        <w:fldChar w:fldCharType="end"/>
      </w:r>
      <w:bookmarkStart w:id="5" w:name="_Toc24874"/>
      <w:bookmarkStart w:id="6" w:name="_Toc4374"/>
      <w:bookmarkStart w:id="7" w:name="_Toc18465"/>
      <w:bookmarkStart w:id="8" w:name="_Toc3946"/>
      <w:bookmarkStart w:id="9" w:name="_Toc23121"/>
    </w:p>
    <w:p w14:paraId="27ABFD84">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t>第一章</w:t>
      </w:r>
      <w:r>
        <w:rPr>
          <w:rFonts w:ascii="宋体" w:hAnsi="宋体" w:eastAsia="宋体" w:cs="宋体"/>
          <w:color w:val="auto"/>
          <w:spacing w:val="0"/>
          <w:w w:val="100"/>
          <w:position w:val="0"/>
          <w:sz w:val="43"/>
          <w:szCs w:val="43"/>
          <w:highlight w:val="none"/>
          <w:lang w:eastAsia="zh-CN"/>
        </w:rPr>
        <w:t xml:space="preserve"> </w:t>
      </w:r>
      <w:r>
        <w:rPr>
          <w:rFonts w:ascii="宋体" w:hAnsi="宋体" w:eastAsia="宋体" w:cs="宋体"/>
          <w:b/>
          <w:bCs/>
          <w:color w:val="auto"/>
          <w:spacing w:val="0"/>
          <w:w w:val="100"/>
          <w:position w:val="0"/>
          <w:sz w:val="43"/>
          <w:szCs w:val="43"/>
          <w:highlight w:val="none"/>
          <w:lang w:eastAsia="zh-CN"/>
        </w:rPr>
        <w:t>招标公告</w:t>
      </w:r>
      <w:r>
        <w:rPr>
          <w:rFonts w:ascii="宋体" w:hAnsi="宋体" w:eastAsia="宋体" w:cs="宋体"/>
          <w:color w:val="auto"/>
          <w:spacing w:val="0"/>
          <w:w w:val="100"/>
          <w:position w:val="0"/>
          <w:sz w:val="43"/>
          <w:szCs w:val="43"/>
          <w:highlight w:val="none"/>
          <w:lang w:eastAsia="zh-CN"/>
        </w:rPr>
        <w:t xml:space="preserve"> </w:t>
      </w:r>
      <w:r>
        <w:rPr>
          <w:rFonts w:ascii="宋体" w:hAnsi="宋体" w:eastAsia="宋体" w:cs="宋体"/>
          <w:b/>
          <w:bCs/>
          <w:color w:val="auto"/>
          <w:spacing w:val="0"/>
          <w:w w:val="100"/>
          <w:position w:val="0"/>
          <w:sz w:val="43"/>
          <w:szCs w:val="43"/>
          <w:highlight w:val="none"/>
          <w:lang w:eastAsia="zh-CN"/>
        </w:rPr>
        <w:t>（另册）</w:t>
      </w:r>
      <w:bookmarkEnd w:id="5"/>
      <w:bookmarkEnd w:id="6"/>
      <w:bookmarkEnd w:id="7"/>
      <w:bookmarkEnd w:id="8"/>
      <w:bookmarkEnd w:id="9"/>
    </w:p>
    <w:p w14:paraId="1F8BB04A">
      <w:pPr>
        <w:keepNext w:val="0"/>
        <w:keepLines w:val="0"/>
        <w:pageBreakBefore w:val="0"/>
        <w:widowControl/>
        <w:kinsoku/>
        <w:wordWrap/>
        <w:overflowPunct/>
        <w:topLinePunct w:val="0"/>
        <w:autoSpaceDE w:val="0"/>
        <w:autoSpaceDN w:val="0"/>
        <w:bidi w:val="0"/>
        <w:adjustRightInd w:val="0"/>
        <w:snapToGrid w:val="0"/>
        <w:spacing w:before="140" w:line="346" w:lineRule="auto"/>
        <w:ind w:right="31" w:rightChars="0"/>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5AED6051">
      <w:pPr>
        <w:keepNext w:val="0"/>
        <w:keepLines w:val="0"/>
        <w:pageBreakBefore w:val="0"/>
        <w:kinsoku/>
        <w:bidi w:val="0"/>
        <w:rPr>
          <w:rFonts w:ascii="宋体" w:hAnsi="宋体" w:eastAsia="宋体" w:cs="宋体"/>
          <w:b/>
          <w:bCs/>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br w:type="page"/>
      </w:r>
    </w:p>
    <w:p w14:paraId="261EFC8B">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10" w:name="_Toc673"/>
      <w:bookmarkStart w:id="11" w:name="_Toc1794"/>
      <w:bookmarkStart w:id="12" w:name="_Toc26000"/>
      <w:bookmarkStart w:id="13" w:name="_Toc7932"/>
      <w:bookmarkStart w:id="14" w:name="_Toc29182"/>
      <w:r>
        <w:rPr>
          <w:rFonts w:ascii="宋体" w:hAnsi="宋体" w:eastAsia="宋体" w:cs="宋体"/>
          <w:b/>
          <w:bCs/>
          <w:color w:val="auto"/>
          <w:spacing w:val="0"/>
          <w:w w:val="100"/>
          <w:position w:val="0"/>
          <w:sz w:val="43"/>
          <w:szCs w:val="43"/>
          <w:highlight w:val="none"/>
          <w:lang w:eastAsia="zh-CN"/>
        </w:rPr>
        <w:t>第二章 投标人须知</w:t>
      </w:r>
      <w:bookmarkEnd w:id="10"/>
      <w:bookmarkEnd w:id="11"/>
      <w:bookmarkEnd w:id="12"/>
      <w:bookmarkEnd w:id="13"/>
      <w:bookmarkEnd w:id="14"/>
    </w:p>
    <w:p w14:paraId="06BCAFC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ascii="宋体" w:hAnsi="宋体" w:eastAsia="宋体" w:cs="宋体"/>
          <w:color w:val="auto"/>
          <w:spacing w:val="0"/>
          <w:w w:val="100"/>
          <w:position w:val="0"/>
          <w:sz w:val="28"/>
          <w:szCs w:val="28"/>
          <w:highlight w:val="none"/>
          <w:lang w:eastAsia="zh-CN"/>
        </w:rPr>
      </w:pPr>
      <w:bookmarkStart w:id="15" w:name="_Toc9528"/>
      <w:bookmarkStart w:id="16" w:name="_Toc4286"/>
      <w:bookmarkStart w:id="17" w:name="_Toc9290"/>
      <w:bookmarkStart w:id="18" w:name="_Toc18133"/>
      <w:bookmarkStart w:id="19" w:name="_Toc19503"/>
      <w:r>
        <w:rPr>
          <w:rFonts w:ascii="宋体" w:hAnsi="宋体" w:eastAsia="宋体" w:cs="宋体"/>
          <w:b/>
          <w:bCs/>
          <w:color w:val="auto"/>
          <w:spacing w:val="0"/>
          <w:w w:val="100"/>
          <w:position w:val="0"/>
          <w:sz w:val="28"/>
          <w:szCs w:val="28"/>
          <w:highlight w:val="none"/>
          <w:lang w:eastAsia="zh-CN"/>
        </w:rPr>
        <w:t>投标人须知前附表</w:t>
      </w:r>
      <w:bookmarkEnd w:id="15"/>
      <w:bookmarkEnd w:id="16"/>
      <w:bookmarkEnd w:id="17"/>
      <w:bookmarkEnd w:id="18"/>
      <w:bookmarkEnd w:id="19"/>
    </w:p>
    <w:tbl>
      <w:tblPr>
        <w:tblStyle w:val="19"/>
        <w:tblW w:w="9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1712"/>
        <w:gridCol w:w="7205"/>
      </w:tblGrid>
      <w:tr w14:paraId="35EF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blHeader/>
          <w:jc w:val="center"/>
        </w:trPr>
        <w:tc>
          <w:tcPr>
            <w:tcW w:w="942" w:type="dxa"/>
            <w:tcBorders>
              <w:top w:val="single" w:color="000000" w:sz="2" w:space="0"/>
              <w:left w:val="single" w:color="000000" w:sz="2" w:space="0"/>
            </w:tcBorders>
          </w:tcPr>
          <w:p w14:paraId="47D6F15D">
            <w:pPr>
              <w:pStyle w:val="20"/>
              <w:keepNext w:val="0"/>
              <w:keepLines w:val="0"/>
              <w:pageBreakBefore w:val="0"/>
              <w:widowControl/>
              <w:kinsoku/>
              <w:wordWrap/>
              <w:overflowPunct w:val="0"/>
              <w:topLinePunct/>
              <w:autoSpaceDE/>
              <w:autoSpaceDN/>
              <w:bidi w:val="0"/>
              <w:adjustRightInd w:val="0"/>
              <w:snapToGrid w:val="0"/>
              <w:spacing w:before="182" w:line="228" w:lineRule="auto"/>
              <w:ind w:left="196"/>
              <w:textAlignment w:val="baseline"/>
              <w:rPr>
                <w:rFonts w:hint="eastAsia"/>
                <w:color w:val="auto"/>
                <w:spacing w:val="0"/>
                <w:w w:val="100"/>
                <w:position w:val="0"/>
                <w:highlight w:val="none"/>
              </w:rPr>
            </w:pPr>
            <w:r>
              <w:rPr>
                <w:rFonts w:hint="eastAsia"/>
                <w:b/>
                <w:bCs/>
                <w:color w:val="auto"/>
                <w:spacing w:val="0"/>
                <w:w w:val="100"/>
                <w:position w:val="0"/>
                <w:highlight w:val="none"/>
              </w:rPr>
              <w:t>条款号</w:t>
            </w:r>
          </w:p>
        </w:tc>
        <w:tc>
          <w:tcPr>
            <w:tcW w:w="1712" w:type="dxa"/>
            <w:tcBorders>
              <w:top w:val="single" w:color="000000" w:sz="2" w:space="0"/>
            </w:tcBorders>
          </w:tcPr>
          <w:p w14:paraId="1BF66829">
            <w:pPr>
              <w:pStyle w:val="20"/>
              <w:keepNext w:val="0"/>
              <w:keepLines w:val="0"/>
              <w:pageBreakBefore w:val="0"/>
              <w:widowControl/>
              <w:kinsoku/>
              <w:wordWrap/>
              <w:overflowPunct w:val="0"/>
              <w:topLinePunct/>
              <w:autoSpaceDE/>
              <w:autoSpaceDN/>
              <w:bidi w:val="0"/>
              <w:adjustRightInd w:val="0"/>
              <w:snapToGrid w:val="0"/>
              <w:spacing w:before="182" w:line="228" w:lineRule="auto"/>
              <w:ind w:left="0"/>
              <w:jc w:val="center"/>
              <w:textAlignment w:val="baseline"/>
              <w:rPr>
                <w:rFonts w:hint="eastAsia"/>
                <w:color w:val="auto"/>
                <w:spacing w:val="0"/>
                <w:w w:val="100"/>
                <w:position w:val="0"/>
                <w:highlight w:val="none"/>
              </w:rPr>
            </w:pPr>
            <w:r>
              <w:rPr>
                <w:rFonts w:hint="eastAsia"/>
                <w:b/>
                <w:bCs/>
                <w:color w:val="auto"/>
                <w:spacing w:val="0"/>
                <w:w w:val="100"/>
                <w:position w:val="0"/>
                <w:highlight w:val="none"/>
              </w:rPr>
              <w:t>条</w:t>
            </w:r>
            <w:r>
              <w:rPr>
                <w:rFonts w:hint="eastAsia"/>
                <w:color w:val="auto"/>
                <w:spacing w:val="0"/>
                <w:w w:val="100"/>
                <w:position w:val="0"/>
                <w:highlight w:val="none"/>
              </w:rPr>
              <w:t xml:space="preserve"> </w:t>
            </w:r>
            <w:r>
              <w:rPr>
                <w:rFonts w:hint="eastAsia"/>
                <w:b/>
                <w:bCs/>
                <w:color w:val="auto"/>
                <w:spacing w:val="0"/>
                <w:w w:val="100"/>
                <w:position w:val="0"/>
                <w:highlight w:val="none"/>
              </w:rPr>
              <w:t>款</w:t>
            </w:r>
            <w:r>
              <w:rPr>
                <w:rFonts w:hint="eastAsia"/>
                <w:color w:val="auto"/>
                <w:spacing w:val="0"/>
                <w:w w:val="100"/>
                <w:position w:val="0"/>
                <w:highlight w:val="none"/>
              </w:rPr>
              <w:t xml:space="preserve"> </w:t>
            </w:r>
            <w:r>
              <w:rPr>
                <w:rFonts w:hint="eastAsia"/>
                <w:b/>
                <w:bCs/>
                <w:color w:val="auto"/>
                <w:spacing w:val="0"/>
                <w:w w:val="100"/>
                <w:position w:val="0"/>
                <w:highlight w:val="none"/>
              </w:rPr>
              <w:t>名</w:t>
            </w:r>
            <w:r>
              <w:rPr>
                <w:rFonts w:hint="eastAsia"/>
                <w:color w:val="auto"/>
                <w:spacing w:val="0"/>
                <w:w w:val="100"/>
                <w:position w:val="0"/>
                <w:highlight w:val="none"/>
              </w:rPr>
              <w:t xml:space="preserve"> </w:t>
            </w:r>
            <w:r>
              <w:rPr>
                <w:rFonts w:hint="eastAsia"/>
                <w:b/>
                <w:bCs/>
                <w:color w:val="auto"/>
                <w:spacing w:val="0"/>
                <w:w w:val="100"/>
                <w:position w:val="0"/>
                <w:highlight w:val="none"/>
              </w:rPr>
              <w:t>称</w:t>
            </w:r>
          </w:p>
        </w:tc>
        <w:tc>
          <w:tcPr>
            <w:tcW w:w="7205" w:type="dxa"/>
            <w:tcBorders>
              <w:top w:val="single" w:color="000000" w:sz="2" w:space="0"/>
              <w:right w:val="single" w:color="000000" w:sz="2" w:space="0"/>
            </w:tcBorders>
          </w:tcPr>
          <w:p w14:paraId="5706AB89">
            <w:pPr>
              <w:pStyle w:val="20"/>
              <w:keepNext w:val="0"/>
              <w:keepLines w:val="0"/>
              <w:pageBreakBefore w:val="0"/>
              <w:widowControl/>
              <w:kinsoku/>
              <w:wordWrap/>
              <w:overflowPunct w:val="0"/>
              <w:topLinePunct/>
              <w:autoSpaceDE/>
              <w:autoSpaceDN/>
              <w:bidi w:val="0"/>
              <w:adjustRightInd w:val="0"/>
              <w:snapToGrid w:val="0"/>
              <w:spacing w:before="182" w:line="228" w:lineRule="auto"/>
              <w:ind w:left="2798"/>
              <w:textAlignment w:val="baseline"/>
              <w:rPr>
                <w:rFonts w:hint="eastAsia"/>
                <w:color w:val="auto"/>
                <w:spacing w:val="0"/>
                <w:w w:val="100"/>
                <w:position w:val="0"/>
                <w:highlight w:val="none"/>
              </w:rPr>
            </w:pPr>
            <w:r>
              <w:rPr>
                <w:rFonts w:hint="eastAsia"/>
                <w:b/>
                <w:bCs/>
                <w:color w:val="auto"/>
                <w:spacing w:val="0"/>
                <w:w w:val="100"/>
                <w:position w:val="0"/>
                <w:highlight w:val="none"/>
              </w:rPr>
              <w:t>编</w:t>
            </w:r>
            <w:r>
              <w:rPr>
                <w:rFonts w:hint="eastAsia"/>
                <w:color w:val="auto"/>
                <w:spacing w:val="0"/>
                <w:w w:val="100"/>
                <w:position w:val="0"/>
                <w:highlight w:val="none"/>
              </w:rPr>
              <w:t xml:space="preserve">  </w:t>
            </w:r>
            <w:r>
              <w:rPr>
                <w:rFonts w:hint="eastAsia"/>
                <w:b/>
                <w:bCs/>
                <w:color w:val="auto"/>
                <w:spacing w:val="0"/>
                <w:w w:val="100"/>
                <w:position w:val="0"/>
                <w:highlight w:val="none"/>
              </w:rPr>
              <w:t>列</w:t>
            </w:r>
            <w:r>
              <w:rPr>
                <w:rFonts w:hint="eastAsia"/>
                <w:color w:val="auto"/>
                <w:spacing w:val="0"/>
                <w:w w:val="100"/>
                <w:position w:val="0"/>
                <w:highlight w:val="none"/>
              </w:rPr>
              <w:t xml:space="preserve">  </w:t>
            </w:r>
            <w:r>
              <w:rPr>
                <w:rFonts w:hint="eastAsia"/>
                <w:b/>
                <w:bCs/>
                <w:color w:val="auto"/>
                <w:spacing w:val="0"/>
                <w:w w:val="100"/>
                <w:position w:val="0"/>
                <w:highlight w:val="none"/>
              </w:rPr>
              <w:t>内</w:t>
            </w:r>
            <w:r>
              <w:rPr>
                <w:rFonts w:hint="eastAsia"/>
                <w:color w:val="auto"/>
                <w:spacing w:val="0"/>
                <w:w w:val="100"/>
                <w:position w:val="0"/>
                <w:highlight w:val="none"/>
              </w:rPr>
              <w:t xml:space="preserve">  </w:t>
            </w:r>
            <w:r>
              <w:rPr>
                <w:rFonts w:hint="eastAsia"/>
                <w:b/>
                <w:bCs/>
                <w:color w:val="auto"/>
                <w:spacing w:val="0"/>
                <w:w w:val="100"/>
                <w:position w:val="0"/>
                <w:highlight w:val="none"/>
              </w:rPr>
              <w:t>容</w:t>
            </w:r>
          </w:p>
        </w:tc>
      </w:tr>
      <w:tr w14:paraId="4AE0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942" w:type="dxa"/>
            <w:tcBorders>
              <w:left w:val="single" w:color="000000" w:sz="2" w:space="0"/>
            </w:tcBorders>
            <w:vAlign w:val="center"/>
          </w:tcPr>
          <w:p w14:paraId="445043AB">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1.1.2</w:t>
            </w:r>
          </w:p>
        </w:tc>
        <w:tc>
          <w:tcPr>
            <w:tcW w:w="1712" w:type="dxa"/>
            <w:vAlign w:val="center"/>
          </w:tcPr>
          <w:p w14:paraId="0F5B2204">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招标人</w:t>
            </w:r>
          </w:p>
        </w:tc>
        <w:tc>
          <w:tcPr>
            <w:tcW w:w="7205" w:type="dxa"/>
            <w:tcBorders>
              <w:right w:val="single" w:color="000000" w:sz="2" w:space="0"/>
            </w:tcBorders>
            <w:vAlign w:val="center"/>
          </w:tcPr>
          <w:p w14:paraId="309E880C">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招标人名称：</w:t>
            </w:r>
            <w:r>
              <w:rPr>
                <w:rFonts w:hint="eastAsia"/>
                <w:color w:val="auto"/>
                <w:spacing w:val="0"/>
                <w:w w:val="100"/>
                <w:position w:val="0"/>
                <w:highlight w:val="none"/>
                <w:u w:val="single"/>
                <w:lang w:eastAsia="zh-CN"/>
              </w:rPr>
              <w:t>汉成（广州）电子有限公司</w:t>
            </w:r>
          </w:p>
          <w:p w14:paraId="05FCE34A">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地址：</w:t>
            </w:r>
            <w:r>
              <w:rPr>
                <w:rFonts w:hint="eastAsia"/>
                <w:color w:val="auto"/>
                <w:spacing w:val="0"/>
                <w:w w:val="100"/>
                <w:position w:val="0"/>
                <w:highlight w:val="none"/>
                <w:u w:val="single"/>
                <w:lang w:val="en-US" w:eastAsia="zh-CN"/>
              </w:rPr>
              <w:t>广州高新技术产业开发区科学城新瑞路9号</w:t>
            </w:r>
          </w:p>
          <w:p w14:paraId="4A43D992">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default" w:ascii="宋体" w:hAnsi="宋体" w:eastAsia="宋体" w:cs="宋体"/>
                <w:color w:val="auto"/>
                <w:spacing w:val="0"/>
                <w:w w:val="100"/>
                <w:position w:val="0"/>
                <w:sz w:val="20"/>
                <w:szCs w:val="20"/>
                <w:highlight w:val="none"/>
                <w:lang w:val="en-US"/>
              </w:rPr>
            </w:pPr>
            <w:r>
              <w:rPr>
                <w:rFonts w:hint="eastAsia"/>
                <w:color w:val="auto"/>
                <w:spacing w:val="0"/>
                <w:w w:val="100"/>
                <w:position w:val="0"/>
                <w:highlight w:val="none"/>
              </w:rPr>
              <w:t>联系人：</w:t>
            </w:r>
            <w:r>
              <w:rPr>
                <w:rFonts w:hint="eastAsia"/>
                <w:color w:val="auto"/>
                <w:spacing w:val="0"/>
                <w:w w:val="100"/>
                <w:position w:val="0"/>
                <w:highlight w:val="none"/>
                <w:u w:val="single"/>
                <w:lang w:val="en-US" w:eastAsia="zh-CN"/>
              </w:rPr>
              <w:t>谢工</w:t>
            </w:r>
          </w:p>
          <w:p w14:paraId="7B9812E7">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u w:val="single"/>
                <w:lang w:eastAsia="zh-CN"/>
              </w:rPr>
            </w:pPr>
            <w:r>
              <w:rPr>
                <w:rFonts w:hint="eastAsia"/>
                <w:color w:val="auto"/>
                <w:spacing w:val="0"/>
                <w:w w:val="100"/>
                <w:position w:val="0"/>
                <w:highlight w:val="none"/>
              </w:rPr>
              <w:t>电话：</w:t>
            </w:r>
            <w:r>
              <w:rPr>
                <w:rFonts w:hint="eastAsia"/>
                <w:color w:val="auto"/>
                <w:spacing w:val="0"/>
                <w:w w:val="100"/>
                <w:position w:val="0"/>
                <w:highlight w:val="none"/>
                <w:u w:val="single"/>
                <w:lang w:eastAsia="zh-CN"/>
              </w:rPr>
              <w:t>020-31700613</w:t>
            </w:r>
          </w:p>
          <w:p w14:paraId="10D80D74">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default"/>
                <w:color w:val="auto"/>
                <w:spacing w:val="0"/>
                <w:w w:val="100"/>
                <w:position w:val="0"/>
                <w:highlight w:val="none"/>
                <w:u w:val="single"/>
                <w:lang w:val="en-US" w:eastAsia="zh-CN"/>
              </w:rPr>
            </w:pPr>
            <w:r>
              <w:rPr>
                <w:rFonts w:hint="default"/>
                <w:color w:val="auto"/>
                <w:spacing w:val="0"/>
                <w:w w:val="100"/>
                <w:position w:val="0"/>
                <w:highlight w:val="none"/>
                <w:u w:val="none"/>
                <w:lang w:val="en-US" w:eastAsia="zh-CN"/>
              </w:rPr>
              <w:t>代建管理单位：</w:t>
            </w:r>
            <w:r>
              <w:rPr>
                <w:rFonts w:hint="eastAsia"/>
                <w:color w:val="auto"/>
                <w:spacing w:val="0"/>
                <w:w w:val="100"/>
                <w:position w:val="0"/>
                <w:highlight w:val="none"/>
                <w:u w:val="single"/>
                <w:lang w:val="en-US" w:eastAsia="zh-CN"/>
              </w:rPr>
              <w:t>广州开发区建设投资有限公司</w:t>
            </w:r>
          </w:p>
          <w:p w14:paraId="4924A0DE">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default"/>
                <w:color w:val="auto"/>
                <w:spacing w:val="0"/>
                <w:w w:val="100"/>
                <w:position w:val="0"/>
                <w:highlight w:val="none"/>
                <w:u w:val="single"/>
                <w:lang w:val="en-US" w:eastAsia="zh-CN"/>
              </w:rPr>
            </w:pPr>
            <w:r>
              <w:rPr>
                <w:rFonts w:hint="default"/>
                <w:color w:val="auto"/>
                <w:spacing w:val="0"/>
                <w:w w:val="100"/>
                <w:position w:val="0"/>
                <w:highlight w:val="none"/>
                <w:u w:val="none"/>
                <w:lang w:val="en-US" w:eastAsia="zh-CN"/>
              </w:rPr>
              <w:t>地址：</w:t>
            </w:r>
            <w:r>
              <w:rPr>
                <w:rFonts w:hint="eastAsia"/>
                <w:color w:val="auto"/>
                <w:spacing w:val="0"/>
                <w:w w:val="100"/>
                <w:position w:val="0"/>
                <w:highlight w:val="none"/>
                <w:u w:val="single"/>
                <w:lang w:val="en-US" w:eastAsia="zh-CN"/>
              </w:rPr>
              <w:t>广州市黄埔区科学大道50号609房</w:t>
            </w:r>
          </w:p>
          <w:p w14:paraId="75C47D80">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default"/>
                <w:color w:val="auto"/>
                <w:spacing w:val="0"/>
                <w:w w:val="100"/>
                <w:position w:val="0"/>
                <w:highlight w:val="none"/>
                <w:u w:val="single"/>
                <w:lang w:val="en-US" w:eastAsia="zh-CN"/>
              </w:rPr>
            </w:pPr>
            <w:r>
              <w:rPr>
                <w:rFonts w:hint="default"/>
                <w:color w:val="auto"/>
                <w:spacing w:val="0"/>
                <w:w w:val="100"/>
                <w:position w:val="0"/>
                <w:highlight w:val="none"/>
                <w:u w:val="none"/>
                <w:lang w:val="en-US" w:eastAsia="zh-CN"/>
              </w:rPr>
              <w:t>联系人：</w:t>
            </w:r>
            <w:r>
              <w:rPr>
                <w:rFonts w:hint="default"/>
                <w:color w:val="auto"/>
                <w:spacing w:val="0"/>
                <w:w w:val="100"/>
                <w:position w:val="0"/>
                <w:highlight w:val="none"/>
                <w:u w:val="single"/>
                <w:lang w:val="en-US" w:eastAsia="zh-CN"/>
              </w:rPr>
              <w:t>张工</w:t>
            </w:r>
          </w:p>
          <w:p w14:paraId="161C5433">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default"/>
                <w:color w:val="auto"/>
                <w:spacing w:val="0"/>
                <w:w w:val="100"/>
                <w:position w:val="0"/>
                <w:highlight w:val="none"/>
                <w:u w:val="single"/>
                <w:lang w:val="en-US" w:eastAsia="zh-CN"/>
              </w:rPr>
            </w:pPr>
            <w:r>
              <w:rPr>
                <w:rFonts w:hint="default"/>
                <w:color w:val="auto"/>
                <w:spacing w:val="0"/>
                <w:w w:val="100"/>
                <w:position w:val="0"/>
                <w:highlight w:val="none"/>
                <w:u w:val="single"/>
                <w:lang w:val="en-US" w:eastAsia="zh-CN"/>
              </w:rPr>
              <w:t>电话：020-31604251</w:t>
            </w:r>
          </w:p>
        </w:tc>
      </w:tr>
      <w:tr w14:paraId="5664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942" w:type="dxa"/>
            <w:tcBorders>
              <w:left w:val="single" w:color="000000" w:sz="2" w:space="0"/>
            </w:tcBorders>
            <w:vAlign w:val="center"/>
          </w:tcPr>
          <w:p w14:paraId="1C4B19CA">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1.1.3</w:t>
            </w:r>
          </w:p>
        </w:tc>
        <w:tc>
          <w:tcPr>
            <w:tcW w:w="1712" w:type="dxa"/>
            <w:vAlign w:val="center"/>
          </w:tcPr>
          <w:p w14:paraId="2A058298">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招标代理机构</w:t>
            </w:r>
          </w:p>
        </w:tc>
        <w:tc>
          <w:tcPr>
            <w:tcW w:w="7205" w:type="dxa"/>
            <w:tcBorders>
              <w:right w:val="single" w:color="000000" w:sz="2" w:space="0"/>
            </w:tcBorders>
            <w:vAlign w:val="center"/>
          </w:tcPr>
          <w:p w14:paraId="306FDA9C">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招标代理机构：</w:t>
            </w:r>
            <w:r>
              <w:rPr>
                <w:rFonts w:hint="eastAsia"/>
                <w:color w:val="auto"/>
                <w:spacing w:val="0"/>
                <w:w w:val="100"/>
                <w:position w:val="0"/>
                <w:highlight w:val="none"/>
                <w:u w:val="single"/>
                <w:lang w:eastAsia="zh-CN"/>
              </w:rPr>
              <w:t>广州市兴邦国际项目管理有限公司</w:t>
            </w:r>
          </w:p>
          <w:p w14:paraId="4E2260E5">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eastAsia="zh-CN"/>
              </w:rPr>
              <w:t>地址：</w:t>
            </w:r>
            <w:r>
              <w:rPr>
                <w:rFonts w:hint="eastAsia"/>
                <w:color w:val="auto"/>
                <w:spacing w:val="0"/>
                <w:w w:val="100"/>
                <w:position w:val="0"/>
                <w:highlight w:val="none"/>
                <w:u w:val="single"/>
                <w:lang w:val="en-US" w:eastAsia="zh-CN"/>
              </w:rPr>
              <w:t>广州市南沙区黄阁镇金茂西二街2号103房之二</w:t>
            </w:r>
          </w:p>
          <w:p w14:paraId="17EC234F">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联系人：</w:t>
            </w:r>
            <w:r>
              <w:rPr>
                <w:rFonts w:hint="eastAsia"/>
                <w:color w:val="auto"/>
                <w:spacing w:val="0"/>
                <w:w w:val="100"/>
                <w:position w:val="0"/>
                <w:highlight w:val="none"/>
                <w:u w:val="single"/>
                <w:lang w:eastAsia="zh-CN"/>
              </w:rPr>
              <w:t>王工</w:t>
            </w:r>
          </w:p>
          <w:p w14:paraId="591359AD">
            <w:pPr>
              <w:pStyle w:val="20"/>
              <w:keepNext w:val="0"/>
              <w:keepLines w:val="0"/>
              <w:pageBreakBefore w:val="0"/>
              <w:widowControl/>
              <w:kinsoku/>
              <w:wordWrap/>
              <w:overflowPunct w:val="0"/>
              <w:topLinePunct/>
              <w:autoSpaceDE/>
              <w:autoSpaceDN/>
              <w:bidi w:val="0"/>
              <w:adjustRightInd w:val="0"/>
              <w:snapToGrid w:val="0"/>
              <w:spacing w:before="0" w:line="288" w:lineRule="auto"/>
              <w:ind w:left="111"/>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联系电话：</w:t>
            </w:r>
            <w:r>
              <w:rPr>
                <w:rFonts w:hint="eastAsia"/>
                <w:color w:val="auto"/>
                <w:spacing w:val="0"/>
                <w:w w:val="100"/>
                <w:position w:val="0"/>
                <w:highlight w:val="none"/>
                <w:u w:val="single"/>
                <w:lang w:eastAsia="zh-CN"/>
              </w:rPr>
              <w:t>020-31178064/18565595257</w:t>
            </w:r>
          </w:p>
        </w:tc>
      </w:tr>
      <w:tr w14:paraId="2C41C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942" w:type="dxa"/>
            <w:tcBorders>
              <w:left w:val="single" w:color="000000" w:sz="2" w:space="0"/>
            </w:tcBorders>
            <w:vAlign w:val="center"/>
          </w:tcPr>
          <w:p w14:paraId="5A953474">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1.1.4</w:t>
            </w:r>
          </w:p>
        </w:tc>
        <w:tc>
          <w:tcPr>
            <w:tcW w:w="1712" w:type="dxa"/>
            <w:vAlign w:val="center"/>
          </w:tcPr>
          <w:p w14:paraId="290A1BC9">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项目名称</w:t>
            </w:r>
          </w:p>
        </w:tc>
        <w:tc>
          <w:tcPr>
            <w:tcW w:w="7205" w:type="dxa"/>
            <w:tcBorders>
              <w:right w:val="single" w:color="000000" w:sz="2" w:space="0"/>
            </w:tcBorders>
            <w:vAlign w:val="center"/>
          </w:tcPr>
          <w:p w14:paraId="03D8B91A">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开投·智行产业空间研发中心和孵化器培育场地改造项目</w:t>
            </w:r>
            <w:r>
              <w:rPr>
                <w:rFonts w:hint="eastAsia" w:ascii="宋体" w:hAnsi="宋体" w:eastAsia="宋体" w:cs="宋体"/>
                <w:color w:val="auto"/>
                <w:spacing w:val="0"/>
                <w:w w:val="100"/>
                <w:kern w:val="0"/>
                <w:position w:val="0"/>
                <w:sz w:val="20"/>
                <w:szCs w:val="20"/>
                <w:highlight w:val="none"/>
                <w:lang w:val="en-US" w:eastAsia="zh-CN" w:bidi="ar"/>
              </w:rPr>
              <w:t>设计施工总承包</w:t>
            </w:r>
          </w:p>
        </w:tc>
      </w:tr>
      <w:tr w14:paraId="1CAB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942" w:type="dxa"/>
            <w:tcBorders>
              <w:left w:val="single" w:color="000000" w:sz="2" w:space="0"/>
            </w:tcBorders>
            <w:vAlign w:val="center"/>
          </w:tcPr>
          <w:p w14:paraId="738B6825">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1.1.5</w:t>
            </w:r>
          </w:p>
        </w:tc>
        <w:tc>
          <w:tcPr>
            <w:tcW w:w="1712" w:type="dxa"/>
            <w:vAlign w:val="center"/>
          </w:tcPr>
          <w:p w14:paraId="46274AF4">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建设地点</w:t>
            </w:r>
          </w:p>
        </w:tc>
        <w:tc>
          <w:tcPr>
            <w:tcW w:w="7205" w:type="dxa"/>
            <w:tcBorders>
              <w:right w:val="single" w:color="000000" w:sz="2" w:space="0"/>
            </w:tcBorders>
            <w:vAlign w:val="center"/>
          </w:tcPr>
          <w:p w14:paraId="6C7341B0">
            <w:pPr>
              <w:pStyle w:val="20"/>
              <w:keepNext w:val="0"/>
              <w:keepLines w:val="0"/>
              <w:pageBreakBefore w:val="0"/>
              <w:widowControl/>
              <w:kinsoku/>
              <w:wordWrap/>
              <w:overflowPunct w:val="0"/>
              <w:topLinePunct/>
              <w:autoSpaceDE/>
              <w:autoSpaceDN/>
              <w:bidi w:val="0"/>
              <w:adjustRightInd w:val="0"/>
              <w:snapToGrid w:val="0"/>
              <w:spacing w:before="0" w:line="288" w:lineRule="auto"/>
              <w:ind w:left="113"/>
              <w:textAlignment w:val="baseline"/>
              <w:rPr>
                <w:rFonts w:hint="eastAsia"/>
                <w:color w:val="auto"/>
                <w:spacing w:val="0"/>
                <w:w w:val="100"/>
                <w:position w:val="0"/>
                <w:highlight w:val="none"/>
              </w:rPr>
            </w:pPr>
            <w:r>
              <w:rPr>
                <w:rFonts w:hint="eastAsia"/>
                <w:color w:val="auto"/>
                <w:spacing w:val="0"/>
                <w:w w:val="100"/>
                <w:position w:val="0"/>
                <w:highlight w:val="none"/>
              </w:rPr>
              <w:t>详见招标公告</w:t>
            </w:r>
          </w:p>
        </w:tc>
      </w:tr>
      <w:tr w14:paraId="73F1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942" w:type="dxa"/>
            <w:tcBorders>
              <w:left w:val="single" w:color="000000" w:sz="2" w:space="0"/>
            </w:tcBorders>
            <w:vAlign w:val="center"/>
          </w:tcPr>
          <w:p w14:paraId="0AFBD859">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1.2.1</w:t>
            </w:r>
          </w:p>
        </w:tc>
        <w:tc>
          <w:tcPr>
            <w:tcW w:w="1712" w:type="dxa"/>
            <w:vAlign w:val="center"/>
          </w:tcPr>
          <w:p w14:paraId="7AA7748B">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资金来源及比例</w:t>
            </w:r>
          </w:p>
        </w:tc>
        <w:tc>
          <w:tcPr>
            <w:tcW w:w="7205" w:type="dxa"/>
            <w:tcBorders>
              <w:right w:val="single" w:color="000000" w:sz="2" w:space="0"/>
            </w:tcBorders>
            <w:vAlign w:val="center"/>
          </w:tcPr>
          <w:p w14:paraId="052EEAC4">
            <w:pPr>
              <w:pStyle w:val="20"/>
              <w:keepNext w:val="0"/>
              <w:keepLines w:val="0"/>
              <w:pageBreakBefore w:val="0"/>
              <w:widowControl/>
              <w:kinsoku/>
              <w:wordWrap/>
              <w:overflowPunct w:val="0"/>
              <w:topLinePunct/>
              <w:autoSpaceDE/>
              <w:autoSpaceDN/>
              <w:bidi w:val="0"/>
              <w:adjustRightInd w:val="0"/>
              <w:snapToGrid w:val="0"/>
              <w:spacing w:before="0" w:line="288" w:lineRule="auto"/>
              <w:ind w:left="113"/>
              <w:textAlignment w:val="baseline"/>
              <w:rPr>
                <w:rFonts w:hint="default"/>
                <w:color w:val="auto"/>
                <w:spacing w:val="0"/>
                <w:w w:val="100"/>
                <w:position w:val="0"/>
                <w:highlight w:val="none"/>
                <w:lang w:val="en-US" w:eastAsia="zh-CN"/>
              </w:rPr>
            </w:pPr>
            <w:r>
              <w:rPr>
                <w:rFonts w:hint="eastAsia"/>
                <w:color w:val="auto"/>
                <w:spacing w:val="0"/>
                <w:w w:val="100"/>
                <w:position w:val="0"/>
                <w:highlight w:val="none"/>
                <w:lang w:eastAsia="zh-CN"/>
              </w:rPr>
              <w:t>建设资金来自</w:t>
            </w:r>
            <w:r>
              <w:rPr>
                <w:rFonts w:hint="eastAsia"/>
                <w:color w:val="auto"/>
                <w:spacing w:val="0"/>
                <w:w w:val="100"/>
                <w:position w:val="0"/>
                <w:highlight w:val="none"/>
                <w:u w:val="single"/>
                <w:lang w:val="en-US" w:eastAsia="zh-CN"/>
              </w:rPr>
              <w:t>企业自筹</w:t>
            </w:r>
          </w:p>
        </w:tc>
      </w:tr>
      <w:tr w14:paraId="1179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942" w:type="dxa"/>
            <w:tcBorders>
              <w:left w:val="single" w:color="000000" w:sz="2" w:space="0"/>
            </w:tcBorders>
            <w:vAlign w:val="center"/>
          </w:tcPr>
          <w:p w14:paraId="02B8E8A1">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1.2.2</w:t>
            </w:r>
          </w:p>
        </w:tc>
        <w:tc>
          <w:tcPr>
            <w:tcW w:w="1712" w:type="dxa"/>
            <w:vAlign w:val="center"/>
          </w:tcPr>
          <w:p w14:paraId="0AC1134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资金落实情况</w:t>
            </w:r>
          </w:p>
        </w:tc>
        <w:tc>
          <w:tcPr>
            <w:tcW w:w="7205" w:type="dxa"/>
            <w:tcBorders>
              <w:right w:val="single" w:color="000000" w:sz="2" w:space="0"/>
            </w:tcBorders>
            <w:vAlign w:val="center"/>
          </w:tcPr>
          <w:p w14:paraId="2C0D3368">
            <w:pPr>
              <w:pStyle w:val="20"/>
              <w:keepNext w:val="0"/>
              <w:keepLines w:val="0"/>
              <w:pageBreakBefore w:val="0"/>
              <w:widowControl/>
              <w:kinsoku/>
              <w:wordWrap/>
              <w:overflowPunct w:val="0"/>
              <w:topLinePunct/>
              <w:autoSpaceDE/>
              <w:autoSpaceDN/>
              <w:bidi w:val="0"/>
              <w:adjustRightInd w:val="0"/>
              <w:snapToGrid w:val="0"/>
              <w:spacing w:before="0" w:line="288" w:lineRule="auto"/>
              <w:ind w:left="113"/>
              <w:jc w:val="both"/>
              <w:textAlignment w:val="baseline"/>
              <w:rPr>
                <w:rFonts w:hint="eastAsia"/>
                <w:color w:val="auto"/>
                <w:spacing w:val="0"/>
                <w:w w:val="100"/>
                <w:position w:val="0"/>
                <w:highlight w:val="none"/>
              </w:rPr>
            </w:pPr>
            <w:r>
              <w:rPr>
                <w:rFonts w:hint="eastAsia"/>
                <w:color w:val="auto"/>
                <w:spacing w:val="0"/>
                <w:w w:val="100"/>
                <w:position w:val="0"/>
                <w:highlight w:val="none"/>
                <w:lang w:eastAsia="zh-CN"/>
              </w:rPr>
              <w:t>资金</w:t>
            </w:r>
            <w:r>
              <w:rPr>
                <w:rFonts w:hint="eastAsia"/>
                <w:color w:val="auto"/>
                <w:spacing w:val="0"/>
                <w:w w:val="100"/>
                <w:position w:val="0"/>
                <w:highlight w:val="none"/>
              </w:rPr>
              <w:t>已落实。</w:t>
            </w:r>
          </w:p>
        </w:tc>
      </w:tr>
      <w:tr w14:paraId="6B69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jc w:val="center"/>
        </w:trPr>
        <w:tc>
          <w:tcPr>
            <w:tcW w:w="942" w:type="dxa"/>
            <w:tcBorders>
              <w:left w:val="single" w:color="000000" w:sz="2" w:space="0"/>
            </w:tcBorders>
            <w:vAlign w:val="center"/>
          </w:tcPr>
          <w:p w14:paraId="3F1B5CFC">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1.3.1</w:t>
            </w:r>
          </w:p>
        </w:tc>
        <w:tc>
          <w:tcPr>
            <w:tcW w:w="1712" w:type="dxa"/>
            <w:vAlign w:val="center"/>
          </w:tcPr>
          <w:p w14:paraId="638C76EC">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招标范围</w:t>
            </w:r>
          </w:p>
        </w:tc>
        <w:tc>
          <w:tcPr>
            <w:tcW w:w="7205" w:type="dxa"/>
            <w:tcBorders>
              <w:right w:val="single" w:color="000000" w:sz="2" w:space="0"/>
            </w:tcBorders>
            <w:vAlign w:val="center"/>
          </w:tcPr>
          <w:p w14:paraId="1EBB2709">
            <w:pPr>
              <w:pStyle w:val="20"/>
              <w:keepNext w:val="0"/>
              <w:keepLines w:val="0"/>
              <w:pageBreakBefore w:val="0"/>
              <w:widowControl/>
              <w:kinsoku/>
              <w:wordWrap/>
              <w:overflowPunct w:val="0"/>
              <w:topLinePunct/>
              <w:autoSpaceDE/>
              <w:autoSpaceDN/>
              <w:bidi w:val="0"/>
              <w:adjustRightInd w:val="0"/>
              <w:snapToGrid w:val="0"/>
              <w:spacing w:before="0" w:line="288" w:lineRule="auto"/>
              <w:ind w:left="113"/>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详见本项目招标公告。</w:t>
            </w:r>
          </w:p>
          <w:p w14:paraId="0CD53BF2">
            <w:pPr>
              <w:pStyle w:val="20"/>
              <w:keepNext w:val="0"/>
              <w:keepLines w:val="0"/>
              <w:pageBreakBefore w:val="0"/>
              <w:widowControl/>
              <w:kinsoku/>
              <w:wordWrap/>
              <w:overflowPunct w:val="0"/>
              <w:topLinePunct/>
              <w:autoSpaceDE/>
              <w:autoSpaceDN/>
              <w:bidi w:val="0"/>
              <w:adjustRightInd w:val="0"/>
              <w:snapToGrid w:val="0"/>
              <w:spacing w:before="0" w:line="288" w:lineRule="auto"/>
              <w:ind w:left="108" w:right="51" w:firstLine="6"/>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备注：招标人有权根据项目的实际情况增加和减少工作内容。中标人资质承包范围不能涵盖或不具备相应能力（该能力须保证进度和质量且须获得发包人认可）的部分专业工程，可依法委托具备相应专业资质和能力的单位实施，但该专业实施单位需获得招标人批准。</w:t>
            </w:r>
          </w:p>
        </w:tc>
      </w:tr>
      <w:tr w14:paraId="7B27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942" w:type="dxa"/>
            <w:tcBorders>
              <w:left w:val="single" w:color="000000" w:sz="2" w:space="0"/>
            </w:tcBorders>
            <w:vAlign w:val="center"/>
          </w:tcPr>
          <w:p w14:paraId="454D7EB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1.3.2</w:t>
            </w:r>
          </w:p>
        </w:tc>
        <w:tc>
          <w:tcPr>
            <w:tcW w:w="1712" w:type="dxa"/>
            <w:vAlign w:val="center"/>
          </w:tcPr>
          <w:p w14:paraId="490315C3">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计划工期</w:t>
            </w:r>
          </w:p>
        </w:tc>
        <w:tc>
          <w:tcPr>
            <w:tcW w:w="7205" w:type="dxa"/>
            <w:tcBorders>
              <w:right w:val="single" w:color="000000" w:sz="2" w:space="0"/>
            </w:tcBorders>
            <w:vAlign w:val="center"/>
          </w:tcPr>
          <w:p w14:paraId="1666A72B">
            <w:pPr>
              <w:pStyle w:val="20"/>
              <w:keepNext w:val="0"/>
              <w:keepLines w:val="0"/>
              <w:pageBreakBefore w:val="0"/>
              <w:widowControl/>
              <w:kinsoku/>
              <w:wordWrap/>
              <w:overflowPunct w:val="0"/>
              <w:topLinePunct/>
              <w:autoSpaceDE/>
              <w:autoSpaceDN/>
              <w:bidi w:val="0"/>
              <w:adjustRightInd w:val="0"/>
              <w:snapToGrid w:val="0"/>
              <w:spacing w:before="0" w:line="288" w:lineRule="auto"/>
              <w:ind w:left="113"/>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详见本项目招标公告。</w:t>
            </w:r>
          </w:p>
        </w:tc>
      </w:tr>
      <w:tr w14:paraId="3706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7" w:hRule="atLeast"/>
          <w:jc w:val="center"/>
        </w:trPr>
        <w:tc>
          <w:tcPr>
            <w:tcW w:w="942" w:type="dxa"/>
            <w:tcBorders>
              <w:left w:val="single" w:color="000000" w:sz="2" w:space="0"/>
            </w:tcBorders>
            <w:vAlign w:val="center"/>
          </w:tcPr>
          <w:p w14:paraId="63B47D8D">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1.3.3</w:t>
            </w:r>
          </w:p>
        </w:tc>
        <w:tc>
          <w:tcPr>
            <w:tcW w:w="1712" w:type="dxa"/>
            <w:vAlign w:val="center"/>
          </w:tcPr>
          <w:p w14:paraId="54C62E6A">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质量标准</w:t>
            </w:r>
          </w:p>
        </w:tc>
        <w:tc>
          <w:tcPr>
            <w:tcW w:w="7205" w:type="dxa"/>
            <w:tcBorders>
              <w:right w:val="single" w:color="000000" w:sz="2" w:space="0"/>
            </w:tcBorders>
            <w:vAlign w:val="center"/>
          </w:tcPr>
          <w:p w14:paraId="51EF7D83">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firstLine="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工程设计质量标准：</w:t>
            </w:r>
          </w:p>
          <w:p w14:paraId="6BAEDEBB">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firstLine="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（1）设计要求的质量标准：</w:t>
            </w:r>
          </w:p>
          <w:p w14:paraId="2EA3AB77">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firstLine="400" w:firstLineChars="200"/>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符合《建设工程质量管理条例》《建设工程勘察设计管理条例》《建筑工程设计文件编制深度规定（2016年版）》等国家及地方有关工程设计管理法规和规章，达到行业相关规范和技术标准等要求；符合建设工程设计的技术规范及本项目设计任务书的要求。</w:t>
            </w:r>
          </w:p>
          <w:p w14:paraId="57F5ADB3">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firstLine="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（2）施工的工程质量标准：</w:t>
            </w:r>
          </w:p>
          <w:p w14:paraId="07159215">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firstLine="400" w:firstLineChars="200"/>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合格，符合设计图纸要求和国家、省、市相关法律法规规定要求及行业颁发的工程质量验收标准。</w:t>
            </w:r>
          </w:p>
          <w:p w14:paraId="6191F23D">
            <w:pPr>
              <w:pStyle w:val="20"/>
              <w:keepNext w:val="0"/>
              <w:keepLines w:val="0"/>
              <w:pageBreakBefore w:val="0"/>
              <w:widowControl/>
              <w:kinsoku/>
              <w:wordWrap/>
              <w:overflowPunct w:val="0"/>
              <w:topLinePunct/>
              <w:autoSpaceDE/>
              <w:autoSpaceDN/>
              <w:bidi w:val="0"/>
              <w:adjustRightInd w:val="0"/>
              <w:snapToGrid w:val="0"/>
              <w:spacing w:before="0" w:line="288" w:lineRule="auto"/>
              <w:ind w:left="113" w:right="0" w:firstLine="400" w:firstLineChars="20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按照国家最新颁布《建筑工程施工质量验收统一标准》（GB50300-2013）及相应配套的各专业验收规范，一次竣工验收合格。</w:t>
            </w:r>
          </w:p>
        </w:tc>
      </w:tr>
      <w:tr w14:paraId="2C3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21BF59FD">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1.4.1</w:t>
            </w:r>
          </w:p>
        </w:tc>
        <w:tc>
          <w:tcPr>
            <w:tcW w:w="1712" w:type="dxa"/>
            <w:vAlign w:val="center"/>
          </w:tcPr>
          <w:p w14:paraId="105679E0">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rPr>
            </w:pPr>
            <w:r>
              <w:rPr>
                <w:rFonts w:hint="eastAsia"/>
                <w:color w:val="auto"/>
                <w:spacing w:val="0"/>
                <w:w w:val="100"/>
                <w:position w:val="0"/>
                <w:highlight w:val="none"/>
              </w:rPr>
              <w:t>投标人资质条件、</w:t>
            </w:r>
          </w:p>
          <w:p w14:paraId="44EC0C16">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能力和信誉</w:t>
            </w:r>
          </w:p>
        </w:tc>
        <w:tc>
          <w:tcPr>
            <w:tcW w:w="7205" w:type="dxa"/>
            <w:tcBorders>
              <w:right w:val="single" w:color="000000" w:sz="2" w:space="0"/>
            </w:tcBorders>
            <w:vAlign w:val="center"/>
          </w:tcPr>
          <w:p w14:paraId="2E988548">
            <w:pPr>
              <w:pStyle w:val="20"/>
              <w:keepNext w:val="0"/>
              <w:keepLines w:val="0"/>
              <w:pageBreakBefore w:val="0"/>
              <w:widowControl/>
              <w:kinsoku/>
              <w:wordWrap/>
              <w:overflowPunct w:val="0"/>
              <w:topLinePunct/>
              <w:autoSpaceDE/>
              <w:autoSpaceDN/>
              <w:bidi w:val="0"/>
              <w:adjustRightInd w:val="0"/>
              <w:snapToGrid w:val="0"/>
              <w:spacing w:before="0" w:line="288" w:lineRule="auto"/>
              <w:ind w:left="113"/>
              <w:jc w:val="both"/>
              <w:textAlignment w:val="baseline"/>
              <w:rPr>
                <w:rFonts w:hint="eastAsia"/>
                <w:color w:val="auto"/>
                <w:spacing w:val="0"/>
                <w:w w:val="100"/>
                <w:position w:val="0"/>
                <w:highlight w:val="none"/>
              </w:rPr>
            </w:pPr>
            <w:r>
              <w:rPr>
                <w:rFonts w:hint="eastAsia"/>
                <w:color w:val="auto"/>
                <w:spacing w:val="0"/>
                <w:w w:val="100"/>
                <w:position w:val="0"/>
                <w:highlight w:val="none"/>
              </w:rPr>
              <w:t>见本</w:t>
            </w:r>
            <w:r>
              <w:rPr>
                <w:rFonts w:hint="eastAsia"/>
                <w:color w:val="auto"/>
                <w:spacing w:val="0"/>
                <w:w w:val="100"/>
                <w:position w:val="0"/>
                <w:highlight w:val="none"/>
                <w:lang w:eastAsia="zh-CN"/>
              </w:rPr>
              <w:t>项目</w:t>
            </w:r>
            <w:r>
              <w:rPr>
                <w:rFonts w:hint="eastAsia"/>
                <w:color w:val="auto"/>
                <w:spacing w:val="0"/>
                <w:w w:val="100"/>
                <w:position w:val="0"/>
                <w:highlight w:val="none"/>
              </w:rPr>
              <w:t>招标公告</w:t>
            </w:r>
          </w:p>
        </w:tc>
      </w:tr>
      <w:tr w14:paraId="068C4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shd w:val="clear" w:color="auto" w:fill="auto"/>
            <w:vAlign w:val="center"/>
          </w:tcPr>
          <w:p w14:paraId="2E1E9F06">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1.4.2</w:t>
            </w:r>
          </w:p>
        </w:tc>
        <w:tc>
          <w:tcPr>
            <w:tcW w:w="1712" w:type="dxa"/>
            <w:shd w:val="clear" w:color="auto" w:fill="auto"/>
            <w:vAlign w:val="center"/>
          </w:tcPr>
          <w:p w14:paraId="2A6B4125">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0"/>
                <w:szCs w:val="20"/>
                <w:highlight w:val="none"/>
              </w:rPr>
            </w:pPr>
            <w:r>
              <w:rPr>
                <w:rFonts w:hint="eastAsia"/>
                <w:color w:val="auto"/>
                <w:spacing w:val="0"/>
                <w:w w:val="100"/>
                <w:position w:val="0"/>
                <w:highlight w:val="none"/>
              </w:rPr>
              <w:t>是否接受联合体</w:t>
            </w:r>
          </w:p>
          <w:p w14:paraId="0E8C1273">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投标</w:t>
            </w:r>
          </w:p>
        </w:tc>
        <w:tc>
          <w:tcPr>
            <w:tcW w:w="7205" w:type="dxa"/>
            <w:tcBorders>
              <w:right w:val="single" w:color="000000" w:sz="2" w:space="0"/>
            </w:tcBorders>
            <w:shd w:val="clear" w:color="auto" w:fill="auto"/>
            <w:vAlign w:val="top"/>
          </w:tcPr>
          <w:p w14:paraId="45616DC3">
            <w:pPr>
              <w:pStyle w:val="20"/>
              <w:keepNext w:val="0"/>
              <w:keepLines w:val="0"/>
              <w:pageBreakBefore w:val="0"/>
              <w:widowControl/>
              <w:kinsoku/>
              <w:wordWrap/>
              <w:overflowPunct w:val="0"/>
              <w:topLinePunct/>
              <w:autoSpaceDE/>
              <w:autoSpaceDN/>
              <w:bidi w:val="0"/>
              <w:adjustRightInd w:val="0"/>
              <w:snapToGrid w:val="0"/>
              <w:spacing w:before="0" w:line="288" w:lineRule="auto"/>
              <w:ind w:left="132"/>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□不接受</w:t>
            </w:r>
          </w:p>
          <w:p w14:paraId="1A85FF80">
            <w:pPr>
              <w:pStyle w:val="20"/>
              <w:keepNext w:val="0"/>
              <w:keepLines w:val="0"/>
              <w:pageBreakBefore w:val="0"/>
              <w:widowControl/>
              <w:kinsoku/>
              <w:wordWrap/>
              <w:overflowPunct w:val="0"/>
              <w:topLinePunct/>
              <w:autoSpaceDE/>
              <w:autoSpaceDN/>
              <w:bidi w:val="0"/>
              <w:adjustRightInd w:val="0"/>
              <w:snapToGrid w:val="0"/>
              <w:spacing w:before="0" w:line="288" w:lineRule="auto"/>
              <w:ind w:left="132" w:leftChars="0"/>
              <w:textAlignment w:val="baseline"/>
              <w:rPr>
                <w:rFonts w:hint="eastAsia" w:ascii="宋体" w:hAnsi="宋体" w:eastAsia="宋体" w:cs="宋体"/>
                <w:snapToGrid w:val="0"/>
                <w:color w:val="auto"/>
                <w:spacing w:val="0"/>
                <w:w w:val="100"/>
                <w:position w:val="0"/>
                <w:sz w:val="20"/>
                <w:szCs w:val="20"/>
                <w:highlight w:val="none"/>
                <w:lang w:val="en-US" w:eastAsia="zh-CN" w:bidi="ar-SA"/>
              </w:rPr>
            </w:pPr>
            <w:r>
              <w:rPr>
                <w:rFonts w:hint="eastAsia"/>
                <w:color w:val="auto"/>
                <w:spacing w:val="0"/>
                <w:w w:val="100"/>
                <w:position w:val="0"/>
                <w:highlight w:val="none"/>
                <w:lang w:eastAsia="zh-CN"/>
              </w:rPr>
              <w:t>■接受，应满足下列要求：见本项目招标公告要求</w:t>
            </w:r>
          </w:p>
        </w:tc>
      </w:tr>
      <w:tr w14:paraId="79D6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shd w:val="clear" w:color="auto" w:fill="auto"/>
            <w:vAlign w:val="center"/>
          </w:tcPr>
          <w:p w14:paraId="00A34B27">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1.5</w:t>
            </w:r>
          </w:p>
        </w:tc>
        <w:tc>
          <w:tcPr>
            <w:tcW w:w="1712" w:type="dxa"/>
            <w:shd w:val="clear" w:color="auto" w:fill="auto"/>
            <w:vAlign w:val="center"/>
          </w:tcPr>
          <w:p w14:paraId="419B045A">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费用承担和设计</w:t>
            </w:r>
          </w:p>
          <w:p w14:paraId="6844302F">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zh-CN" w:bidi="ar-SA"/>
              </w:rPr>
            </w:pPr>
            <w:r>
              <w:rPr>
                <w:rFonts w:hint="eastAsia"/>
                <w:color w:val="auto"/>
                <w:spacing w:val="0"/>
                <w:w w:val="100"/>
                <w:position w:val="0"/>
                <w:highlight w:val="none"/>
                <w:lang w:eastAsia="zh-CN"/>
              </w:rPr>
              <w:t>成果补偿</w:t>
            </w:r>
          </w:p>
        </w:tc>
        <w:tc>
          <w:tcPr>
            <w:tcW w:w="7205" w:type="dxa"/>
            <w:tcBorders>
              <w:right w:val="single" w:color="000000" w:sz="2" w:space="0"/>
            </w:tcBorders>
            <w:shd w:val="clear" w:color="auto" w:fill="auto"/>
            <w:vAlign w:val="top"/>
          </w:tcPr>
          <w:p w14:paraId="369F7F8E">
            <w:pPr>
              <w:pStyle w:val="20"/>
              <w:keepNext w:val="0"/>
              <w:keepLines w:val="0"/>
              <w:pageBreakBefore w:val="0"/>
              <w:widowControl/>
              <w:kinsoku/>
              <w:wordWrap/>
              <w:overflowPunct w:val="0"/>
              <w:topLinePunct/>
              <w:autoSpaceDE/>
              <w:autoSpaceDN/>
              <w:bidi w:val="0"/>
              <w:adjustRightInd w:val="0"/>
              <w:snapToGrid w:val="0"/>
              <w:spacing w:before="0" w:line="288" w:lineRule="auto"/>
              <w:ind w:left="132"/>
              <w:textAlignment w:val="baseline"/>
              <w:rPr>
                <w:rFonts w:hint="eastAsia"/>
                <w:color w:val="auto"/>
                <w:spacing w:val="0"/>
                <w:w w:val="100"/>
                <w:position w:val="0"/>
                <w:highlight w:val="none"/>
              </w:rPr>
            </w:pPr>
            <w:r>
              <w:rPr>
                <w:rFonts w:hint="eastAsia"/>
                <w:color w:val="auto"/>
                <w:spacing w:val="0"/>
                <w:w w:val="100"/>
                <w:position w:val="0"/>
                <w:highlight w:val="none"/>
              </w:rPr>
              <w:t>■不补偿</w:t>
            </w:r>
          </w:p>
          <w:p w14:paraId="155D224B">
            <w:pPr>
              <w:pStyle w:val="20"/>
              <w:keepNext w:val="0"/>
              <w:keepLines w:val="0"/>
              <w:pageBreakBefore w:val="0"/>
              <w:widowControl/>
              <w:kinsoku/>
              <w:wordWrap/>
              <w:overflowPunct w:val="0"/>
              <w:topLinePunct/>
              <w:autoSpaceDE/>
              <w:autoSpaceDN/>
              <w:bidi w:val="0"/>
              <w:adjustRightInd w:val="0"/>
              <w:snapToGrid w:val="0"/>
              <w:spacing w:before="0" w:line="288" w:lineRule="auto"/>
              <w:ind w:left="132" w:leftChars="0"/>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□补偿。</w:t>
            </w:r>
          </w:p>
        </w:tc>
      </w:tr>
      <w:tr w14:paraId="0720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25D23A56">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1.9.1</w:t>
            </w:r>
          </w:p>
        </w:tc>
        <w:tc>
          <w:tcPr>
            <w:tcW w:w="1712" w:type="dxa"/>
            <w:vAlign w:val="center"/>
          </w:tcPr>
          <w:p w14:paraId="660EFB34">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踏勘</w:t>
            </w:r>
          </w:p>
        </w:tc>
        <w:tc>
          <w:tcPr>
            <w:tcW w:w="7205" w:type="dxa"/>
            <w:tcBorders>
              <w:right w:val="single" w:color="000000" w:sz="2" w:space="0"/>
            </w:tcBorders>
            <w:vAlign w:val="center"/>
          </w:tcPr>
          <w:p w14:paraId="328F439E">
            <w:pPr>
              <w:pStyle w:val="20"/>
              <w:keepNext w:val="0"/>
              <w:keepLines w:val="0"/>
              <w:pageBreakBefore w:val="0"/>
              <w:widowControl/>
              <w:kinsoku/>
              <w:wordWrap/>
              <w:overflowPunct w:val="0"/>
              <w:topLinePunct/>
              <w:autoSpaceDE/>
              <w:autoSpaceDN/>
              <w:bidi w:val="0"/>
              <w:adjustRightInd w:val="0"/>
              <w:snapToGrid w:val="0"/>
              <w:spacing w:before="0" w:line="288" w:lineRule="auto"/>
              <w:ind w:left="132"/>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■不组织：</w:t>
            </w:r>
          </w:p>
          <w:p w14:paraId="1CEAA8D4">
            <w:pPr>
              <w:pStyle w:val="20"/>
              <w:keepNext w:val="0"/>
              <w:keepLines w:val="0"/>
              <w:pageBreakBefore w:val="0"/>
              <w:widowControl/>
              <w:kinsoku/>
              <w:wordWrap/>
              <w:overflowPunct w:val="0"/>
              <w:topLinePunct/>
              <w:autoSpaceDE/>
              <w:autoSpaceDN/>
              <w:bidi w:val="0"/>
              <w:adjustRightInd w:val="0"/>
              <w:snapToGrid w:val="0"/>
              <w:spacing w:before="0" w:line="288" w:lineRule="auto"/>
              <w:ind w:left="132"/>
              <w:textAlignment w:val="baseline"/>
              <w:rPr>
                <w:rFonts w:hint="default"/>
                <w:color w:val="auto"/>
                <w:spacing w:val="0"/>
                <w:w w:val="100"/>
                <w:position w:val="0"/>
                <w:highlight w:val="none"/>
                <w:lang w:val="en-US" w:eastAsia="zh-CN"/>
              </w:rPr>
            </w:pPr>
            <w:r>
              <w:rPr>
                <w:rFonts w:hint="eastAsia"/>
                <w:color w:val="auto"/>
                <w:spacing w:val="0"/>
                <w:w w:val="100"/>
                <w:position w:val="0"/>
                <w:highlight w:val="none"/>
                <w:lang w:eastAsia="zh-CN"/>
              </w:rPr>
              <w:t>□组织，踏勘时间：</w:t>
            </w:r>
            <w:r>
              <w:rPr>
                <w:rFonts w:hint="eastAsia" w:ascii="宋体" w:hAnsi="宋体" w:eastAsia="宋体" w:cs="宋体"/>
                <w:color w:val="auto"/>
                <w:spacing w:val="0"/>
                <w:w w:val="100"/>
                <w:position w:val="0"/>
                <w:highlight w:val="none"/>
                <w:u w:val="single"/>
                <w:lang w:val="en-US" w:eastAsia="zh-CN"/>
              </w:rPr>
              <w:t>自招标公告发布之日起</w:t>
            </w:r>
          </w:p>
          <w:p w14:paraId="412D5E60">
            <w:pPr>
              <w:pStyle w:val="20"/>
              <w:keepNext w:val="0"/>
              <w:keepLines w:val="0"/>
              <w:pageBreakBefore w:val="0"/>
              <w:widowControl/>
              <w:kinsoku/>
              <w:wordWrap/>
              <w:overflowPunct w:val="0"/>
              <w:topLinePunct/>
              <w:autoSpaceDE/>
              <w:autoSpaceDN/>
              <w:bidi w:val="0"/>
              <w:adjustRightInd w:val="0"/>
              <w:snapToGrid w:val="0"/>
              <w:spacing w:before="0" w:line="288" w:lineRule="auto"/>
              <w:ind w:left="113"/>
              <w:jc w:val="both"/>
              <w:textAlignment w:val="baseline"/>
              <w:rPr>
                <w:rFonts w:hint="eastAsia"/>
                <w:color w:val="auto"/>
                <w:spacing w:val="0"/>
                <w:w w:val="100"/>
                <w:position w:val="0"/>
                <w:highlight w:val="none"/>
              </w:rPr>
            </w:pPr>
            <w:r>
              <w:rPr>
                <w:rFonts w:hint="eastAsia"/>
                <w:color w:val="auto"/>
                <w:spacing w:val="0"/>
                <w:w w:val="100"/>
                <w:position w:val="0"/>
                <w:highlight w:val="none"/>
                <w:lang w:eastAsia="zh-CN"/>
              </w:rPr>
              <w:t>踏勘集中地点：</w:t>
            </w:r>
            <w:r>
              <w:rPr>
                <w:rFonts w:hint="eastAsia"/>
                <w:color w:val="auto"/>
                <w:spacing w:val="0"/>
                <w:w w:val="100"/>
                <w:position w:val="0"/>
                <w:highlight w:val="none"/>
                <w:u w:val="single"/>
                <w:lang w:eastAsia="zh-CN"/>
              </w:rPr>
              <w:t>详见本项目招标公告</w:t>
            </w:r>
          </w:p>
        </w:tc>
      </w:tr>
      <w:tr w14:paraId="09E56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shd w:val="clear" w:color="auto" w:fill="auto"/>
            <w:vAlign w:val="center"/>
          </w:tcPr>
          <w:p w14:paraId="74599C64">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1.10.1</w:t>
            </w:r>
          </w:p>
        </w:tc>
        <w:tc>
          <w:tcPr>
            <w:tcW w:w="1712" w:type="dxa"/>
            <w:shd w:val="clear" w:color="auto" w:fill="auto"/>
            <w:vAlign w:val="center"/>
          </w:tcPr>
          <w:p w14:paraId="6D6A07D9">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投标预备会</w:t>
            </w:r>
          </w:p>
        </w:tc>
        <w:tc>
          <w:tcPr>
            <w:tcW w:w="7205" w:type="dxa"/>
            <w:tcBorders>
              <w:right w:val="single" w:color="000000" w:sz="2" w:space="0"/>
            </w:tcBorders>
            <w:shd w:val="clear" w:color="auto" w:fill="auto"/>
            <w:vAlign w:val="top"/>
          </w:tcPr>
          <w:p w14:paraId="37534488">
            <w:pPr>
              <w:pStyle w:val="20"/>
              <w:keepNext w:val="0"/>
              <w:keepLines w:val="0"/>
              <w:pageBreakBefore w:val="0"/>
              <w:widowControl/>
              <w:kinsoku/>
              <w:wordWrap/>
              <w:overflowPunct w:val="0"/>
              <w:topLinePunct/>
              <w:autoSpaceDE/>
              <w:autoSpaceDN/>
              <w:bidi w:val="0"/>
              <w:adjustRightInd w:val="0"/>
              <w:snapToGrid w:val="0"/>
              <w:spacing w:before="0" w:line="288" w:lineRule="auto"/>
              <w:ind w:left="132" w:leftChars="0" w:right="3214" w:rightChars="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■不召开，招标人接受网上提问并答疑。</w:t>
            </w:r>
          </w:p>
          <w:p w14:paraId="4CBF12E1">
            <w:pPr>
              <w:pStyle w:val="20"/>
              <w:keepNext w:val="0"/>
              <w:keepLines w:val="0"/>
              <w:pageBreakBefore w:val="0"/>
              <w:widowControl/>
              <w:kinsoku/>
              <w:wordWrap/>
              <w:overflowPunct w:val="0"/>
              <w:topLinePunct/>
              <w:autoSpaceDE/>
              <w:autoSpaceDN/>
              <w:bidi w:val="0"/>
              <w:adjustRightInd w:val="0"/>
              <w:snapToGrid w:val="0"/>
              <w:spacing w:before="0" w:line="288" w:lineRule="auto"/>
              <w:ind w:left="132" w:leftChars="0" w:right="3214" w:rightChars="0"/>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lang w:eastAsia="zh-CN"/>
              </w:rPr>
              <w:t>□</w:t>
            </w:r>
            <w:r>
              <w:rPr>
                <w:rFonts w:hint="eastAsia"/>
                <w:color w:val="auto"/>
                <w:spacing w:val="0"/>
                <w:w w:val="100"/>
                <w:position w:val="0"/>
                <w:highlight w:val="none"/>
              </w:rPr>
              <w:t>召开</w:t>
            </w:r>
          </w:p>
        </w:tc>
      </w:tr>
      <w:tr w14:paraId="53E3A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35BD7762">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1.10.2</w:t>
            </w:r>
          </w:p>
        </w:tc>
        <w:tc>
          <w:tcPr>
            <w:tcW w:w="1712" w:type="dxa"/>
            <w:vAlign w:val="center"/>
          </w:tcPr>
          <w:p w14:paraId="5E04054A">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投标人提出问题</w:t>
            </w:r>
          </w:p>
          <w:p w14:paraId="3BCCF885">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的截止时间</w:t>
            </w:r>
          </w:p>
        </w:tc>
        <w:tc>
          <w:tcPr>
            <w:tcW w:w="7205" w:type="dxa"/>
            <w:tcBorders>
              <w:right w:val="single" w:color="000000" w:sz="2" w:space="0"/>
            </w:tcBorders>
            <w:vAlign w:val="center"/>
          </w:tcPr>
          <w:p w14:paraId="61B6B17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1.方式：网上答疑。</w:t>
            </w:r>
          </w:p>
          <w:p w14:paraId="71D4822C">
            <w:pPr>
              <w:pStyle w:val="20"/>
              <w:keepNext w:val="0"/>
              <w:keepLines w:val="0"/>
              <w:pageBreakBefore w:val="0"/>
              <w:widowControl/>
              <w:kinsoku/>
              <w:wordWrap/>
              <w:overflowPunct w:val="0"/>
              <w:topLinePunct/>
              <w:autoSpaceDE/>
              <w:autoSpaceDN/>
              <w:bidi w:val="0"/>
              <w:adjustRightInd w:val="0"/>
              <w:snapToGrid w:val="0"/>
              <w:spacing w:before="0" w:line="288" w:lineRule="auto"/>
              <w:ind w:left="126"/>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2.期限：具体时间以广州公共资源交易平台日程安排时间为准。</w:t>
            </w:r>
          </w:p>
          <w:p w14:paraId="6B09E45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rPr>
            </w:pPr>
            <w:r>
              <w:rPr>
                <w:rFonts w:hint="eastAsia"/>
                <w:color w:val="auto"/>
                <w:spacing w:val="0"/>
                <w:w w:val="100"/>
                <w:position w:val="0"/>
                <w:highlight w:val="none"/>
                <w:lang w:eastAsia="zh-CN"/>
              </w:rPr>
              <w:t>3.网上答疑的操作指南为：投标人的疑问通过网上提交。具体操作方法详见广州公共资源交易中心网站发布的最新版相关操作指南</w:t>
            </w:r>
          </w:p>
        </w:tc>
      </w:tr>
      <w:tr w14:paraId="2AC3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shd w:val="clear" w:color="auto" w:fill="auto"/>
            <w:vAlign w:val="center"/>
          </w:tcPr>
          <w:p w14:paraId="2C78CB49">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1.10.3</w:t>
            </w:r>
          </w:p>
        </w:tc>
        <w:tc>
          <w:tcPr>
            <w:tcW w:w="1712" w:type="dxa"/>
            <w:shd w:val="clear" w:color="auto" w:fill="auto"/>
            <w:vAlign w:val="center"/>
          </w:tcPr>
          <w:p w14:paraId="25A627F5">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color w:val="auto"/>
                <w:spacing w:val="0"/>
                <w:w w:val="100"/>
                <w:position w:val="0"/>
                <w:sz w:val="20"/>
                <w:szCs w:val="20"/>
                <w:highlight w:val="none"/>
              </w:rPr>
            </w:pPr>
            <w:r>
              <w:rPr>
                <w:rFonts w:hint="eastAsia"/>
                <w:color w:val="auto"/>
                <w:spacing w:val="0"/>
                <w:w w:val="100"/>
                <w:position w:val="0"/>
                <w:highlight w:val="none"/>
              </w:rPr>
              <w:t>招标人书面澄清</w:t>
            </w:r>
          </w:p>
          <w:p w14:paraId="1E44228A">
            <w:pPr>
              <w:pStyle w:val="20"/>
              <w:keepNext w:val="0"/>
              <w:keepLines w:val="0"/>
              <w:pageBreakBefore w:val="0"/>
              <w:widowControl/>
              <w:kinsoku/>
              <w:wordWrap/>
              <w:overflowPunct w:val="0"/>
              <w:topLinePunct/>
              <w:autoSpaceDE/>
              <w:autoSpaceDN/>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auto"/>
                <w:spacing w:val="0"/>
                <w:w w:val="100"/>
                <w:position w:val="0"/>
                <w:sz w:val="20"/>
                <w:szCs w:val="20"/>
                <w:highlight w:val="none"/>
                <w:lang w:val="en-US" w:eastAsia="zh-CN" w:bidi="ar-SA"/>
              </w:rPr>
            </w:pPr>
            <w:r>
              <w:rPr>
                <w:rFonts w:hint="eastAsia"/>
                <w:color w:val="auto"/>
                <w:spacing w:val="0"/>
                <w:w w:val="100"/>
                <w:position w:val="0"/>
                <w:highlight w:val="none"/>
              </w:rPr>
              <w:t>的时间</w:t>
            </w:r>
          </w:p>
        </w:tc>
        <w:tc>
          <w:tcPr>
            <w:tcW w:w="7205" w:type="dxa"/>
            <w:tcBorders>
              <w:right w:val="single" w:color="000000" w:sz="2" w:space="0"/>
            </w:tcBorders>
            <w:shd w:val="clear" w:color="auto" w:fill="auto"/>
            <w:vAlign w:val="center"/>
          </w:tcPr>
          <w:p w14:paraId="3EA3AF6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leftChars="0"/>
              <w:jc w:val="both"/>
              <w:textAlignment w:val="baseline"/>
              <w:rPr>
                <w:rFonts w:hint="eastAsia" w:ascii="宋体" w:hAnsi="宋体" w:eastAsia="宋体" w:cs="宋体"/>
                <w:snapToGrid w:val="0"/>
                <w:color w:val="auto"/>
                <w:spacing w:val="0"/>
                <w:w w:val="100"/>
                <w:position w:val="0"/>
                <w:sz w:val="20"/>
                <w:szCs w:val="20"/>
                <w:highlight w:val="none"/>
                <w:lang w:val="en-US" w:eastAsia="zh-CN" w:bidi="ar-SA"/>
              </w:rPr>
            </w:pPr>
            <w:r>
              <w:rPr>
                <w:rFonts w:hint="eastAsia"/>
                <w:color w:val="auto"/>
                <w:spacing w:val="0"/>
                <w:w w:val="100"/>
                <w:position w:val="0"/>
                <w:highlight w:val="none"/>
                <w:lang w:eastAsia="zh-CN"/>
              </w:rPr>
              <w:t>投标截止时间15天前</w:t>
            </w:r>
          </w:p>
        </w:tc>
      </w:tr>
      <w:tr w14:paraId="226B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40FC5C59">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1.11.1</w:t>
            </w:r>
          </w:p>
        </w:tc>
        <w:tc>
          <w:tcPr>
            <w:tcW w:w="1712" w:type="dxa"/>
            <w:vAlign w:val="center"/>
          </w:tcPr>
          <w:p w14:paraId="6EF784BA">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招标人规定由分</w:t>
            </w:r>
          </w:p>
          <w:p w14:paraId="6D3C6FE9">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包人承担的工作</w:t>
            </w:r>
          </w:p>
        </w:tc>
        <w:tc>
          <w:tcPr>
            <w:tcW w:w="7205" w:type="dxa"/>
            <w:tcBorders>
              <w:right w:val="single" w:color="000000" w:sz="2" w:space="0"/>
            </w:tcBorders>
            <w:vAlign w:val="center"/>
          </w:tcPr>
          <w:p w14:paraId="5EDF94D5">
            <w:pPr>
              <w:pStyle w:val="20"/>
              <w:keepNext w:val="0"/>
              <w:keepLines w:val="0"/>
              <w:pageBreakBefore w:val="0"/>
              <w:widowControl/>
              <w:kinsoku/>
              <w:wordWrap/>
              <w:overflowPunct w:val="0"/>
              <w:topLinePunct/>
              <w:autoSpaceDE/>
              <w:autoSpaceDN/>
              <w:bidi w:val="0"/>
              <w:adjustRightInd w:val="0"/>
              <w:snapToGrid w:val="0"/>
              <w:spacing w:before="0" w:line="288" w:lineRule="auto"/>
              <w:ind w:left="113"/>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rPr>
              <w:t>无</w:t>
            </w:r>
          </w:p>
        </w:tc>
      </w:tr>
      <w:tr w14:paraId="7FC94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0CB428A2">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1.11.2</w:t>
            </w:r>
          </w:p>
        </w:tc>
        <w:tc>
          <w:tcPr>
            <w:tcW w:w="1712" w:type="dxa"/>
            <w:vAlign w:val="center"/>
          </w:tcPr>
          <w:p w14:paraId="371E5B58">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rPr>
            </w:pPr>
            <w:r>
              <w:rPr>
                <w:rFonts w:hint="eastAsia"/>
                <w:color w:val="auto"/>
                <w:spacing w:val="0"/>
                <w:w w:val="100"/>
                <w:position w:val="0"/>
                <w:highlight w:val="none"/>
              </w:rPr>
              <w:t>投标人拟分包的</w:t>
            </w:r>
          </w:p>
          <w:p w14:paraId="281C5C62">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rPr>
              <w:t>工作</w:t>
            </w:r>
          </w:p>
        </w:tc>
        <w:tc>
          <w:tcPr>
            <w:tcW w:w="7205" w:type="dxa"/>
            <w:tcBorders>
              <w:right w:val="single" w:color="000000" w:sz="2" w:space="0"/>
            </w:tcBorders>
            <w:vAlign w:val="center"/>
          </w:tcPr>
          <w:p w14:paraId="640AACD0">
            <w:pPr>
              <w:pStyle w:val="20"/>
              <w:keepNext w:val="0"/>
              <w:keepLines w:val="0"/>
              <w:pageBreakBefore w:val="0"/>
              <w:widowControl/>
              <w:kinsoku/>
              <w:wordWrap/>
              <w:overflowPunct w:val="0"/>
              <w:topLinePunct/>
              <w:autoSpaceDE/>
              <w:autoSpaceDN/>
              <w:bidi w:val="0"/>
              <w:adjustRightInd w:val="0"/>
              <w:snapToGrid w:val="0"/>
              <w:spacing w:before="0" w:line="288" w:lineRule="auto"/>
              <w:ind w:left="132" w:leftChars="0" w:right="3214" w:rightChars="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□不允许</w:t>
            </w:r>
          </w:p>
          <w:p w14:paraId="4917E261">
            <w:pPr>
              <w:pStyle w:val="20"/>
              <w:keepNext w:val="0"/>
              <w:keepLines w:val="0"/>
              <w:pageBreakBefore w:val="0"/>
              <w:widowControl/>
              <w:kinsoku/>
              <w:wordWrap/>
              <w:overflowPunct w:val="0"/>
              <w:topLinePunct/>
              <w:autoSpaceDE/>
              <w:autoSpaceDN/>
              <w:bidi w:val="0"/>
              <w:adjustRightInd w:val="0"/>
              <w:snapToGrid w:val="0"/>
              <w:spacing w:before="0" w:line="288" w:lineRule="auto"/>
              <w:ind w:left="132" w:leftChars="0" w:right="3214" w:rightChars="0"/>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■允许</w:t>
            </w:r>
          </w:p>
          <w:p w14:paraId="51D4ED0F">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对于非主体、非关键性工程，中标人不具备相应资质的，需经招标人审核批准后分包给具有相应资质和能力的专业单位实施。</w:t>
            </w:r>
          </w:p>
        </w:tc>
      </w:tr>
      <w:tr w14:paraId="27CA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63FF6EF4">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1.12</w:t>
            </w:r>
          </w:p>
        </w:tc>
        <w:tc>
          <w:tcPr>
            <w:tcW w:w="1712" w:type="dxa"/>
            <w:vAlign w:val="center"/>
          </w:tcPr>
          <w:p w14:paraId="52CA710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偏离</w:t>
            </w:r>
          </w:p>
        </w:tc>
        <w:tc>
          <w:tcPr>
            <w:tcW w:w="7205" w:type="dxa"/>
            <w:tcBorders>
              <w:right w:val="single" w:color="000000" w:sz="2" w:space="0"/>
            </w:tcBorders>
            <w:vAlign w:val="center"/>
          </w:tcPr>
          <w:p w14:paraId="5FBE0FC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rPr>
            </w:pPr>
            <w:r>
              <w:rPr>
                <w:rFonts w:hint="eastAsia"/>
                <w:color w:val="auto"/>
                <w:spacing w:val="0"/>
                <w:w w:val="100"/>
                <w:position w:val="0"/>
                <w:highlight w:val="none"/>
              </w:rPr>
              <w:t>■不允许</w:t>
            </w:r>
          </w:p>
          <w:p w14:paraId="2473C69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rPr>
              <w:t>□</w:t>
            </w:r>
            <w:r>
              <w:rPr>
                <w:rFonts w:hint="eastAsia"/>
                <w:color w:val="auto"/>
                <w:spacing w:val="0"/>
                <w:w w:val="100"/>
                <w:position w:val="0"/>
                <w:highlight w:val="none"/>
                <w:lang w:eastAsia="zh-CN"/>
              </w:rPr>
              <w:t>允许</w:t>
            </w:r>
            <w:r>
              <w:rPr>
                <w:rFonts w:hint="eastAsia"/>
                <w:color w:val="auto"/>
                <w:spacing w:val="0"/>
                <w:w w:val="100"/>
                <w:position w:val="0"/>
                <w:highlight w:val="none"/>
              </w:rPr>
              <w:t>。</w:t>
            </w:r>
          </w:p>
        </w:tc>
      </w:tr>
      <w:tr w14:paraId="2F7D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shd w:val="clear" w:color="auto" w:fill="auto"/>
            <w:vAlign w:val="center"/>
          </w:tcPr>
          <w:p w14:paraId="4521558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2.1</w:t>
            </w:r>
          </w:p>
        </w:tc>
        <w:tc>
          <w:tcPr>
            <w:tcW w:w="1712" w:type="dxa"/>
            <w:shd w:val="clear" w:color="auto" w:fill="auto"/>
            <w:vAlign w:val="center"/>
          </w:tcPr>
          <w:p w14:paraId="07550A63">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构成招标文件的</w:t>
            </w:r>
          </w:p>
          <w:p w14:paraId="4CCFC13C">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其他资料</w:t>
            </w:r>
          </w:p>
        </w:tc>
        <w:tc>
          <w:tcPr>
            <w:tcW w:w="7205" w:type="dxa"/>
            <w:tcBorders>
              <w:right w:val="single" w:color="000000" w:sz="2" w:space="0"/>
            </w:tcBorders>
            <w:shd w:val="clear" w:color="auto" w:fill="auto"/>
            <w:vAlign w:val="center"/>
          </w:tcPr>
          <w:p w14:paraId="15A4D54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答疑纪要、澄清文件等（如有）。</w:t>
            </w:r>
          </w:p>
        </w:tc>
      </w:tr>
      <w:tr w14:paraId="4D3D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7F44362E">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2.2.1</w:t>
            </w:r>
          </w:p>
        </w:tc>
        <w:tc>
          <w:tcPr>
            <w:tcW w:w="1712" w:type="dxa"/>
            <w:vAlign w:val="center"/>
          </w:tcPr>
          <w:p w14:paraId="033D7830">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投标人要求澄清招</w:t>
            </w:r>
          </w:p>
          <w:p w14:paraId="11F60061">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标文件的截止</w:t>
            </w:r>
            <w:r>
              <w:rPr>
                <w:rFonts w:hint="eastAsia"/>
                <w:color w:val="auto"/>
                <w:spacing w:val="0"/>
                <w:w w:val="100"/>
                <w:position w:val="0"/>
                <w:highlight w:val="none"/>
              </w:rPr>
              <w:t>时间</w:t>
            </w:r>
          </w:p>
        </w:tc>
        <w:tc>
          <w:tcPr>
            <w:tcW w:w="7205" w:type="dxa"/>
            <w:tcBorders>
              <w:right w:val="single" w:color="000000" w:sz="2" w:space="0"/>
            </w:tcBorders>
            <w:vAlign w:val="center"/>
          </w:tcPr>
          <w:p w14:paraId="7B89F29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同投标人提出问题的截止时间</w:t>
            </w:r>
          </w:p>
        </w:tc>
      </w:tr>
      <w:tr w14:paraId="0A07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5AEEAB93">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2.2.2</w:t>
            </w:r>
          </w:p>
        </w:tc>
        <w:tc>
          <w:tcPr>
            <w:tcW w:w="1712" w:type="dxa"/>
            <w:vAlign w:val="center"/>
          </w:tcPr>
          <w:p w14:paraId="77384360">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投标</w:t>
            </w:r>
            <w:r>
              <w:rPr>
                <w:rFonts w:hint="eastAsia"/>
                <w:color w:val="auto"/>
                <w:spacing w:val="0"/>
                <w:w w:val="100"/>
                <w:position w:val="0"/>
                <w:highlight w:val="none"/>
                <w:lang w:eastAsia="zh-CN"/>
              </w:rPr>
              <w:t>文件</w:t>
            </w:r>
            <w:r>
              <w:rPr>
                <w:rFonts w:hint="eastAsia"/>
                <w:color w:val="auto"/>
                <w:spacing w:val="0"/>
                <w:w w:val="100"/>
                <w:position w:val="0"/>
                <w:highlight w:val="none"/>
              </w:rPr>
              <w:t>递交时间</w:t>
            </w:r>
          </w:p>
        </w:tc>
        <w:tc>
          <w:tcPr>
            <w:tcW w:w="7205" w:type="dxa"/>
            <w:tcBorders>
              <w:right w:val="single" w:color="000000" w:sz="2" w:space="0"/>
            </w:tcBorders>
            <w:vAlign w:val="center"/>
          </w:tcPr>
          <w:p w14:paraId="5BA9BB3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详见本项目招标公告</w:t>
            </w:r>
          </w:p>
        </w:tc>
      </w:tr>
      <w:tr w14:paraId="4A56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3179972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2.2.3</w:t>
            </w:r>
          </w:p>
        </w:tc>
        <w:tc>
          <w:tcPr>
            <w:tcW w:w="1712" w:type="dxa"/>
            <w:vAlign w:val="center"/>
          </w:tcPr>
          <w:p w14:paraId="30065B95">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投标人确认收到招</w:t>
            </w:r>
          </w:p>
          <w:p w14:paraId="4B3838E3">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标文件澄清的</w:t>
            </w:r>
            <w:r>
              <w:rPr>
                <w:rFonts w:hint="eastAsia"/>
                <w:color w:val="auto"/>
                <w:spacing w:val="0"/>
                <w:w w:val="100"/>
                <w:position w:val="0"/>
                <w:highlight w:val="none"/>
              </w:rPr>
              <w:t>时间</w:t>
            </w:r>
          </w:p>
        </w:tc>
        <w:tc>
          <w:tcPr>
            <w:tcW w:w="7205" w:type="dxa"/>
            <w:tcBorders>
              <w:right w:val="single" w:color="000000" w:sz="2" w:space="0"/>
            </w:tcBorders>
            <w:vAlign w:val="center"/>
          </w:tcPr>
          <w:p w14:paraId="6E777C5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在广州公共资源交易中心网上答疑专区发布时视为投标人已收到。</w:t>
            </w:r>
          </w:p>
        </w:tc>
      </w:tr>
      <w:tr w14:paraId="6D5D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4E30C71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2.3.2</w:t>
            </w:r>
          </w:p>
        </w:tc>
        <w:tc>
          <w:tcPr>
            <w:tcW w:w="1712" w:type="dxa"/>
            <w:vAlign w:val="center"/>
          </w:tcPr>
          <w:p w14:paraId="68862CE5">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投标人确认收到</w:t>
            </w:r>
          </w:p>
          <w:p w14:paraId="3B805D85">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招标文件修改的</w:t>
            </w:r>
          </w:p>
          <w:p w14:paraId="4659CAA7">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时间</w:t>
            </w:r>
          </w:p>
        </w:tc>
        <w:tc>
          <w:tcPr>
            <w:tcW w:w="7205" w:type="dxa"/>
            <w:tcBorders>
              <w:right w:val="single" w:color="000000" w:sz="2" w:space="0"/>
            </w:tcBorders>
            <w:vAlign w:val="center"/>
          </w:tcPr>
          <w:p w14:paraId="2A47E27A">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tc>
      </w:tr>
      <w:tr w14:paraId="1614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6E955691">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3.1.1</w:t>
            </w:r>
          </w:p>
        </w:tc>
        <w:tc>
          <w:tcPr>
            <w:tcW w:w="1712" w:type="dxa"/>
            <w:vAlign w:val="center"/>
          </w:tcPr>
          <w:p w14:paraId="46A934F2">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构成投标文件的</w:t>
            </w:r>
          </w:p>
          <w:p w14:paraId="74FE9535">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其他资料</w:t>
            </w:r>
          </w:p>
        </w:tc>
        <w:tc>
          <w:tcPr>
            <w:tcW w:w="7205" w:type="dxa"/>
            <w:tcBorders>
              <w:right w:val="single" w:color="000000" w:sz="2" w:space="0"/>
            </w:tcBorders>
            <w:vAlign w:val="center"/>
          </w:tcPr>
          <w:p w14:paraId="6B04AFD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见第七章《投标文件格式》要求</w:t>
            </w:r>
          </w:p>
        </w:tc>
      </w:tr>
      <w:tr w14:paraId="0A1C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046A7BA6">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3.2.4</w:t>
            </w:r>
          </w:p>
        </w:tc>
        <w:tc>
          <w:tcPr>
            <w:tcW w:w="1712" w:type="dxa"/>
            <w:vAlign w:val="center"/>
          </w:tcPr>
          <w:p w14:paraId="3DCDD99D">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最高投标限价</w:t>
            </w:r>
          </w:p>
        </w:tc>
        <w:tc>
          <w:tcPr>
            <w:tcW w:w="7205" w:type="dxa"/>
            <w:tcBorders>
              <w:right w:val="single" w:color="000000" w:sz="2" w:space="0"/>
            </w:tcBorders>
            <w:vAlign w:val="center"/>
          </w:tcPr>
          <w:p w14:paraId="140D5CD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本项目的最高投标限价详见本项目的招标公告。</w:t>
            </w:r>
          </w:p>
          <w:p w14:paraId="500FF8A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注：投标总报价不得超过最高投标限价，各分项的投标报价均不得超过相应分项的最高投标限价。</w:t>
            </w:r>
          </w:p>
        </w:tc>
      </w:tr>
      <w:tr w14:paraId="7F0E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3A6C5921">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3.2.5</w:t>
            </w:r>
          </w:p>
        </w:tc>
        <w:tc>
          <w:tcPr>
            <w:tcW w:w="1712" w:type="dxa"/>
            <w:vAlign w:val="center"/>
          </w:tcPr>
          <w:p w14:paraId="0D9A1E21">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投标报价的要求</w:t>
            </w:r>
          </w:p>
        </w:tc>
        <w:tc>
          <w:tcPr>
            <w:tcW w:w="7205" w:type="dxa"/>
            <w:tcBorders>
              <w:right w:val="single" w:color="000000" w:sz="2" w:space="0"/>
            </w:tcBorders>
            <w:vAlign w:val="center"/>
          </w:tcPr>
          <w:p w14:paraId="096B315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rPr>
            </w:pPr>
            <w:r>
              <w:rPr>
                <w:rFonts w:hint="eastAsia"/>
                <w:color w:val="auto"/>
                <w:spacing w:val="0"/>
                <w:w w:val="100"/>
                <w:position w:val="0"/>
                <w:highlight w:val="none"/>
                <w:lang w:eastAsia="zh-CN"/>
              </w:rPr>
              <w:t>投标报价由设计费、工程施工费组成。</w:t>
            </w:r>
            <w:r>
              <w:rPr>
                <w:rFonts w:hint="eastAsia"/>
                <w:color w:val="auto"/>
                <w:spacing w:val="0"/>
                <w:w w:val="100"/>
                <w:position w:val="0"/>
                <w:highlight w:val="none"/>
              </w:rPr>
              <w:t>详见合同文件。</w:t>
            </w:r>
          </w:p>
          <w:p w14:paraId="57634925">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color w:val="auto"/>
                <w:spacing w:val="0"/>
                <w:w w:val="100"/>
                <w:position w:val="0"/>
                <w:highlight w:val="none"/>
                <w:lang w:eastAsia="zh-CN"/>
              </w:rPr>
              <w:t>工程（工程施工费）成本警示价</w:t>
            </w:r>
            <w:r>
              <w:rPr>
                <w:rFonts w:hint="eastAsia"/>
                <w:color w:val="auto"/>
                <w:spacing w:val="0"/>
                <w:w w:val="100"/>
                <w:position w:val="0"/>
                <w:highlight w:val="none"/>
                <w:lang w:eastAsia="zh-CN"/>
              </w:rPr>
              <w:t>：工程（工程施工费）成本警戒价为工程施工费最高投标限价的85%（即人民币</w:t>
            </w:r>
            <w:r>
              <w:rPr>
                <w:rFonts w:hint="eastAsia"/>
                <w:color w:val="auto"/>
                <w:spacing w:val="0"/>
                <w:w w:val="100"/>
                <w:position w:val="0"/>
                <w:highlight w:val="none"/>
                <w:u w:val="single"/>
                <w:lang w:val="en-US" w:eastAsia="zh-CN"/>
              </w:rPr>
              <w:t>13587250.00</w:t>
            </w:r>
            <w:r>
              <w:rPr>
                <w:rFonts w:hint="eastAsia"/>
                <w:color w:val="auto"/>
                <w:spacing w:val="0"/>
                <w:w w:val="100"/>
                <w:position w:val="0"/>
                <w:highlight w:val="none"/>
                <w:lang w:eastAsia="zh-CN"/>
              </w:rPr>
              <w:t>元）</w:t>
            </w:r>
          </w:p>
          <w:p w14:paraId="6FE03C7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对低于该警戒价的工程施工费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776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942" w:type="dxa"/>
            <w:tcBorders>
              <w:left w:val="single" w:color="000000" w:sz="2" w:space="0"/>
            </w:tcBorders>
            <w:vAlign w:val="center"/>
          </w:tcPr>
          <w:p w14:paraId="629D715B">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3.3.1</w:t>
            </w:r>
          </w:p>
        </w:tc>
        <w:tc>
          <w:tcPr>
            <w:tcW w:w="1712" w:type="dxa"/>
            <w:vAlign w:val="center"/>
          </w:tcPr>
          <w:p w14:paraId="2D73A659">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投标有效期</w:t>
            </w:r>
          </w:p>
        </w:tc>
        <w:tc>
          <w:tcPr>
            <w:tcW w:w="7205" w:type="dxa"/>
            <w:tcBorders>
              <w:right w:val="single" w:color="000000" w:sz="2" w:space="0"/>
            </w:tcBorders>
            <w:vAlign w:val="center"/>
          </w:tcPr>
          <w:p w14:paraId="43F0757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u w:val="single"/>
                <w:lang w:eastAsia="zh-CN"/>
              </w:rPr>
              <w:t>120</w:t>
            </w:r>
            <w:r>
              <w:rPr>
                <w:rFonts w:hint="eastAsia"/>
                <w:color w:val="auto"/>
                <w:spacing w:val="0"/>
                <w:w w:val="100"/>
                <w:position w:val="0"/>
                <w:highlight w:val="none"/>
                <w:lang w:eastAsia="zh-CN"/>
              </w:rPr>
              <w:t>日历天（从递交投标文件截止之日计起），如出现异议或投诉，则投标有效期自动延长至异议或投诉处理结束，确定中标人并发放中标通知书为止。</w:t>
            </w:r>
          </w:p>
        </w:tc>
      </w:tr>
      <w:tr w14:paraId="6AB1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jc w:val="center"/>
        </w:trPr>
        <w:tc>
          <w:tcPr>
            <w:tcW w:w="942" w:type="dxa"/>
            <w:tcBorders>
              <w:left w:val="single" w:color="000000" w:sz="2" w:space="0"/>
            </w:tcBorders>
            <w:vAlign w:val="center"/>
          </w:tcPr>
          <w:p w14:paraId="79B78589">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3.4.1</w:t>
            </w:r>
          </w:p>
        </w:tc>
        <w:tc>
          <w:tcPr>
            <w:tcW w:w="1712" w:type="dxa"/>
            <w:vAlign w:val="center"/>
          </w:tcPr>
          <w:p w14:paraId="26729274">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投标保证金</w:t>
            </w:r>
          </w:p>
        </w:tc>
        <w:tc>
          <w:tcPr>
            <w:tcW w:w="7205" w:type="dxa"/>
            <w:tcBorders>
              <w:right w:val="single" w:color="000000" w:sz="2" w:space="0"/>
            </w:tcBorders>
            <w:vAlign w:val="center"/>
          </w:tcPr>
          <w:p w14:paraId="5248B8E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b/>
                <w:bCs/>
                <w:color w:val="auto"/>
                <w:spacing w:val="0"/>
                <w:w w:val="100"/>
                <w:position w:val="0"/>
                <w:highlight w:val="none"/>
                <w:lang w:eastAsia="zh-CN"/>
              </w:rPr>
              <w:t>投标担保的金额：</w:t>
            </w:r>
            <w:r>
              <w:rPr>
                <w:rFonts w:hint="eastAsia"/>
                <w:color w:val="auto"/>
                <w:spacing w:val="0"/>
                <w:w w:val="100"/>
                <w:position w:val="0"/>
                <w:highlight w:val="none"/>
                <w:lang w:eastAsia="zh-CN"/>
              </w:rPr>
              <w:t>人民币</w:t>
            </w:r>
            <w:r>
              <w:rPr>
                <w:rFonts w:hint="eastAsia"/>
                <w:b/>
                <w:bCs/>
                <w:color w:val="auto"/>
                <w:spacing w:val="0"/>
                <w:w w:val="100"/>
                <w:position w:val="0"/>
                <w:highlight w:val="none"/>
                <w:u w:val="single"/>
                <w:lang w:val="en-US" w:eastAsia="zh-CN"/>
              </w:rPr>
              <w:t>贰拾</w:t>
            </w:r>
            <w:r>
              <w:rPr>
                <w:rFonts w:hint="eastAsia"/>
                <w:color w:val="auto"/>
                <w:spacing w:val="0"/>
                <w:w w:val="100"/>
                <w:position w:val="0"/>
                <w:highlight w:val="none"/>
                <w:lang w:eastAsia="zh-CN"/>
              </w:rPr>
              <w:t>万元。</w:t>
            </w:r>
          </w:p>
          <w:p w14:paraId="23059BD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缴纳时间：投标担保，须在递交投标文件截止时间前完成缴纳，</w:t>
            </w:r>
            <w:r>
              <w:rPr>
                <w:rFonts w:hint="eastAsia"/>
                <w:b/>
                <w:bCs/>
                <w:color w:val="auto"/>
                <w:spacing w:val="0"/>
                <w:w w:val="100"/>
                <w:position w:val="0"/>
                <w:highlight w:val="none"/>
                <w:u w:val="single"/>
                <w:lang w:eastAsia="zh-CN"/>
              </w:rPr>
              <w:t>对于联合体投标人，投标担保由联合体主办方缴纳</w:t>
            </w:r>
            <w:r>
              <w:rPr>
                <w:rFonts w:hint="eastAsia"/>
                <w:color w:val="auto"/>
                <w:spacing w:val="0"/>
                <w:w w:val="100"/>
                <w:position w:val="0"/>
                <w:highlight w:val="none"/>
                <w:lang w:eastAsia="zh-CN"/>
              </w:rPr>
              <w:t>。</w:t>
            </w:r>
          </w:p>
          <w:p w14:paraId="24DD22F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1、投标保证金可采用现金、支票、汇票、信用证、保函、保险等能够实现保证目的的方式。</w:t>
            </w:r>
          </w:p>
          <w:p w14:paraId="355FA6E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14:paraId="6688196D">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3、如采用非电子形式的投标保函或投标保证保险【银行保函或保险需开具给招标人（受益人也必须是招标人）。】提交投标保证金的，在开标前不强制要求投标人提交纸质原件，由中标候选人在中标候选人公示前提交并在网上公示，投标人应在投标文件中提交投标保函或投标保证保险</w:t>
            </w:r>
            <w:r>
              <w:rPr>
                <w:rFonts w:hint="eastAsia"/>
                <w:color w:val="auto"/>
                <w:spacing w:val="0"/>
                <w:w w:val="100"/>
                <w:position w:val="0"/>
                <w:highlight w:val="none"/>
                <w:lang w:val="en-US" w:eastAsia="zh-CN"/>
              </w:rPr>
              <w:t>扫描</w:t>
            </w:r>
            <w:r>
              <w:rPr>
                <w:rFonts w:hint="eastAsia"/>
                <w:color w:val="auto"/>
                <w:spacing w:val="0"/>
                <w:w w:val="100"/>
                <w:position w:val="0"/>
                <w:highlight w:val="none"/>
                <w:lang w:eastAsia="zh-CN"/>
              </w:rPr>
              <w:t>件并加盖投标人公章。</w:t>
            </w:r>
          </w:p>
          <w:p w14:paraId="537C44A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纸质保函或保险等凭证纸质原件也可在投标截止时间前将原件单独密封（封口处加盖投标人单位公章）递交至开标室。递交纸质保函或保险等凭证纸质原件时需提供法定代表人证明书；委托投标的还应提供</w:t>
            </w:r>
            <w:r>
              <w:rPr>
                <w:rFonts w:hint="eastAsia"/>
                <w:color w:val="auto"/>
                <w:spacing w:val="0"/>
                <w:w w:val="100"/>
                <w:position w:val="0"/>
                <w:highlight w:val="none"/>
                <w:lang w:val="en-US" w:eastAsia="zh-CN"/>
              </w:rPr>
              <w:t>法定代表人授权委托</w:t>
            </w:r>
            <w:r>
              <w:rPr>
                <w:rFonts w:hint="eastAsia"/>
                <w:color w:val="auto"/>
                <w:spacing w:val="0"/>
                <w:w w:val="100"/>
                <w:position w:val="0"/>
                <w:highlight w:val="none"/>
                <w:lang w:eastAsia="zh-CN"/>
              </w:rPr>
              <w:t>书。</w:t>
            </w:r>
          </w:p>
          <w:p w14:paraId="0425F1A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4、采用电子保函提交投标保证金的，具体操作要求详见广州公共资源交易中心有关指引，递交事宜请自行咨询交易中心。</w:t>
            </w:r>
          </w:p>
          <w:p w14:paraId="128D36D3">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5、投标保证金有效期应当与投标有效期一致。</w:t>
            </w:r>
          </w:p>
          <w:p w14:paraId="09C0538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6、关于信用良好企业免收投标保证金的说明：</w:t>
            </w:r>
          </w:p>
          <w:p w14:paraId="74E8409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格式自拟）。没有按上述要求提供证明材料的投标人，不免于缴纳投标保证金。</w:t>
            </w:r>
          </w:p>
          <w:p w14:paraId="288EB98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7、关于中小企业免收投标保证金的说明：</w:t>
            </w:r>
          </w:p>
          <w:p w14:paraId="65AEB4A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属于中小企业（包括中型、小型和微型企业）的投标人应在投标文件中提供属于中小企业的资料，可免交投标保证金：提供自行查询企业划型截图（以https://baosong.miit.gov.cn/ScaleTest网址查询结果为准，网页截图需包含网址信息。若联合体投标的，联合体各方均应提供且均应为中型、小型和微型企业）和《中小企业声明函》、《关于投标保证金的承诺》（格式自拟）。中小企业的划型标准依据《关于印发中小企业划型标准规定的通知》（工信部联企业</w:t>
            </w:r>
            <w:r>
              <w:rPr>
                <w:rFonts w:hint="eastAsia"/>
                <w:color w:val="auto"/>
                <w:spacing w:val="0"/>
                <w:w w:val="100"/>
                <w:position w:val="0"/>
                <w:highlight w:val="none"/>
                <w:lang w:val="en-US" w:eastAsia="zh-CN"/>
              </w:rPr>
              <w:t>〔</w:t>
            </w:r>
            <w:r>
              <w:rPr>
                <w:rFonts w:hint="eastAsia"/>
                <w:color w:val="auto"/>
                <w:spacing w:val="0"/>
                <w:w w:val="100"/>
                <w:position w:val="0"/>
                <w:highlight w:val="none"/>
                <w:lang w:eastAsia="zh-CN"/>
              </w:rPr>
              <w:t>2011</w:t>
            </w:r>
            <w:r>
              <w:rPr>
                <w:rFonts w:hint="eastAsia"/>
                <w:color w:val="auto"/>
                <w:spacing w:val="0"/>
                <w:w w:val="100"/>
                <w:position w:val="0"/>
                <w:highlight w:val="none"/>
                <w:lang w:val="en-US" w:eastAsia="zh-CN"/>
              </w:rPr>
              <w:t>〕</w:t>
            </w:r>
            <w:r>
              <w:rPr>
                <w:rFonts w:hint="eastAsia"/>
                <w:color w:val="auto"/>
                <w:spacing w:val="0"/>
                <w:w w:val="100"/>
                <w:position w:val="0"/>
                <w:highlight w:val="none"/>
                <w:lang w:eastAsia="zh-CN"/>
              </w:rPr>
              <w:t>300号）执行。没有按上述要求提供证明材料的投标人，不免于缴纳投标保证金。</w:t>
            </w:r>
          </w:p>
        </w:tc>
      </w:tr>
      <w:tr w14:paraId="0314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942" w:type="dxa"/>
            <w:tcBorders>
              <w:left w:val="single" w:color="000000" w:sz="2" w:space="0"/>
            </w:tcBorders>
            <w:vAlign w:val="center"/>
          </w:tcPr>
          <w:p w14:paraId="6DC4ECAC">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3.6</w:t>
            </w:r>
          </w:p>
        </w:tc>
        <w:tc>
          <w:tcPr>
            <w:tcW w:w="1712" w:type="dxa"/>
            <w:vAlign w:val="center"/>
          </w:tcPr>
          <w:p w14:paraId="2B113666">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ascii="宋体" w:hAnsi="宋体" w:eastAsia="宋体" w:cs="宋体"/>
                <w:color w:val="auto"/>
                <w:spacing w:val="0"/>
                <w:w w:val="100"/>
                <w:position w:val="0"/>
                <w:sz w:val="20"/>
                <w:szCs w:val="20"/>
                <w:highlight w:val="none"/>
              </w:rPr>
            </w:pPr>
            <w:r>
              <w:rPr>
                <w:rFonts w:hint="eastAsia"/>
                <w:color w:val="auto"/>
                <w:spacing w:val="0"/>
                <w:w w:val="100"/>
                <w:position w:val="0"/>
                <w:highlight w:val="none"/>
              </w:rPr>
              <w:t>是否允许递交</w:t>
            </w:r>
          </w:p>
          <w:p w14:paraId="04BC9C2F">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备选投标方案</w:t>
            </w:r>
          </w:p>
        </w:tc>
        <w:tc>
          <w:tcPr>
            <w:tcW w:w="7205" w:type="dxa"/>
            <w:tcBorders>
              <w:right w:val="single" w:color="000000" w:sz="2" w:space="0"/>
            </w:tcBorders>
            <w:vAlign w:val="center"/>
          </w:tcPr>
          <w:p w14:paraId="5E36FBF9">
            <w:pPr>
              <w:pStyle w:val="20"/>
              <w:keepNext w:val="0"/>
              <w:keepLines w:val="0"/>
              <w:pageBreakBefore w:val="0"/>
              <w:widowControl/>
              <w:kinsoku/>
              <w:wordWrap/>
              <w:overflowPunct w:val="0"/>
              <w:topLinePunct/>
              <w:autoSpaceDE/>
              <w:autoSpaceDN/>
              <w:bidi w:val="0"/>
              <w:adjustRightInd w:val="0"/>
              <w:snapToGrid w:val="0"/>
              <w:spacing w:line="288" w:lineRule="auto"/>
              <w:ind w:left="42" w:leftChars="20"/>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rPr>
              <w:t>■不</w:t>
            </w:r>
            <w:r>
              <w:rPr>
                <w:rFonts w:hint="eastAsia"/>
                <w:color w:val="auto"/>
                <w:spacing w:val="0"/>
                <w:w w:val="100"/>
                <w:position w:val="0"/>
                <w:highlight w:val="none"/>
                <w:lang w:eastAsia="zh-CN"/>
              </w:rPr>
              <w:t>允许</w:t>
            </w:r>
          </w:p>
          <w:p w14:paraId="7D8E07E1">
            <w:pPr>
              <w:pStyle w:val="20"/>
              <w:keepNext w:val="0"/>
              <w:keepLines w:val="0"/>
              <w:pageBreakBefore w:val="0"/>
              <w:widowControl/>
              <w:kinsoku/>
              <w:wordWrap/>
              <w:overflowPunct w:val="0"/>
              <w:topLinePunct/>
              <w:autoSpaceDE/>
              <w:autoSpaceDN/>
              <w:bidi w:val="0"/>
              <w:adjustRightInd w:val="0"/>
              <w:snapToGrid w:val="0"/>
              <w:spacing w:line="288" w:lineRule="auto"/>
              <w:ind w:left="42" w:leftChars="20"/>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rPr>
              <w:t>□允许</w:t>
            </w:r>
          </w:p>
        </w:tc>
      </w:tr>
      <w:tr w14:paraId="7C295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62A7888A">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3.7.3</w:t>
            </w:r>
          </w:p>
        </w:tc>
        <w:tc>
          <w:tcPr>
            <w:tcW w:w="1712" w:type="dxa"/>
            <w:vAlign w:val="center"/>
          </w:tcPr>
          <w:p w14:paraId="1431451F">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签字或盖章要求</w:t>
            </w:r>
          </w:p>
        </w:tc>
        <w:tc>
          <w:tcPr>
            <w:tcW w:w="7205" w:type="dxa"/>
            <w:tcBorders>
              <w:right w:val="single" w:color="000000" w:sz="2" w:space="0"/>
            </w:tcBorders>
            <w:vAlign w:val="center"/>
          </w:tcPr>
          <w:p w14:paraId="10A9E05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b/>
                <w:bCs/>
                <w:color w:val="auto"/>
                <w:spacing w:val="0"/>
                <w:w w:val="100"/>
                <w:position w:val="0"/>
                <w:highlight w:val="none"/>
                <w:u w:val="single"/>
                <w:lang w:eastAsia="zh-CN"/>
              </w:rPr>
            </w:pPr>
            <w:r>
              <w:rPr>
                <w:rFonts w:hint="eastAsia"/>
                <w:b/>
                <w:bCs/>
                <w:color w:val="auto"/>
                <w:spacing w:val="0"/>
                <w:w w:val="100"/>
                <w:position w:val="0"/>
                <w:highlight w:val="none"/>
                <w:u w:val="single"/>
                <w:lang w:eastAsia="zh-CN"/>
              </w:rPr>
              <w:t>1、设计方案文件要求按本须知第3.1款的要求；</w:t>
            </w:r>
          </w:p>
          <w:p w14:paraId="3DD4AFE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u w:val="single"/>
                <w:lang w:val="en-US" w:eastAsia="zh-CN"/>
              </w:rPr>
              <w:t>2、</w:t>
            </w:r>
            <w:r>
              <w:rPr>
                <w:rFonts w:hint="eastAsia"/>
                <w:bCs/>
                <w:color w:val="auto"/>
                <w:spacing w:val="0"/>
                <w:w w:val="100"/>
                <w:position w:val="0"/>
                <w:highlight w:val="none"/>
                <w:u w:val="single"/>
                <w:lang w:val="en-US" w:eastAsia="zh-CN"/>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eastAsia="宋体"/>
                <w:color w:val="auto"/>
                <w:spacing w:val="0"/>
                <w:w w:val="100"/>
                <w:position w:val="0"/>
                <w:highlight w:val="none"/>
                <w:u w:val="single"/>
                <w:lang w:eastAsia="zh-CN"/>
              </w:rPr>
              <w:t>广州交易集团有限公司（广州公共资源交易中心）</w:t>
            </w:r>
            <w:r>
              <w:rPr>
                <w:rFonts w:hint="eastAsia"/>
                <w:color w:val="auto"/>
                <w:spacing w:val="0"/>
                <w:w w:val="100"/>
                <w:position w:val="0"/>
                <w:highlight w:val="none"/>
                <w:u w:val="single"/>
              </w:rPr>
              <w:t>网站最新发布的</w:t>
            </w:r>
            <w:r>
              <w:rPr>
                <w:rFonts w:hint="eastAsia"/>
                <w:bCs/>
                <w:color w:val="auto"/>
                <w:spacing w:val="0"/>
                <w:w w:val="100"/>
                <w:position w:val="0"/>
                <w:highlight w:val="none"/>
                <w:u w:val="single"/>
                <w:lang w:val="en-US" w:eastAsia="zh-CN"/>
              </w:rPr>
              <w:t>指南</w:t>
            </w:r>
            <w:r>
              <w:rPr>
                <w:rFonts w:hint="eastAsia"/>
                <w:color w:val="auto"/>
                <w:spacing w:val="0"/>
                <w:w w:val="100"/>
                <w:position w:val="0"/>
                <w:highlight w:val="none"/>
                <w:u w:val="single"/>
                <w:lang w:eastAsia="zh-CN"/>
              </w:rPr>
              <w:t>。</w:t>
            </w:r>
          </w:p>
          <w:p w14:paraId="60EC62B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b/>
                <w:bCs/>
                <w:color w:val="auto"/>
                <w:spacing w:val="0"/>
                <w:w w:val="100"/>
                <w:position w:val="0"/>
                <w:highlight w:val="none"/>
                <w:lang w:eastAsia="zh-CN"/>
              </w:rPr>
            </w:pPr>
            <w:r>
              <w:rPr>
                <w:rFonts w:hint="eastAsia"/>
                <w:b/>
                <w:bCs/>
                <w:color w:val="auto"/>
                <w:spacing w:val="0"/>
                <w:w w:val="100"/>
                <w:position w:val="0"/>
                <w:highlight w:val="none"/>
                <w:lang w:val="en-US" w:eastAsia="zh-CN"/>
              </w:rPr>
              <w:t>3、</w:t>
            </w:r>
            <w:r>
              <w:rPr>
                <w:rFonts w:hint="eastAsia"/>
                <w:b/>
                <w:bCs/>
                <w:color w:val="auto"/>
                <w:spacing w:val="0"/>
                <w:w w:val="100"/>
                <w:position w:val="0"/>
                <w:highlight w:val="none"/>
                <w:lang w:eastAsia="zh-CN"/>
              </w:rPr>
              <w:t>联合体投标</w:t>
            </w:r>
            <w:r>
              <w:rPr>
                <w:rFonts w:hint="eastAsia"/>
                <w:b/>
                <w:bCs/>
                <w:color w:val="auto"/>
                <w:spacing w:val="0"/>
                <w:w w:val="100"/>
                <w:position w:val="0"/>
                <w:highlight w:val="none"/>
                <w:lang w:val="en-US" w:eastAsia="zh-CN"/>
              </w:rPr>
              <w:t>的</w:t>
            </w:r>
            <w:r>
              <w:rPr>
                <w:rFonts w:hint="eastAsia"/>
                <w:b/>
                <w:bCs/>
                <w:color w:val="auto"/>
                <w:spacing w:val="0"/>
                <w:w w:val="100"/>
                <w:position w:val="0"/>
                <w:highlight w:val="none"/>
                <w:lang w:eastAsia="zh-CN"/>
              </w:rPr>
              <w:t>，电子投标文件统一由联合体主办方进行电子印章，并在交易平台网站办理网上投标登记手续，开标评标均以联合体主办方通过交易平台网上递交的电子投标文件为准。</w:t>
            </w:r>
          </w:p>
          <w:p w14:paraId="10F778AA">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b/>
                <w:bCs/>
                <w:color w:val="auto"/>
                <w:spacing w:val="0"/>
                <w:w w:val="100"/>
                <w:position w:val="0"/>
                <w:highlight w:val="none"/>
                <w:lang w:eastAsia="zh-CN"/>
              </w:rPr>
            </w:pPr>
            <w:r>
              <w:rPr>
                <w:rFonts w:hint="eastAsia"/>
                <w:b/>
                <w:bCs/>
                <w:color w:val="auto"/>
                <w:spacing w:val="0"/>
                <w:w w:val="100"/>
                <w:position w:val="0"/>
                <w:highlight w:val="none"/>
                <w:lang w:val="en-US" w:eastAsia="zh-CN"/>
              </w:rPr>
              <w:t>4、</w:t>
            </w:r>
            <w:r>
              <w:rPr>
                <w:rFonts w:hint="eastAsia"/>
                <w:b/>
                <w:bCs/>
                <w:color w:val="auto"/>
                <w:spacing w:val="0"/>
                <w:w w:val="100"/>
                <w:position w:val="0"/>
                <w:highlight w:val="none"/>
                <w:lang w:eastAsia="zh-CN"/>
              </w:rPr>
              <w:t>联合体投标</w:t>
            </w:r>
            <w:r>
              <w:rPr>
                <w:rFonts w:hint="eastAsia"/>
                <w:b/>
                <w:bCs/>
                <w:color w:val="auto"/>
                <w:spacing w:val="0"/>
                <w:w w:val="100"/>
                <w:position w:val="0"/>
                <w:highlight w:val="none"/>
                <w:lang w:val="en-US" w:eastAsia="zh-CN"/>
              </w:rPr>
              <w:t>时</w:t>
            </w:r>
            <w:r>
              <w:rPr>
                <w:rFonts w:hint="eastAsia"/>
                <w:b/>
                <w:bCs/>
                <w:color w:val="auto"/>
                <w:spacing w:val="0"/>
                <w:w w:val="100"/>
                <w:position w:val="0"/>
                <w:highlight w:val="none"/>
                <w:lang w:eastAsia="zh-CN"/>
              </w:rPr>
              <w:t>，除联合体投标协议书必须联合体各方分别按要求进行签字或盖章外，其他资料若需要签字或盖章的均可由联合体主办方签字或盖章；投标资料封面及其他内容及落款中的“投标人”“投标单位”“声明企业”</w:t>
            </w:r>
            <w:r>
              <w:rPr>
                <w:rFonts w:hint="eastAsia"/>
                <w:b/>
                <w:bCs/>
                <w:color w:val="auto"/>
                <w:spacing w:val="0"/>
                <w:w w:val="100"/>
                <w:position w:val="0"/>
                <w:highlight w:val="none"/>
                <w:lang w:val="en-US" w:eastAsia="zh-CN"/>
              </w:rPr>
              <w:t>等，</w:t>
            </w:r>
            <w:r>
              <w:rPr>
                <w:rFonts w:hint="eastAsia"/>
                <w:b/>
                <w:bCs/>
                <w:color w:val="auto"/>
                <w:spacing w:val="0"/>
                <w:w w:val="100"/>
                <w:position w:val="0"/>
                <w:highlight w:val="none"/>
                <w:lang w:eastAsia="zh-CN"/>
              </w:rPr>
              <w:t>应填写联合体各方的单位全称【格式表示为：（主）单位全称（成）单位全称……】，由联合体主办方签字或盖章即可。</w:t>
            </w:r>
          </w:p>
          <w:p w14:paraId="3083197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b/>
                <w:bCs/>
                <w:color w:val="auto"/>
                <w:spacing w:val="0"/>
                <w:w w:val="100"/>
                <w:position w:val="0"/>
                <w:highlight w:val="none"/>
                <w:u w:val="single"/>
                <w:lang w:eastAsia="zh-CN"/>
              </w:rPr>
            </w:pPr>
            <w:r>
              <w:rPr>
                <w:rFonts w:hint="eastAsia"/>
                <w:b/>
                <w:bCs/>
                <w:color w:val="auto"/>
                <w:spacing w:val="0"/>
                <w:w w:val="100"/>
                <w:position w:val="0"/>
                <w:highlight w:val="none"/>
                <w:u w:val="single"/>
                <w:lang w:val="en-US" w:eastAsia="zh-CN"/>
              </w:rPr>
              <w:t>5、法定代表人证明书、法定代表人授权委托书由联合体主办方落款出具，并由主办方签字或盖章。</w:t>
            </w:r>
          </w:p>
          <w:p w14:paraId="7FFFA21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b/>
                <w:bCs/>
                <w:color w:val="auto"/>
                <w:spacing w:val="0"/>
                <w:w w:val="100"/>
                <w:position w:val="0"/>
                <w:highlight w:val="none"/>
                <w:lang w:eastAsia="zh-CN"/>
              </w:rPr>
            </w:pPr>
            <w:r>
              <w:rPr>
                <w:rFonts w:hint="eastAsia" w:ascii="宋体" w:hAnsi="Times New Roman" w:eastAsia="Times New Roman" w:cs="宋体"/>
                <w:b/>
                <w:bCs/>
                <w:color w:val="auto"/>
                <w:spacing w:val="0"/>
                <w:w w:val="100"/>
                <w:position w:val="0"/>
                <w:highlight w:val="none"/>
                <w:u w:val="single"/>
                <w:lang w:val="zh-CN"/>
              </w:rPr>
              <w:t>注：投标文件电子文档需要投标人单位盖章的材料，投标人加盖电子印章即可，不得将投标人未对电子文档加盖实物印章作为否决投标的情形。</w:t>
            </w:r>
          </w:p>
        </w:tc>
      </w:tr>
      <w:tr w14:paraId="6867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1042525C">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default" w:eastAsia="宋体"/>
                <w:color w:val="auto"/>
                <w:spacing w:val="0"/>
                <w:w w:val="100"/>
                <w:position w:val="0"/>
                <w:highlight w:val="none"/>
                <w:lang w:val="en-US" w:eastAsia="zh-CN"/>
              </w:rPr>
            </w:pPr>
            <w:r>
              <w:rPr>
                <w:rFonts w:hint="eastAsia"/>
                <w:color w:val="auto"/>
                <w:spacing w:val="0"/>
                <w:w w:val="100"/>
                <w:position w:val="0"/>
                <w:highlight w:val="none"/>
                <w:lang w:val="en-US" w:eastAsia="zh-CN"/>
              </w:rPr>
              <w:t>4.1.2</w:t>
            </w:r>
          </w:p>
        </w:tc>
        <w:tc>
          <w:tcPr>
            <w:tcW w:w="1712" w:type="dxa"/>
            <w:vAlign w:val="center"/>
          </w:tcPr>
          <w:p w14:paraId="6D604614">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封套上应载明</w:t>
            </w:r>
          </w:p>
          <w:p w14:paraId="62658FC6">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的信息</w:t>
            </w:r>
          </w:p>
        </w:tc>
        <w:tc>
          <w:tcPr>
            <w:tcW w:w="7205" w:type="dxa"/>
            <w:tcBorders>
              <w:right w:val="single" w:color="000000" w:sz="2" w:space="0"/>
            </w:tcBorders>
            <w:vAlign w:val="center"/>
          </w:tcPr>
          <w:p w14:paraId="1B7A6A3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Times New Roman" w:eastAsia="Times New Roman" w:cs="宋体"/>
                <w:b/>
                <w:bCs/>
                <w:color w:val="auto"/>
                <w:spacing w:val="0"/>
                <w:w w:val="100"/>
                <w:position w:val="0"/>
                <w:highlight w:val="none"/>
                <w:u w:val="single"/>
                <w:lang w:val="zh-CN"/>
              </w:rPr>
            </w:pPr>
            <w:r>
              <w:rPr>
                <w:rFonts w:hint="eastAsia" w:ascii="宋体" w:hAnsi="宋体" w:eastAsia="宋体" w:cs="宋体"/>
                <w:color w:val="auto"/>
                <w:spacing w:val="0"/>
                <w:w w:val="100"/>
                <w:position w:val="0"/>
                <w:sz w:val="21"/>
                <w:szCs w:val="21"/>
                <w:highlight w:val="none"/>
              </w:rPr>
              <w:t xml:space="preserve">  </w:t>
            </w:r>
            <w:r>
              <w:rPr>
                <w:rFonts w:hint="eastAsia" w:ascii="宋体" w:hAnsi="宋体" w:eastAsia="宋体" w:cs="宋体"/>
                <w:color w:val="auto"/>
                <w:spacing w:val="0"/>
                <w:w w:val="100"/>
                <w:position w:val="0"/>
                <w:highlight w:val="none"/>
                <w:lang w:eastAsia="zh-CN"/>
              </w:rPr>
              <w:t xml:space="preserve">/  </w:t>
            </w:r>
          </w:p>
        </w:tc>
      </w:tr>
      <w:tr w14:paraId="72A2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7CEDDE4A">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4.2.2</w:t>
            </w:r>
          </w:p>
        </w:tc>
        <w:tc>
          <w:tcPr>
            <w:tcW w:w="1712" w:type="dxa"/>
            <w:vAlign w:val="center"/>
          </w:tcPr>
          <w:p w14:paraId="430F67C3">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递交投标文件地点</w:t>
            </w:r>
          </w:p>
        </w:tc>
        <w:tc>
          <w:tcPr>
            <w:tcW w:w="7205" w:type="dxa"/>
            <w:tcBorders>
              <w:right w:val="single" w:color="000000" w:sz="2" w:space="0"/>
            </w:tcBorders>
            <w:vAlign w:val="center"/>
          </w:tcPr>
          <w:p w14:paraId="2F74DB6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投标人应在投标</w:t>
            </w:r>
            <w:r>
              <w:rPr>
                <w:rFonts w:hint="eastAsia"/>
                <w:b/>
                <w:bCs/>
                <w:color w:val="auto"/>
                <w:spacing w:val="0"/>
                <w:w w:val="100"/>
                <w:position w:val="0"/>
                <w:highlight w:val="none"/>
                <w:u w:val="single"/>
                <w:lang w:eastAsia="zh-CN"/>
              </w:rPr>
              <w:t>文件递交截止时间前通过广州交易集团有限公司（广州公共资源交易中心）数字</w:t>
            </w:r>
            <w:r>
              <w:rPr>
                <w:rFonts w:hint="eastAsia"/>
                <w:color w:val="auto"/>
                <w:spacing w:val="0"/>
                <w:w w:val="100"/>
                <w:position w:val="0"/>
                <w:highlight w:val="none"/>
                <w:lang w:eastAsia="zh-CN"/>
              </w:rPr>
              <w:t>交易平台递交电子投标文件。</w:t>
            </w:r>
          </w:p>
        </w:tc>
      </w:tr>
      <w:tr w14:paraId="7A15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74DA63A1">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4.2.3</w:t>
            </w:r>
          </w:p>
        </w:tc>
        <w:tc>
          <w:tcPr>
            <w:tcW w:w="1712" w:type="dxa"/>
            <w:vAlign w:val="center"/>
          </w:tcPr>
          <w:p w14:paraId="22A59395">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是否退还投标文件</w:t>
            </w:r>
          </w:p>
        </w:tc>
        <w:tc>
          <w:tcPr>
            <w:tcW w:w="7205" w:type="dxa"/>
            <w:tcBorders>
              <w:right w:val="single" w:color="000000" w:sz="2" w:space="0"/>
            </w:tcBorders>
            <w:vAlign w:val="center"/>
          </w:tcPr>
          <w:p w14:paraId="464EFC9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rPr>
            </w:pPr>
            <w:r>
              <w:rPr>
                <w:rFonts w:hint="eastAsia"/>
                <w:color w:val="auto"/>
                <w:spacing w:val="0"/>
                <w:w w:val="100"/>
                <w:position w:val="0"/>
                <w:highlight w:val="none"/>
              </w:rPr>
              <w:t>■否</w:t>
            </w:r>
          </w:p>
          <w:p w14:paraId="360D5F9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rPr>
              <w:t>□是</w:t>
            </w:r>
          </w:p>
        </w:tc>
      </w:tr>
      <w:tr w14:paraId="4AD3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100F31C4">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5.1</w:t>
            </w:r>
          </w:p>
        </w:tc>
        <w:tc>
          <w:tcPr>
            <w:tcW w:w="1712" w:type="dxa"/>
            <w:vAlign w:val="center"/>
          </w:tcPr>
          <w:p w14:paraId="0DFD6409">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开标时间和地点</w:t>
            </w:r>
          </w:p>
        </w:tc>
        <w:tc>
          <w:tcPr>
            <w:tcW w:w="7205" w:type="dxa"/>
            <w:tcBorders>
              <w:right w:val="single" w:color="000000" w:sz="2" w:space="0"/>
            </w:tcBorders>
            <w:vAlign w:val="center"/>
          </w:tcPr>
          <w:p w14:paraId="6A132C4E">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u w:val="single"/>
                <w:lang w:eastAsia="zh-CN"/>
              </w:rPr>
            </w:pPr>
            <w:r>
              <w:rPr>
                <w:rFonts w:hint="eastAsia"/>
                <w:color w:val="auto"/>
                <w:spacing w:val="0"/>
                <w:w w:val="100"/>
                <w:position w:val="0"/>
                <w:highlight w:val="none"/>
                <w:lang w:eastAsia="zh-CN"/>
              </w:rPr>
              <w:t>开标开始时间：</w:t>
            </w:r>
            <w:r>
              <w:rPr>
                <w:rFonts w:hint="eastAsia"/>
                <w:color w:val="auto"/>
                <w:spacing w:val="0"/>
                <w:w w:val="100"/>
                <w:position w:val="0"/>
                <w:highlight w:val="none"/>
                <w:u w:val="single"/>
                <w:lang w:eastAsia="zh-CN"/>
              </w:rPr>
              <w:t>开标时间同投标截止时间。</w:t>
            </w:r>
          </w:p>
          <w:p w14:paraId="5584B1A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u w:val="single"/>
                <w:lang w:eastAsia="zh-CN"/>
              </w:rPr>
            </w:pPr>
            <w:r>
              <w:rPr>
                <w:rFonts w:hint="eastAsia"/>
                <w:color w:val="auto"/>
                <w:spacing w:val="0"/>
                <w:w w:val="100"/>
                <w:position w:val="0"/>
                <w:highlight w:val="none"/>
                <w:lang w:eastAsia="zh-CN"/>
              </w:rPr>
              <w:t>地点：</w:t>
            </w:r>
            <w:r>
              <w:rPr>
                <w:rFonts w:hint="eastAsia"/>
                <w:color w:val="auto"/>
                <w:spacing w:val="0"/>
                <w:w w:val="100"/>
                <w:position w:val="0"/>
                <w:highlight w:val="none"/>
                <w:u w:val="single"/>
                <w:lang w:eastAsia="zh-CN"/>
              </w:rPr>
              <w:t>广州交易集团有限公司（广州公共资源交易中心）指定开标室。</w:t>
            </w:r>
          </w:p>
          <w:p w14:paraId="44468BF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具体时间可以到广州交易集团有限公司（广州公共资源交易中心）网站的服务指南中的交易活动安排输入本项目编号或项目名称进行查询。</w:t>
            </w:r>
          </w:p>
        </w:tc>
      </w:tr>
      <w:tr w14:paraId="58B86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4B0A2979">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5.2</w:t>
            </w:r>
          </w:p>
        </w:tc>
        <w:tc>
          <w:tcPr>
            <w:tcW w:w="1712" w:type="dxa"/>
            <w:vAlign w:val="center"/>
          </w:tcPr>
          <w:p w14:paraId="21EEEDCF">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开标程序</w:t>
            </w:r>
          </w:p>
        </w:tc>
        <w:tc>
          <w:tcPr>
            <w:tcW w:w="7205" w:type="dxa"/>
            <w:tcBorders>
              <w:right w:val="single" w:color="000000" w:sz="2" w:space="0"/>
            </w:tcBorders>
            <w:vAlign w:val="center"/>
          </w:tcPr>
          <w:p w14:paraId="15BEF66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主持人按下列程序进行开标：</w:t>
            </w:r>
          </w:p>
          <w:p w14:paraId="4BD8172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（1）宣布开标纪律；</w:t>
            </w:r>
          </w:p>
          <w:p w14:paraId="5E50727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（2）公布在投标截止时间前递交投标文件的投标人名称；</w:t>
            </w:r>
          </w:p>
          <w:p w14:paraId="00E3B48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7A7BD45E">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4）解密完成后，公布：a投标人名称；b投标文件递交情况；c投标文件解密情况；d投标担保递交情况；e项目负责人（施工负责人）、施工技术负责人、专职安全员；f投标总报价；g工期；h质量标准；i投标人的加密打包投标文件电脑机器特征码等主要内容，并记录在案。未在规定时间内解密的投标文件不参与开标、评标。</w:t>
            </w:r>
          </w:p>
          <w:p w14:paraId="45753A8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（5）截标后，开标开始时间因故推迟的，相关评标信息仍以原定的开标开始时间的信息为准。</w:t>
            </w:r>
          </w:p>
          <w:p w14:paraId="67A0655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（6）备用光盘的读取按投标人须知前附表“10电子招标投标”第6点的规定执行。</w:t>
            </w:r>
          </w:p>
          <w:p w14:paraId="4F470A55">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FA163EF">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52C2E2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（9）投标人未参加开标或在规定的时间内未提出异议的，视为对开标无异议。</w:t>
            </w:r>
          </w:p>
          <w:p w14:paraId="60A51B2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（10）开标时，两个（含两个）以上的投标人加密打包投标文件电脑机器特征码一致的，不参与下一程序，并由评标委员会否决其投标。</w:t>
            </w:r>
          </w:p>
          <w:p w14:paraId="110DAD9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（11）</w:t>
            </w:r>
            <w:r>
              <w:rPr>
                <w:rFonts w:hint="eastAsia"/>
                <w:color w:val="auto"/>
                <w:spacing w:val="0"/>
                <w:w w:val="100"/>
                <w:position w:val="0"/>
                <w:highlight w:val="none"/>
              </w:rPr>
              <w:t>投标文件（设计方案）开标时不得开启，在评标时由</w:t>
            </w:r>
            <w:r>
              <w:rPr>
                <w:rFonts w:hint="eastAsia" w:eastAsia="宋体"/>
                <w:color w:val="auto"/>
                <w:spacing w:val="0"/>
                <w:w w:val="100"/>
                <w:position w:val="0"/>
                <w:highlight w:val="none"/>
                <w:lang w:eastAsia="zh-CN"/>
              </w:rPr>
              <w:t>广州公共资源交易中心</w:t>
            </w:r>
            <w:r>
              <w:rPr>
                <w:rFonts w:hint="eastAsia"/>
                <w:color w:val="auto"/>
                <w:spacing w:val="0"/>
                <w:w w:val="100"/>
                <w:position w:val="0"/>
                <w:highlight w:val="none"/>
              </w:rPr>
              <w:t>数字交易平台随机编号后开启，交由评标委员会进行评审。编号所对应的投标人在设计方案评审结束前不得告知评标委员会、</w:t>
            </w:r>
            <w:r>
              <w:rPr>
                <w:rFonts w:hint="eastAsia" w:eastAsia="宋体"/>
                <w:color w:val="auto"/>
                <w:spacing w:val="0"/>
                <w:w w:val="100"/>
                <w:position w:val="0"/>
                <w:highlight w:val="none"/>
                <w:lang w:eastAsia="zh-CN"/>
              </w:rPr>
              <w:t>广州公共资源交易中心</w:t>
            </w:r>
            <w:r>
              <w:rPr>
                <w:rFonts w:hint="eastAsia"/>
                <w:color w:val="auto"/>
                <w:spacing w:val="0"/>
                <w:w w:val="100"/>
                <w:position w:val="0"/>
                <w:highlight w:val="none"/>
              </w:rPr>
              <w:t>数字交易平台工作人员、招标人或招标代理机构</w:t>
            </w:r>
            <w:r>
              <w:rPr>
                <w:rFonts w:hint="eastAsia"/>
                <w:color w:val="auto"/>
                <w:spacing w:val="0"/>
                <w:w w:val="100"/>
                <w:position w:val="0"/>
                <w:highlight w:val="none"/>
                <w:lang w:eastAsia="zh-CN"/>
              </w:rPr>
              <w:t>。</w:t>
            </w:r>
          </w:p>
          <w:p w14:paraId="1A544BDC">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（12）投标人代表、招标人代表、监标人、记录人等有关人员在开标记录上签字确认；若有关人员不签字的，不影响开标程序；</w:t>
            </w:r>
          </w:p>
          <w:p w14:paraId="6CA6999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（13）开标结束。</w:t>
            </w:r>
          </w:p>
        </w:tc>
      </w:tr>
      <w:tr w14:paraId="0958D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53267921">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5.4</w:t>
            </w:r>
          </w:p>
        </w:tc>
        <w:tc>
          <w:tcPr>
            <w:tcW w:w="1712" w:type="dxa"/>
            <w:vAlign w:val="center"/>
          </w:tcPr>
          <w:p w14:paraId="50EEF7E9">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采用评定分离</w:t>
            </w:r>
          </w:p>
          <w:p w14:paraId="1377DD3B">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定标办法</w:t>
            </w:r>
          </w:p>
        </w:tc>
        <w:tc>
          <w:tcPr>
            <w:tcW w:w="7205" w:type="dxa"/>
            <w:tcBorders>
              <w:right w:val="single" w:color="000000" w:sz="2" w:space="0"/>
            </w:tcBorders>
            <w:vAlign w:val="center"/>
          </w:tcPr>
          <w:p w14:paraId="4B5F86B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评标办法：综合评分法</w:t>
            </w:r>
          </w:p>
          <w:p w14:paraId="049F646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定标办法：综合评分法</w:t>
            </w:r>
          </w:p>
        </w:tc>
      </w:tr>
      <w:tr w14:paraId="7F96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61C3524B">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5.5</w:t>
            </w:r>
          </w:p>
        </w:tc>
        <w:tc>
          <w:tcPr>
            <w:tcW w:w="1712" w:type="dxa"/>
            <w:vAlign w:val="center"/>
          </w:tcPr>
          <w:p w14:paraId="5C33B9A4">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进入定标阶段</w:t>
            </w:r>
          </w:p>
          <w:p w14:paraId="2B9DE76B">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入围候选人</w:t>
            </w:r>
          </w:p>
        </w:tc>
        <w:tc>
          <w:tcPr>
            <w:tcW w:w="7205" w:type="dxa"/>
            <w:tcBorders>
              <w:right w:val="single" w:color="000000" w:sz="2" w:space="0"/>
            </w:tcBorders>
            <w:vAlign w:val="center"/>
          </w:tcPr>
          <w:p w14:paraId="38BE7A54">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1、设S（S=M+N）为通过初步评审的投标人数,其中M为</w:t>
            </w:r>
            <w:r>
              <w:rPr>
                <w:rFonts w:ascii="宋体" w:hAnsi="宋体" w:eastAsia="宋体" w:cs="宋体"/>
                <w:color w:val="auto"/>
                <w:spacing w:val="0"/>
                <w:w w:val="100"/>
                <w:position w:val="0"/>
                <w:sz w:val="20"/>
                <w:szCs w:val="20"/>
                <w:highlight w:val="none"/>
                <w:lang w:eastAsia="zh-CN"/>
              </w:rPr>
              <w:t>工程施工费投标报价</w:t>
            </w:r>
            <w:r>
              <w:rPr>
                <w:rFonts w:hint="eastAsia"/>
                <w:color w:val="auto"/>
                <w:spacing w:val="0"/>
                <w:w w:val="100"/>
                <w:position w:val="0"/>
                <w:highlight w:val="none"/>
                <w:lang w:eastAsia="zh-CN"/>
              </w:rPr>
              <w:t>低于成本警戒价的投标报价数，N为</w:t>
            </w:r>
            <w:r>
              <w:rPr>
                <w:rFonts w:ascii="宋体" w:hAnsi="宋体" w:eastAsia="宋体" w:cs="宋体"/>
                <w:color w:val="auto"/>
                <w:spacing w:val="0"/>
                <w:w w:val="100"/>
                <w:position w:val="0"/>
                <w:sz w:val="20"/>
                <w:szCs w:val="20"/>
                <w:highlight w:val="none"/>
                <w:lang w:eastAsia="zh-CN"/>
              </w:rPr>
              <w:t>工程施工费投标报价</w:t>
            </w:r>
            <w:r>
              <w:rPr>
                <w:rFonts w:hint="eastAsia"/>
                <w:color w:val="auto"/>
                <w:spacing w:val="0"/>
                <w:w w:val="100"/>
                <w:position w:val="0"/>
                <w:highlight w:val="none"/>
                <w:lang w:eastAsia="zh-CN"/>
              </w:rPr>
              <w:t>不低于成本警示价的投标报价数。</w:t>
            </w:r>
          </w:p>
          <w:p w14:paraId="345393B2">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（1）当S≥3时,按以下方式确定中标候选人：</w:t>
            </w:r>
          </w:p>
          <w:p w14:paraId="55677547">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①对于工程施工费投标报价低于成本警戒价的M个投标人，不参加投标报价详细评审，但需参加</w:t>
            </w:r>
            <w:r>
              <w:rPr>
                <w:rFonts w:hint="eastAsia" w:ascii="宋体" w:hAnsi="宋体" w:eastAsia="宋体" w:cs="宋体"/>
                <w:color w:val="auto"/>
                <w:spacing w:val="0"/>
                <w:w w:val="100"/>
                <w:position w:val="0"/>
                <w:sz w:val="20"/>
                <w:szCs w:val="20"/>
                <w:highlight w:val="none"/>
                <w:lang w:eastAsia="zh-CN"/>
              </w:rPr>
              <w:t>设计方案、工程总承包实施方案</w:t>
            </w:r>
            <w:r>
              <w:rPr>
                <w:rFonts w:hint="eastAsia"/>
                <w:color w:val="auto"/>
                <w:spacing w:val="0"/>
                <w:w w:val="100"/>
                <w:position w:val="0"/>
                <w:highlight w:val="none"/>
                <w:lang w:eastAsia="zh-CN"/>
              </w:rPr>
              <w:t>部分评审的详细评审。评标委员会根据资信部分评审、项目实施组织方案部分评审的得分由高到低排序，推荐第1名为中标候选人进入定标阶段。</w:t>
            </w:r>
          </w:p>
          <w:p w14:paraId="5EBE5574">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②对于工程施工费投标报价不低于成本警戒价的N个投标人，需要参加</w:t>
            </w:r>
            <w:r>
              <w:rPr>
                <w:rFonts w:hint="eastAsia"/>
                <w:color w:val="auto"/>
                <w:highlight w:val="none"/>
              </w:rPr>
              <w:t>工程施工费</w:t>
            </w:r>
            <w:r>
              <w:rPr>
                <w:rFonts w:hint="eastAsia"/>
                <w:color w:val="auto"/>
                <w:spacing w:val="0"/>
                <w:w w:val="100"/>
                <w:position w:val="0"/>
                <w:highlight w:val="none"/>
                <w:lang w:eastAsia="zh-CN"/>
              </w:rPr>
              <w:t>投标报价评审、</w:t>
            </w:r>
            <w:r>
              <w:rPr>
                <w:rFonts w:hint="eastAsia" w:ascii="宋体" w:hAnsi="宋体" w:eastAsia="宋体" w:cs="宋体"/>
                <w:color w:val="auto"/>
                <w:spacing w:val="0"/>
                <w:w w:val="100"/>
                <w:position w:val="0"/>
                <w:sz w:val="20"/>
                <w:szCs w:val="20"/>
                <w:highlight w:val="none"/>
                <w:lang w:eastAsia="zh-CN"/>
              </w:rPr>
              <w:t>设计方案、工程总承包实施方案</w:t>
            </w:r>
            <w:r>
              <w:rPr>
                <w:rFonts w:hint="eastAsia"/>
                <w:color w:val="auto"/>
                <w:spacing w:val="0"/>
                <w:w w:val="100"/>
                <w:position w:val="0"/>
                <w:highlight w:val="none"/>
                <w:lang w:eastAsia="zh-CN"/>
              </w:rPr>
              <w:t>部分评审的详细评审并排序。</w:t>
            </w:r>
          </w:p>
          <w:p w14:paraId="35DD7B4F">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当N&lt;3时，全部推荐为合格中标候选人。</w:t>
            </w:r>
          </w:p>
          <w:p w14:paraId="3BC438DF">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当N≥3时，评标委员会根据详细评审的</w:t>
            </w:r>
            <w:r>
              <w:rPr>
                <w:rFonts w:hint="eastAsia"/>
                <w:color w:val="auto"/>
                <w:highlight w:val="none"/>
                <w:lang w:val="en-US" w:eastAsia="zh-CN"/>
              </w:rPr>
              <w:t>总得分</w:t>
            </w:r>
            <w:r>
              <w:rPr>
                <w:rFonts w:hint="eastAsia"/>
                <w:color w:val="auto"/>
                <w:spacing w:val="0"/>
                <w:w w:val="100"/>
                <w:position w:val="0"/>
                <w:highlight w:val="none"/>
                <w:lang w:eastAsia="zh-CN"/>
              </w:rPr>
              <w:t>由高到低排序，推荐前7名（不足7名的，则推荐全部有效的投标人为合格中标候选人）不排序的合格中标候选人进入定标阶段。</w:t>
            </w:r>
          </w:p>
          <w:p w14:paraId="019E09FC">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（2）当S&lt;3时，招标人应重新招标。</w:t>
            </w:r>
          </w:p>
          <w:p w14:paraId="7B9B7009">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2、定标因素：详见《定标阶段答辩因素</w:t>
            </w:r>
            <w:r>
              <w:rPr>
                <w:rFonts w:hint="eastAsia"/>
                <w:color w:val="auto"/>
                <w:spacing w:val="0"/>
                <w:w w:val="100"/>
                <w:position w:val="0"/>
                <w:highlight w:val="none"/>
                <w:lang w:val="en-US" w:eastAsia="zh-CN"/>
              </w:rPr>
              <w:t>详细</w:t>
            </w:r>
            <w:r>
              <w:rPr>
                <w:rFonts w:hint="eastAsia"/>
                <w:color w:val="auto"/>
                <w:spacing w:val="0"/>
                <w:w w:val="100"/>
                <w:position w:val="0"/>
                <w:highlight w:val="none"/>
                <w:lang w:eastAsia="zh-CN"/>
              </w:rPr>
              <w:t>审查评分表》、《定标阶段方案因素详细审查评分表》、《定标阶段价格因素详细审查评分表》。</w:t>
            </w:r>
          </w:p>
        </w:tc>
      </w:tr>
      <w:tr w14:paraId="604C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942" w:type="dxa"/>
            <w:tcBorders>
              <w:left w:val="single" w:color="000000" w:sz="2" w:space="0"/>
            </w:tcBorders>
            <w:vAlign w:val="center"/>
          </w:tcPr>
          <w:p w14:paraId="59515EAE">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6.1.1</w:t>
            </w:r>
          </w:p>
        </w:tc>
        <w:tc>
          <w:tcPr>
            <w:tcW w:w="1712" w:type="dxa"/>
            <w:vAlign w:val="center"/>
          </w:tcPr>
          <w:p w14:paraId="4AFCBDE0">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评标委员会的组建</w:t>
            </w:r>
          </w:p>
        </w:tc>
        <w:tc>
          <w:tcPr>
            <w:tcW w:w="7205" w:type="dxa"/>
            <w:tcBorders>
              <w:right w:val="single" w:color="000000" w:sz="2" w:space="0"/>
            </w:tcBorders>
            <w:vAlign w:val="center"/>
          </w:tcPr>
          <w:p w14:paraId="1EA1A0DC">
            <w:pPr>
              <w:pStyle w:val="20"/>
              <w:keepNext w:val="0"/>
              <w:keepLines w:val="0"/>
              <w:pageBreakBefore w:val="0"/>
              <w:widowControl/>
              <w:kinsoku/>
              <w:wordWrap/>
              <w:overflowPunct w:val="0"/>
              <w:topLinePunct/>
              <w:autoSpaceDE/>
              <w:autoSpaceDN/>
              <w:bidi w:val="0"/>
              <w:adjustRightInd w:val="0"/>
              <w:snapToGrid w:val="0"/>
              <w:spacing w:before="0" w:line="240" w:lineRule="auto"/>
              <w:ind w:left="125"/>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评标委员会由招标人依法组建。</w:t>
            </w:r>
          </w:p>
          <w:p w14:paraId="2296FBAF">
            <w:pPr>
              <w:pStyle w:val="20"/>
              <w:keepNext w:val="0"/>
              <w:keepLines w:val="0"/>
              <w:pageBreakBefore w:val="0"/>
              <w:widowControl/>
              <w:kinsoku/>
              <w:wordWrap/>
              <w:overflowPunct w:val="0"/>
              <w:topLinePunct/>
              <w:autoSpaceDE/>
              <w:autoSpaceDN/>
              <w:bidi w:val="0"/>
              <w:adjustRightInd w:val="0"/>
              <w:snapToGrid w:val="0"/>
              <w:spacing w:before="0" w:line="240" w:lineRule="auto"/>
              <w:ind w:left="125"/>
              <w:jc w:val="both"/>
              <w:textAlignment w:val="baseline"/>
              <w:rPr>
                <w:rFonts w:hint="eastAsia"/>
                <w:color w:val="auto"/>
                <w:spacing w:val="0"/>
                <w:w w:val="100"/>
                <w:position w:val="0"/>
                <w:highlight w:val="none"/>
                <w:u w:val="single"/>
                <w:lang w:eastAsia="zh-CN"/>
              </w:rPr>
            </w:pPr>
            <w:r>
              <w:rPr>
                <w:rFonts w:hint="eastAsia"/>
                <w:color w:val="auto"/>
                <w:spacing w:val="0"/>
                <w:w w:val="100"/>
                <w:position w:val="0"/>
                <w:highlight w:val="none"/>
                <w:u w:val="single"/>
                <w:lang w:eastAsia="zh-CN"/>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w:t>
            </w:r>
          </w:p>
          <w:p w14:paraId="70E24B68">
            <w:pPr>
              <w:pStyle w:val="20"/>
              <w:keepNext w:val="0"/>
              <w:keepLines w:val="0"/>
              <w:pageBreakBefore w:val="0"/>
              <w:widowControl/>
              <w:kinsoku/>
              <w:wordWrap/>
              <w:overflowPunct w:val="0"/>
              <w:topLinePunct/>
              <w:autoSpaceDE/>
              <w:autoSpaceDN/>
              <w:bidi w:val="0"/>
              <w:adjustRightInd w:val="0"/>
              <w:snapToGrid w:val="0"/>
              <w:spacing w:before="0" w:line="240" w:lineRule="auto"/>
              <w:ind w:left="125"/>
              <w:jc w:val="both"/>
              <w:textAlignment w:val="baseline"/>
              <w:rPr>
                <w:rFonts w:hint="eastAsia"/>
                <w:color w:val="auto"/>
                <w:spacing w:val="0"/>
                <w:w w:val="100"/>
                <w:position w:val="0"/>
                <w:highlight w:val="none"/>
                <w:u w:val="single"/>
                <w:lang w:eastAsia="zh-CN"/>
              </w:rPr>
            </w:pPr>
            <w:r>
              <w:rPr>
                <w:rFonts w:hint="eastAsia" w:ascii="宋体" w:hAnsi="宋体" w:eastAsia="宋体" w:cs="宋体"/>
                <w:color w:val="auto"/>
                <w:sz w:val="20"/>
                <w:szCs w:val="20"/>
                <w:highlight w:val="none"/>
              </w:rPr>
              <w:t>备注：招标人可以根据项目需要，先随机抽取所需数量两倍或以上的评标专家至评标场所后，再随机抽取参评专家。未被抽中的专家应服从招标人和交易服务机构的安排，不得干扰评标工作。</w:t>
            </w:r>
          </w:p>
        </w:tc>
      </w:tr>
      <w:tr w14:paraId="2343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640314A9">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6.1.2</w:t>
            </w:r>
          </w:p>
        </w:tc>
        <w:tc>
          <w:tcPr>
            <w:tcW w:w="1712" w:type="dxa"/>
            <w:vAlign w:val="center"/>
          </w:tcPr>
          <w:p w14:paraId="73F2D480">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定标委员会的组建</w:t>
            </w:r>
          </w:p>
        </w:tc>
        <w:tc>
          <w:tcPr>
            <w:tcW w:w="7205" w:type="dxa"/>
            <w:tcBorders>
              <w:right w:val="single" w:color="000000" w:sz="2" w:space="0"/>
            </w:tcBorders>
            <w:vAlign w:val="center"/>
          </w:tcPr>
          <w:p w14:paraId="29944404">
            <w:pPr>
              <w:pStyle w:val="20"/>
              <w:keepNext w:val="0"/>
              <w:keepLines w:val="0"/>
              <w:pageBreakBefore w:val="0"/>
              <w:widowControl/>
              <w:kinsoku/>
              <w:wordWrap/>
              <w:overflowPunct w:val="0"/>
              <w:topLinePunct/>
              <w:autoSpaceDE/>
              <w:autoSpaceDN/>
              <w:bidi w:val="0"/>
              <w:adjustRightInd w:val="0"/>
              <w:snapToGrid w:val="0"/>
              <w:spacing w:before="0" w:line="240" w:lineRule="auto"/>
              <w:ind w:left="125"/>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定标委员会由招标人在定标前依法组建。</w:t>
            </w:r>
          </w:p>
        </w:tc>
      </w:tr>
      <w:tr w14:paraId="6442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vAlign w:val="center"/>
          </w:tcPr>
          <w:p w14:paraId="73F2FEC1">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7.1</w:t>
            </w:r>
          </w:p>
        </w:tc>
        <w:tc>
          <w:tcPr>
            <w:tcW w:w="1712" w:type="dxa"/>
            <w:vAlign w:val="center"/>
          </w:tcPr>
          <w:p w14:paraId="23A30A3A">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是否授权评标委</w:t>
            </w:r>
          </w:p>
          <w:p w14:paraId="22A23028">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员会确定中标人</w:t>
            </w:r>
          </w:p>
        </w:tc>
        <w:tc>
          <w:tcPr>
            <w:tcW w:w="7205" w:type="dxa"/>
            <w:tcBorders>
              <w:right w:val="single" w:color="000000" w:sz="2" w:space="0"/>
            </w:tcBorders>
            <w:vAlign w:val="center"/>
          </w:tcPr>
          <w:p w14:paraId="4C10EE3A">
            <w:pPr>
              <w:pStyle w:val="20"/>
              <w:keepNext w:val="0"/>
              <w:keepLines w:val="0"/>
              <w:pageBreakBefore w:val="0"/>
              <w:widowControl/>
              <w:kinsoku/>
              <w:wordWrap/>
              <w:overflowPunct w:val="0"/>
              <w:topLinePunct/>
              <w:autoSpaceDE/>
              <w:autoSpaceDN/>
              <w:bidi w:val="0"/>
              <w:adjustRightInd w:val="0"/>
              <w:snapToGrid w:val="0"/>
              <w:spacing w:before="0" w:line="240" w:lineRule="auto"/>
              <w:ind w:left="125"/>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□是</w:t>
            </w:r>
          </w:p>
          <w:p w14:paraId="63704BB7">
            <w:pPr>
              <w:pStyle w:val="20"/>
              <w:keepNext w:val="0"/>
              <w:keepLines w:val="0"/>
              <w:pageBreakBefore w:val="0"/>
              <w:widowControl/>
              <w:kinsoku/>
              <w:wordWrap/>
              <w:overflowPunct w:val="0"/>
              <w:topLinePunct/>
              <w:autoSpaceDE/>
              <w:autoSpaceDN/>
              <w:bidi w:val="0"/>
              <w:adjustRightInd w:val="0"/>
              <w:snapToGrid w:val="0"/>
              <w:spacing w:before="0" w:line="240" w:lineRule="auto"/>
              <w:ind w:left="125"/>
              <w:jc w:val="both"/>
              <w:textAlignment w:val="baseline"/>
              <w:rPr>
                <w:rFonts w:hint="eastAsia"/>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w:t>
            </w:r>
            <w:r>
              <w:rPr>
                <w:rFonts w:hint="eastAsia"/>
                <w:color w:val="auto"/>
                <w:spacing w:val="0"/>
                <w:w w:val="100"/>
                <w:position w:val="0"/>
                <w:highlight w:val="none"/>
                <w:lang w:eastAsia="zh-CN"/>
              </w:rPr>
              <w:t>否  推荐的中标候选人数：详见第5.5条。</w:t>
            </w:r>
          </w:p>
        </w:tc>
      </w:tr>
      <w:tr w14:paraId="0DCC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942" w:type="dxa"/>
            <w:tcBorders>
              <w:left w:val="single" w:color="000000" w:sz="2" w:space="0"/>
            </w:tcBorders>
            <w:vAlign w:val="center"/>
          </w:tcPr>
          <w:p w14:paraId="363A44F4">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7.2</w:t>
            </w:r>
          </w:p>
        </w:tc>
        <w:tc>
          <w:tcPr>
            <w:tcW w:w="1712" w:type="dxa"/>
            <w:vAlign w:val="center"/>
          </w:tcPr>
          <w:p w14:paraId="61C22674">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ascii="宋体" w:hAnsi="宋体" w:eastAsia="宋体" w:cs="宋体"/>
                <w:color w:val="auto"/>
                <w:spacing w:val="0"/>
                <w:w w:val="100"/>
                <w:position w:val="0"/>
                <w:sz w:val="20"/>
                <w:szCs w:val="20"/>
                <w:highlight w:val="none"/>
              </w:rPr>
            </w:pPr>
            <w:r>
              <w:rPr>
                <w:rFonts w:hint="eastAsia"/>
                <w:color w:val="auto"/>
                <w:spacing w:val="0"/>
                <w:w w:val="100"/>
                <w:position w:val="0"/>
                <w:highlight w:val="none"/>
              </w:rPr>
              <w:t>中标候选人公示</w:t>
            </w:r>
          </w:p>
          <w:p w14:paraId="6282BCBC">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媒介</w:t>
            </w:r>
          </w:p>
        </w:tc>
        <w:tc>
          <w:tcPr>
            <w:tcW w:w="7205" w:type="dxa"/>
            <w:tcBorders>
              <w:right w:val="single" w:color="000000" w:sz="2" w:space="0"/>
            </w:tcBorders>
            <w:vAlign w:val="center"/>
          </w:tcPr>
          <w:p w14:paraId="1F6E93DE">
            <w:pPr>
              <w:pStyle w:val="20"/>
              <w:keepNext w:val="0"/>
              <w:keepLines w:val="0"/>
              <w:pageBreakBefore w:val="0"/>
              <w:widowControl/>
              <w:kinsoku/>
              <w:wordWrap/>
              <w:overflowPunct w:val="0"/>
              <w:topLinePunct/>
              <w:autoSpaceDE w:val="0"/>
              <w:autoSpaceDN w:val="0"/>
              <w:bidi w:val="0"/>
              <w:adjustRightInd w:val="0"/>
              <w:snapToGrid w:val="0"/>
              <w:spacing w:before="0" w:line="240" w:lineRule="auto"/>
              <w:ind w:left="125"/>
              <w:jc w:val="both"/>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中国招标投标公共服务平台、广东省招标投标监管网、广州交易集团有限公司（广州公共资源交易中心）网站。投标人或其他利害关系人对评标结果有异议的，应当在中标候选人公示期间提出，可以通过线下或线上的形式提出异议。线上提交的，应通过交易平台进行，招标人也应通过交易平台答复线上提交的异议。</w:t>
            </w:r>
            <w:r>
              <w:rPr>
                <w:rFonts w:hint="eastAsia"/>
                <w:color w:val="auto"/>
                <w:spacing w:val="0"/>
                <w:w w:val="100"/>
                <w:position w:val="0"/>
                <w:highlight w:val="none"/>
              </w:rPr>
              <w:t>作出答复前，</w:t>
            </w:r>
            <w:r>
              <w:rPr>
                <w:rFonts w:hint="eastAsia"/>
                <w:color w:val="auto"/>
                <w:spacing w:val="0"/>
                <w:w w:val="100"/>
                <w:position w:val="0"/>
                <w:highlight w:val="none"/>
                <w:lang w:eastAsia="zh-CN"/>
              </w:rPr>
              <w:t>应当</w:t>
            </w:r>
            <w:r>
              <w:rPr>
                <w:rFonts w:hint="eastAsia"/>
                <w:color w:val="auto"/>
                <w:spacing w:val="0"/>
                <w:w w:val="100"/>
                <w:position w:val="0"/>
                <w:highlight w:val="none"/>
              </w:rPr>
              <w:t>暂停招标投标活动。</w:t>
            </w:r>
          </w:p>
        </w:tc>
      </w:tr>
      <w:tr w14:paraId="4C1C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42" w:type="dxa"/>
            <w:tcBorders>
              <w:left w:val="single" w:color="000000" w:sz="2" w:space="0"/>
            </w:tcBorders>
            <w:vAlign w:val="center"/>
          </w:tcPr>
          <w:p w14:paraId="1E9D25EA">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7.4.1</w:t>
            </w:r>
          </w:p>
        </w:tc>
        <w:tc>
          <w:tcPr>
            <w:tcW w:w="1712" w:type="dxa"/>
            <w:vAlign w:val="center"/>
          </w:tcPr>
          <w:p w14:paraId="3A5B08B6">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rPr>
            </w:pPr>
            <w:r>
              <w:rPr>
                <w:rFonts w:hint="eastAsia"/>
                <w:color w:val="auto"/>
                <w:spacing w:val="0"/>
                <w:w w:val="100"/>
                <w:position w:val="0"/>
                <w:highlight w:val="none"/>
              </w:rPr>
              <w:t>履约担保</w:t>
            </w:r>
          </w:p>
        </w:tc>
        <w:tc>
          <w:tcPr>
            <w:tcW w:w="7205" w:type="dxa"/>
            <w:tcBorders>
              <w:right w:val="single" w:color="000000" w:sz="2" w:space="0"/>
            </w:tcBorders>
            <w:vAlign w:val="center"/>
          </w:tcPr>
          <w:p w14:paraId="11C0DB4F">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履约担保的形式：</w:t>
            </w:r>
            <w:r>
              <w:rPr>
                <w:rFonts w:hint="eastAsia"/>
                <w:color w:val="auto"/>
                <w:highlight w:val="none"/>
              </w:rPr>
              <w:t>具体见合同相关条款</w:t>
            </w:r>
            <w:r>
              <w:rPr>
                <w:rFonts w:hint="eastAsia" w:cs="宋体"/>
                <w:color w:val="auto"/>
                <w:spacing w:val="0"/>
                <w:w w:val="100"/>
                <w:position w:val="0"/>
                <w:sz w:val="20"/>
                <w:szCs w:val="20"/>
                <w:highlight w:val="none"/>
                <w:lang w:eastAsia="zh-CN"/>
              </w:rPr>
              <w:t>。</w:t>
            </w:r>
          </w:p>
          <w:p w14:paraId="5FAC3DD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履约担保的金额：</w:t>
            </w:r>
            <w:r>
              <w:rPr>
                <w:rFonts w:hint="eastAsia" w:ascii="宋体" w:hAnsi="宋体" w:eastAsia="宋体" w:cs="宋体"/>
                <w:color w:val="auto"/>
                <w:spacing w:val="0"/>
                <w:w w:val="100"/>
                <w:position w:val="0"/>
                <w:sz w:val="20"/>
                <w:szCs w:val="20"/>
                <w:highlight w:val="none"/>
              </w:rPr>
              <w:t>中标人</w:t>
            </w:r>
            <w:r>
              <w:rPr>
                <w:rFonts w:hint="eastAsia"/>
                <w:color w:val="auto"/>
                <w:highlight w:val="none"/>
              </w:rPr>
              <w:t>（若为联合体，指联合体</w:t>
            </w:r>
            <w:r>
              <w:rPr>
                <w:rFonts w:hint="eastAsia"/>
                <w:color w:val="auto"/>
                <w:highlight w:val="none"/>
                <w:lang w:val="en-US" w:eastAsia="zh-CN"/>
              </w:rPr>
              <w:t>施工</w:t>
            </w:r>
            <w:r>
              <w:rPr>
                <w:rFonts w:hint="eastAsia"/>
                <w:color w:val="auto"/>
                <w:highlight w:val="none"/>
              </w:rPr>
              <w:t>方）</w:t>
            </w:r>
            <w:r>
              <w:rPr>
                <w:rFonts w:hint="eastAsia" w:ascii="宋体" w:hAnsi="宋体" w:eastAsia="宋体" w:cs="宋体"/>
                <w:color w:val="auto"/>
                <w:spacing w:val="0"/>
                <w:w w:val="100"/>
                <w:position w:val="0"/>
                <w:sz w:val="20"/>
                <w:szCs w:val="20"/>
                <w:highlight w:val="none"/>
              </w:rPr>
              <w:t>提供的履约担保为中标价款的</w:t>
            </w:r>
            <w:r>
              <w:rPr>
                <w:rFonts w:hint="eastAsia" w:ascii="宋体" w:hAnsi="宋体" w:eastAsia="宋体" w:cs="宋体"/>
                <w:b/>
                <w:bCs/>
                <w:color w:val="auto"/>
                <w:spacing w:val="0"/>
                <w:w w:val="100"/>
                <w:position w:val="0"/>
                <w:sz w:val="20"/>
                <w:szCs w:val="20"/>
                <w:highlight w:val="none"/>
                <w:u w:val="single"/>
              </w:rPr>
              <w:t>10%</w:t>
            </w:r>
            <w:r>
              <w:rPr>
                <w:rFonts w:hint="eastAsia" w:ascii="宋体" w:hAnsi="宋体" w:eastAsia="宋体" w:cs="宋体"/>
                <w:color w:val="auto"/>
                <w:spacing w:val="0"/>
                <w:w w:val="100"/>
                <w:position w:val="0"/>
                <w:sz w:val="20"/>
                <w:szCs w:val="20"/>
                <w:highlight w:val="none"/>
              </w:rPr>
              <w:t>。</w:t>
            </w:r>
          </w:p>
        </w:tc>
      </w:tr>
      <w:tr w14:paraId="3BFD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2" w:type="dxa"/>
            <w:tcBorders>
              <w:left w:val="single" w:color="000000" w:sz="2" w:space="0"/>
            </w:tcBorders>
            <w:shd w:val="clear" w:color="auto" w:fill="auto"/>
            <w:vAlign w:val="center"/>
          </w:tcPr>
          <w:p w14:paraId="4429128F">
            <w:pPr>
              <w:pStyle w:val="20"/>
              <w:keepNext w:val="0"/>
              <w:keepLines w:val="0"/>
              <w:pageBreakBefore w:val="0"/>
              <w:widowControl/>
              <w:kinsoku/>
              <w:wordWrap/>
              <w:overflowPunct w:val="0"/>
              <w:topLinePunct/>
              <w:autoSpaceDE/>
              <w:autoSpaceDN/>
              <w:bidi w:val="0"/>
              <w:adjustRightInd w:val="0"/>
              <w:snapToGrid w:val="0"/>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b/>
                <w:bCs/>
                <w:color w:val="auto"/>
                <w:spacing w:val="0"/>
                <w:w w:val="100"/>
                <w:position w:val="0"/>
                <w:highlight w:val="none"/>
              </w:rPr>
              <w:t>9</w:t>
            </w:r>
          </w:p>
        </w:tc>
        <w:tc>
          <w:tcPr>
            <w:tcW w:w="8917" w:type="dxa"/>
            <w:gridSpan w:val="2"/>
            <w:tcBorders>
              <w:right w:val="single" w:color="000000" w:sz="2" w:space="0"/>
            </w:tcBorders>
            <w:shd w:val="clear" w:color="auto" w:fill="auto"/>
            <w:vAlign w:val="center"/>
          </w:tcPr>
          <w:p w14:paraId="09EA9220">
            <w:pPr>
              <w:pStyle w:val="20"/>
              <w:keepNext w:val="0"/>
              <w:keepLines w:val="0"/>
              <w:pageBreakBefore w:val="0"/>
              <w:widowControl/>
              <w:kinsoku/>
              <w:wordWrap/>
              <w:overflowPunct w:val="0"/>
              <w:topLinePunct/>
              <w:autoSpaceDE/>
              <w:autoSpaceDN/>
              <w:bidi w:val="0"/>
              <w:adjustRightInd w:val="0"/>
              <w:snapToGrid w:val="0"/>
              <w:ind w:left="111"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b/>
                <w:bCs/>
                <w:color w:val="auto"/>
                <w:spacing w:val="0"/>
                <w:w w:val="100"/>
                <w:position w:val="0"/>
                <w:highlight w:val="none"/>
              </w:rPr>
              <w:t>需要补充的其他内容</w:t>
            </w:r>
          </w:p>
        </w:tc>
      </w:tr>
      <w:tr w14:paraId="63CB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42" w:type="dxa"/>
            <w:tcBorders>
              <w:left w:val="single" w:color="000000" w:sz="2" w:space="0"/>
            </w:tcBorders>
            <w:shd w:val="clear" w:color="auto" w:fill="auto"/>
            <w:vAlign w:val="center"/>
          </w:tcPr>
          <w:p w14:paraId="30C1BAB7">
            <w:pPr>
              <w:pStyle w:val="20"/>
              <w:keepNext w:val="0"/>
              <w:keepLines w:val="0"/>
              <w:pageBreakBefore w:val="0"/>
              <w:widowControl/>
              <w:kinsoku/>
              <w:wordWrap/>
              <w:overflowPunct w:val="0"/>
              <w:topLinePunct/>
              <w:autoSpaceDE/>
              <w:autoSpaceDN/>
              <w:bidi w:val="0"/>
              <w:adjustRightInd w:val="0"/>
              <w:snapToGrid w:val="0"/>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9.1</w:t>
            </w:r>
          </w:p>
        </w:tc>
        <w:tc>
          <w:tcPr>
            <w:tcW w:w="8917" w:type="dxa"/>
            <w:gridSpan w:val="2"/>
            <w:tcBorders>
              <w:right w:val="single" w:color="000000" w:sz="2" w:space="0"/>
            </w:tcBorders>
            <w:shd w:val="clear" w:color="auto" w:fill="auto"/>
            <w:vAlign w:val="center"/>
          </w:tcPr>
          <w:p w14:paraId="13C6FA73">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建设工程质量检测单位：</w:t>
            </w:r>
          </w:p>
          <w:p w14:paraId="49F88216">
            <w:pPr>
              <w:pStyle w:val="20"/>
              <w:keepNext w:val="0"/>
              <w:keepLines w:val="0"/>
              <w:pageBreakBefore w:val="0"/>
              <w:widowControl/>
              <w:kinsoku/>
              <w:wordWrap/>
              <w:overflowPunct w:val="0"/>
              <w:topLinePunct/>
              <w:autoSpaceDE/>
              <w:autoSpaceDN/>
              <w:bidi w:val="0"/>
              <w:adjustRightInd w:val="0"/>
              <w:snapToGrid w:val="0"/>
              <w:spacing w:before="0" w:line="288" w:lineRule="auto"/>
              <w:ind w:left="125"/>
              <w:jc w:val="left"/>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lang w:eastAsia="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01D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7" w:hRule="atLeast"/>
          <w:jc w:val="center"/>
        </w:trPr>
        <w:tc>
          <w:tcPr>
            <w:tcW w:w="942" w:type="dxa"/>
            <w:tcBorders>
              <w:left w:val="single" w:color="000000" w:sz="2" w:space="0"/>
            </w:tcBorders>
            <w:shd w:val="clear" w:color="auto" w:fill="auto"/>
            <w:vAlign w:val="center"/>
          </w:tcPr>
          <w:p w14:paraId="452D22C6">
            <w:pPr>
              <w:pStyle w:val="20"/>
              <w:keepNext w:val="0"/>
              <w:keepLines w:val="0"/>
              <w:pageBreakBefore w:val="0"/>
              <w:widowControl/>
              <w:kinsoku/>
              <w:wordWrap/>
              <w:overflowPunct w:val="0"/>
              <w:topLinePunct/>
              <w:autoSpaceDE/>
              <w:autoSpaceDN/>
              <w:bidi w:val="0"/>
              <w:adjustRightInd w:val="0"/>
              <w:snapToGrid w:val="0"/>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9.2</w:t>
            </w:r>
          </w:p>
        </w:tc>
        <w:tc>
          <w:tcPr>
            <w:tcW w:w="8917" w:type="dxa"/>
            <w:gridSpan w:val="2"/>
            <w:tcBorders>
              <w:right w:val="single" w:color="000000" w:sz="2" w:space="0"/>
            </w:tcBorders>
            <w:shd w:val="clear" w:color="auto" w:fill="auto"/>
            <w:vAlign w:val="center"/>
          </w:tcPr>
          <w:p w14:paraId="04160CBF">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在招标和合同实施期间，招标人要求投标人和中标人遵守最高的道德标准。</w:t>
            </w:r>
          </w:p>
          <w:p w14:paraId="3602C4D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1、对本条款的规定，特定义如下词汇：</w:t>
            </w:r>
          </w:p>
          <w:p w14:paraId="30C2D51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1</w:t>
            </w:r>
            <w:r>
              <w:rPr>
                <w:rFonts w:hint="eastAsia"/>
                <w:color w:val="auto"/>
                <w:spacing w:val="0"/>
                <w:w w:val="100"/>
                <w:position w:val="0"/>
                <w:highlight w:val="none"/>
                <w:lang w:eastAsia="zh-CN"/>
              </w:rPr>
              <w:t>）“腐败行为”是指在招标或合同执行期间，通过提供、给予、接受或索要任何有价值的东西，从而影响招标人有关人员工作的行为；</w:t>
            </w:r>
          </w:p>
          <w:p w14:paraId="7FA2959C">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2</w:t>
            </w:r>
            <w:r>
              <w:rPr>
                <w:rFonts w:hint="eastAsia"/>
                <w:color w:val="auto"/>
                <w:spacing w:val="0"/>
                <w:w w:val="100"/>
                <w:position w:val="0"/>
                <w:highlight w:val="none"/>
                <w:lang w:eastAsia="zh-CN"/>
              </w:rPr>
              <w:t>）“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4EC7D74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lang w:eastAsia="zh-CN"/>
              </w:rPr>
              <w:t>2、如果投标人被认定在本招标的竞争中有腐败或欺诈行为，则会被取消投标资格。</w:t>
            </w:r>
          </w:p>
        </w:tc>
      </w:tr>
      <w:tr w14:paraId="7650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942" w:type="dxa"/>
            <w:tcBorders>
              <w:left w:val="single" w:color="000000" w:sz="2" w:space="0"/>
            </w:tcBorders>
            <w:shd w:val="clear" w:color="auto" w:fill="auto"/>
            <w:vAlign w:val="center"/>
          </w:tcPr>
          <w:p w14:paraId="414E44B7">
            <w:pPr>
              <w:pStyle w:val="20"/>
              <w:keepNext w:val="0"/>
              <w:keepLines w:val="0"/>
              <w:pageBreakBefore w:val="0"/>
              <w:widowControl/>
              <w:kinsoku/>
              <w:wordWrap/>
              <w:overflowPunct w:val="0"/>
              <w:topLinePunct/>
              <w:autoSpaceDE/>
              <w:autoSpaceDN/>
              <w:bidi w:val="0"/>
              <w:adjustRightInd w:val="0"/>
              <w:snapToGrid w:val="0"/>
              <w:ind w:left="0" w:leftChars="0"/>
              <w:jc w:val="center"/>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rPr>
              <w:t>9.3</w:t>
            </w:r>
          </w:p>
        </w:tc>
        <w:tc>
          <w:tcPr>
            <w:tcW w:w="8917" w:type="dxa"/>
            <w:gridSpan w:val="2"/>
            <w:tcBorders>
              <w:right w:val="single" w:color="000000" w:sz="2" w:space="0"/>
            </w:tcBorders>
            <w:shd w:val="clear" w:color="auto" w:fill="auto"/>
            <w:vAlign w:val="center"/>
          </w:tcPr>
          <w:p w14:paraId="724F57EE">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snapToGrid w:val="0"/>
                <w:color w:val="auto"/>
                <w:spacing w:val="0"/>
                <w:w w:val="100"/>
                <w:position w:val="0"/>
                <w:sz w:val="20"/>
                <w:szCs w:val="20"/>
                <w:highlight w:val="none"/>
                <w:lang w:val="en-US" w:eastAsia="en-US" w:bidi="ar-SA"/>
              </w:rPr>
            </w:pPr>
            <w:r>
              <w:rPr>
                <w:rFonts w:hint="eastAsia"/>
                <w:color w:val="auto"/>
                <w:spacing w:val="0"/>
                <w:w w:val="100"/>
                <w:position w:val="0"/>
                <w:highlight w:val="none"/>
                <w:lang w:eastAsia="zh-CN"/>
              </w:rPr>
              <w:t>职业健康安全管理目标和环境管理目标：详见招标公告</w:t>
            </w:r>
          </w:p>
        </w:tc>
      </w:tr>
      <w:tr w14:paraId="4780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42" w:type="dxa"/>
            <w:tcBorders>
              <w:left w:val="single" w:color="000000" w:sz="2" w:space="0"/>
            </w:tcBorders>
            <w:vAlign w:val="center"/>
          </w:tcPr>
          <w:p w14:paraId="0426D79A">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9.4</w:t>
            </w:r>
          </w:p>
        </w:tc>
        <w:tc>
          <w:tcPr>
            <w:tcW w:w="1712" w:type="dxa"/>
            <w:vAlign w:val="center"/>
          </w:tcPr>
          <w:p w14:paraId="76FFCD0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rPr>
              <w:t>招标失败的情形</w:t>
            </w:r>
          </w:p>
        </w:tc>
        <w:tc>
          <w:tcPr>
            <w:tcW w:w="7205" w:type="dxa"/>
            <w:tcBorders>
              <w:right w:val="single" w:color="000000" w:sz="2" w:space="0"/>
            </w:tcBorders>
            <w:vAlign w:val="center"/>
          </w:tcPr>
          <w:p w14:paraId="73ADC81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本项目采用资格后审，满足资格审查合格条件的投标人不足3名或通过形式评审、响应性评审的投标单位不足3名时，为招标失败。招标人分析招标失败原因，修正招标方案，重新组织招标。</w:t>
            </w:r>
          </w:p>
        </w:tc>
      </w:tr>
      <w:tr w14:paraId="40B98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942" w:type="dxa"/>
            <w:tcBorders>
              <w:left w:val="single" w:color="000000" w:sz="2" w:space="0"/>
            </w:tcBorders>
            <w:vAlign w:val="center"/>
          </w:tcPr>
          <w:p w14:paraId="7D54A666">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9.5</w:t>
            </w:r>
          </w:p>
        </w:tc>
        <w:tc>
          <w:tcPr>
            <w:tcW w:w="1712" w:type="dxa"/>
            <w:vAlign w:val="center"/>
          </w:tcPr>
          <w:p w14:paraId="5CB5C773">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rPr>
              <w:t>承包方式</w:t>
            </w:r>
          </w:p>
        </w:tc>
        <w:tc>
          <w:tcPr>
            <w:tcW w:w="7205" w:type="dxa"/>
            <w:tcBorders>
              <w:right w:val="single" w:color="000000" w:sz="2" w:space="0"/>
            </w:tcBorders>
            <w:vAlign w:val="center"/>
          </w:tcPr>
          <w:p w14:paraId="568F254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承包方式（包括但不限于）：由中标人按照合同约定和设计任务书等内容实行设计施工总承包。具体按合同条款规定。</w:t>
            </w:r>
          </w:p>
        </w:tc>
      </w:tr>
      <w:tr w14:paraId="575B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42" w:type="dxa"/>
            <w:tcBorders>
              <w:left w:val="single" w:color="000000" w:sz="2" w:space="0"/>
            </w:tcBorders>
            <w:vAlign w:val="center"/>
          </w:tcPr>
          <w:p w14:paraId="6ADE6D0E">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9.6</w:t>
            </w:r>
          </w:p>
        </w:tc>
        <w:tc>
          <w:tcPr>
            <w:tcW w:w="1712" w:type="dxa"/>
            <w:vAlign w:val="center"/>
          </w:tcPr>
          <w:p w14:paraId="0B5D4A18">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rPr>
              <w:t>其他</w:t>
            </w:r>
          </w:p>
        </w:tc>
        <w:tc>
          <w:tcPr>
            <w:tcW w:w="7205" w:type="dxa"/>
            <w:tcBorders>
              <w:right w:val="single" w:color="000000" w:sz="2" w:space="0"/>
            </w:tcBorders>
            <w:vAlign w:val="center"/>
          </w:tcPr>
          <w:p w14:paraId="00C18B8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1、中标后，中标人需提交与电子文件一致的纸质投标文件一正一副给招标人。</w:t>
            </w:r>
          </w:p>
          <w:p w14:paraId="2813D48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2、中标人</w:t>
            </w:r>
            <w:r>
              <w:rPr>
                <w:rFonts w:hint="eastAsia"/>
                <w:color w:val="auto"/>
                <w:spacing w:val="0"/>
                <w:w w:val="100"/>
                <w:position w:val="0"/>
                <w:highlight w:val="none"/>
                <w:lang w:val="en-US" w:eastAsia="zh-CN"/>
              </w:rPr>
              <w:t>按照</w:t>
            </w:r>
            <w:r>
              <w:rPr>
                <w:rFonts w:hint="eastAsia"/>
                <w:color w:val="auto"/>
                <w:spacing w:val="0"/>
                <w:w w:val="100"/>
                <w:position w:val="0"/>
                <w:highlight w:val="none"/>
                <w:lang w:eastAsia="zh-CN"/>
              </w:rPr>
              <w:t>《广州市发展改革委转发省发展改革委关于规范公共资源交易服务收费及有关问题的通知》（穗发改〔2017〕811号）文件的规定，向广州公共资源交易中心代缴交易服务费，其费用包含在中标人投标报价中，招标人不另行支付。</w:t>
            </w:r>
          </w:p>
          <w:p w14:paraId="052D8AF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3、招标代理费由中标人向招标代理机构缴纳。</w:t>
            </w:r>
          </w:p>
        </w:tc>
      </w:tr>
      <w:tr w14:paraId="4883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42" w:type="dxa"/>
            <w:tcBorders>
              <w:left w:val="single" w:color="000000" w:sz="2" w:space="0"/>
            </w:tcBorders>
            <w:vAlign w:val="center"/>
          </w:tcPr>
          <w:p w14:paraId="39F3100A">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default" w:eastAsia="宋体"/>
                <w:color w:val="auto"/>
                <w:spacing w:val="0"/>
                <w:w w:val="100"/>
                <w:position w:val="0"/>
                <w:highlight w:val="none"/>
                <w:lang w:val="en-US" w:eastAsia="zh-CN"/>
              </w:rPr>
            </w:pPr>
            <w:r>
              <w:rPr>
                <w:rFonts w:hint="eastAsia"/>
                <w:color w:val="auto"/>
                <w:spacing w:val="0"/>
                <w:w w:val="100"/>
                <w:position w:val="0"/>
                <w:highlight w:val="none"/>
                <w:lang w:val="en-US" w:eastAsia="zh-CN"/>
              </w:rPr>
              <w:t>9.7</w:t>
            </w:r>
          </w:p>
        </w:tc>
        <w:tc>
          <w:tcPr>
            <w:tcW w:w="1712" w:type="dxa"/>
            <w:vAlign w:val="center"/>
          </w:tcPr>
          <w:p w14:paraId="13694E5A">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本工程施工费用</w:t>
            </w:r>
          </w:p>
          <w:p w14:paraId="3114D216">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lang w:eastAsia="zh-CN"/>
              </w:rPr>
              <w:t>支付原则</w:t>
            </w:r>
          </w:p>
        </w:tc>
        <w:tc>
          <w:tcPr>
            <w:tcW w:w="7205" w:type="dxa"/>
            <w:tcBorders>
              <w:right w:val="single" w:color="000000" w:sz="2" w:space="0"/>
            </w:tcBorders>
            <w:vAlign w:val="center"/>
          </w:tcPr>
          <w:p w14:paraId="17D1BC3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rPr>
              <w:t>以合同约定为准。</w:t>
            </w:r>
          </w:p>
        </w:tc>
      </w:tr>
      <w:tr w14:paraId="332A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42" w:type="dxa"/>
            <w:tcBorders>
              <w:left w:val="single" w:color="000000" w:sz="2" w:space="0"/>
            </w:tcBorders>
            <w:vAlign w:val="center"/>
          </w:tcPr>
          <w:p w14:paraId="2DFAB2FE">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9.8</w:t>
            </w:r>
          </w:p>
        </w:tc>
        <w:tc>
          <w:tcPr>
            <w:tcW w:w="1712" w:type="dxa"/>
            <w:vAlign w:val="center"/>
          </w:tcPr>
          <w:p w14:paraId="3DF4EB61">
            <w:pPr>
              <w:pStyle w:val="20"/>
              <w:keepNext w:val="0"/>
              <w:keepLines w:val="0"/>
              <w:pageBreakBefore w:val="0"/>
              <w:widowControl/>
              <w:kinsoku/>
              <w:wordWrap/>
              <w:overflowPunct w:val="0"/>
              <w:topLinePunct/>
              <w:autoSpaceDE/>
              <w:autoSpaceDN/>
              <w:bidi w:val="0"/>
              <w:adjustRightInd w:val="0"/>
              <w:snapToGrid w:val="0"/>
              <w:spacing w:before="0" w:line="240" w:lineRule="auto"/>
              <w:ind w:left="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招标人对中标人参与“百千万工程”的具体要求说明与要求</w:t>
            </w:r>
          </w:p>
        </w:tc>
        <w:tc>
          <w:tcPr>
            <w:tcW w:w="7205" w:type="dxa"/>
            <w:tcBorders>
              <w:right w:val="single" w:color="000000" w:sz="2" w:space="0"/>
            </w:tcBorders>
            <w:vAlign w:val="center"/>
          </w:tcPr>
          <w:p w14:paraId="69C37D69">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rPr>
            </w:pPr>
            <w:r>
              <w:rPr>
                <w:rFonts w:hint="eastAsia"/>
                <w:color w:val="auto"/>
                <w:spacing w:val="0"/>
                <w:w w:val="100"/>
                <w:position w:val="0"/>
                <w:highlight w:val="none"/>
              </w:rPr>
              <w:t>■具体要求在中标后按照投标承诺和招标人的要求执行。</w:t>
            </w:r>
          </w:p>
          <w:p w14:paraId="3768391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rPr>
            </w:pPr>
            <w:r>
              <w:rPr>
                <w:rFonts w:hint="eastAsia"/>
                <w:color w:val="auto"/>
                <w:spacing w:val="0"/>
                <w:w w:val="100"/>
                <w:position w:val="0"/>
                <w:highlight w:val="none"/>
              </w:rPr>
              <w:t>□具体要求：（由招标人填写）</w:t>
            </w:r>
          </w:p>
        </w:tc>
      </w:tr>
      <w:tr w14:paraId="547D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3" w:hRule="atLeast"/>
          <w:jc w:val="center"/>
        </w:trPr>
        <w:tc>
          <w:tcPr>
            <w:tcW w:w="942" w:type="dxa"/>
            <w:tcBorders>
              <w:left w:val="single" w:color="000000" w:sz="2" w:space="0"/>
            </w:tcBorders>
            <w:vAlign w:val="center"/>
          </w:tcPr>
          <w:p w14:paraId="3103DD48">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10</w:t>
            </w:r>
          </w:p>
        </w:tc>
        <w:tc>
          <w:tcPr>
            <w:tcW w:w="1712" w:type="dxa"/>
            <w:vAlign w:val="center"/>
          </w:tcPr>
          <w:p w14:paraId="596F94B8">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rPr>
              <w:t>电子招标投标</w:t>
            </w:r>
          </w:p>
        </w:tc>
        <w:tc>
          <w:tcPr>
            <w:tcW w:w="7205" w:type="dxa"/>
            <w:tcBorders>
              <w:right w:val="single" w:color="000000" w:sz="2" w:space="0"/>
            </w:tcBorders>
            <w:vAlign w:val="center"/>
          </w:tcPr>
          <w:p w14:paraId="511BEABE">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w:t>
            </w:r>
            <w:r>
              <w:rPr>
                <w:rFonts w:hint="eastAsia"/>
                <w:color w:val="auto"/>
                <w:spacing w:val="0"/>
                <w:w w:val="100"/>
                <w:position w:val="0"/>
                <w:highlight w:val="none"/>
                <w:lang w:eastAsia="zh-CN"/>
              </w:rPr>
              <w:t>否</w:t>
            </w:r>
          </w:p>
          <w:p w14:paraId="014FA4B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■是，具体要求：</w:t>
            </w:r>
          </w:p>
          <w:p w14:paraId="5012271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w:t>
            </w:r>
            <w:r>
              <w:rPr>
                <w:rFonts w:hint="eastAsia"/>
                <w:bCs/>
                <w:color w:val="auto"/>
                <w:spacing w:val="0"/>
                <w:w w:val="100"/>
                <w:position w:val="0"/>
                <w:highlight w:val="none"/>
                <w:u w:val="single"/>
                <w:lang w:val="en-US" w:eastAsia="zh-CN"/>
              </w:rPr>
              <w:t>对投标文件加盖电子印章。</w:t>
            </w:r>
            <w:r>
              <w:rPr>
                <w:rFonts w:hint="eastAsia"/>
                <w:color w:val="auto"/>
                <w:spacing w:val="0"/>
                <w:w w:val="100"/>
                <w:position w:val="0"/>
                <w:highlight w:val="none"/>
                <w:lang w:eastAsia="zh-CN"/>
              </w:rPr>
              <w:t>投标文件中需个人签字或盖章的，应加盖个人电子印章或在线下完成后扫描上传。具体操作详见交易平台相关操作指南。</w:t>
            </w:r>
          </w:p>
          <w:p w14:paraId="29A582E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2、投标文件的修改与撤回：投标人修改或撤回已递交的投标文件，需在交易平台发出撤回通知，并按要求加盖电子印章。电子招标投标交易平台收到通知后，即时向投标人发出确认回执通知。</w:t>
            </w:r>
          </w:p>
          <w:p w14:paraId="1027F27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color w:val="auto"/>
                <w:szCs w:val="21"/>
                <w:highlight w:val="none"/>
                <w:lang w:eastAsia="zh-CN"/>
              </w:rPr>
            </w:pPr>
            <w:r>
              <w:rPr>
                <w:rFonts w:hint="eastAsia"/>
                <w:color w:val="auto"/>
                <w:spacing w:val="0"/>
                <w:w w:val="100"/>
                <w:position w:val="0"/>
                <w:highlight w:val="none"/>
                <w:lang w:eastAsia="zh-CN"/>
              </w:rPr>
              <w:t>3、（重要风险提示）</w:t>
            </w:r>
            <w:r>
              <w:rPr>
                <w:rFonts w:hint="eastAsia" w:ascii="宋体" w:hAnsi="宋体" w:eastAsia="宋体" w:cs="宋体"/>
                <w:color w:val="auto"/>
                <w:szCs w:val="21"/>
                <w:highlight w:val="none"/>
              </w:rPr>
              <w:t>提交投标文件</w:t>
            </w:r>
            <w:r>
              <w:rPr>
                <w:rFonts w:hint="eastAsia"/>
                <w:color w:val="auto"/>
                <w:spacing w:val="0"/>
                <w:w w:val="100"/>
                <w:position w:val="0"/>
                <w:highlight w:val="none"/>
                <w:lang w:val="en-US" w:eastAsia="zh-CN"/>
              </w:rPr>
              <w:t>光盘或</w:t>
            </w:r>
            <w:r>
              <w:rPr>
                <w:rFonts w:hint="eastAsia"/>
                <w:color w:val="auto"/>
                <w:spacing w:val="0"/>
                <w:w w:val="100"/>
                <w:position w:val="0"/>
                <w:highlight w:val="none"/>
                <w:lang w:eastAsia="zh-CN"/>
              </w:rPr>
              <w:t>u盘</w:t>
            </w:r>
            <w:r>
              <w:rPr>
                <w:rFonts w:hint="eastAsia" w:ascii="宋体" w:hAnsi="宋体" w:eastAsia="宋体" w:cs="宋体"/>
                <w:color w:val="auto"/>
                <w:szCs w:val="21"/>
                <w:highlight w:val="none"/>
              </w:rPr>
              <w:t>备用</w:t>
            </w:r>
            <w:r>
              <w:rPr>
                <w:rFonts w:hint="eastAsia" w:ascii="宋体" w:hAnsi="宋体" w:eastAsia="宋体" w:cs="宋体"/>
                <w:color w:val="auto"/>
                <w:szCs w:val="21"/>
                <w:highlight w:val="none"/>
                <w:lang w:eastAsia="zh-CN"/>
              </w:rPr>
              <w:t>：</w:t>
            </w:r>
          </w:p>
          <w:p w14:paraId="6C6FFF43">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1</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载体形式：光盘或</w:t>
            </w:r>
            <w:r>
              <w:rPr>
                <w:rFonts w:hint="eastAsia"/>
                <w:color w:val="auto"/>
                <w:spacing w:val="0"/>
                <w:w w:val="100"/>
                <w:position w:val="0"/>
                <w:highlight w:val="none"/>
                <w:lang w:eastAsia="zh-CN"/>
              </w:rPr>
              <w:t>u盘</w:t>
            </w:r>
            <w:r>
              <w:rPr>
                <w:rFonts w:hint="eastAsia"/>
                <w:color w:val="auto"/>
                <w:spacing w:val="0"/>
                <w:w w:val="100"/>
                <w:position w:val="0"/>
                <w:highlight w:val="none"/>
                <w:lang w:val="en-US" w:eastAsia="zh-CN"/>
              </w:rPr>
              <w:t>，载体形式由投标人自选；</w:t>
            </w:r>
          </w:p>
          <w:p w14:paraId="7AAA1A77">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b/>
                <w:bCs/>
                <w:color w:val="auto"/>
                <w:szCs w:val="21"/>
                <w:highlight w:val="none"/>
                <w:u w:val="none"/>
                <w:lang w:bidi="ar"/>
              </w:rPr>
            </w:pPr>
            <w:r>
              <w:rPr>
                <w:rFonts w:hint="eastAsia"/>
                <w:color w:val="auto"/>
                <w:spacing w:val="0"/>
                <w:w w:val="100"/>
                <w:position w:val="0"/>
                <w:highlight w:val="none"/>
                <w:lang w:val="en-US" w:eastAsia="zh-CN"/>
              </w:rPr>
              <w:t>（2）</w:t>
            </w:r>
            <w:r>
              <w:rPr>
                <w:rFonts w:hint="eastAsia" w:ascii="宋体" w:hAnsi="宋体" w:eastAsia="宋体" w:cs="宋体"/>
                <w:color w:val="auto"/>
                <w:szCs w:val="21"/>
                <w:highlight w:val="none"/>
                <w:u w:val="none"/>
                <w:lang w:bidi="ar"/>
              </w:rPr>
              <w:t>投标人可制作非加密的电子投标文件刻入</w:t>
            </w:r>
            <w:r>
              <w:rPr>
                <w:rFonts w:hint="eastAsia"/>
                <w:color w:val="auto"/>
                <w:spacing w:val="0"/>
                <w:w w:val="100"/>
                <w:position w:val="0"/>
                <w:highlight w:val="none"/>
                <w:lang w:val="en-US" w:eastAsia="zh-CN"/>
              </w:rPr>
              <w:t>光盘或</w:t>
            </w:r>
            <w:r>
              <w:rPr>
                <w:rFonts w:hint="eastAsia"/>
                <w:color w:val="auto"/>
                <w:spacing w:val="0"/>
                <w:w w:val="100"/>
                <w:position w:val="0"/>
                <w:highlight w:val="none"/>
                <w:lang w:eastAsia="zh-CN"/>
              </w:rPr>
              <w:t>u盘</w:t>
            </w:r>
            <w:r>
              <w:rPr>
                <w:rFonts w:hint="eastAsia" w:ascii="宋体" w:hAnsi="宋体" w:eastAsia="宋体" w:cs="宋体"/>
                <w:color w:val="auto"/>
                <w:szCs w:val="21"/>
                <w:highlight w:val="none"/>
                <w:u w:val="none"/>
                <w:lang w:bidi="ar"/>
              </w:rPr>
              <w:t>（总信封1份，内含</w:t>
            </w:r>
            <w:r>
              <w:rPr>
                <w:rFonts w:hint="eastAsia" w:ascii="宋体" w:hAnsi="宋体" w:eastAsia="宋体" w:cs="宋体"/>
                <w:color w:val="auto"/>
                <w:szCs w:val="21"/>
                <w:highlight w:val="none"/>
                <w:u w:val="none"/>
                <w:lang w:val="en-US" w:eastAsia="zh-CN" w:bidi="ar"/>
              </w:rPr>
              <w:t>3</w:t>
            </w:r>
            <w:r>
              <w:rPr>
                <w:rFonts w:hint="eastAsia" w:ascii="宋体" w:hAnsi="宋体" w:eastAsia="宋体" w:cs="宋体"/>
                <w:color w:val="auto"/>
                <w:szCs w:val="21"/>
                <w:highlight w:val="none"/>
                <w:u w:val="none"/>
                <w:lang w:bidi="ar"/>
              </w:rPr>
              <w:t>个光盘或u盘）</w:t>
            </w:r>
            <w:r>
              <w:rPr>
                <w:rFonts w:hint="eastAsia" w:ascii="宋体" w:hAnsi="宋体" w:eastAsia="宋体" w:cs="宋体"/>
                <w:b/>
                <w:bCs/>
                <w:color w:val="auto"/>
                <w:szCs w:val="21"/>
                <w:highlight w:val="none"/>
                <w:u w:val="none"/>
                <w:lang w:bidi="ar"/>
              </w:rPr>
              <w:t>，光盘或u盘分类如下：</w:t>
            </w:r>
          </w:p>
          <w:p w14:paraId="067C911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color w:val="auto"/>
                <w:szCs w:val="21"/>
                <w:highlight w:val="none"/>
                <w:u w:val="none"/>
                <w:lang w:eastAsia="zh-CN" w:bidi="ar"/>
              </w:rPr>
            </w:pPr>
            <w:r>
              <w:rPr>
                <w:rFonts w:hint="eastAsia" w:ascii="宋体" w:hAnsi="宋体" w:eastAsia="宋体" w:cs="宋体"/>
                <w:color w:val="auto"/>
                <w:szCs w:val="21"/>
                <w:highlight w:val="none"/>
                <w:u w:val="none"/>
                <w:lang w:bidi="ar"/>
              </w:rPr>
              <w:t>①设计方案</w:t>
            </w:r>
            <w:r>
              <w:rPr>
                <w:rFonts w:hint="eastAsia" w:ascii="宋体" w:hAnsi="宋体" w:eastAsia="宋体" w:cs="宋体"/>
                <w:color w:val="auto"/>
                <w:szCs w:val="21"/>
                <w:highlight w:val="none"/>
                <w:u w:val="none"/>
                <w:lang w:eastAsia="zh-CN" w:bidi="ar"/>
              </w:rPr>
              <w:t>：</w:t>
            </w:r>
            <w:r>
              <w:rPr>
                <w:rFonts w:hint="eastAsia" w:ascii="宋体" w:hAnsi="宋体" w:eastAsia="宋体" w:cs="宋体"/>
                <w:color w:val="auto"/>
                <w:szCs w:val="21"/>
                <w:highlight w:val="none"/>
                <w:u w:val="none"/>
                <w:lang w:bidi="ar"/>
              </w:rPr>
              <w:t>暗标</w:t>
            </w:r>
            <w:r>
              <w:rPr>
                <w:rFonts w:hint="eastAsia" w:ascii="宋体" w:hAnsi="宋体" w:eastAsia="宋体" w:cs="宋体"/>
                <w:color w:val="auto"/>
                <w:szCs w:val="21"/>
                <w:highlight w:val="none"/>
                <w:u w:val="none"/>
                <w:lang w:val="en-US" w:eastAsia="zh-CN" w:bidi="ar"/>
              </w:rPr>
              <w:t>，</w:t>
            </w:r>
            <w:r>
              <w:rPr>
                <w:rFonts w:hint="eastAsia" w:ascii="宋体" w:hAnsi="宋体" w:eastAsia="宋体" w:cs="宋体"/>
                <w:color w:val="auto"/>
                <w:szCs w:val="21"/>
                <w:highlight w:val="none"/>
                <w:u w:val="none"/>
                <w:lang w:bidi="ar"/>
              </w:rPr>
              <w:t>单独密封在密封袋中，不得出现可以辨认投标人及专业技术人员身份的名称、印章、商标、图形等记认符号</w:t>
            </w:r>
            <w:r>
              <w:rPr>
                <w:rFonts w:hint="eastAsia" w:ascii="宋体" w:hAnsi="宋体" w:eastAsia="宋体" w:cs="宋体"/>
                <w:color w:val="auto"/>
                <w:szCs w:val="21"/>
                <w:highlight w:val="none"/>
                <w:u w:val="none"/>
                <w:lang w:eastAsia="zh-CN" w:bidi="ar"/>
              </w:rPr>
              <w:t>；</w:t>
            </w:r>
          </w:p>
          <w:p w14:paraId="16527CDB">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bidi="ar"/>
              </w:rPr>
              <w:t>②用于揭晓设计方案的可识别投标人身份的文件</w:t>
            </w:r>
            <w:r>
              <w:rPr>
                <w:rFonts w:hint="eastAsia" w:ascii="宋体" w:hAnsi="宋体" w:eastAsia="宋体" w:cs="宋体"/>
                <w:color w:val="auto"/>
                <w:szCs w:val="21"/>
                <w:highlight w:val="none"/>
                <w:u w:val="none"/>
                <w:lang w:eastAsia="zh-CN" w:bidi="ar"/>
              </w:rPr>
              <w:t>：</w:t>
            </w:r>
            <w:r>
              <w:rPr>
                <w:rFonts w:hint="eastAsia" w:ascii="宋体" w:hAnsi="宋体" w:eastAsia="宋体" w:cs="宋体"/>
                <w:color w:val="auto"/>
                <w:szCs w:val="21"/>
                <w:highlight w:val="none"/>
                <w:u w:val="none"/>
                <w:lang w:val="en-US" w:eastAsia="zh-CN" w:bidi="ar"/>
              </w:rPr>
              <w:t>可</w:t>
            </w:r>
            <w:r>
              <w:rPr>
                <w:rFonts w:hint="eastAsia" w:ascii="宋体" w:hAnsi="宋体" w:eastAsia="宋体" w:cs="宋体"/>
                <w:color w:val="auto"/>
                <w:szCs w:val="21"/>
                <w:highlight w:val="none"/>
                <w:u w:val="none"/>
                <w:lang w:eastAsia="zh-CN" w:bidi="ar"/>
              </w:rPr>
              <w:t>为投标人</w:t>
            </w:r>
            <w:r>
              <w:rPr>
                <w:rFonts w:hint="eastAsia" w:ascii="宋体" w:hAnsi="宋体" w:eastAsia="宋体" w:cs="宋体"/>
                <w:color w:val="auto"/>
                <w:szCs w:val="21"/>
                <w:highlight w:val="none"/>
                <w:u w:val="none"/>
                <w:lang w:val="en-US" w:eastAsia="zh-CN" w:bidi="ar"/>
              </w:rPr>
              <w:t>设计方案</w:t>
            </w:r>
            <w:r>
              <w:rPr>
                <w:rFonts w:hint="eastAsia" w:ascii="宋体" w:hAnsi="宋体" w:eastAsia="宋体" w:cs="宋体"/>
                <w:color w:val="auto"/>
                <w:szCs w:val="21"/>
                <w:highlight w:val="none"/>
                <w:u w:val="none"/>
                <w:lang w:eastAsia="zh-CN" w:bidi="ar"/>
              </w:rPr>
              <w:t>中任意一页加盖投标人公章，可以采用光盘或</w:t>
            </w:r>
            <w:r>
              <w:rPr>
                <w:rFonts w:hint="eastAsia" w:ascii="宋体" w:hAnsi="宋体" w:eastAsia="宋体" w:cs="宋体"/>
                <w:color w:val="auto"/>
                <w:szCs w:val="21"/>
                <w:highlight w:val="none"/>
                <w:u w:val="none"/>
                <w:lang w:val="en-US" w:eastAsia="zh-CN" w:bidi="ar"/>
              </w:rPr>
              <w:t>u</w:t>
            </w:r>
            <w:r>
              <w:rPr>
                <w:rFonts w:hint="eastAsia" w:ascii="宋体" w:hAnsi="宋体" w:eastAsia="宋体" w:cs="宋体"/>
                <w:color w:val="auto"/>
                <w:szCs w:val="21"/>
                <w:highlight w:val="none"/>
                <w:u w:val="none"/>
                <w:lang w:eastAsia="zh-CN" w:bidi="ar"/>
              </w:rPr>
              <w:t>盘或纸质文件加盖投标人公章的形式制作；</w:t>
            </w:r>
          </w:p>
          <w:p w14:paraId="350F5BF8">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pacing w:val="0"/>
                <w:w w:val="100"/>
                <w:position w:val="0"/>
                <w:highlight w:val="none"/>
                <w:lang w:eastAsia="zh-CN"/>
              </w:rPr>
              <w:t>③</w:t>
            </w:r>
            <w:r>
              <w:rPr>
                <w:rFonts w:hint="eastAsia" w:ascii="宋体" w:hAnsi="宋体" w:eastAsia="宋体" w:cs="宋体"/>
                <w:b w:val="0"/>
                <w:bCs w:val="0"/>
                <w:color w:val="auto"/>
                <w:spacing w:val="0"/>
                <w:w w:val="100"/>
                <w:position w:val="0"/>
                <w:highlight w:val="none"/>
                <w:lang w:val="en-US" w:eastAsia="zh-CN"/>
              </w:rPr>
              <w:t>技术经济文件：</w:t>
            </w:r>
            <w:r>
              <w:rPr>
                <w:rFonts w:hint="eastAsia" w:ascii="宋体" w:hAnsi="宋体" w:eastAsia="宋体" w:cs="宋体"/>
                <w:b w:val="0"/>
                <w:bCs w:val="0"/>
                <w:color w:val="auto"/>
                <w:szCs w:val="21"/>
                <w:highlight w:val="none"/>
                <w:u w:val="none"/>
                <w:lang w:val="en-US" w:eastAsia="zh-CN"/>
              </w:rPr>
              <w:t>内含</w:t>
            </w:r>
            <w:r>
              <w:rPr>
                <w:rFonts w:hint="eastAsia" w:ascii="宋体" w:hAnsi="宋体" w:eastAsia="宋体" w:cs="宋体"/>
                <w:b w:val="0"/>
                <w:bCs w:val="0"/>
                <w:color w:val="auto"/>
                <w:spacing w:val="0"/>
                <w:w w:val="100"/>
                <w:position w:val="0"/>
                <w:sz w:val="20"/>
                <w:szCs w:val="20"/>
                <w:highlight w:val="none"/>
                <w:lang w:eastAsia="zh-CN"/>
              </w:rPr>
              <w:t>资格审查文件、工程总承包实施方案、经济标、</w:t>
            </w:r>
            <w:r>
              <w:rPr>
                <w:rFonts w:hint="eastAsia" w:ascii="宋体" w:hAnsi="宋体" w:eastAsia="宋体" w:cs="宋体"/>
                <w:b w:val="0"/>
                <w:bCs w:val="0"/>
                <w:color w:val="auto"/>
                <w:spacing w:val="0"/>
                <w:w w:val="100"/>
                <w:position w:val="0"/>
                <w:sz w:val="20"/>
                <w:szCs w:val="20"/>
                <w:highlight w:val="none"/>
                <w:lang w:val="en-US" w:eastAsia="zh-CN"/>
              </w:rPr>
              <w:t>定标文件</w:t>
            </w:r>
          </w:p>
          <w:p w14:paraId="5FD062C6">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color w:val="auto"/>
                <w:szCs w:val="21"/>
                <w:highlight w:val="none"/>
                <w:u w:val="none"/>
                <w:lang w:bidi="ar"/>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3</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color w:val="auto"/>
                <w:szCs w:val="21"/>
                <w:highlight w:val="none"/>
                <w:u w:val="none"/>
                <w:lang w:bidi="ar"/>
              </w:rPr>
              <w:t>在规定的时间、地点提交备用。刻录好的投标文件光盘</w:t>
            </w:r>
            <w:r>
              <w:rPr>
                <w:rFonts w:hint="eastAsia" w:ascii="宋体" w:hAnsi="宋体" w:eastAsia="宋体" w:cs="宋体"/>
                <w:color w:val="auto"/>
                <w:szCs w:val="21"/>
                <w:highlight w:val="none"/>
                <w:u w:val="none"/>
                <w:lang w:val="en-US" w:eastAsia="zh-CN" w:bidi="ar"/>
              </w:rPr>
              <w:t>或u盘</w:t>
            </w:r>
            <w:r>
              <w:rPr>
                <w:rFonts w:hint="eastAsia" w:ascii="宋体" w:hAnsi="宋体" w:eastAsia="宋体" w:cs="宋体"/>
                <w:b/>
                <w:bCs/>
                <w:color w:val="auto"/>
                <w:szCs w:val="21"/>
                <w:highlight w:val="none"/>
                <w:u w:val="single"/>
                <w:lang w:val="en-US" w:eastAsia="zh-CN" w:bidi="ar"/>
              </w:rPr>
              <w:t>先各自独立</w:t>
            </w:r>
            <w:r>
              <w:rPr>
                <w:rFonts w:hint="eastAsia" w:ascii="宋体" w:hAnsi="宋体" w:eastAsia="宋体" w:cs="宋体"/>
                <w:b/>
                <w:bCs/>
                <w:color w:val="auto"/>
                <w:szCs w:val="21"/>
                <w:highlight w:val="none"/>
                <w:u w:val="single"/>
                <w:lang w:bidi="ar"/>
              </w:rPr>
              <w:t>密封</w:t>
            </w:r>
            <w:r>
              <w:rPr>
                <w:rFonts w:hint="eastAsia" w:ascii="宋体" w:hAnsi="宋体" w:eastAsia="宋体" w:cs="宋体"/>
                <w:color w:val="auto"/>
                <w:szCs w:val="21"/>
                <w:highlight w:val="none"/>
                <w:u w:val="none"/>
                <w:lang w:bidi="ar"/>
              </w:rPr>
              <w:t>在密封袋中，</w:t>
            </w:r>
            <w:r>
              <w:rPr>
                <w:rFonts w:hint="eastAsia" w:ascii="宋体" w:hAnsi="宋体" w:eastAsia="宋体" w:cs="宋体"/>
                <w:b/>
                <w:bCs/>
                <w:color w:val="auto"/>
                <w:szCs w:val="21"/>
                <w:highlight w:val="none"/>
                <w:u w:val="single"/>
                <w:lang w:val="en-US" w:eastAsia="zh-CN" w:bidi="ar"/>
              </w:rPr>
              <w:t>再密封在总信封中，</w:t>
            </w:r>
            <w:r>
              <w:rPr>
                <w:rFonts w:hint="eastAsia" w:ascii="宋体" w:hAnsi="宋体" w:eastAsia="宋体" w:cs="宋体"/>
                <w:color w:val="auto"/>
                <w:szCs w:val="21"/>
                <w:highlight w:val="none"/>
                <w:u w:val="none"/>
                <w:lang w:bidi="ar"/>
              </w:rPr>
              <w:t>并在封口处加盖投标人单位公章</w:t>
            </w:r>
            <w:r>
              <w:rPr>
                <w:rFonts w:hint="eastAsia" w:ascii="宋体" w:hAnsi="宋体" w:eastAsia="宋体" w:cs="宋体"/>
                <w:b/>
                <w:bCs/>
                <w:color w:val="auto"/>
                <w:szCs w:val="21"/>
                <w:highlight w:val="none"/>
                <w:u w:val="none"/>
                <w:lang w:bidi="ar"/>
              </w:rPr>
              <w:t>（</w:t>
            </w:r>
            <w:r>
              <w:rPr>
                <w:rFonts w:hint="eastAsia" w:ascii="宋体" w:hAnsi="宋体" w:eastAsia="宋体" w:cs="宋体"/>
                <w:b/>
                <w:bCs/>
                <w:color w:val="auto"/>
                <w:szCs w:val="21"/>
                <w:highlight w:val="none"/>
                <w:u w:val="none"/>
                <w:lang w:val="en-US" w:eastAsia="zh-CN" w:bidi="ar"/>
              </w:rPr>
              <w:t>除</w:t>
            </w:r>
            <w:r>
              <w:rPr>
                <w:rFonts w:hint="eastAsia" w:ascii="宋体" w:hAnsi="宋体" w:eastAsia="宋体" w:cs="宋体"/>
                <w:b/>
                <w:bCs/>
                <w:color w:val="auto"/>
                <w:szCs w:val="21"/>
                <w:highlight w:val="none"/>
                <w:u w:val="none"/>
                <w:lang w:bidi="ar"/>
              </w:rPr>
              <w:t>设计方案除外</w:t>
            </w:r>
            <w:r>
              <w:rPr>
                <w:rFonts w:hint="eastAsia" w:ascii="宋体" w:hAnsi="宋体" w:eastAsia="宋体" w:cs="宋体"/>
                <w:b/>
                <w:bCs/>
                <w:color w:val="auto"/>
                <w:szCs w:val="21"/>
                <w:highlight w:val="none"/>
                <w:u w:val="none"/>
                <w:lang w:eastAsia="zh-CN" w:bidi="ar"/>
              </w:rPr>
              <w:t>，</w:t>
            </w:r>
            <w:r>
              <w:rPr>
                <w:rFonts w:hint="eastAsia" w:ascii="宋体" w:hAnsi="宋体" w:eastAsia="宋体" w:cs="宋体"/>
                <w:b/>
                <w:bCs/>
                <w:color w:val="auto"/>
                <w:szCs w:val="21"/>
                <w:highlight w:val="none"/>
                <w:u w:val="none"/>
                <w:lang w:val="en-US" w:eastAsia="zh-CN" w:bidi="ar"/>
              </w:rPr>
              <w:t>总信封及各独立密封袋均须盖章</w:t>
            </w:r>
            <w:r>
              <w:rPr>
                <w:rFonts w:hint="eastAsia" w:ascii="宋体" w:hAnsi="宋体" w:eastAsia="宋体" w:cs="宋体"/>
                <w:b/>
                <w:bCs/>
                <w:color w:val="auto"/>
                <w:szCs w:val="21"/>
                <w:highlight w:val="none"/>
                <w:u w:val="none"/>
                <w:lang w:bidi="ar"/>
              </w:rPr>
              <w:t>）</w:t>
            </w:r>
            <w:r>
              <w:rPr>
                <w:rFonts w:hint="eastAsia" w:ascii="宋体" w:hAnsi="宋体" w:eastAsia="宋体" w:cs="宋体"/>
                <w:color w:val="auto"/>
                <w:szCs w:val="21"/>
                <w:highlight w:val="none"/>
                <w:u w:val="none"/>
                <w:lang w:bidi="ar"/>
              </w:rPr>
              <w:t>。密封袋上应写明项目名称和招标人名称</w:t>
            </w:r>
            <w:r>
              <w:rPr>
                <w:rFonts w:hint="eastAsia" w:ascii="宋体" w:hAnsi="宋体" w:eastAsia="宋体" w:cs="宋体"/>
                <w:b/>
                <w:bCs/>
                <w:color w:val="auto"/>
                <w:szCs w:val="21"/>
                <w:highlight w:val="none"/>
                <w:u w:val="none"/>
                <w:lang w:bidi="ar"/>
              </w:rPr>
              <w:t>（设计方案除外）</w:t>
            </w:r>
            <w:r>
              <w:rPr>
                <w:rFonts w:hint="eastAsia" w:ascii="宋体" w:hAnsi="宋体" w:eastAsia="宋体" w:cs="宋体"/>
                <w:color w:val="auto"/>
                <w:szCs w:val="21"/>
                <w:highlight w:val="none"/>
                <w:u w:val="none"/>
                <w:lang w:bidi="ar"/>
              </w:rPr>
              <w:t>。</w:t>
            </w:r>
          </w:p>
          <w:p w14:paraId="26FE2F82">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ascii="宋体" w:hAnsi="宋体" w:eastAsia="宋体" w:cs="宋体"/>
                <w:color w:val="auto"/>
                <w:szCs w:val="21"/>
                <w:highlight w:val="none"/>
                <w:u w:val="none"/>
                <w:lang w:val="en-US" w:eastAsia="zh-CN" w:bidi="ar"/>
              </w:rPr>
            </w:pPr>
            <w:r>
              <w:rPr>
                <w:rFonts w:hint="eastAsia" w:ascii="宋体" w:hAnsi="宋体" w:eastAsia="宋体" w:cs="宋体"/>
                <w:color w:val="auto"/>
                <w:szCs w:val="21"/>
                <w:highlight w:val="none"/>
                <w:u w:val="none"/>
                <w:lang w:val="en-US" w:eastAsia="zh-CN" w:bidi="ar"/>
              </w:rPr>
              <w:t>（4）</w:t>
            </w:r>
            <w:r>
              <w:rPr>
                <w:rFonts w:hint="eastAsia" w:ascii="宋体" w:hAnsi="宋体" w:eastAsia="宋体" w:cs="宋体"/>
                <w:color w:val="auto"/>
                <w:spacing w:val="0"/>
                <w:w w:val="100"/>
                <w:position w:val="0"/>
                <w:highlight w:val="none"/>
                <w:lang w:eastAsia="zh-CN"/>
              </w:rPr>
              <w:t>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2BA4E271">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4、投标文件的递交：</w:t>
            </w:r>
          </w:p>
          <w:p w14:paraId="04FD4DD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①投标文件递交的截止时间（投标截止时间，下同）：具体详见广州交易集团有限公司（广州公共资源交易中心）网站公布的项目日程信息，投标人应在截止时间前通过电子招标投标交易平台递交电子投标文件。</w:t>
            </w:r>
          </w:p>
          <w:p w14:paraId="469B4F5E">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②提交投标文件备用光盘或u盘。</w:t>
            </w:r>
          </w:p>
          <w:p w14:paraId="5A36AA45">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投标文件光盘或u盘（备用）递交时间：具体详见广州交易集团有限公司（广州公共资源交易中心）网站公布的项目日程信息，地点：广州公共资源交易中心指定开标室。</w:t>
            </w:r>
          </w:p>
          <w:p w14:paraId="01F33E3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③投标人完成电子投标上传后，电子招标投标交易平台即时向投标人发出递交回执通知。递交时间以递交回执通知载明的传输时间为准。</w:t>
            </w:r>
          </w:p>
          <w:p w14:paraId="072B96D0">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④逾期送达的投标文件，电子招标投标交易平台将予以拒收。</w:t>
            </w:r>
          </w:p>
          <w:p w14:paraId="5E2F2085">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5、投标文件加密要求：</w:t>
            </w:r>
          </w:p>
          <w:p w14:paraId="2D0EF97A">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①网上递交的电子投标文件须进行加密。具体操作详见交易平台相关操作指南。</w:t>
            </w:r>
          </w:p>
          <w:p w14:paraId="2F3F8383">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②未按要求加密的投标文件，招标人将予以拒收。</w:t>
            </w:r>
          </w:p>
          <w:p w14:paraId="1B20290D">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6、投标文件解密失败的补救方案：</w:t>
            </w:r>
          </w:p>
          <w:p w14:paraId="6142B685">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在规定时间内，因投标人之外原因（指网络瘫痪、服务器损坏、交易系统故障短期无法恢复）导致的电子投标文件解密失败，在开标现场读取光盘或u盘内容</w:t>
            </w:r>
            <w:r>
              <w:rPr>
                <w:rFonts w:hint="eastAsia" w:ascii="宋体" w:hAnsi="宋体" w:eastAsia="宋体" w:cs="宋体"/>
                <w:b/>
                <w:bCs/>
                <w:color w:val="auto"/>
                <w:kern w:val="2"/>
                <w:sz w:val="20"/>
                <w:szCs w:val="20"/>
                <w:highlight w:val="none"/>
                <w:u w:val="none"/>
                <w:lang w:val="en-US" w:eastAsia="zh-CN" w:bidi="ar"/>
              </w:rPr>
              <w:t>（只读取技术经济文件）</w:t>
            </w:r>
            <w:r>
              <w:rPr>
                <w:rFonts w:hint="eastAsia" w:ascii="宋体" w:hAnsi="宋体" w:eastAsia="宋体" w:cs="宋体"/>
                <w:color w:val="auto"/>
                <w:spacing w:val="0"/>
                <w:w w:val="100"/>
                <w:position w:val="0"/>
                <w:highlight w:val="none"/>
                <w:lang w:eastAsia="zh-CN"/>
              </w:rPr>
              <w:t>，</w:t>
            </w:r>
            <w:r>
              <w:rPr>
                <w:rFonts w:hint="eastAsia"/>
                <w:color w:val="auto"/>
                <w:spacing w:val="0"/>
                <w:w w:val="100"/>
                <w:position w:val="0"/>
                <w:highlight w:val="none"/>
                <w:lang w:eastAsia="zh-CN"/>
              </w:rPr>
              <w:t>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29B8B01F">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除发生上述情况外，开标评标均以投标人通过交易平台网上递交的电子投标文件为准。</w:t>
            </w:r>
          </w:p>
        </w:tc>
      </w:tr>
      <w:tr w14:paraId="0BCBD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42" w:type="dxa"/>
            <w:tcBorders>
              <w:left w:val="single" w:color="000000" w:sz="2" w:space="0"/>
            </w:tcBorders>
            <w:vAlign w:val="center"/>
          </w:tcPr>
          <w:p w14:paraId="7B9CED8F">
            <w:pPr>
              <w:pStyle w:val="20"/>
              <w:keepNext w:val="0"/>
              <w:keepLines w:val="0"/>
              <w:pageBreakBefore w:val="0"/>
              <w:widowControl/>
              <w:kinsoku/>
              <w:wordWrap/>
              <w:overflowPunct w:val="0"/>
              <w:topLinePunct/>
              <w:autoSpaceDE/>
              <w:autoSpaceDN/>
              <w:bidi w:val="0"/>
              <w:adjustRightInd w:val="0"/>
              <w:snapToGrid w:val="0"/>
              <w:ind w:left="0"/>
              <w:jc w:val="center"/>
              <w:textAlignment w:val="baseline"/>
              <w:rPr>
                <w:rFonts w:hint="eastAsia"/>
                <w:color w:val="auto"/>
                <w:spacing w:val="0"/>
                <w:w w:val="100"/>
                <w:position w:val="0"/>
                <w:highlight w:val="none"/>
              </w:rPr>
            </w:pPr>
            <w:r>
              <w:rPr>
                <w:rFonts w:hint="eastAsia"/>
                <w:color w:val="auto"/>
                <w:spacing w:val="0"/>
                <w:w w:val="100"/>
                <w:position w:val="0"/>
                <w:highlight w:val="none"/>
              </w:rPr>
              <w:t>11</w:t>
            </w:r>
          </w:p>
        </w:tc>
        <w:tc>
          <w:tcPr>
            <w:tcW w:w="1712" w:type="dxa"/>
            <w:vAlign w:val="center"/>
          </w:tcPr>
          <w:p w14:paraId="1F77CB29">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ascii="宋体" w:hAnsi="宋体" w:eastAsia="宋体" w:cs="宋体"/>
                <w:color w:val="auto"/>
                <w:spacing w:val="0"/>
                <w:w w:val="100"/>
                <w:position w:val="0"/>
                <w:sz w:val="20"/>
                <w:szCs w:val="20"/>
                <w:highlight w:val="none"/>
                <w:lang w:eastAsia="zh-CN"/>
              </w:rPr>
            </w:pPr>
            <w:r>
              <w:rPr>
                <w:rFonts w:hint="eastAsia"/>
                <w:color w:val="auto"/>
                <w:spacing w:val="0"/>
                <w:w w:val="100"/>
                <w:position w:val="0"/>
                <w:highlight w:val="none"/>
                <w:lang w:eastAsia="zh-CN"/>
              </w:rPr>
              <w:t>投标活动的有关</w:t>
            </w:r>
          </w:p>
          <w:p w14:paraId="21EBC7F0">
            <w:pPr>
              <w:pStyle w:val="20"/>
              <w:keepNext w:val="0"/>
              <w:keepLines w:val="0"/>
              <w:pageBreakBefore w:val="0"/>
              <w:widowControl/>
              <w:kinsoku/>
              <w:wordWrap/>
              <w:overflowPunct w:val="0"/>
              <w:topLinePunct/>
              <w:autoSpaceDE/>
              <w:autoSpaceDN/>
              <w:bidi w:val="0"/>
              <w:adjustRightInd w:val="0"/>
              <w:snapToGrid w:val="0"/>
              <w:jc w:val="center"/>
              <w:textAlignment w:val="baseline"/>
              <w:rPr>
                <w:rFonts w:hint="eastAsia"/>
                <w:color w:val="auto"/>
                <w:spacing w:val="0"/>
                <w:w w:val="100"/>
                <w:position w:val="0"/>
                <w:highlight w:val="none"/>
                <w:lang w:eastAsia="zh-CN"/>
              </w:rPr>
            </w:pPr>
            <w:r>
              <w:rPr>
                <w:rFonts w:hint="eastAsia"/>
                <w:color w:val="auto"/>
                <w:spacing w:val="0"/>
                <w:w w:val="100"/>
                <w:position w:val="0"/>
                <w:highlight w:val="none"/>
                <w:lang w:eastAsia="zh-CN"/>
              </w:rPr>
              <w:t>人员社保证明</w:t>
            </w:r>
          </w:p>
        </w:tc>
        <w:tc>
          <w:tcPr>
            <w:tcW w:w="7205" w:type="dxa"/>
            <w:tcBorders>
              <w:right w:val="single" w:color="000000" w:sz="2" w:space="0"/>
            </w:tcBorders>
            <w:vAlign w:val="center"/>
          </w:tcPr>
          <w:p w14:paraId="1CAF0D74">
            <w:pPr>
              <w:pStyle w:val="20"/>
              <w:keepNext w:val="0"/>
              <w:keepLines w:val="0"/>
              <w:pageBreakBefore w:val="0"/>
              <w:widowControl/>
              <w:kinsoku/>
              <w:wordWrap/>
              <w:overflowPunct w:val="0"/>
              <w:topLinePunct/>
              <w:autoSpaceDE/>
              <w:autoSpaceDN/>
              <w:bidi w:val="0"/>
              <w:adjustRightInd w:val="0"/>
              <w:snapToGrid w:val="0"/>
              <w:spacing w:before="0" w:line="288" w:lineRule="auto"/>
              <w:ind w:left="126"/>
              <w:jc w:val="left"/>
              <w:textAlignment w:val="baseline"/>
              <w:rPr>
                <w:rFonts w:hint="eastAsia"/>
                <w:b/>
                <w:bCs/>
                <w:color w:val="auto"/>
                <w:spacing w:val="0"/>
                <w:w w:val="100"/>
                <w:position w:val="0"/>
                <w:highlight w:val="none"/>
                <w:lang w:eastAsia="zh-CN"/>
              </w:rPr>
            </w:pPr>
            <w:r>
              <w:rPr>
                <w:rFonts w:hint="eastAsia"/>
                <w:b/>
                <w:bCs/>
                <w:color w:val="auto"/>
                <w:spacing w:val="0"/>
                <w:w w:val="100"/>
                <w:position w:val="0"/>
                <w:highlight w:val="none"/>
                <w:lang w:eastAsia="zh-CN"/>
              </w:rPr>
              <w:t>各投标人中参加投标活动的有关人员（除法定代表人外）（包括且不限于投标文件的编制人员、递交投标文件及递交备用光盘的被授权委托人）均须提供自2025年6月份（含6月份）以来任意一个月份在本单位（不含投标人的子公司，含分公司或分支机构）购买的社保证明（包括社会保险个人缴费证明或社会保险个人参保证明或电子税务局申报缴款个人明细查询等）扫描件；因改制或重组的企业或事业单位人员社保由上级主管部门缴纳的，除提供上级主管部门缴纳社保证明扫描件外，需由上级主管部门出具证明说明。</w:t>
            </w:r>
          </w:p>
        </w:tc>
      </w:tr>
    </w:tbl>
    <w:p w14:paraId="2BD35479">
      <w:pPr>
        <w:keepNext w:val="0"/>
        <w:keepLines w:val="0"/>
        <w:pageBreakBefore w:val="0"/>
        <w:kinsoku/>
        <w:bidi w:val="0"/>
        <w:spacing w:line="91" w:lineRule="auto"/>
        <w:rPr>
          <w:color w:val="auto"/>
          <w:spacing w:val="0"/>
          <w:w w:val="100"/>
          <w:position w:val="0"/>
          <w:sz w:val="2"/>
          <w:highlight w:val="none"/>
        </w:rPr>
      </w:pPr>
    </w:p>
    <w:p w14:paraId="3E692684">
      <w:pPr>
        <w:keepNext w:val="0"/>
        <w:keepLines w:val="0"/>
        <w:pageBreakBefore w:val="0"/>
        <w:kinsoku/>
        <w:bidi w:val="0"/>
        <w:spacing w:line="91" w:lineRule="auto"/>
        <w:rPr>
          <w:color w:val="auto"/>
          <w:spacing w:val="0"/>
          <w:w w:val="100"/>
          <w:position w:val="0"/>
          <w:sz w:val="2"/>
          <w:highlight w:val="none"/>
          <w:lang w:eastAsia="zh-CN"/>
        </w:rPr>
      </w:pPr>
    </w:p>
    <w:p w14:paraId="6DA5D2A7">
      <w:pPr>
        <w:pStyle w:val="7"/>
        <w:keepNext w:val="0"/>
        <w:keepLines w:val="0"/>
        <w:pageBreakBefore w:val="0"/>
        <w:kinsoku/>
        <w:bidi w:val="0"/>
        <w:rPr>
          <w:color w:val="auto"/>
          <w:spacing w:val="0"/>
          <w:w w:val="100"/>
          <w:position w:val="0"/>
          <w:highlight w:val="none"/>
          <w:lang w:eastAsia="zh-CN"/>
        </w:rPr>
      </w:pPr>
    </w:p>
    <w:p w14:paraId="4DE7AF24">
      <w:pPr>
        <w:keepNext w:val="0"/>
        <w:keepLines w:val="0"/>
        <w:pageBreakBefore w:val="0"/>
        <w:kinsoku/>
        <w:bidi w:val="0"/>
        <w:rPr>
          <w:color w:val="auto"/>
          <w:spacing w:val="0"/>
          <w:w w:val="100"/>
          <w:position w:val="0"/>
          <w:sz w:val="2"/>
          <w:highlight w:val="none"/>
          <w:lang w:eastAsia="zh-CN"/>
        </w:rPr>
      </w:pPr>
      <w:r>
        <w:rPr>
          <w:color w:val="auto"/>
          <w:spacing w:val="0"/>
          <w:w w:val="100"/>
          <w:position w:val="0"/>
          <w:sz w:val="2"/>
          <w:highlight w:val="none"/>
          <w:lang w:eastAsia="zh-CN"/>
        </w:rPr>
        <w:br w:type="page"/>
      </w:r>
    </w:p>
    <w:p w14:paraId="61DE0371">
      <w:pPr>
        <w:keepNext w:val="0"/>
        <w:keepLines w:val="0"/>
        <w:pageBreakBefore w:val="0"/>
        <w:kinsoku/>
        <w:bidi w:val="0"/>
        <w:spacing w:line="91" w:lineRule="auto"/>
        <w:rPr>
          <w:color w:val="auto"/>
          <w:spacing w:val="0"/>
          <w:w w:val="100"/>
          <w:position w:val="0"/>
          <w:sz w:val="2"/>
          <w:highlight w:val="none"/>
          <w:lang w:eastAsia="zh-CN"/>
        </w:rPr>
      </w:pPr>
    </w:p>
    <w:p w14:paraId="64261A1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20" w:name="_Toc6486"/>
      <w:bookmarkStart w:id="21" w:name="_Toc29979"/>
      <w:bookmarkStart w:id="22" w:name="_Toc29339"/>
      <w:bookmarkStart w:id="23" w:name="_Toc25884"/>
      <w:bookmarkStart w:id="24" w:name="_Toc28264"/>
      <w:r>
        <w:rPr>
          <w:rFonts w:ascii="宋体" w:hAnsi="宋体" w:eastAsia="宋体" w:cs="宋体"/>
          <w:b/>
          <w:bCs/>
          <w:color w:val="auto"/>
          <w:spacing w:val="0"/>
          <w:w w:val="100"/>
          <w:position w:val="0"/>
          <w:sz w:val="28"/>
          <w:szCs w:val="28"/>
          <w:highlight w:val="none"/>
          <w:lang w:eastAsia="zh-CN"/>
        </w:rPr>
        <w:t>1. 总则</w:t>
      </w:r>
      <w:bookmarkEnd w:id="20"/>
      <w:bookmarkEnd w:id="21"/>
      <w:bookmarkEnd w:id="22"/>
      <w:bookmarkEnd w:id="23"/>
      <w:bookmarkEnd w:id="24"/>
    </w:p>
    <w:p w14:paraId="6E3A151F">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5" w:name="_Toc15066"/>
      <w:bookmarkStart w:id="26" w:name="_Toc8885"/>
      <w:bookmarkStart w:id="27" w:name="_Toc2353"/>
      <w:r>
        <w:rPr>
          <w:rFonts w:ascii="宋体" w:hAnsi="宋体" w:eastAsia="宋体" w:cs="宋体"/>
          <w:b/>
          <w:bCs/>
          <w:color w:val="auto"/>
          <w:spacing w:val="0"/>
          <w:w w:val="100"/>
          <w:position w:val="0"/>
          <w:sz w:val="28"/>
          <w:szCs w:val="28"/>
          <w:highlight w:val="none"/>
          <w:lang w:eastAsia="zh-CN"/>
        </w:rPr>
        <w:t>1.1 项目概况</w:t>
      </w:r>
      <w:bookmarkEnd w:id="25"/>
      <w:bookmarkEnd w:id="26"/>
      <w:bookmarkEnd w:id="27"/>
    </w:p>
    <w:p w14:paraId="275A926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1.1.1 根据《中华人民共和国招标投标法》等有关法律、法规和规章的规定，本招标项目已具备招标条件，现对该项目设计施工进行总承包招标。</w:t>
      </w:r>
    </w:p>
    <w:p w14:paraId="58AEE0F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1.1.2 招标人：见投标人须知前附表。</w:t>
      </w:r>
    </w:p>
    <w:p w14:paraId="47FA41D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1.1.3 招标代理机构：见投标人须知前附表。</w:t>
      </w:r>
    </w:p>
    <w:p w14:paraId="66BDDA6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1.1.4 招标项目名称：见投标人须知前附表。</w:t>
      </w:r>
    </w:p>
    <w:p w14:paraId="1C71A6A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1.1.5 项目建设地点：见投标人须知前附表。</w:t>
      </w:r>
    </w:p>
    <w:p w14:paraId="487FF0C9">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8" w:name="_Toc11174"/>
      <w:bookmarkStart w:id="29" w:name="_Toc19343"/>
      <w:bookmarkStart w:id="30" w:name="_Toc28883"/>
      <w:r>
        <w:rPr>
          <w:rFonts w:ascii="宋体" w:hAnsi="宋体" w:eastAsia="宋体" w:cs="宋体"/>
          <w:b/>
          <w:bCs/>
          <w:color w:val="auto"/>
          <w:spacing w:val="0"/>
          <w:w w:val="100"/>
          <w:position w:val="0"/>
          <w:sz w:val="28"/>
          <w:szCs w:val="28"/>
          <w:highlight w:val="none"/>
          <w:lang w:eastAsia="zh-CN"/>
        </w:rPr>
        <w:t>1.2 项目的资金来源和落实情况</w:t>
      </w:r>
      <w:bookmarkEnd w:id="28"/>
      <w:bookmarkEnd w:id="29"/>
      <w:bookmarkEnd w:id="30"/>
    </w:p>
    <w:p w14:paraId="49A2441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1.2.1 资金来源及比例：见投标人须知前附表。</w:t>
      </w:r>
    </w:p>
    <w:p w14:paraId="711AE75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1.2.2 资金落实情况：见投标人须知前附表。</w:t>
      </w:r>
    </w:p>
    <w:p w14:paraId="2F294A9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31" w:name="_Toc904"/>
      <w:bookmarkStart w:id="32" w:name="_Toc7409"/>
      <w:bookmarkStart w:id="33" w:name="_Toc27454"/>
      <w:r>
        <w:rPr>
          <w:rFonts w:ascii="宋体" w:hAnsi="宋体" w:eastAsia="宋体" w:cs="宋体"/>
          <w:b/>
          <w:bCs/>
          <w:color w:val="auto"/>
          <w:spacing w:val="0"/>
          <w:w w:val="100"/>
          <w:position w:val="0"/>
          <w:sz w:val="28"/>
          <w:szCs w:val="28"/>
          <w:highlight w:val="none"/>
          <w:lang w:eastAsia="zh-CN"/>
        </w:rPr>
        <w:t>1.3 招标范围、计划工期和质量标准</w:t>
      </w:r>
      <w:bookmarkEnd w:id="31"/>
      <w:bookmarkEnd w:id="32"/>
      <w:bookmarkEnd w:id="33"/>
    </w:p>
    <w:p w14:paraId="67A91AC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1.3.1 招标范围：见投标人须知前附表。</w:t>
      </w:r>
    </w:p>
    <w:p w14:paraId="5D75B6C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1.3.2 计划工期：见投标人须知前附表。</w:t>
      </w:r>
    </w:p>
    <w:p w14:paraId="07F1289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1.3.3 质量标准：见投标人须知前附表。</w:t>
      </w:r>
    </w:p>
    <w:p w14:paraId="55418F4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34" w:name="_Toc16360"/>
      <w:bookmarkStart w:id="35" w:name="_Toc17274"/>
      <w:bookmarkStart w:id="36" w:name="_Toc14081"/>
      <w:r>
        <w:rPr>
          <w:rFonts w:ascii="宋体" w:hAnsi="宋体" w:eastAsia="宋体" w:cs="宋体"/>
          <w:b/>
          <w:bCs/>
          <w:color w:val="auto"/>
          <w:spacing w:val="0"/>
          <w:w w:val="100"/>
          <w:position w:val="0"/>
          <w:sz w:val="28"/>
          <w:szCs w:val="28"/>
          <w:highlight w:val="none"/>
          <w:lang w:eastAsia="zh-CN"/>
        </w:rPr>
        <w:t>1.4 投标人资格要求（详见招标公告要求）</w:t>
      </w:r>
      <w:bookmarkEnd w:id="34"/>
      <w:bookmarkEnd w:id="35"/>
      <w:bookmarkEnd w:id="36"/>
    </w:p>
    <w:p w14:paraId="17B832E7">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37" w:name="_Toc4964"/>
      <w:bookmarkStart w:id="38" w:name="_Toc32104"/>
      <w:bookmarkStart w:id="39" w:name="_Toc24439"/>
      <w:r>
        <w:rPr>
          <w:rFonts w:ascii="宋体" w:hAnsi="宋体" w:eastAsia="宋体" w:cs="宋体"/>
          <w:b/>
          <w:bCs/>
          <w:color w:val="auto"/>
          <w:spacing w:val="0"/>
          <w:w w:val="100"/>
          <w:position w:val="0"/>
          <w:sz w:val="28"/>
          <w:szCs w:val="28"/>
          <w:highlight w:val="none"/>
          <w:lang w:eastAsia="zh-CN"/>
        </w:rPr>
        <w:t>1.5 费用承担和设计成果（投标）补偿</w:t>
      </w:r>
      <w:bookmarkEnd w:id="37"/>
      <w:bookmarkEnd w:id="38"/>
      <w:bookmarkEnd w:id="39"/>
    </w:p>
    <w:p w14:paraId="6F93188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1.5.1 投标人准备和参加投标活动发生的费用自理。</w:t>
      </w:r>
    </w:p>
    <w:p w14:paraId="7921E9F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1.5.2 招标人有权免费使用未中标人设计成果。</w:t>
      </w:r>
    </w:p>
    <w:p w14:paraId="251A3FB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1.5.3中标人</w:t>
      </w:r>
      <w:r>
        <w:rPr>
          <w:rFonts w:hint="eastAsia" w:ascii="宋体" w:hAnsi="宋体" w:eastAsia="宋体" w:cs="宋体"/>
          <w:color w:val="auto"/>
          <w:spacing w:val="0"/>
          <w:w w:val="100"/>
          <w:position w:val="0"/>
          <w:sz w:val="20"/>
          <w:szCs w:val="20"/>
          <w:highlight w:val="none"/>
          <w:lang w:val="en-US" w:eastAsia="zh-CN"/>
        </w:rPr>
        <w:t>按照</w:t>
      </w:r>
      <w:r>
        <w:rPr>
          <w:rFonts w:ascii="宋体" w:hAnsi="宋体" w:eastAsia="宋体" w:cs="宋体"/>
          <w:color w:val="auto"/>
          <w:spacing w:val="0"/>
          <w:w w:val="100"/>
          <w:position w:val="0"/>
          <w:sz w:val="20"/>
          <w:szCs w:val="20"/>
          <w:highlight w:val="none"/>
          <w:lang w:eastAsia="zh-CN"/>
        </w:rPr>
        <w:t>《广州市发展改革委转发省发展改革委关于规范公共资源交易服务收费及有关问题的通知》（穗发改〔2017〕811号）文件的规定，向广州公共资源交易中心代缴交易服务费，其费用包含在中标人投标报价中，招标人不另行支付。</w:t>
      </w:r>
    </w:p>
    <w:p w14:paraId="66B2024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1.5.4 本项目招标代理服务费由中标人支付，该费用已含在最高投标限价范围内，投标人在投标报价时综合考虑在内，不单独报价。中标人须在中标候选人公示期结束后、领取中标通知书前须向招标代理机构一次性支付招标代理服务费，方可领取中标通知书。</w:t>
      </w:r>
    </w:p>
    <w:p w14:paraId="560E1D2E">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40" w:name="_Toc19589"/>
      <w:bookmarkStart w:id="41" w:name="_Toc15893"/>
      <w:bookmarkStart w:id="42" w:name="_Toc4393"/>
      <w:r>
        <w:rPr>
          <w:rFonts w:ascii="宋体" w:hAnsi="宋体" w:eastAsia="宋体" w:cs="宋体"/>
          <w:b/>
          <w:bCs/>
          <w:color w:val="auto"/>
          <w:spacing w:val="0"/>
          <w:w w:val="100"/>
          <w:position w:val="0"/>
          <w:sz w:val="28"/>
          <w:szCs w:val="28"/>
          <w:highlight w:val="none"/>
          <w:lang w:eastAsia="zh-CN"/>
        </w:rPr>
        <w:t>1.6 保密</w:t>
      </w:r>
      <w:bookmarkEnd w:id="40"/>
      <w:bookmarkEnd w:id="41"/>
      <w:bookmarkEnd w:id="42"/>
    </w:p>
    <w:p w14:paraId="02D6D1A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参与招标投标活动的各方应对招标文件和投标文件中的商业和技术等秘密保密，否则应承担相应的法律责任。</w:t>
      </w:r>
    </w:p>
    <w:p w14:paraId="06364A31">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43" w:name="_Toc3128"/>
      <w:bookmarkStart w:id="44" w:name="_Toc26763"/>
      <w:bookmarkStart w:id="45" w:name="_Toc17593"/>
      <w:r>
        <w:rPr>
          <w:rFonts w:ascii="宋体" w:hAnsi="宋体" w:eastAsia="宋体" w:cs="宋体"/>
          <w:b/>
          <w:bCs/>
          <w:color w:val="auto"/>
          <w:spacing w:val="0"/>
          <w:w w:val="100"/>
          <w:position w:val="0"/>
          <w:sz w:val="28"/>
          <w:szCs w:val="28"/>
          <w:highlight w:val="none"/>
          <w:lang w:eastAsia="zh-CN"/>
        </w:rPr>
        <w:t>1.7 语言文字</w:t>
      </w:r>
      <w:bookmarkEnd w:id="43"/>
      <w:bookmarkEnd w:id="44"/>
      <w:bookmarkEnd w:id="45"/>
    </w:p>
    <w:p w14:paraId="167A430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招标投标文件使用的语言文字为中文。专用术语使用外文的，应附有中文注释。</w:t>
      </w:r>
    </w:p>
    <w:p w14:paraId="3F5524D4">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46" w:name="_Toc12935"/>
      <w:bookmarkStart w:id="47" w:name="_Toc6859"/>
      <w:bookmarkStart w:id="48" w:name="_Toc23458"/>
      <w:r>
        <w:rPr>
          <w:rFonts w:ascii="宋体" w:hAnsi="宋体" w:eastAsia="宋体" w:cs="宋体"/>
          <w:b/>
          <w:bCs/>
          <w:color w:val="auto"/>
          <w:spacing w:val="0"/>
          <w:w w:val="100"/>
          <w:position w:val="0"/>
          <w:sz w:val="28"/>
          <w:szCs w:val="28"/>
          <w:highlight w:val="none"/>
          <w:lang w:eastAsia="zh-CN"/>
        </w:rPr>
        <w:t>1.8 计量单位</w:t>
      </w:r>
      <w:bookmarkEnd w:id="46"/>
      <w:bookmarkEnd w:id="47"/>
      <w:bookmarkEnd w:id="48"/>
    </w:p>
    <w:p w14:paraId="08E2E8A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1.8.1 所有计量均采用中华人民共和国法定计量单位。</w:t>
      </w:r>
    </w:p>
    <w:p w14:paraId="0403F90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1.8.2 本工程投标报价采用的币种为人民币。</w:t>
      </w:r>
    </w:p>
    <w:p w14:paraId="379C1644">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49" w:name="_Toc6463"/>
      <w:bookmarkStart w:id="50" w:name="_Toc4304"/>
      <w:bookmarkStart w:id="51" w:name="_Toc6823"/>
      <w:r>
        <w:rPr>
          <w:rFonts w:ascii="宋体" w:hAnsi="宋体" w:eastAsia="宋体" w:cs="宋体"/>
          <w:b/>
          <w:bCs/>
          <w:color w:val="auto"/>
          <w:spacing w:val="0"/>
          <w:w w:val="100"/>
          <w:position w:val="0"/>
          <w:sz w:val="28"/>
          <w:szCs w:val="28"/>
          <w:highlight w:val="none"/>
          <w:lang w:eastAsia="zh-CN"/>
        </w:rPr>
        <w:t>1.9 踏勘现场</w:t>
      </w:r>
      <w:bookmarkEnd w:id="49"/>
      <w:bookmarkEnd w:id="50"/>
      <w:bookmarkEnd w:id="51"/>
    </w:p>
    <w:p w14:paraId="2AF04EE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1.9.1 投标人须知前附表规定组织踏勘现场的，招标人按投标人须知前附表规定的时间、地点组织投标人踏勘项目现场。</w:t>
      </w:r>
    </w:p>
    <w:p w14:paraId="600F3AB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1.9.2 投标人踏勘现场发生的费用自理。</w:t>
      </w:r>
    </w:p>
    <w:p w14:paraId="434D9AE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1.9.3 除招标人的原因外，投标人自行负责在踏勘现场中所发生的人员伤亡和财产损失。</w:t>
      </w:r>
    </w:p>
    <w:p w14:paraId="133BC6B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1.9.4 现场由投标人自行踏勘，投标人不进行踏勘的，视为已熟知现场条件，自行承担相关风险。招标人不对投标人自行踏勘现场作出的判断和决策负责。</w:t>
      </w:r>
    </w:p>
    <w:p w14:paraId="6591BE1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52" w:name="_Toc9671"/>
      <w:bookmarkStart w:id="53" w:name="_Toc31559"/>
      <w:bookmarkStart w:id="54" w:name="_Toc1457"/>
      <w:r>
        <w:rPr>
          <w:rFonts w:ascii="宋体" w:hAnsi="宋体" w:eastAsia="宋体" w:cs="宋体"/>
          <w:b/>
          <w:bCs/>
          <w:color w:val="auto"/>
          <w:spacing w:val="0"/>
          <w:w w:val="100"/>
          <w:position w:val="0"/>
          <w:sz w:val="28"/>
          <w:szCs w:val="28"/>
          <w:highlight w:val="none"/>
          <w:lang w:eastAsia="zh-CN"/>
        </w:rPr>
        <w:t>1.10 投标预备会</w:t>
      </w:r>
      <w:bookmarkEnd w:id="52"/>
      <w:bookmarkEnd w:id="53"/>
      <w:bookmarkEnd w:id="54"/>
    </w:p>
    <w:p w14:paraId="154FF10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1.10.1 投标人须知前附表规定不召开投标预备会。</w:t>
      </w:r>
    </w:p>
    <w:p w14:paraId="7F5BFC4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1.10.2 投标人应在投标人须知前附表规定的时间前，进行网上答疑。</w:t>
      </w:r>
      <w:r>
        <w:rPr>
          <w:rFonts w:ascii="宋体" w:hAnsi="宋体" w:eastAsia="宋体" w:cs="宋体"/>
          <w:color w:val="auto"/>
          <w:spacing w:val="0"/>
          <w:w w:val="100"/>
          <w:position w:val="0"/>
          <w:sz w:val="20"/>
          <w:szCs w:val="20"/>
          <w:highlight w:val="none"/>
          <w:u w:val="single"/>
          <w:lang w:eastAsia="zh-CN"/>
        </w:rPr>
        <w:t>投标人若对招标文件（包括招标图纸</w:t>
      </w:r>
      <w:r>
        <w:rPr>
          <w:rFonts w:hint="eastAsia" w:ascii="宋体" w:hAnsi="宋体" w:eastAsia="宋体" w:cs="宋体"/>
          <w:color w:val="auto"/>
          <w:spacing w:val="0"/>
          <w:w w:val="100"/>
          <w:position w:val="0"/>
          <w:sz w:val="20"/>
          <w:szCs w:val="20"/>
          <w:highlight w:val="none"/>
          <w:u w:val="single"/>
          <w:lang w:eastAsia="zh-CN"/>
        </w:rPr>
        <w:t>（如有）</w:t>
      </w:r>
      <w:r>
        <w:rPr>
          <w:rFonts w:ascii="宋体" w:hAnsi="宋体" w:eastAsia="宋体" w:cs="宋体"/>
          <w:color w:val="auto"/>
          <w:spacing w:val="0"/>
          <w:w w:val="100"/>
          <w:position w:val="0"/>
          <w:sz w:val="20"/>
          <w:szCs w:val="20"/>
          <w:highlight w:val="none"/>
          <w:u w:val="single"/>
          <w:lang w:eastAsia="zh-CN"/>
        </w:rPr>
        <w:t>、清单</w:t>
      </w:r>
      <w:r>
        <w:rPr>
          <w:rFonts w:hint="eastAsia" w:ascii="宋体" w:hAnsi="宋体" w:eastAsia="宋体" w:cs="宋体"/>
          <w:color w:val="auto"/>
          <w:spacing w:val="0"/>
          <w:w w:val="100"/>
          <w:position w:val="0"/>
          <w:sz w:val="20"/>
          <w:szCs w:val="20"/>
          <w:highlight w:val="none"/>
          <w:u w:val="single"/>
          <w:lang w:eastAsia="zh-CN"/>
        </w:rPr>
        <w:t>（如有）</w:t>
      </w:r>
      <w:r>
        <w:rPr>
          <w:rFonts w:ascii="宋体" w:hAnsi="宋体" w:eastAsia="宋体" w:cs="宋体"/>
          <w:color w:val="auto"/>
          <w:spacing w:val="0"/>
          <w:w w:val="100"/>
          <w:position w:val="0"/>
          <w:sz w:val="20"/>
          <w:szCs w:val="20"/>
          <w:highlight w:val="none"/>
          <w:u w:val="single"/>
          <w:lang w:eastAsia="zh-CN"/>
        </w:rPr>
        <w:t>、投标最高限价、合同）有疑问的，可在规定的时间内通过广州交易集团有限公司（广州公共资源交易中心）网站进入提问区域将问题提交给招标人或招标代理人，提交问题时一律不得署名。网上答疑的操作指南为：登陆广州交易集团有限公司（广州公共</w:t>
      </w:r>
      <w:r>
        <w:rPr>
          <w:rFonts w:hint="eastAsia" w:ascii="宋体" w:hAnsi="宋体" w:eastAsia="宋体" w:cs="宋体"/>
          <w:color w:val="auto"/>
          <w:spacing w:val="0"/>
          <w:w w:val="100"/>
          <w:position w:val="0"/>
          <w:sz w:val="20"/>
          <w:szCs w:val="20"/>
          <w:highlight w:val="none"/>
          <w:u w:val="single"/>
          <w:lang w:eastAsia="zh-CN"/>
        </w:rPr>
        <w:t>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06EAB70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1.10.3 招标人在投标人须知前附表规定的时间内，</w:t>
      </w:r>
      <w:r>
        <w:rPr>
          <w:rFonts w:ascii="宋体" w:hAnsi="宋体" w:eastAsia="宋体" w:cs="宋体"/>
          <w:color w:val="auto"/>
          <w:spacing w:val="0"/>
          <w:w w:val="100"/>
          <w:position w:val="0"/>
          <w:sz w:val="20"/>
          <w:szCs w:val="20"/>
          <w:highlight w:val="none"/>
          <w:u w:val="single"/>
          <w:lang w:eastAsia="zh-CN"/>
        </w:rPr>
        <w:t>解答投标人对招标文件提出的疑问，形成答疑纪要，在广州交易集团有限公司（广州公共资源交易中心）网站“答疑纪要”专区发布。</w:t>
      </w:r>
    </w:p>
    <w:p w14:paraId="757BF25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招标答疑纪要为招标文件的一部分。投标人可在广州交易集团有限公司（广州公共资源交易中心）网站浏览、下载招标答疑纪要。</w:t>
      </w:r>
    </w:p>
    <w:p w14:paraId="2F0CBDF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若招标答疑纪要与招标文件有矛盾时，以广州交易集团有限公司（广州公共资源交易中心）网站最后发布的答疑纪要为准。</w:t>
      </w:r>
    </w:p>
    <w:p w14:paraId="16DF5AD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55" w:name="_Toc30363"/>
      <w:bookmarkStart w:id="56" w:name="_Toc14711"/>
      <w:bookmarkStart w:id="57" w:name="_Toc5430"/>
      <w:r>
        <w:rPr>
          <w:rFonts w:ascii="宋体" w:hAnsi="宋体" w:eastAsia="宋体" w:cs="宋体"/>
          <w:b/>
          <w:bCs/>
          <w:color w:val="auto"/>
          <w:spacing w:val="0"/>
          <w:w w:val="100"/>
          <w:position w:val="0"/>
          <w:sz w:val="28"/>
          <w:szCs w:val="28"/>
          <w:highlight w:val="none"/>
          <w:lang w:eastAsia="zh-CN"/>
        </w:rPr>
        <w:t>1.11 分包</w:t>
      </w:r>
      <w:bookmarkEnd w:id="55"/>
      <w:bookmarkEnd w:id="56"/>
      <w:bookmarkEnd w:id="57"/>
    </w:p>
    <w:p w14:paraId="442F74D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1.11.1 投标人须知前附表规定应当由分包人实施的非主体、非关键性工作，按发包人规定执行。</w:t>
      </w:r>
    </w:p>
    <w:p w14:paraId="6BA2C16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1.11.2 投标人拟在中标后将中标项目的部分非主体、非关键性工作进行分包的，应符合投标人须知前附表规定的分包内容、分包金额和资质要求等限制性条件。</w:t>
      </w:r>
    </w:p>
    <w:p w14:paraId="3972587B">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58" w:name="_Toc14315"/>
      <w:bookmarkStart w:id="59" w:name="_Toc16840"/>
      <w:bookmarkStart w:id="60" w:name="_Toc13417"/>
      <w:r>
        <w:rPr>
          <w:rFonts w:ascii="宋体" w:hAnsi="宋体" w:eastAsia="宋体" w:cs="宋体"/>
          <w:b/>
          <w:bCs/>
          <w:color w:val="auto"/>
          <w:spacing w:val="0"/>
          <w:w w:val="100"/>
          <w:position w:val="0"/>
          <w:sz w:val="28"/>
          <w:szCs w:val="28"/>
          <w:highlight w:val="none"/>
          <w:lang w:eastAsia="zh-CN"/>
        </w:rPr>
        <w:t>1.12 偏离</w:t>
      </w:r>
      <w:bookmarkEnd w:id="58"/>
      <w:bookmarkEnd w:id="59"/>
      <w:bookmarkEnd w:id="60"/>
    </w:p>
    <w:p w14:paraId="483AC2D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见投标人须知前附表。</w:t>
      </w:r>
    </w:p>
    <w:p w14:paraId="11524F36">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61" w:name="_Toc17901"/>
      <w:bookmarkStart w:id="62" w:name="_Toc23972"/>
      <w:bookmarkStart w:id="63" w:name="_Toc10121"/>
      <w:bookmarkStart w:id="64" w:name="_Toc11614"/>
      <w:bookmarkStart w:id="65" w:name="_Toc3023"/>
      <w:r>
        <w:rPr>
          <w:rFonts w:ascii="宋体" w:hAnsi="宋体" w:eastAsia="宋体" w:cs="宋体"/>
          <w:b/>
          <w:bCs/>
          <w:color w:val="auto"/>
          <w:spacing w:val="0"/>
          <w:w w:val="100"/>
          <w:position w:val="0"/>
          <w:sz w:val="28"/>
          <w:szCs w:val="28"/>
          <w:highlight w:val="none"/>
          <w:lang w:eastAsia="zh-CN"/>
        </w:rPr>
        <w:t>2. 招标文件</w:t>
      </w:r>
      <w:bookmarkEnd w:id="61"/>
      <w:bookmarkEnd w:id="62"/>
      <w:bookmarkEnd w:id="63"/>
      <w:bookmarkEnd w:id="64"/>
      <w:bookmarkEnd w:id="65"/>
    </w:p>
    <w:p w14:paraId="578506F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66" w:name="_Toc15291"/>
      <w:bookmarkStart w:id="67" w:name="_Toc12954"/>
      <w:bookmarkStart w:id="68" w:name="_Toc11975"/>
      <w:r>
        <w:rPr>
          <w:rFonts w:ascii="宋体" w:hAnsi="宋体" w:eastAsia="宋体" w:cs="宋体"/>
          <w:b/>
          <w:bCs/>
          <w:color w:val="auto"/>
          <w:spacing w:val="0"/>
          <w:w w:val="100"/>
          <w:position w:val="0"/>
          <w:sz w:val="28"/>
          <w:szCs w:val="28"/>
          <w:highlight w:val="none"/>
          <w:lang w:eastAsia="zh-CN"/>
        </w:rPr>
        <w:t>2.1 招标文件的组成</w:t>
      </w:r>
      <w:bookmarkEnd w:id="66"/>
      <w:bookmarkEnd w:id="67"/>
      <w:bookmarkEnd w:id="68"/>
    </w:p>
    <w:p w14:paraId="33C650D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 xml:space="preserve">2.1.1 </w:t>
      </w:r>
      <w:r>
        <w:rPr>
          <w:rFonts w:ascii="宋体" w:hAnsi="宋体" w:eastAsia="宋体" w:cs="宋体"/>
          <w:color w:val="auto"/>
          <w:spacing w:val="0"/>
          <w:w w:val="100"/>
          <w:position w:val="0"/>
          <w:sz w:val="20"/>
          <w:szCs w:val="20"/>
          <w:highlight w:val="none"/>
          <w:lang w:eastAsia="zh-CN"/>
        </w:rPr>
        <w:t>本招标文件包括：</w:t>
      </w:r>
    </w:p>
    <w:p w14:paraId="5A19523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（1）招标公告</w:t>
      </w:r>
      <w:r>
        <w:rPr>
          <w:rFonts w:ascii="宋体" w:hAnsi="宋体" w:eastAsia="宋体" w:cs="宋体"/>
          <w:strike/>
          <w:color w:val="auto"/>
          <w:spacing w:val="0"/>
          <w:w w:val="100"/>
          <w:position w:val="0"/>
          <w:sz w:val="20"/>
          <w:szCs w:val="20"/>
          <w:highlight w:val="none"/>
          <w:lang w:eastAsia="zh-CN"/>
        </w:rPr>
        <w:t>（或投标邀请书）</w:t>
      </w:r>
      <w:r>
        <w:rPr>
          <w:rFonts w:ascii="宋体" w:hAnsi="宋体" w:eastAsia="宋体" w:cs="宋体"/>
          <w:color w:val="auto"/>
          <w:spacing w:val="0"/>
          <w:w w:val="100"/>
          <w:position w:val="0"/>
          <w:sz w:val="20"/>
          <w:szCs w:val="20"/>
          <w:highlight w:val="none"/>
          <w:lang w:eastAsia="zh-CN"/>
        </w:rPr>
        <w:t>；</w:t>
      </w:r>
    </w:p>
    <w:p w14:paraId="1874656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（2）投标人须知；</w:t>
      </w:r>
    </w:p>
    <w:p w14:paraId="4462A3D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（3）评标办法；</w:t>
      </w:r>
    </w:p>
    <w:p w14:paraId="17353CC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（4）合同条款及格式（另册）；</w:t>
      </w:r>
    </w:p>
    <w:p w14:paraId="7068D8C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（5）发包人要求（另册）；</w:t>
      </w:r>
    </w:p>
    <w:p w14:paraId="0150751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（6）发包人提供的资料（另册）；</w:t>
      </w:r>
    </w:p>
    <w:p w14:paraId="27B49CD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（7）投标文件格式；</w:t>
      </w:r>
    </w:p>
    <w:p w14:paraId="56F1401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（8）投标人须知前附表规定的其他资料。</w:t>
      </w:r>
    </w:p>
    <w:p w14:paraId="003397D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hint="eastAsia" w:ascii="宋体" w:hAnsi="宋体" w:eastAsia="宋体" w:cs="宋体"/>
          <w:color w:val="auto"/>
          <w:spacing w:val="0"/>
          <w:w w:val="100"/>
          <w:position w:val="0"/>
          <w:sz w:val="20"/>
          <w:szCs w:val="20"/>
          <w:highlight w:val="none"/>
          <w:lang w:val="en-US" w:eastAsia="zh-CN"/>
        </w:rPr>
        <w:t xml:space="preserve">2.1.2 </w:t>
      </w:r>
      <w:r>
        <w:rPr>
          <w:rFonts w:ascii="宋体" w:hAnsi="宋体" w:eastAsia="宋体" w:cs="宋体"/>
          <w:color w:val="auto"/>
          <w:spacing w:val="0"/>
          <w:w w:val="100"/>
          <w:position w:val="0"/>
          <w:sz w:val="20"/>
          <w:szCs w:val="20"/>
          <w:highlight w:val="none"/>
          <w:lang w:eastAsia="zh-CN"/>
        </w:rPr>
        <w:t>根据本章第1.10款、第2.2款和第2.3款对招标文件所作的澄清、修改，构成招标文件的组成部分。</w:t>
      </w:r>
      <w:r>
        <w:rPr>
          <w:rFonts w:ascii="宋体" w:hAnsi="宋体" w:eastAsia="宋体" w:cs="宋体"/>
          <w:color w:val="auto"/>
          <w:spacing w:val="0"/>
          <w:w w:val="100"/>
          <w:position w:val="0"/>
          <w:sz w:val="20"/>
          <w:szCs w:val="20"/>
          <w:highlight w:val="none"/>
          <w:u w:val="single"/>
          <w:lang w:eastAsia="zh-CN"/>
        </w:rPr>
        <w:t>当招标文件的澄清、修改等在同一内容的表述不一致时，以广州交易集团有限公司（广州公共资源交易中心）网站最后发布的内容为准。</w:t>
      </w:r>
    </w:p>
    <w:p w14:paraId="34841E0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2.1.3 投标人获取招标文件后，应仔细检查招标文件的所有内容，认真审阅招标文件中所有的事项、格式、条款和规范要求等，若投标人的投标文件没有按招标文件要求递交全部资料，或投标文件实质上没有响应招标文件的要求，将承担无法通过投标文件有效性审查的风险，并且招标人不允许投标人通过修改或撤销其不符合要求的差异或保留使之成为具有响应性的投标文件。</w:t>
      </w:r>
    </w:p>
    <w:p w14:paraId="4C41D28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2.1.4 投标人一旦中标，招标文件的内容对招标人和中标人双方均有约束力。</w:t>
      </w:r>
    </w:p>
    <w:p w14:paraId="74E59AA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u w:val="none"/>
          <w:lang w:eastAsia="zh-CN"/>
        </w:rPr>
      </w:pPr>
      <w:r>
        <w:rPr>
          <w:rFonts w:hint="eastAsia" w:ascii="宋体" w:hAnsi="宋体" w:eastAsia="宋体" w:cs="宋体"/>
          <w:color w:val="auto"/>
          <w:spacing w:val="0"/>
          <w:w w:val="100"/>
          <w:position w:val="0"/>
          <w:sz w:val="20"/>
          <w:szCs w:val="20"/>
          <w:highlight w:val="none"/>
          <w:lang w:val="en-US" w:eastAsia="zh-CN"/>
        </w:rPr>
        <w:t>2.1.5 招标文件一经在广州交易集团有限公司（广州公共资源交易中心）网站发布，视作已发放给所有投标人。</w:t>
      </w:r>
    </w:p>
    <w:p w14:paraId="56557191">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69" w:name="_Toc28911"/>
      <w:bookmarkStart w:id="70" w:name="_Toc22771"/>
      <w:bookmarkStart w:id="71" w:name="_Toc1793"/>
      <w:r>
        <w:rPr>
          <w:rFonts w:ascii="宋体" w:hAnsi="宋体" w:eastAsia="宋体" w:cs="宋体"/>
          <w:b/>
          <w:bCs/>
          <w:color w:val="auto"/>
          <w:spacing w:val="0"/>
          <w:w w:val="100"/>
          <w:position w:val="0"/>
          <w:sz w:val="28"/>
          <w:szCs w:val="28"/>
          <w:highlight w:val="none"/>
          <w:lang w:eastAsia="zh-CN"/>
        </w:rPr>
        <w:t>2.2 招标文件的澄清</w:t>
      </w:r>
      <w:bookmarkEnd w:id="69"/>
      <w:bookmarkEnd w:id="70"/>
      <w:bookmarkEnd w:id="71"/>
    </w:p>
    <w:p w14:paraId="46D771B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2.2.1 投标人应仔细阅读和检查招标文件的全部内容。如发现缺页或附件不全，应及时向招标人提出，以便补齐。如有疑问，</w:t>
      </w:r>
      <w:r>
        <w:rPr>
          <w:rFonts w:ascii="宋体" w:hAnsi="宋体" w:eastAsia="宋体" w:cs="宋体"/>
          <w:color w:val="auto"/>
          <w:spacing w:val="0"/>
          <w:w w:val="100"/>
          <w:position w:val="0"/>
          <w:sz w:val="20"/>
          <w:szCs w:val="20"/>
          <w:highlight w:val="none"/>
          <w:u w:val="single"/>
          <w:lang w:eastAsia="zh-CN"/>
        </w:rPr>
        <w:t>可在规定的时间内通过广州交易集团有限公司（广州公共资源交易中心）网站进入提问区域将问题提交给招标人或招标代理人，</w:t>
      </w:r>
      <w:r>
        <w:rPr>
          <w:rFonts w:ascii="宋体" w:hAnsi="宋体" w:eastAsia="宋体" w:cs="宋体"/>
          <w:color w:val="auto"/>
          <w:spacing w:val="0"/>
          <w:w w:val="100"/>
          <w:position w:val="0"/>
          <w:sz w:val="20"/>
          <w:szCs w:val="20"/>
          <w:highlight w:val="none"/>
          <w:lang w:eastAsia="zh-CN"/>
        </w:rPr>
        <w:t>要求招标人对招标文件予以澄清。</w:t>
      </w:r>
    </w:p>
    <w:p w14:paraId="52335A6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2.2.2 招标文件的澄清在</w:t>
      </w:r>
      <w:r>
        <w:rPr>
          <w:rFonts w:ascii="宋体" w:hAnsi="宋体" w:eastAsia="宋体" w:cs="宋体"/>
          <w:color w:val="auto"/>
          <w:spacing w:val="0"/>
          <w:w w:val="100"/>
          <w:position w:val="0"/>
          <w:sz w:val="20"/>
          <w:szCs w:val="20"/>
          <w:highlight w:val="none"/>
          <w:u w:val="single"/>
          <w:lang w:eastAsia="zh-CN"/>
        </w:rPr>
        <w:t>广州交易集团有限公司（广州公共资源交易中心）网站发布</w:t>
      </w:r>
      <w:r>
        <w:rPr>
          <w:rFonts w:ascii="宋体" w:hAnsi="宋体" w:eastAsia="宋体" w:cs="宋体"/>
          <w:color w:val="auto"/>
          <w:spacing w:val="0"/>
          <w:w w:val="100"/>
          <w:position w:val="0"/>
          <w:sz w:val="20"/>
          <w:szCs w:val="20"/>
          <w:highlight w:val="none"/>
          <w:lang w:eastAsia="zh-CN"/>
        </w:rPr>
        <w:t>给所有投标人，但不指明澄清问题的来源。澄清发出的时间距投标人须知前附表规定的投标截止时间不足</w:t>
      </w:r>
      <w:r>
        <w:rPr>
          <w:rFonts w:hint="eastAsia" w:ascii="宋体" w:hAnsi="宋体" w:eastAsia="宋体" w:cs="宋体"/>
          <w:color w:val="auto"/>
          <w:spacing w:val="0"/>
          <w:w w:val="100"/>
          <w:position w:val="0"/>
          <w:sz w:val="20"/>
          <w:szCs w:val="20"/>
          <w:highlight w:val="none"/>
          <w:lang w:eastAsia="zh-CN"/>
        </w:rPr>
        <w:t xml:space="preserve"> 15 </w:t>
      </w:r>
      <w:r>
        <w:rPr>
          <w:rFonts w:ascii="宋体" w:hAnsi="宋体" w:eastAsia="宋体" w:cs="宋体"/>
          <w:color w:val="auto"/>
          <w:spacing w:val="0"/>
          <w:w w:val="100"/>
          <w:position w:val="0"/>
          <w:sz w:val="20"/>
          <w:szCs w:val="20"/>
          <w:highlight w:val="none"/>
          <w:lang w:eastAsia="zh-CN"/>
        </w:rPr>
        <w:t>天的，并且澄清内容影响投标文件编制的，将相应延长投标截止时间。</w:t>
      </w:r>
    </w:p>
    <w:p w14:paraId="171F9C6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 xml:space="preserve">2.2.3 </w:t>
      </w:r>
      <w:r>
        <w:rPr>
          <w:rFonts w:ascii="宋体" w:hAnsi="宋体" w:eastAsia="宋体" w:cs="宋体"/>
          <w:color w:val="auto"/>
          <w:spacing w:val="0"/>
          <w:w w:val="100"/>
          <w:position w:val="0"/>
          <w:sz w:val="20"/>
          <w:szCs w:val="20"/>
          <w:highlight w:val="none"/>
          <w:u w:val="single"/>
          <w:lang w:eastAsia="zh-CN"/>
        </w:rPr>
        <w:t>招标文件澄清在交易平台网站通过答疑纪要专区网上公开发布，发出即视作收到，以交易平台网站发布时间作为送达时间。无需投标人确认。投标人应自行关注，招标人不再一一通知</w:t>
      </w:r>
      <w:r>
        <w:rPr>
          <w:rFonts w:ascii="宋体" w:hAnsi="宋体" w:eastAsia="宋体" w:cs="宋体"/>
          <w:color w:val="auto"/>
          <w:spacing w:val="0"/>
          <w:w w:val="100"/>
          <w:position w:val="0"/>
          <w:sz w:val="20"/>
          <w:szCs w:val="20"/>
          <w:highlight w:val="none"/>
          <w:lang w:eastAsia="zh-CN"/>
        </w:rPr>
        <w:t>。</w:t>
      </w:r>
    </w:p>
    <w:p w14:paraId="32BFC86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72" w:name="_Toc24245"/>
      <w:bookmarkStart w:id="73" w:name="_Toc28843"/>
      <w:bookmarkStart w:id="74" w:name="_Toc14989"/>
      <w:r>
        <w:rPr>
          <w:rFonts w:ascii="宋体" w:hAnsi="宋体" w:eastAsia="宋体" w:cs="宋体"/>
          <w:b/>
          <w:bCs/>
          <w:color w:val="auto"/>
          <w:spacing w:val="0"/>
          <w:w w:val="100"/>
          <w:position w:val="0"/>
          <w:sz w:val="28"/>
          <w:szCs w:val="28"/>
          <w:highlight w:val="none"/>
          <w:lang w:eastAsia="zh-CN"/>
        </w:rPr>
        <w:t>2.3 招标文件的修改</w:t>
      </w:r>
      <w:bookmarkEnd w:id="72"/>
      <w:bookmarkEnd w:id="73"/>
      <w:bookmarkEnd w:id="74"/>
    </w:p>
    <w:p w14:paraId="261A133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2.3.1 招标文件发出后，在提交投标文件截止时间 15 日前，招标人可对招标文件进行必要的澄清或修改。</w:t>
      </w:r>
    </w:p>
    <w:p w14:paraId="515EEC6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2.3.2 招标文件的澄清或修改在广州交易集团有限公司（广州公共资源交易中心）网站发布。招标文件的澄清或修改一经在广州交易集团有限公司（广州公共资源交易中心）网站发布，视作已发放给所有投标人，招标文件的澄清或修改内容作为招标文件的组成部分，具有约束作用。</w:t>
      </w:r>
    </w:p>
    <w:p w14:paraId="41A1408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2.3.3 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6236667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2.3.4 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6353B21">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color w:val="auto"/>
          <w:spacing w:val="0"/>
          <w:w w:val="100"/>
          <w:position w:val="0"/>
          <w:sz w:val="28"/>
          <w:szCs w:val="28"/>
          <w:highlight w:val="none"/>
          <w:lang w:eastAsia="zh-CN"/>
        </w:rPr>
      </w:pPr>
      <w:bookmarkStart w:id="75" w:name="_Toc2756"/>
      <w:bookmarkStart w:id="76" w:name="_Toc19835"/>
      <w:bookmarkStart w:id="77" w:name="_Toc14806"/>
      <w:bookmarkStart w:id="78" w:name="_Toc665"/>
      <w:bookmarkStart w:id="79" w:name="_Toc14446"/>
      <w:r>
        <w:rPr>
          <w:rFonts w:ascii="宋体" w:hAnsi="宋体" w:eastAsia="宋体" w:cs="宋体"/>
          <w:b/>
          <w:bCs/>
          <w:color w:val="auto"/>
          <w:spacing w:val="0"/>
          <w:w w:val="100"/>
          <w:position w:val="0"/>
          <w:sz w:val="28"/>
          <w:szCs w:val="28"/>
          <w:highlight w:val="none"/>
          <w:lang w:eastAsia="zh-CN"/>
        </w:rPr>
        <w:t>3.</w:t>
      </w:r>
      <w:r>
        <w:rPr>
          <w:rFonts w:ascii="宋体" w:hAnsi="宋体" w:eastAsia="宋体" w:cs="宋体"/>
          <w:color w:val="auto"/>
          <w:spacing w:val="0"/>
          <w:w w:val="100"/>
          <w:position w:val="0"/>
          <w:sz w:val="28"/>
          <w:szCs w:val="28"/>
          <w:highlight w:val="none"/>
          <w:lang w:eastAsia="zh-CN"/>
        </w:rPr>
        <w:t xml:space="preserve"> </w:t>
      </w:r>
      <w:r>
        <w:rPr>
          <w:rFonts w:ascii="宋体" w:hAnsi="宋体" w:eastAsia="宋体" w:cs="宋体"/>
          <w:b/>
          <w:bCs/>
          <w:color w:val="auto"/>
          <w:spacing w:val="0"/>
          <w:w w:val="100"/>
          <w:position w:val="0"/>
          <w:sz w:val="28"/>
          <w:szCs w:val="28"/>
          <w:highlight w:val="none"/>
          <w:lang w:eastAsia="zh-CN"/>
        </w:rPr>
        <w:t>投标文件</w:t>
      </w:r>
      <w:bookmarkEnd w:id="75"/>
      <w:bookmarkEnd w:id="76"/>
      <w:bookmarkEnd w:id="77"/>
      <w:bookmarkEnd w:id="78"/>
      <w:bookmarkEnd w:id="79"/>
    </w:p>
    <w:p w14:paraId="0825116A">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80" w:name="_Toc14214"/>
      <w:bookmarkStart w:id="81" w:name="_Toc751"/>
      <w:bookmarkStart w:id="82" w:name="_Toc26327"/>
      <w:r>
        <w:rPr>
          <w:rFonts w:ascii="宋体" w:hAnsi="宋体" w:eastAsia="宋体" w:cs="宋体"/>
          <w:b/>
          <w:bCs/>
          <w:color w:val="auto"/>
          <w:spacing w:val="0"/>
          <w:w w:val="100"/>
          <w:position w:val="0"/>
          <w:sz w:val="28"/>
          <w:szCs w:val="28"/>
          <w:highlight w:val="none"/>
          <w:lang w:eastAsia="zh-CN"/>
        </w:rPr>
        <w:t>3.1 投标文件的组成</w:t>
      </w:r>
      <w:bookmarkEnd w:id="80"/>
      <w:bookmarkEnd w:id="81"/>
      <w:bookmarkEnd w:id="82"/>
    </w:p>
    <w:p w14:paraId="04832C86">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b/>
          <w:bCs/>
          <w:color w:val="auto"/>
          <w:spacing w:val="0"/>
          <w:w w:val="100"/>
          <w:position w:val="0"/>
          <w:sz w:val="20"/>
          <w:szCs w:val="20"/>
          <w:highlight w:val="none"/>
          <w:lang w:eastAsia="zh-CN"/>
        </w:rPr>
        <w:t>3.1.1</w:t>
      </w:r>
      <w:r>
        <w:rPr>
          <w:rFonts w:hint="eastAsia" w:ascii="宋体" w:hAnsi="宋体" w:eastAsia="宋体" w:cs="宋体"/>
          <w:color w:val="auto"/>
          <w:spacing w:val="0"/>
          <w:w w:val="100"/>
          <w:position w:val="0"/>
          <w:sz w:val="20"/>
          <w:szCs w:val="20"/>
          <w:highlight w:val="none"/>
          <w:lang w:eastAsia="zh-CN"/>
        </w:rPr>
        <w:t xml:space="preserve"> </w:t>
      </w:r>
      <w:r>
        <w:rPr>
          <w:rFonts w:hint="eastAsia" w:ascii="宋体" w:hAnsi="宋体" w:eastAsia="宋体" w:cs="宋体"/>
          <w:b/>
          <w:bCs/>
          <w:color w:val="auto"/>
          <w:spacing w:val="0"/>
          <w:w w:val="100"/>
          <w:position w:val="0"/>
          <w:sz w:val="20"/>
          <w:szCs w:val="20"/>
          <w:highlight w:val="none"/>
          <w:lang w:eastAsia="zh-CN"/>
        </w:rPr>
        <w:t>投标文件主要包括下列内容（</w:t>
      </w:r>
      <w:r>
        <w:rPr>
          <w:rFonts w:hint="eastAsia" w:ascii="宋体" w:hAnsi="宋体" w:eastAsia="宋体" w:cs="宋体"/>
          <w:color w:val="auto"/>
          <w:spacing w:val="0"/>
          <w:w w:val="100"/>
          <w:position w:val="0"/>
          <w:sz w:val="20"/>
          <w:szCs w:val="20"/>
          <w:highlight w:val="none"/>
          <w:lang w:eastAsia="zh-CN"/>
        </w:rPr>
        <w:t>包括</w:t>
      </w:r>
      <w:r>
        <w:rPr>
          <w:rFonts w:hint="eastAsia" w:ascii="宋体" w:hAnsi="宋体" w:eastAsia="宋体" w:cs="宋体"/>
          <w:color w:val="auto"/>
          <w:spacing w:val="0"/>
          <w:w w:val="100"/>
          <w:position w:val="0"/>
          <w:sz w:val="20"/>
          <w:szCs w:val="20"/>
          <w:highlight w:val="none"/>
          <w:lang w:val="en-US" w:eastAsia="zh-CN"/>
        </w:rPr>
        <w:t>设计方案、</w:t>
      </w:r>
      <w:r>
        <w:rPr>
          <w:rFonts w:hint="eastAsia" w:ascii="宋体" w:hAnsi="宋体" w:eastAsia="宋体" w:cs="宋体"/>
          <w:color w:val="auto"/>
          <w:spacing w:val="0"/>
          <w:w w:val="100"/>
          <w:position w:val="0"/>
          <w:sz w:val="20"/>
          <w:szCs w:val="20"/>
          <w:highlight w:val="none"/>
          <w:lang w:eastAsia="zh-CN"/>
        </w:rPr>
        <w:t>资格审查文件，工程总承包实施方案，经济标，</w:t>
      </w:r>
      <w:r>
        <w:rPr>
          <w:rFonts w:hint="eastAsia" w:ascii="宋体" w:hAnsi="宋体" w:eastAsia="宋体" w:cs="宋体"/>
          <w:color w:val="auto"/>
          <w:spacing w:val="0"/>
          <w:w w:val="100"/>
          <w:position w:val="0"/>
          <w:sz w:val="20"/>
          <w:szCs w:val="20"/>
          <w:highlight w:val="none"/>
          <w:lang w:val="en-US" w:eastAsia="zh-CN"/>
        </w:rPr>
        <w:t>定标文件</w:t>
      </w:r>
      <w:r>
        <w:rPr>
          <w:rFonts w:hint="eastAsia" w:ascii="宋体" w:hAnsi="宋体" w:eastAsia="宋体" w:cs="宋体"/>
          <w:color w:val="auto"/>
          <w:spacing w:val="0"/>
          <w:w w:val="100"/>
          <w:position w:val="0"/>
          <w:sz w:val="20"/>
          <w:szCs w:val="20"/>
          <w:highlight w:val="none"/>
          <w:lang w:eastAsia="zh-CN"/>
        </w:rPr>
        <w:t>）</w:t>
      </w:r>
      <w:r>
        <w:rPr>
          <w:rFonts w:hint="eastAsia" w:ascii="宋体" w:hAnsi="宋体" w:eastAsia="宋体" w:cs="宋体"/>
          <w:b/>
          <w:bCs/>
          <w:color w:val="auto"/>
          <w:spacing w:val="0"/>
          <w:w w:val="100"/>
          <w:position w:val="0"/>
          <w:sz w:val="20"/>
          <w:szCs w:val="20"/>
          <w:highlight w:val="none"/>
          <w:lang w:eastAsia="zh-CN"/>
        </w:rPr>
        <w:t>：</w:t>
      </w:r>
    </w:p>
    <w:p w14:paraId="366A1276">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outlineLvl w:val="3"/>
        <w:rPr>
          <w:rFonts w:hint="eastAsia" w:ascii="宋体" w:hAnsi="宋体" w:eastAsia="宋体" w:cs="宋体"/>
          <w:b/>
          <w:bCs/>
          <w:color w:val="auto"/>
          <w:spacing w:val="0"/>
          <w:w w:val="100"/>
          <w:position w:val="0"/>
          <w:sz w:val="20"/>
          <w:szCs w:val="20"/>
          <w:highlight w:val="none"/>
          <w:u w:val="single"/>
          <w:lang w:eastAsia="zh-CN"/>
        </w:rPr>
      </w:pPr>
      <w:r>
        <w:rPr>
          <w:rFonts w:hint="eastAsia" w:ascii="宋体" w:hAnsi="宋体" w:eastAsia="宋体" w:cs="宋体"/>
          <w:b/>
          <w:bCs/>
          <w:color w:val="auto"/>
          <w:spacing w:val="0"/>
          <w:w w:val="100"/>
          <w:position w:val="0"/>
          <w:sz w:val="20"/>
          <w:szCs w:val="20"/>
          <w:highlight w:val="none"/>
          <w:lang w:eastAsia="zh-CN"/>
        </w:rPr>
        <w:t>一、设计方案</w:t>
      </w:r>
    </w:p>
    <w:p w14:paraId="3AC63DBB">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rPr>
          <w:rFonts w:hint="eastAsia" w:ascii="宋体" w:hAnsi="宋体" w:eastAsia="宋体" w:cs="宋体"/>
          <w:b/>
          <w:bCs/>
          <w:color w:val="auto"/>
          <w:spacing w:val="0"/>
          <w:w w:val="100"/>
          <w:position w:val="0"/>
          <w:sz w:val="20"/>
          <w:szCs w:val="20"/>
          <w:highlight w:val="none"/>
          <w:u w:val="single"/>
          <w:lang w:val="en-US" w:eastAsia="zh-CN"/>
        </w:rPr>
      </w:pPr>
      <w:r>
        <w:rPr>
          <w:rFonts w:hint="eastAsia" w:ascii="宋体" w:hAnsi="宋体" w:eastAsia="宋体" w:cs="宋体"/>
          <w:b/>
          <w:bCs/>
          <w:color w:val="auto"/>
          <w:spacing w:val="0"/>
          <w:w w:val="100"/>
          <w:position w:val="0"/>
          <w:sz w:val="20"/>
          <w:szCs w:val="20"/>
          <w:highlight w:val="none"/>
          <w:u w:val="single"/>
          <w:lang w:val="en-US" w:eastAsia="zh-CN"/>
        </w:rPr>
        <w:t>设计方案评审采用“暗标”形式，设计方案文件中不得出现可以辨认投标人及专业技术人员身份的名称、印章、商标、图形等记认符号，文件总页数包含封面扉页等不超过150页，文件大小不宜超过500M，内容包括：</w:t>
      </w:r>
    </w:p>
    <w:p w14:paraId="6BFB63C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1、封面：封面白底黑字，标明项目名称、“设计方案文件”字样、编制时间。</w:t>
      </w:r>
    </w:p>
    <w:p w14:paraId="575FC8A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2、目录。</w:t>
      </w:r>
    </w:p>
    <w:p w14:paraId="62D6A4B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3、总体设计方案：</w:t>
      </w:r>
    </w:p>
    <w:p w14:paraId="239572E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（1）设计说明；</w:t>
      </w:r>
    </w:p>
    <w:p w14:paraId="220E325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（2）效果图；</w:t>
      </w:r>
    </w:p>
    <w:p w14:paraId="332F858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（3）设计图纸（包含但不限于总平面图等）；</w:t>
      </w:r>
    </w:p>
    <w:p w14:paraId="3B75E35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（4）设计方案。</w:t>
      </w:r>
    </w:p>
    <w:p w14:paraId="20246BA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4、其他与设计有关的材料。</w:t>
      </w:r>
    </w:p>
    <w:p w14:paraId="374FB19D">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outlineLvl w:val="3"/>
        <w:rPr>
          <w:rFonts w:ascii="宋体" w:hAnsi="宋体" w:eastAsia="宋体" w:cs="宋体"/>
          <w:b/>
          <w:bCs/>
          <w:color w:val="auto"/>
          <w:spacing w:val="0"/>
          <w:w w:val="100"/>
          <w:position w:val="0"/>
          <w:sz w:val="20"/>
          <w:szCs w:val="20"/>
          <w:highlight w:val="none"/>
          <w:lang w:eastAsia="zh-CN"/>
        </w:rPr>
      </w:pPr>
      <w:r>
        <w:rPr>
          <w:rFonts w:hint="eastAsia" w:ascii="宋体" w:hAnsi="宋体" w:eastAsia="宋体" w:cs="宋体"/>
          <w:b/>
          <w:bCs/>
          <w:color w:val="auto"/>
          <w:spacing w:val="0"/>
          <w:w w:val="100"/>
          <w:position w:val="0"/>
          <w:sz w:val="20"/>
          <w:szCs w:val="20"/>
          <w:highlight w:val="none"/>
          <w:lang w:val="en-US" w:eastAsia="zh-CN"/>
        </w:rPr>
        <w:t>二</w:t>
      </w:r>
      <w:r>
        <w:rPr>
          <w:rFonts w:ascii="宋体" w:hAnsi="宋体" w:eastAsia="宋体" w:cs="宋体"/>
          <w:b/>
          <w:bCs/>
          <w:color w:val="auto"/>
          <w:spacing w:val="0"/>
          <w:w w:val="100"/>
          <w:position w:val="0"/>
          <w:sz w:val="20"/>
          <w:szCs w:val="20"/>
          <w:highlight w:val="none"/>
          <w:lang w:eastAsia="zh-CN"/>
        </w:rPr>
        <w:t>、资格审查文件</w:t>
      </w:r>
    </w:p>
    <w:p w14:paraId="55E2AD8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none"/>
          <w:lang w:eastAsia="zh-CN"/>
        </w:rPr>
      </w:pPr>
      <w:r>
        <w:rPr>
          <w:rFonts w:ascii="宋体" w:hAnsi="宋体" w:eastAsia="宋体" w:cs="宋体"/>
          <w:color w:val="auto"/>
          <w:spacing w:val="0"/>
          <w:w w:val="100"/>
          <w:position w:val="0"/>
          <w:sz w:val="20"/>
          <w:szCs w:val="20"/>
          <w:highlight w:val="none"/>
          <w:u w:val="none"/>
          <w:lang w:eastAsia="zh-CN"/>
        </w:rPr>
        <w:t>1、</w:t>
      </w:r>
      <w:r>
        <w:rPr>
          <w:rFonts w:hint="eastAsia" w:ascii="宋体" w:hAnsi="宋体" w:eastAsia="宋体" w:cs="宋体"/>
          <w:color w:val="auto"/>
          <w:spacing w:val="0"/>
          <w:w w:val="100"/>
          <w:position w:val="0"/>
          <w:sz w:val="20"/>
          <w:szCs w:val="20"/>
          <w:highlight w:val="none"/>
          <w:u w:val="none"/>
          <w:lang w:eastAsia="zh-CN"/>
        </w:rPr>
        <w:t>封面</w:t>
      </w:r>
    </w:p>
    <w:p w14:paraId="2C0BB86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2、目录</w:t>
      </w:r>
    </w:p>
    <w:p w14:paraId="0802887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3、法定代表人证明书扫描件，如投标文件为委托代理人签署应同时附上法定代表人证明书和法定代表人授权</w:t>
      </w:r>
      <w:r>
        <w:rPr>
          <w:rFonts w:hint="eastAsia" w:ascii="宋体" w:hAnsi="宋体" w:eastAsia="宋体" w:cs="宋体"/>
          <w:color w:val="auto"/>
          <w:spacing w:val="0"/>
          <w:w w:val="100"/>
          <w:position w:val="0"/>
          <w:sz w:val="20"/>
          <w:szCs w:val="20"/>
          <w:highlight w:val="none"/>
          <w:lang w:val="en-US" w:eastAsia="zh-CN"/>
        </w:rPr>
        <w:t>委托</w:t>
      </w:r>
      <w:r>
        <w:rPr>
          <w:rFonts w:ascii="宋体" w:hAnsi="宋体" w:eastAsia="宋体" w:cs="宋体"/>
          <w:color w:val="auto"/>
          <w:spacing w:val="0"/>
          <w:w w:val="100"/>
          <w:position w:val="0"/>
          <w:sz w:val="20"/>
          <w:szCs w:val="20"/>
          <w:highlight w:val="none"/>
          <w:lang w:eastAsia="zh-CN"/>
        </w:rPr>
        <w:t>书扫描件</w:t>
      </w:r>
      <w:r>
        <w:rPr>
          <w:rFonts w:hint="eastAsia" w:ascii="宋体" w:hAnsi="宋体" w:eastAsia="宋体" w:cs="宋体"/>
          <w:color w:val="auto"/>
          <w:spacing w:val="0"/>
          <w:w w:val="100"/>
          <w:position w:val="0"/>
          <w:sz w:val="20"/>
          <w:szCs w:val="20"/>
          <w:highlight w:val="none"/>
          <w:lang w:eastAsia="zh-CN"/>
        </w:rPr>
        <w:t>，</w:t>
      </w:r>
      <w:r>
        <w:rPr>
          <w:rFonts w:ascii="宋体" w:hAnsi="宋体" w:eastAsia="宋体" w:cs="宋体"/>
          <w:color w:val="auto"/>
          <w:spacing w:val="0"/>
          <w:w w:val="100"/>
          <w:position w:val="0"/>
          <w:sz w:val="20"/>
          <w:szCs w:val="20"/>
          <w:highlight w:val="none"/>
          <w:lang w:eastAsia="zh-CN"/>
        </w:rPr>
        <w:t>（格式见第七章）</w:t>
      </w:r>
      <w:r>
        <w:rPr>
          <w:rFonts w:hint="eastAsia" w:ascii="宋体" w:hAnsi="宋体" w:eastAsia="宋体" w:cs="宋体"/>
          <w:color w:val="auto"/>
          <w:spacing w:val="0"/>
          <w:w w:val="100"/>
          <w:position w:val="0"/>
          <w:sz w:val="20"/>
          <w:szCs w:val="20"/>
          <w:highlight w:val="none"/>
          <w:lang w:val="en-US" w:eastAsia="zh-CN"/>
        </w:rPr>
        <w:t>授权代理人须</w:t>
      </w:r>
      <w:r>
        <w:rPr>
          <w:rFonts w:ascii="宋体" w:hAnsi="宋体" w:eastAsia="宋体" w:cs="宋体"/>
          <w:color w:val="auto"/>
          <w:spacing w:val="0"/>
          <w:w w:val="100"/>
          <w:position w:val="0"/>
          <w:sz w:val="20"/>
          <w:szCs w:val="20"/>
          <w:highlight w:val="none"/>
          <w:lang w:eastAsia="zh-CN"/>
        </w:rPr>
        <w:t>同时提供自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r>
        <w:rPr>
          <w:rFonts w:hint="eastAsia" w:ascii="宋体" w:hAnsi="宋体" w:eastAsia="宋体" w:cs="宋体"/>
          <w:b/>
          <w:bCs/>
          <w:color w:val="auto"/>
          <w:spacing w:val="0"/>
          <w:w w:val="100"/>
          <w:position w:val="0"/>
          <w:sz w:val="20"/>
          <w:szCs w:val="20"/>
          <w:highlight w:val="none"/>
          <w:lang w:eastAsia="zh-CN"/>
        </w:rPr>
        <w:t>（联合体投标</w:t>
      </w:r>
      <w:r>
        <w:rPr>
          <w:rFonts w:hint="eastAsia" w:ascii="宋体" w:hAnsi="宋体" w:eastAsia="宋体" w:cs="宋体"/>
          <w:b/>
          <w:bCs/>
          <w:color w:val="auto"/>
          <w:spacing w:val="0"/>
          <w:w w:val="100"/>
          <w:position w:val="0"/>
          <w:sz w:val="20"/>
          <w:szCs w:val="20"/>
          <w:highlight w:val="none"/>
          <w:lang w:val="en-US" w:eastAsia="zh-CN"/>
        </w:rPr>
        <w:t>的</w:t>
      </w:r>
      <w:r>
        <w:rPr>
          <w:rFonts w:hint="eastAsia" w:ascii="宋体" w:hAnsi="宋体" w:eastAsia="宋体" w:cs="宋体"/>
          <w:b/>
          <w:bCs/>
          <w:color w:val="auto"/>
          <w:spacing w:val="0"/>
          <w:w w:val="100"/>
          <w:position w:val="0"/>
          <w:sz w:val="20"/>
          <w:szCs w:val="20"/>
          <w:highlight w:val="none"/>
          <w:lang w:eastAsia="zh-CN"/>
        </w:rPr>
        <w:t>，法定代表人证明书、法定代表人授权委托书由联合体主办方落款出具，并由主办方签字或盖章。）</w:t>
      </w:r>
    </w:p>
    <w:p w14:paraId="643A66C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4、</w:t>
      </w:r>
      <w:r>
        <w:rPr>
          <w:rFonts w:ascii="宋体" w:hAnsi="宋体" w:eastAsia="宋体" w:cs="宋体"/>
          <w:color w:val="auto"/>
          <w:spacing w:val="0"/>
          <w:w w:val="100"/>
          <w:position w:val="0"/>
          <w:sz w:val="20"/>
          <w:szCs w:val="20"/>
          <w:highlight w:val="none"/>
          <w:lang w:eastAsia="zh-CN"/>
        </w:rPr>
        <w:t>企业营业执照或事业单位法人证书扫描件</w:t>
      </w:r>
      <w:r>
        <w:rPr>
          <w:rFonts w:hint="eastAsia" w:ascii="宋体" w:hAnsi="宋体" w:eastAsia="宋体" w:cs="宋体"/>
          <w:bCs/>
          <w:color w:val="auto"/>
          <w:kern w:val="0"/>
          <w:sz w:val="20"/>
          <w:szCs w:val="20"/>
          <w:highlight w:val="none"/>
        </w:rPr>
        <w:t>或电子证照</w:t>
      </w:r>
      <w:r>
        <w:rPr>
          <w:rFonts w:ascii="宋体" w:hAnsi="宋体" w:eastAsia="宋体" w:cs="宋体"/>
          <w:color w:val="auto"/>
          <w:spacing w:val="0"/>
          <w:w w:val="100"/>
          <w:position w:val="0"/>
          <w:sz w:val="20"/>
          <w:szCs w:val="20"/>
          <w:highlight w:val="none"/>
          <w:lang w:eastAsia="zh-CN"/>
        </w:rPr>
        <w:t>。（联合体投标的各方均需提供）</w:t>
      </w:r>
    </w:p>
    <w:p w14:paraId="2F86559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5、</w:t>
      </w:r>
      <w:r>
        <w:rPr>
          <w:rFonts w:ascii="宋体" w:hAnsi="宋体" w:eastAsia="宋体" w:cs="宋体"/>
          <w:color w:val="auto"/>
          <w:spacing w:val="0"/>
          <w:w w:val="100"/>
          <w:position w:val="0"/>
          <w:sz w:val="20"/>
          <w:szCs w:val="20"/>
          <w:highlight w:val="none"/>
          <w:lang w:eastAsia="zh-CN"/>
        </w:rPr>
        <w:t>企业安全生产许可证扫描件</w:t>
      </w:r>
      <w:r>
        <w:rPr>
          <w:rFonts w:hint="eastAsia" w:ascii="宋体" w:hAnsi="宋体" w:eastAsia="宋体" w:cs="宋体"/>
          <w:bCs/>
          <w:color w:val="auto"/>
          <w:kern w:val="0"/>
          <w:sz w:val="20"/>
          <w:szCs w:val="20"/>
          <w:highlight w:val="none"/>
        </w:rPr>
        <w:t>或电子证照</w:t>
      </w:r>
      <w:r>
        <w:rPr>
          <w:rFonts w:ascii="宋体" w:hAnsi="宋体" w:eastAsia="宋体" w:cs="宋体"/>
          <w:color w:val="auto"/>
          <w:spacing w:val="0"/>
          <w:w w:val="100"/>
          <w:position w:val="0"/>
          <w:sz w:val="20"/>
          <w:szCs w:val="20"/>
          <w:highlight w:val="none"/>
          <w:lang w:eastAsia="zh-CN"/>
        </w:rPr>
        <w:t>。（若为联合体投标，指承担施工任务的单位）</w:t>
      </w:r>
    </w:p>
    <w:p w14:paraId="4F8F0FA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6、</w:t>
      </w:r>
      <w:r>
        <w:rPr>
          <w:rFonts w:ascii="宋体" w:hAnsi="宋体" w:eastAsia="宋体" w:cs="宋体"/>
          <w:color w:val="auto"/>
          <w:spacing w:val="0"/>
          <w:w w:val="100"/>
          <w:position w:val="0"/>
          <w:sz w:val="20"/>
          <w:szCs w:val="20"/>
          <w:highlight w:val="none"/>
          <w:lang w:eastAsia="zh-CN"/>
        </w:rPr>
        <w:t>企业资质证书扫描件</w:t>
      </w:r>
      <w:r>
        <w:rPr>
          <w:rFonts w:hint="eastAsia" w:ascii="宋体" w:hAnsi="宋体" w:eastAsia="宋体" w:cs="宋体"/>
          <w:bCs/>
          <w:color w:val="auto"/>
          <w:kern w:val="0"/>
          <w:sz w:val="20"/>
          <w:szCs w:val="20"/>
          <w:highlight w:val="none"/>
        </w:rPr>
        <w:t>或电子证照</w:t>
      </w:r>
      <w:r>
        <w:rPr>
          <w:rFonts w:ascii="宋体" w:hAnsi="宋体" w:eastAsia="宋体" w:cs="宋体"/>
          <w:color w:val="auto"/>
          <w:spacing w:val="0"/>
          <w:w w:val="100"/>
          <w:position w:val="0"/>
          <w:sz w:val="20"/>
          <w:szCs w:val="20"/>
          <w:highlight w:val="none"/>
          <w:lang w:eastAsia="zh-CN"/>
        </w:rPr>
        <w:t>。（联合体投标的各方均需提供；香港企业参加投标的，需提供资格备案的业务范围符合本招标项目对工程设计资质要求的证明材料扫描件。）</w:t>
      </w:r>
    </w:p>
    <w:p w14:paraId="3E5916B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7、</w:t>
      </w:r>
      <w:r>
        <w:rPr>
          <w:rFonts w:ascii="宋体" w:hAnsi="宋体" w:eastAsia="宋体" w:cs="宋体"/>
          <w:color w:val="auto"/>
          <w:spacing w:val="0"/>
          <w:w w:val="100"/>
          <w:position w:val="0"/>
          <w:sz w:val="20"/>
          <w:szCs w:val="20"/>
          <w:highlight w:val="none"/>
          <w:lang w:eastAsia="zh-CN"/>
        </w:rPr>
        <w:t>项目负责人（兼施工负责人）（若为联合体投标，由主办方提供）资料：</w:t>
      </w:r>
      <w:r>
        <w:rPr>
          <w:rFonts w:hint="eastAsia" w:ascii="宋体" w:hAnsi="宋体" w:eastAsia="宋体" w:cs="宋体"/>
          <w:color w:val="auto"/>
          <w:spacing w:val="0"/>
          <w:w w:val="100"/>
          <w:position w:val="0"/>
          <w:sz w:val="20"/>
          <w:szCs w:val="20"/>
          <w:highlight w:val="none"/>
          <w:lang w:eastAsia="zh-CN"/>
        </w:rPr>
        <w:t>有效期内的建造师注册证书扫描件或电子证书。</w:t>
      </w:r>
      <w:r>
        <w:rPr>
          <w:rFonts w:ascii="宋体" w:hAnsi="宋体" w:eastAsia="宋体" w:cs="宋体"/>
          <w:color w:val="auto"/>
          <w:spacing w:val="0"/>
          <w:w w:val="100"/>
          <w:position w:val="0"/>
          <w:sz w:val="20"/>
          <w:szCs w:val="20"/>
          <w:highlight w:val="none"/>
          <w:lang w:eastAsia="zh-CN"/>
        </w:rPr>
        <w:t>须同时提供自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p>
    <w:p w14:paraId="7AC8830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8、</w:t>
      </w:r>
      <w:r>
        <w:rPr>
          <w:rFonts w:ascii="宋体" w:hAnsi="宋体" w:eastAsia="宋体" w:cs="宋体"/>
          <w:color w:val="auto"/>
          <w:spacing w:val="0"/>
          <w:w w:val="100"/>
          <w:position w:val="0"/>
          <w:sz w:val="20"/>
          <w:szCs w:val="20"/>
          <w:highlight w:val="none"/>
          <w:lang w:eastAsia="zh-CN"/>
        </w:rPr>
        <w:t>设计负责人资料（若为联合体投标，指承担设计任务的一方提供）：</w:t>
      </w:r>
      <w:r>
        <w:rPr>
          <w:rFonts w:hint="eastAsia" w:ascii="宋体" w:hAnsi="宋体" w:eastAsia="宋体" w:cs="宋体"/>
          <w:color w:val="auto"/>
          <w:spacing w:val="0"/>
          <w:w w:val="100"/>
          <w:position w:val="0"/>
          <w:sz w:val="20"/>
          <w:szCs w:val="20"/>
          <w:highlight w:val="none"/>
          <w:lang w:eastAsia="zh-CN"/>
        </w:rPr>
        <w:t>有效期内的</w:t>
      </w:r>
      <w:r>
        <w:rPr>
          <w:rFonts w:ascii="宋体" w:hAnsi="宋体" w:eastAsia="宋体" w:cs="宋体"/>
          <w:color w:val="auto"/>
          <w:spacing w:val="0"/>
          <w:w w:val="100"/>
          <w:position w:val="0"/>
          <w:sz w:val="20"/>
          <w:szCs w:val="20"/>
          <w:highlight w:val="none"/>
          <w:lang w:eastAsia="zh-CN"/>
        </w:rPr>
        <w:t>注册建筑师</w:t>
      </w:r>
      <w:r>
        <w:rPr>
          <w:rFonts w:hint="eastAsia" w:ascii="宋体" w:hAnsi="宋体" w:eastAsia="宋体" w:cs="宋体"/>
          <w:color w:val="auto"/>
          <w:spacing w:val="0"/>
          <w:w w:val="100"/>
          <w:position w:val="0"/>
          <w:sz w:val="20"/>
          <w:szCs w:val="20"/>
          <w:highlight w:val="none"/>
          <w:lang w:eastAsia="zh-CN"/>
        </w:rPr>
        <w:t>注册证书扫描件或电子证书，</w:t>
      </w:r>
      <w:r>
        <w:rPr>
          <w:rFonts w:ascii="宋体" w:hAnsi="宋体" w:eastAsia="宋体" w:cs="宋体"/>
          <w:color w:val="auto"/>
          <w:spacing w:val="0"/>
          <w:w w:val="100"/>
          <w:position w:val="0"/>
          <w:sz w:val="20"/>
          <w:szCs w:val="20"/>
          <w:highlight w:val="none"/>
          <w:lang w:eastAsia="zh-CN"/>
        </w:rPr>
        <w:t>或在广东省住房和城乡建设主管部门备案且备案的业务范围符合本招标项目对设计负责人要求的香港专业人士的备案证明资料扫描件。须同时提供自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设计负责人为香港专业人士的，需提供资格备案的业务范围符合本招标项目对设计负责人要求的香港专业人士的证明材料扫描件）。</w:t>
      </w:r>
    </w:p>
    <w:p w14:paraId="0AD68D8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9、</w:t>
      </w:r>
      <w:r>
        <w:rPr>
          <w:rFonts w:ascii="宋体" w:hAnsi="宋体" w:eastAsia="宋体" w:cs="宋体"/>
          <w:color w:val="auto"/>
          <w:spacing w:val="0"/>
          <w:w w:val="100"/>
          <w:position w:val="0"/>
          <w:sz w:val="20"/>
          <w:szCs w:val="20"/>
          <w:highlight w:val="none"/>
          <w:lang w:eastAsia="zh-CN"/>
        </w:rPr>
        <w:t>施工技术负责人资料（若为联合体投标，由</w:t>
      </w:r>
      <w:r>
        <w:rPr>
          <w:rFonts w:hint="default" w:ascii="宋体" w:hAnsi="宋体" w:eastAsia="宋体" w:cs="宋体"/>
          <w:color w:val="auto"/>
          <w:spacing w:val="0"/>
          <w:w w:val="100"/>
          <w:position w:val="0"/>
          <w:sz w:val="20"/>
          <w:szCs w:val="20"/>
          <w:highlight w:val="none"/>
          <w:lang w:val="en-US" w:eastAsia="zh-CN"/>
        </w:rPr>
        <w:t>主办</w:t>
      </w:r>
      <w:r>
        <w:rPr>
          <w:rFonts w:ascii="宋体" w:hAnsi="宋体" w:eastAsia="宋体" w:cs="宋体"/>
          <w:color w:val="auto"/>
          <w:spacing w:val="0"/>
          <w:w w:val="100"/>
          <w:position w:val="0"/>
          <w:sz w:val="20"/>
          <w:szCs w:val="20"/>
          <w:highlight w:val="none"/>
          <w:lang w:eastAsia="zh-CN"/>
        </w:rPr>
        <w:t>方提供）：</w:t>
      </w:r>
      <w:r>
        <w:rPr>
          <w:rFonts w:hint="eastAsia" w:ascii="宋体" w:hAnsi="宋体" w:eastAsia="宋体" w:cs="宋体"/>
          <w:color w:val="auto"/>
          <w:spacing w:val="0"/>
          <w:w w:val="100"/>
          <w:position w:val="0"/>
          <w:sz w:val="20"/>
          <w:szCs w:val="20"/>
          <w:highlight w:val="none"/>
          <w:lang w:eastAsia="zh-CN"/>
        </w:rPr>
        <w:t>职称证书清晰扫描件。</w:t>
      </w:r>
      <w:r>
        <w:rPr>
          <w:rFonts w:ascii="宋体" w:hAnsi="宋体" w:eastAsia="宋体" w:cs="宋体"/>
          <w:color w:val="auto"/>
          <w:spacing w:val="0"/>
          <w:w w:val="100"/>
          <w:position w:val="0"/>
          <w:sz w:val="20"/>
          <w:szCs w:val="20"/>
          <w:highlight w:val="none"/>
          <w:lang w:eastAsia="zh-CN"/>
        </w:rPr>
        <w:t>须同时提供自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p>
    <w:p w14:paraId="406F483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10、项目负责人（兼施工负责人）（若为联合体投标，由主办方提供）有效期内的安全生产考核合格证（B类）或建筑施工企业项目负责人安全生产考核合格证书。项目负责人（兼施工负责人）在任职期间不得担任专职安全员，项目专职安全员在任职期间也不得担任项目负责人（兼施工负责人），项目负责人（兼施工负责人）和专职安全员不为同一人。</w:t>
      </w:r>
    </w:p>
    <w:p w14:paraId="67DD2C9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11、</w:t>
      </w:r>
      <w:r>
        <w:rPr>
          <w:rFonts w:ascii="宋体" w:hAnsi="宋体" w:eastAsia="宋体" w:cs="宋体"/>
          <w:color w:val="auto"/>
          <w:spacing w:val="0"/>
          <w:w w:val="100"/>
          <w:position w:val="0"/>
          <w:sz w:val="20"/>
          <w:szCs w:val="20"/>
          <w:highlight w:val="none"/>
          <w:lang w:eastAsia="zh-CN"/>
        </w:rPr>
        <w:t>专职安全员（若为联合体投标，由</w:t>
      </w:r>
      <w:r>
        <w:rPr>
          <w:rFonts w:hint="default" w:ascii="宋体" w:hAnsi="宋体" w:eastAsia="宋体" w:cs="宋体"/>
          <w:color w:val="auto"/>
          <w:spacing w:val="0"/>
          <w:w w:val="100"/>
          <w:position w:val="0"/>
          <w:sz w:val="20"/>
          <w:szCs w:val="20"/>
          <w:highlight w:val="none"/>
          <w:lang w:val="en-US" w:eastAsia="zh-CN"/>
        </w:rPr>
        <w:t>主办</w:t>
      </w:r>
      <w:r>
        <w:rPr>
          <w:rFonts w:ascii="宋体" w:hAnsi="宋体" w:eastAsia="宋体" w:cs="宋体"/>
          <w:color w:val="auto"/>
          <w:spacing w:val="0"/>
          <w:w w:val="100"/>
          <w:position w:val="0"/>
          <w:sz w:val="20"/>
          <w:szCs w:val="20"/>
          <w:highlight w:val="none"/>
          <w:lang w:eastAsia="zh-CN"/>
        </w:rPr>
        <w:t>方提供）安全生产考核合格证（C类）或建筑施工企业专职安全生产管理人员安全生产考核合格证书（C3），须同时提供自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p>
    <w:p w14:paraId="70FAB5B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12、</w:t>
      </w:r>
      <w:r>
        <w:rPr>
          <w:rFonts w:ascii="宋体" w:hAnsi="宋体" w:eastAsia="宋体" w:cs="宋体"/>
          <w:color w:val="auto"/>
          <w:spacing w:val="0"/>
          <w:w w:val="100"/>
          <w:position w:val="0"/>
          <w:sz w:val="20"/>
          <w:szCs w:val="20"/>
          <w:highlight w:val="none"/>
          <w:lang w:eastAsia="zh-CN"/>
        </w:rPr>
        <w:t>投标人已按照招标公告附件一的内容签署盖章的投标人声明扫描件。</w:t>
      </w:r>
    </w:p>
    <w:p w14:paraId="5D19C0C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13、</w:t>
      </w:r>
      <w:r>
        <w:rPr>
          <w:rFonts w:ascii="宋体" w:hAnsi="宋体" w:eastAsia="宋体" w:cs="宋体"/>
          <w:color w:val="auto"/>
          <w:spacing w:val="0"/>
          <w:w w:val="100"/>
          <w:position w:val="0"/>
          <w:sz w:val="20"/>
          <w:szCs w:val="20"/>
          <w:highlight w:val="none"/>
          <w:lang w:eastAsia="zh-CN"/>
        </w:rPr>
        <w:t>联合体投标协议书扫描件。（非联合体投标的，无需提交本协议书）</w:t>
      </w:r>
    </w:p>
    <w:p w14:paraId="4006C04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14、</w:t>
      </w:r>
      <w:r>
        <w:rPr>
          <w:rFonts w:ascii="宋体" w:hAnsi="宋体" w:eastAsia="宋体" w:cs="宋体"/>
          <w:color w:val="auto"/>
          <w:spacing w:val="0"/>
          <w:w w:val="100"/>
          <w:position w:val="0"/>
          <w:sz w:val="20"/>
          <w:szCs w:val="20"/>
          <w:highlight w:val="none"/>
          <w:lang w:eastAsia="zh-CN"/>
        </w:rPr>
        <w:t>资格审查前，投标人（含联合体各方）须在</w:t>
      </w:r>
      <w:r>
        <w:rPr>
          <w:rFonts w:hint="eastAsia" w:ascii="宋体" w:hAnsi="宋体" w:eastAsia="宋体" w:cs="宋体"/>
          <w:color w:val="auto"/>
          <w:spacing w:val="0"/>
          <w:w w:val="100"/>
          <w:position w:val="0"/>
          <w:sz w:val="20"/>
          <w:szCs w:val="20"/>
          <w:highlight w:val="none"/>
          <w:lang w:eastAsia="zh-CN"/>
        </w:rPr>
        <w:t>广州市住建行业信用管理平台</w:t>
      </w:r>
      <w:r>
        <w:rPr>
          <w:rFonts w:ascii="宋体" w:hAnsi="宋体" w:eastAsia="宋体" w:cs="宋体"/>
          <w:color w:val="auto"/>
          <w:spacing w:val="0"/>
          <w:w w:val="100"/>
          <w:position w:val="0"/>
          <w:sz w:val="20"/>
          <w:szCs w:val="20"/>
          <w:highlight w:val="none"/>
          <w:lang w:eastAsia="zh-CN"/>
        </w:rPr>
        <w:t>建立企业信用档案及拟担任本工程项目负责人（施工负责人）、专职安全员须是本企业信用档案中的在册人员（联合体投标的，企业信用档案和人员在册情况为联合体协议分工对应的企业信用档案）。企业信用档案取自投标截止时间投标人在广州市住建行业信用管理平台的信息，投标人可无需提交相关资料，若招标人延长递交投标文件截止时间的，信用档案信息的评审时点也相应延长。</w:t>
      </w:r>
    </w:p>
    <w:p w14:paraId="5E0C5AE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15、</w:t>
      </w:r>
      <w:r>
        <w:rPr>
          <w:rFonts w:ascii="宋体" w:hAnsi="宋体" w:eastAsia="宋体" w:cs="宋体"/>
          <w:color w:val="auto"/>
          <w:spacing w:val="0"/>
          <w:w w:val="100"/>
          <w:position w:val="0"/>
          <w:sz w:val="20"/>
          <w:szCs w:val="20"/>
          <w:highlight w:val="none"/>
          <w:lang w:eastAsia="zh-CN"/>
        </w:rPr>
        <w:t>投标人（含联合体各方）未出现以下情形：与其它投标人的单位负责人为同一人或者存在控股、管理关系的（按投标人提供的《投标人声明》第</w:t>
      </w:r>
      <w:r>
        <w:rPr>
          <w:rFonts w:hint="eastAsia" w:ascii="宋体" w:hAnsi="宋体" w:eastAsia="宋体" w:cs="宋体"/>
          <w:color w:val="auto"/>
          <w:spacing w:val="0"/>
          <w:w w:val="100"/>
          <w:position w:val="0"/>
          <w:sz w:val="20"/>
          <w:szCs w:val="20"/>
          <w:highlight w:val="none"/>
          <w:lang w:val="en-US" w:eastAsia="zh-CN"/>
        </w:rPr>
        <w:t>九</w:t>
      </w:r>
      <w:r>
        <w:rPr>
          <w:rFonts w:ascii="宋体" w:hAnsi="宋体" w:eastAsia="宋体" w:cs="宋体"/>
          <w:color w:val="auto"/>
          <w:spacing w:val="0"/>
          <w:w w:val="100"/>
          <w:position w:val="0"/>
          <w:sz w:val="20"/>
          <w:szCs w:val="20"/>
          <w:highlight w:val="none"/>
          <w:lang w:eastAsia="zh-CN"/>
        </w:rPr>
        <w:t>条内容进行评审），如不同投标人（含联合体各方）出现单位负责人为同一人或者存在控股、管理关系的情形，则不得参加同一招标项目投标，否则均视其不符合投标人合格条件予以处理（联合体内各成员之间不受本条限制）。</w:t>
      </w:r>
    </w:p>
    <w:p w14:paraId="1B07752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16、</w:t>
      </w:r>
      <w:r>
        <w:rPr>
          <w:rFonts w:ascii="宋体" w:hAnsi="宋体" w:eastAsia="宋体" w:cs="宋体"/>
          <w:color w:val="auto"/>
          <w:spacing w:val="0"/>
          <w:w w:val="100"/>
          <w:position w:val="0"/>
          <w:sz w:val="20"/>
          <w:szCs w:val="20"/>
          <w:highlight w:val="none"/>
          <w:lang w:eastAsia="zh-CN"/>
        </w:rPr>
        <w:t>投标人（含联合体各方）未被列入拖欠农民工工资失信联合惩戒对象名单</w:t>
      </w:r>
      <w:r>
        <w:rPr>
          <w:rFonts w:hint="eastAsia" w:ascii="宋体" w:hAnsi="宋体" w:eastAsia="宋体" w:cs="宋体"/>
          <w:color w:val="auto"/>
          <w:spacing w:val="0"/>
          <w:w w:val="100"/>
          <w:position w:val="0"/>
          <w:sz w:val="20"/>
          <w:szCs w:val="20"/>
          <w:highlight w:val="none"/>
          <w:lang w:val="en-US" w:eastAsia="zh-CN"/>
        </w:rPr>
        <w:t>和失信被执行人</w:t>
      </w:r>
      <w:r>
        <w:rPr>
          <w:rFonts w:ascii="宋体" w:hAnsi="宋体" w:eastAsia="宋体" w:cs="宋体"/>
          <w:color w:val="auto"/>
          <w:spacing w:val="0"/>
          <w:w w:val="100"/>
          <w:position w:val="0"/>
          <w:sz w:val="20"/>
          <w:szCs w:val="20"/>
          <w:highlight w:val="none"/>
          <w:lang w:eastAsia="zh-CN"/>
        </w:rPr>
        <w:t>。（投标人无需提供资料，</w:t>
      </w:r>
      <w:r>
        <w:rPr>
          <w:rFonts w:hint="eastAsia" w:ascii="宋体" w:hAnsi="宋体" w:eastAsia="宋体" w:cs="宋体"/>
          <w:color w:val="auto"/>
          <w:spacing w:val="0"/>
          <w:w w:val="100"/>
          <w:position w:val="0"/>
          <w:sz w:val="20"/>
          <w:szCs w:val="20"/>
          <w:highlight w:val="none"/>
          <w:lang w:eastAsia="zh-CN"/>
        </w:rPr>
        <w:t>按投标截止时间</w:t>
      </w:r>
      <w:r>
        <w:rPr>
          <w:rFonts w:ascii="宋体" w:hAnsi="宋体" w:eastAsia="宋体" w:cs="宋体"/>
          <w:color w:val="auto"/>
          <w:spacing w:val="0"/>
          <w:w w:val="100"/>
          <w:position w:val="0"/>
          <w:sz w:val="20"/>
          <w:szCs w:val="20"/>
          <w:highlight w:val="none"/>
          <w:lang w:eastAsia="zh-CN"/>
        </w:rPr>
        <w:t>交易系统比对结果为准）。</w:t>
      </w:r>
    </w:p>
    <w:p w14:paraId="082740D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17、</w:t>
      </w:r>
      <w:r>
        <w:rPr>
          <w:rFonts w:ascii="宋体" w:hAnsi="宋体" w:eastAsia="宋体" w:cs="宋体"/>
          <w:color w:val="auto"/>
          <w:spacing w:val="0"/>
          <w:w w:val="100"/>
          <w:position w:val="0"/>
          <w:sz w:val="20"/>
          <w:szCs w:val="20"/>
          <w:highlight w:val="none"/>
          <w:lang w:eastAsia="zh-CN"/>
        </w:rPr>
        <w:t>投标人证明满足本项目招标公告第九条单列的投标人合格条件的其他资料。</w:t>
      </w:r>
    </w:p>
    <w:p w14:paraId="64EEB3B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注：1.相关</w:t>
      </w:r>
      <w:r>
        <w:rPr>
          <w:rFonts w:hint="eastAsia" w:ascii="宋体" w:hAnsi="宋体" w:eastAsia="宋体" w:cs="宋体"/>
          <w:color w:val="auto"/>
          <w:spacing w:val="0"/>
          <w:w w:val="100"/>
          <w:position w:val="0"/>
          <w:sz w:val="20"/>
          <w:szCs w:val="20"/>
          <w:highlight w:val="none"/>
          <w:lang w:val="en-US" w:eastAsia="zh-CN"/>
        </w:rPr>
        <w:t>注册</w:t>
      </w:r>
      <w:r>
        <w:rPr>
          <w:rFonts w:ascii="宋体" w:hAnsi="宋体" w:eastAsia="宋体" w:cs="宋体"/>
          <w:color w:val="auto"/>
          <w:spacing w:val="0"/>
          <w:w w:val="100"/>
          <w:position w:val="0"/>
          <w:sz w:val="20"/>
          <w:szCs w:val="20"/>
          <w:highlight w:val="none"/>
          <w:lang w:eastAsia="zh-CN"/>
        </w:rPr>
        <w:t>电子证书按规定需打印后手写本人签名的，应按照规定手写本人签名后再扫描提交。</w:t>
      </w:r>
    </w:p>
    <w:p w14:paraId="5DDFF4C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2.投标人在投标登记时选择了拟投入本项目的项目负责人（施工负责人）</w:t>
      </w:r>
      <w:r>
        <w:rPr>
          <w:rFonts w:hint="eastAsia" w:ascii="宋体" w:hAnsi="宋体" w:eastAsia="宋体" w:cs="宋体"/>
          <w:color w:val="auto"/>
          <w:spacing w:val="0"/>
          <w:w w:val="100"/>
          <w:position w:val="0"/>
          <w:sz w:val="20"/>
          <w:szCs w:val="20"/>
          <w:highlight w:val="none"/>
          <w:lang w:eastAsia="zh-CN"/>
        </w:rPr>
        <w:t>、</w:t>
      </w:r>
      <w:r>
        <w:rPr>
          <w:rFonts w:ascii="宋体" w:hAnsi="宋体" w:eastAsia="宋体" w:cs="宋体"/>
          <w:color w:val="auto"/>
          <w:spacing w:val="0"/>
          <w:w w:val="100"/>
          <w:position w:val="0"/>
          <w:sz w:val="20"/>
          <w:szCs w:val="20"/>
          <w:highlight w:val="none"/>
          <w:lang w:eastAsia="zh-CN"/>
        </w:rPr>
        <w:t>专职安全员，即已满足“资格审查前，投标人（含联合体各方）须在</w:t>
      </w:r>
      <w:r>
        <w:rPr>
          <w:rFonts w:hint="eastAsia" w:ascii="宋体" w:hAnsi="宋体" w:eastAsia="宋体" w:cs="宋体"/>
          <w:color w:val="auto"/>
          <w:spacing w:val="0"/>
          <w:w w:val="100"/>
          <w:position w:val="0"/>
          <w:sz w:val="20"/>
          <w:szCs w:val="20"/>
          <w:highlight w:val="none"/>
          <w:lang w:eastAsia="zh-CN"/>
        </w:rPr>
        <w:t>广州市住建行业信用管理平台</w:t>
      </w:r>
      <w:r>
        <w:rPr>
          <w:rFonts w:ascii="宋体" w:hAnsi="宋体" w:eastAsia="宋体" w:cs="宋体"/>
          <w:color w:val="auto"/>
          <w:spacing w:val="0"/>
          <w:w w:val="100"/>
          <w:position w:val="0"/>
          <w:sz w:val="20"/>
          <w:szCs w:val="20"/>
          <w:highlight w:val="none"/>
          <w:lang w:eastAsia="zh-CN"/>
        </w:rPr>
        <w:t>建立企业信用档案及拟担任本工程项目负责人（施工负责人）、专职安全员须是本企业信用档案中的在册人员（联合体投标的，企业信用档案和人员在册情况为联合体协议分工对应的企业信用档案）”的要求，投标人无需提供证明材料。</w:t>
      </w:r>
    </w:p>
    <w:p w14:paraId="09FDC7F4">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outlineLvl w:val="3"/>
        <w:rPr>
          <w:rFonts w:ascii="宋体" w:hAnsi="宋体" w:eastAsia="宋体" w:cs="宋体"/>
          <w:b/>
          <w:bCs/>
          <w:color w:val="auto"/>
          <w:spacing w:val="0"/>
          <w:w w:val="100"/>
          <w:position w:val="0"/>
          <w:sz w:val="20"/>
          <w:szCs w:val="20"/>
          <w:highlight w:val="none"/>
          <w:lang w:eastAsia="zh-CN"/>
        </w:rPr>
      </w:pPr>
      <w:r>
        <w:rPr>
          <w:rFonts w:hint="eastAsia" w:ascii="宋体" w:hAnsi="宋体" w:eastAsia="宋体" w:cs="宋体"/>
          <w:b/>
          <w:bCs/>
          <w:color w:val="auto"/>
          <w:spacing w:val="0"/>
          <w:w w:val="100"/>
          <w:position w:val="0"/>
          <w:sz w:val="20"/>
          <w:szCs w:val="20"/>
          <w:highlight w:val="none"/>
          <w:lang w:val="en-US" w:eastAsia="zh-CN"/>
        </w:rPr>
        <w:t>三</w:t>
      </w:r>
      <w:r>
        <w:rPr>
          <w:rFonts w:ascii="宋体" w:hAnsi="宋体" w:eastAsia="宋体" w:cs="宋体"/>
          <w:b/>
          <w:bCs/>
          <w:color w:val="auto"/>
          <w:spacing w:val="0"/>
          <w:w w:val="100"/>
          <w:position w:val="0"/>
          <w:sz w:val="20"/>
          <w:szCs w:val="20"/>
          <w:highlight w:val="none"/>
          <w:lang w:eastAsia="zh-CN"/>
        </w:rPr>
        <w:t>、工程总承包实施方案</w:t>
      </w:r>
    </w:p>
    <w:p w14:paraId="67EC8FB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w:t>
      </w:r>
      <w:r>
        <w:rPr>
          <w:rFonts w:hint="eastAsia" w:ascii="宋体" w:hAnsi="宋体" w:eastAsia="宋体" w:cs="宋体"/>
          <w:color w:val="auto"/>
          <w:spacing w:val="0"/>
          <w:w w:val="100"/>
          <w:position w:val="0"/>
          <w:sz w:val="20"/>
          <w:szCs w:val="20"/>
          <w:highlight w:val="none"/>
          <w:u w:val="none"/>
          <w:lang w:eastAsia="zh-CN"/>
        </w:rPr>
        <w:t>封面</w:t>
      </w:r>
    </w:p>
    <w:p w14:paraId="7952428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（2）目录</w:t>
      </w:r>
    </w:p>
    <w:p w14:paraId="63CF608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（3）投标承诺书</w:t>
      </w:r>
    </w:p>
    <w:p w14:paraId="25B7F8E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（4）工程总承包项目管理机构配备表</w:t>
      </w:r>
    </w:p>
    <w:p w14:paraId="1DD3D30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（5）参与编制工程总承包实施方案投标文件人员名单</w:t>
      </w:r>
    </w:p>
    <w:p w14:paraId="6252FCE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（6）</w:t>
      </w:r>
      <w:r>
        <w:rPr>
          <w:rFonts w:hint="eastAsia" w:ascii="宋体" w:hAnsi="宋体" w:eastAsia="宋体" w:cs="宋体"/>
          <w:color w:val="auto"/>
          <w:spacing w:val="0"/>
          <w:w w:val="100"/>
          <w:position w:val="0"/>
          <w:sz w:val="20"/>
          <w:szCs w:val="20"/>
          <w:highlight w:val="none"/>
          <w:lang w:eastAsia="zh-CN"/>
        </w:rPr>
        <w:t>危险性较大的分部分项工程清单及超过一定规模的危险性较大的分部分项工程清单</w:t>
      </w:r>
    </w:p>
    <w:p w14:paraId="79513C2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（7）资信部分资料</w:t>
      </w:r>
    </w:p>
    <w:p w14:paraId="24BDB39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（8）项目实施组织方案</w:t>
      </w:r>
    </w:p>
    <w:p w14:paraId="1CA06BA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9</w:t>
      </w:r>
      <w:r>
        <w:rPr>
          <w:rFonts w:ascii="宋体" w:hAnsi="宋体" w:eastAsia="宋体" w:cs="宋体"/>
          <w:color w:val="auto"/>
          <w:spacing w:val="0"/>
          <w:w w:val="100"/>
          <w:position w:val="0"/>
          <w:sz w:val="20"/>
          <w:szCs w:val="20"/>
          <w:highlight w:val="none"/>
          <w:lang w:eastAsia="zh-CN"/>
        </w:rPr>
        <w:t>）其他资料</w:t>
      </w:r>
    </w:p>
    <w:p w14:paraId="26572A49">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outlineLvl w:val="3"/>
        <w:rPr>
          <w:rFonts w:ascii="宋体" w:hAnsi="宋体" w:eastAsia="宋体" w:cs="宋体"/>
          <w:b/>
          <w:bCs/>
          <w:color w:val="auto"/>
          <w:spacing w:val="0"/>
          <w:w w:val="100"/>
          <w:position w:val="0"/>
          <w:sz w:val="20"/>
          <w:szCs w:val="20"/>
          <w:highlight w:val="none"/>
          <w:lang w:eastAsia="zh-CN"/>
        </w:rPr>
      </w:pPr>
      <w:r>
        <w:rPr>
          <w:rFonts w:hint="eastAsia" w:ascii="宋体" w:hAnsi="宋体" w:eastAsia="宋体" w:cs="宋体"/>
          <w:b/>
          <w:bCs/>
          <w:color w:val="auto"/>
          <w:spacing w:val="0"/>
          <w:w w:val="100"/>
          <w:position w:val="0"/>
          <w:sz w:val="20"/>
          <w:szCs w:val="20"/>
          <w:highlight w:val="none"/>
          <w:lang w:val="en-US" w:eastAsia="zh-CN"/>
        </w:rPr>
        <w:t>四</w:t>
      </w:r>
      <w:r>
        <w:rPr>
          <w:rFonts w:ascii="宋体" w:hAnsi="宋体" w:eastAsia="宋体" w:cs="宋体"/>
          <w:b/>
          <w:bCs/>
          <w:color w:val="auto"/>
          <w:spacing w:val="0"/>
          <w:w w:val="100"/>
          <w:position w:val="0"/>
          <w:sz w:val="20"/>
          <w:szCs w:val="20"/>
          <w:highlight w:val="none"/>
          <w:lang w:eastAsia="zh-CN"/>
        </w:rPr>
        <w:t>、经济标</w:t>
      </w:r>
    </w:p>
    <w:p w14:paraId="78FDED1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（1）封面</w:t>
      </w:r>
    </w:p>
    <w:p w14:paraId="407E4D0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（2）目录</w:t>
      </w:r>
    </w:p>
    <w:p w14:paraId="3BFA091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（3）投标书</w:t>
      </w:r>
    </w:p>
    <w:p w14:paraId="4D5394B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4</w:t>
      </w:r>
      <w:r>
        <w:rPr>
          <w:rFonts w:ascii="宋体" w:hAnsi="宋体" w:eastAsia="宋体" w:cs="宋体"/>
          <w:color w:val="auto"/>
          <w:spacing w:val="0"/>
          <w:w w:val="100"/>
          <w:position w:val="0"/>
          <w:sz w:val="20"/>
          <w:szCs w:val="20"/>
          <w:highlight w:val="none"/>
          <w:lang w:eastAsia="zh-CN"/>
        </w:rPr>
        <w:t>）参与编制经济标投标文件人员名单</w:t>
      </w:r>
    </w:p>
    <w:p w14:paraId="1A7D02D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5</w:t>
      </w:r>
      <w:r>
        <w:rPr>
          <w:rFonts w:ascii="宋体" w:hAnsi="宋体" w:eastAsia="宋体" w:cs="宋体"/>
          <w:color w:val="auto"/>
          <w:spacing w:val="0"/>
          <w:w w:val="100"/>
          <w:position w:val="0"/>
          <w:sz w:val="20"/>
          <w:szCs w:val="20"/>
          <w:highlight w:val="none"/>
          <w:lang w:eastAsia="zh-CN"/>
        </w:rPr>
        <w:t>）其他资料</w:t>
      </w:r>
    </w:p>
    <w:p w14:paraId="1BFC98BF">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outlineLvl w:val="3"/>
        <w:rPr>
          <w:rFonts w:hint="default" w:ascii="宋体" w:hAnsi="宋体" w:eastAsia="宋体" w:cs="宋体"/>
          <w:b/>
          <w:bCs/>
          <w:color w:val="auto"/>
          <w:spacing w:val="0"/>
          <w:w w:val="100"/>
          <w:position w:val="0"/>
          <w:sz w:val="20"/>
          <w:szCs w:val="20"/>
          <w:highlight w:val="none"/>
          <w:lang w:val="en-US" w:eastAsia="zh-CN"/>
        </w:rPr>
      </w:pPr>
      <w:r>
        <w:rPr>
          <w:rFonts w:hint="eastAsia" w:ascii="宋体" w:hAnsi="宋体" w:eastAsia="宋体" w:cs="宋体"/>
          <w:b/>
          <w:bCs/>
          <w:color w:val="auto"/>
          <w:spacing w:val="0"/>
          <w:w w:val="100"/>
          <w:position w:val="0"/>
          <w:sz w:val="20"/>
          <w:szCs w:val="20"/>
          <w:highlight w:val="none"/>
          <w:lang w:val="en-US" w:eastAsia="zh-CN"/>
        </w:rPr>
        <w:t>五</w:t>
      </w:r>
      <w:r>
        <w:rPr>
          <w:rFonts w:ascii="宋体" w:hAnsi="宋体" w:eastAsia="宋体" w:cs="宋体"/>
          <w:b/>
          <w:bCs/>
          <w:color w:val="auto"/>
          <w:spacing w:val="0"/>
          <w:w w:val="100"/>
          <w:position w:val="0"/>
          <w:sz w:val="20"/>
          <w:szCs w:val="20"/>
          <w:highlight w:val="none"/>
          <w:lang w:eastAsia="zh-CN"/>
        </w:rPr>
        <w:t>、</w:t>
      </w:r>
      <w:r>
        <w:rPr>
          <w:rFonts w:hint="eastAsia" w:ascii="宋体" w:hAnsi="宋体" w:eastAsia="宋体" w:cs="宋体"/>
          <w:b/>
          <w:bCs/>
          <w:color w:val="auto"/>
          <w:spacing w:val="0"/>
          <w:w w:val="100"/>
          <w:position w:val="0"/>
          <w:sz w:val="20"/>
          <w:szCs w:val="20"/>
          <w:highlight w:val="none"/>
          <w:lang w:val="en-US" w:eastAsia="zh-CN"/>
        </w:rPr>
        <w:t>定标文件</w:t>
      </w:r>
    </w:p>
    <w:p w14:paraId="447C984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（1）封面</w:t>
      </w:r>
    </w:p>
    <w:p w14:paraId="7AEA9AC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（2）目录</w:t>
      </w:r>
    </w:p>
    <w:p w14:paraId="1541C7D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（3）方案因素资料</w:t>
      </w:r>
    </w:p>
    <w:p w14:paraId="179BAE3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（4）其他资料</w:t>
      </w:r>
    </w:p>
    <w:p w14:paraId="1336152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注：格式详见第七章，如无格式，投标人可自拟。</w:t>
      </w:r>
    </w:p>
    <w:p w14:paraId="595997DB">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83" w:name="_Toc29450"/>
      <w:bookmarkStart w:id="84" w:name="_Toc23533"/>
      <w:bookmarkStart w:id="85" w:name="_Toc29492"/>
      <w:r>
        <w:rPr>
          <w:rFonts w:ascii="宋体" w:hAnsi="宋体" w:eastAsia="宋体" w:cs="宋体"/>
          <w:b/>
          <w:bCs/>
          <w:color w:val="auto"/>
          <w:spacing w:val="0"/>
          <w:w w:val="100"/>
          <w:position w:val="0"/>
          <w:sz w:val="28"/>
          <w:szCs w:val="28"/>
          <w:highlight w:val="none"/>
          <w:lang w:eastAsia="zh-CN"/>
        </w:rPr>
        <w:t>3.2 投标报价</w:t>
      </w:r>
      <w:bookmarkEnd w:id="83"/>
      <w:bookmarkEnd w:id="84"/>
      <w:bookmarkEnd w:id="85"/>
    </w:p>
    <w:p w14:paraId="3677ADC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 xml:space="preserve">3.2.1 </w:t>
      </w:r>
      <w:r>
        <w:rPr>
          <w:rFonts w:ascii="宋体" w:hAnsi="宋体" w:eastAsia="宋体" w:cs="宋体"/>
          <w:color w:val="auto"/>
          <w:spacing w:val="0"/>
          <w:w w:val="100"/>
          <w:position w:val="0"/>
          <w:sz w:val="20"/>
          <w:szCs w:val="20"/>
          <w:highlight w:val="none"/>
          <w:u w:val="single"/>
          <w:lang w:eastAsia="zh-CN"/>
        </w:rPr>
        <w:t>本工程的投标报价采用投标须知前附表第 3.2.5 项所规定的方式。</w:t>
      </w:r>
    </w:p>
    <w:p w14:paraId="28523F3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3.2.2 投标人应充分了解施工场地的位置、周边环境、道路、装卸、保管、安装限制以及影响投标报价的其他要素。投标人根据投标设计，结合市场情况进行投标报价。</w:t>
      </w:r>
    </w:p>
    <w:p w14:paraId="765053A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3.2.3 招标人设有最高投标限价的，投标人的投标报价不得超过最高投标限价。</w:t>
      </w:r>
    </w:p>
    <w:p w14:paraId="02A7429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3.2.4 投标报价的其他要求见投标人须知前附表。</w:t>
      </w:r>
    </w:p>
    <w:p w14:paraId="7C52C22F">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86" w:name="_Toc30275"/>
      <w:bookmarkStart w:id="87" w:name="_Toc8127"/>
      <w:bookmarkStart w:id="88" w:name="_Toc19778"/>
      <w:r>
        <w:rPr>
          <w:rFonts w:ascii="宋体" w:hAnsi="宋体" w:eastAsia="宋体" w:cs="宋体"/>
          <w:b/>
          <w:bCs/>
          <w:color w:val="auto"/>
          <w:spacing w:val="0"/>
          <w:w w:val="100"/>
          <w:position w:val="0"/>
          <w:sz w:val="28"/>
          <w:szCs w:val="28"/>
          <w:highlight w:val="none"/>
          <w:lang w:eastAsia="zh-CN"/>
        </w:rPr>
        <w:t>3.3 投标有效期</w:t>
      </w:r>
      <w:bookmarkEnd w:id="86"/>
      <w:bookmarkEnd w:id="87"/>
      <w:bookmarkEnd w:id="88"/>
    </w:p>
    <w:p w14:paraId="5B89D0C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3.3.1 投标有效期按须知前附表的规定。</w:t>
      </w:r>
    </w:p>
    <w:p w14:paraId="511A5A5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3.3.2 在投标有效期内，投标人撤销或修改其投标文件的，应承担招标文件和法律规定的责任。</w:t>
      </w:r>
    </w:p>
    <w:p w14:paraId="7B09DBA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98A055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89" w:name="_Toc22336"/>
      <w:bookmarkStart w:id="90" w:name="_Toc12499"/>
      <w:bookmarkStart w:id="91" w:name="_Toc12245"/>
      <w:r>
        <w:rPr>
          <w:rFonts w:ascii="宋体" w:hAnsi="宋体" w:eastAsia="宋体" w:cs="宋体"/>
          <w:b/>
          <w:bCs/>
          <w:color w:val="auto"/>
          <w:spacing w:val="0"/>
          <w:w w:val="100"/>
          <w:position w:val="0"/>
          <w:sz w:val="28"/>
          <w:szCs w:val="28"/>
          <w:highlight w:val="none"/>
          <w:lang w:eastAsia="zh-CN"/>
        </w:rPr>
        <w:t>3.4 投标保证金</w:t>
      </w:r>
      <w:bookmarkEnd w:id="89"/>
      <w:bookmarkEnd w:id="90"/>
      <w:bookmarkEnd w:id="91"/>
    </w:p>
    <w:p w14:paraId="5946236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3.4.1 投标人须在投标登记成功办理后至开标前按投标人须知前附表规定的金额、担保形式递交投标保证金。联合体投标的，其投标保证金由主办方递交，并应符合投标人须知前附表的规定。</w:t>
      </w:r>
    </w:p>
    <w:p w14:paraId="72C7F62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3.4.2 中标候选人以外的投标人的投标保证金在中标通知书发出之日起五日内退还。中标人和其他中标候选人的投标保证金在书面合同订立之日起五日内退还。</w:t>
      </w:r>
    </w:p>
    <w:p w14:paraId="7C3C60E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3.4.3 有下列情形之一的，投标保证金将不予退还：</w:t>
      </w:r>
    </w:p>
    <w:p w14:paraId="335DA90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（1）投标人在投标有效期内撤回投标标书；</w:t>
      </w:r>
    </w:p>
    <w:p w14:paraId="2B2A2CD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（2）中标人未在规定期限内按要求递交履约担保；</w:t>
      </w:r>
    </w:p>
    <w:p w14:paraId="0C05F50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（3）中标人未在规定期限内签署合同协议。</w:t>
      </w:r>
    </w:p>
    <w:p w14:paraId="5B96536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（4）投标人在本项目投标过程中有违法违规行为的。</w:t>
      </w:r>
    </w:p>
    <w:p w14:paraId="1F190928">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92" w:name="_Toc6607"/>
      <w:bookmarkStart w:id="93" w:name="_Toc17375"/>
      <w:bookmarkStart w:id="94" w:name="_Toc11089"/>
      <w:r>
        <w:rPr>
          <w:rFonts w:ascii="宋体" w:hAnsi="宋体" w:eastAsia="宋体" w:cs="宋体"/>
          <w:b/>
          <w:bCs/>
          <w:color w:val="auto"/>
          <w:spacing w:val="0"/>
          <w:w w:val="100"/>
          <w:position w:val="0"/>
          <w:sz w:val="28"/>
          <w:szCs w:val="28"/>
          <w:highlight w:val="none"/>
          <w:lang w:eastAsia="zh-CN"/>
        </w:rPr>
        <w:t>3.5 资格审查资料</w:t>
      </w:r>
      <w:bookmarkEnd w:id="92"/>
      <w:bookmarkEnd w:id="93"/>
      <w:bookmarkEnd w:id="94"/>
    </w:p>
    <w:p w14:paraId="590BC5C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资格审查资料要求详见本章 3.1.1 资格审查文件组成。</w:t>
      </w:r>
    </w:p>
    <w:p w14:paraId="33B001D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采用电子化资格后审，由评标委员会负责对投标人的资格进行审查，评标时只对通过资格审查的投标人进行下一阶段的评审。</w:t>
      </w:r>
    </w:p>
    <w:p w14:paraId="50EF718F">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95" w:name="_Toc25653"/>
      <w:bookmarkStart w:id="96" w:name="_Toc28959"/>
      <w:bookmarkStart w:id="97" w:name="_Toc12019"/>
      <w:r>
        <w:rPr>
          <w:rFonts w:ascii="宋体" w:hAnsi="宋体" w:eastAsia="宋体" w:cs="宋体"/>
          <w:b/>
          <w:bCs/>
          <w:color w:val="auto"/>
          <w:spacing w:val="0"/>
          <w:w w:val="100"/>
          <w:position w:val="0"/>
          <w:sz w:val="28"/>
          <w:szCs w:val="28"/>
          <w:highlight w:val="none"/>
          <w:lang w:eastAsia="zh-CN"/>
        </w:rPr>
        <w:t>3.6 备选投标方案</w:t>
      </w:r>
      <w:bookmarkEnd w:id="95"/>
      <w:bookmarkEnd w:id="96"/>
      <w:bookmarkEnd w:id="97"/>
    </w:p>
    <w:p w14:paraId="307E5C1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除投标人须知前附表另有规定外，投标人不得递交备选投标方案。</w:t>
      </w:r>
    </w:p>
    <w:p w14:paraId="427CF27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98" w:name="_Toc25282"/>
      <w:bookmarkStart w:id="99" w:name="_Toc20915"/>
      <w:bookmarkStart w:id="100" w:name="_Toc16293"/>
      <w:r>
        <w:rPr>
          <w:rFonts w:ascii="宋体" w:hAnsi="宋体" w:eastAsia="宋体" w:cs="宋体"/>
          <w:b/>
          <w:bCs/>
          <w:color w:val="auto"/>
          <w:spacing w:val="0"/>
          <w:w w:val="100"/>
          <w:position w:val="0"/>
          <w:sz w:val="28"/>
          <w:szCs w:val="28"/>
          <w:highlight w:val="none"/>
          <w:lang w:eastAsia="zh-CN"/>
        </w:rPr>
        <w:t>3.7 投标文件的编制</w:t>
      </w:r>
      <w:bookmarkEnd w:id="98"/>
      <w:bookmarkEnd w:id="99"/>
      <w:bookmarkEnd w:id="100"/>
    </w:p>
    <w:p w14:paraId="6D1C604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3.7.1 投标文件应按“投标文件格式”进行编写，如有必要，可以增加附页，作为投标文件的组成部分。其中，投标书、投标承诺书在满足招标文件实质性要求的基础上，可以提出比招标文件要求更有利于招标人的承诺。</w:t>
      </w:r>
    </w:p>
    <w:p w14:paraId="74A5B06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3.7.2 投标文件应当对招标文件有关招标范围、投标有效期、工期、质量标准等实质性内容作出响应。</w:t>
      </w:r>
    </w:p>
    <w:p w14:paraId="136D0C9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 xml:space="preserve">3.7.3 </w:t>
      </w:r>
      <w:r>
        <w:rPr>
          <w:rFonts w:hint="eastAsia" w:ascii="宋体" w:hAnsi="宋体" w:eastAsia="宋体" w:cs="宋体"/>
          <w:color w:val="auto"/>
          <w:spacing w:val="0"/>
          <w:w w:val="100"/>
          <w:position w:val="0"/>
          <w:sz w:val="20"/>
          <w:szCs w:val="20"/>
          <w:highlight w:val="none"/>
          <w:lang w:eastAsia="zh-CN"/>
        </w:rPr>
        <w:t>投标文件全部采用电子文档，投标文件应按交易平台相关操作指南编制。如不按上述要求编制引起系统无法检索、读取相关信息的，其后果由投标人承担。投标文件所附证书证件均为原件扫描件，并采用单位数字证书，对投标文件加盖电子印章。投标文件中需个人签字或盖章的，应加盖个人电子印章或在线下完成后扫描上传。具体操作详见交易平台相关操作指南。</w:t>
      </w:r>
    </w:p>
    <w:p w14:paraId="002E94B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3.7.4 联合体投标时，除联合体投标协议书必须联合体各方分别按要求进行签字或盖章外，其他资料若需要签字或盖章的均可由联合体主办方签字或盖章；投标资料封面及其他内容及落款中的“投标人”“投标单位”“声明企业”</w:t>
      </w:r>
      <w:r>
        <w:rPr>
          <w:rFonts w:hint="eastAsia" w:ascii="宋体" w:hAnsi="宋体" w:eastAsia="宋体" w:cs="宋体"/>
          <w:color w:val="auto"/>
          <w:spacing w:val="0"/>
          <w:w w:val="100"/>
          <w:position w:val="0"/>
          <w:sz w:val="20"/>
          <w:szCs w:val="20"/>
          <w:highlight w:val="none"/>
          <w:lang w:val="en-US" w:eastAsia="zh-CN"/>
        </w:rPr>
        <w:t>等，</w:t>
      </w:r>
      <w:r>
        <w:rPr>
          <w:rFonts w:ascii="宋体" w:hAnsi="宋体" w:eastAsia="宋体" w:cs="宋体"/>
          <w:color w:val="auto"/>
          <w:spacing w:val="0"/>
          <w:w w:val="100"/>
          <w:position w:val="0"/>
          <w:sz w:val="20"/>
          <w:szCs w:val="20"/>
          <w:highlight w:val="none"/>
          <w:lang w:eastAsia="zh-CN"/>
        </w:rPr>
        <w:t>应填写联合体各方的单位全称【格式表示为：（主）单位全称（成）单位全称……】，由联合体主办方签字或盖章即可。</w:t>
      </w:r>
      <w:r>
        <w:rPr>
          <w:rFonts w:hint="eastAsia" w:ascii="宋体" w:hAnsi="宋体" w:eastAsia="宋体" w:cs="宋体"/>
          <w:color w:val="auto"/>
          <w:spacing w:val="0"/>
          <w:w w:val="100"/>
          <w:position w:val="0"/>
          <w:sz w:val="20"/>
          <w:szCs w:val="20"/>
          <w:highlight w:val="none"/>
          <w:u w:val="single"/>
          <w:lang w:eastAsia="zh-CN"/>
        </w:rPr>
        <w:t>法定代表人证明书、法定代表人授权委托书由联合体主办方落款出具，并由主办方签字或盖章。</w:t>
      </w:r>
    </w:p>
    <w:p w14:paraId="160C9AEF">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01" w:name="_Toc26724"/>
      <w:bookmarkStart w:id="102" w:name="_Toc14174"/>
      <w:bookmarkStart w:id="103" w:name="_Toc606"/>
      <w:bookmarkStart w:id="104" w:name="_Toc19684"/>
      <w:bookmarkStart w:id="105" w:name="_Toc9778"/>
      <w:r>
        <w:rPr>
          <w:rFonts w:ascii="宋体" w:hAnsi="宋体" w:eastAsia="宋体" w:cs="宋体"/>
          <w:b/>
          <w:bCs/>
          <w:color w:val="auto"/>
          <w:spacing w:val="0"/>
          <w:w w:val="100"/>
          <w:position w:val="0"/>
          <w:sz w:val="28"/>
          <w:szCs w:val="28"/>
          <w:highlight w:val="none"/>
          <w:lang w:eastAsia="zh-CN"/>
        </w:rPr>
        <w:t>4. 投标</w:t>
      </w:r>
      <w:bookmarkEnd w:id="101"/>
      <w:bookmarkEnd w:id="102"/>
      <w:bookmarkEnd w:id="103"/>
      <w:bookmarkEnd w:id="104"/>
      <w:bookmarkEnd w:id="105"/>
    </w:p>
    <w:p w14:paraId="34EF909B">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06" w:name="_Toc17093"/>
      <w:bookmarkStart w:id="107" w:name="_Toc7358"/>
      <w:bookmarkStart w:id="108" w:name="_Toc27715"/>
      <w:r>
        <w:rPr>
          <w:rFonts w:ascii="宋体" w:hAnsi="宋体" w:eastAsia="宋体" w:cs="宋体"/>
          <w:b/>
          <w:bCs/>
          <w:color w:val="auto"/>
          <w:spacing w:val="0"/>
          <w:w w:val="100"/>
          <w:position w:val="0"/>
          <w:sz w:val="28"/>
          <w:szCs w:val="28"/>
          <w:highlight w:val="none"/>
          <w:lang w:eastAsia="zh-CN"/>
        </w:rPr>
        <w:t>4.1 投标文件的密封和标记</w:t>
      </w:r>
      <w:bookmarkEnd w:id="106"/>
      <w:bookmarkEnd w:id="107"/>
      <w:bookmarkEnd w:id="108"/>
    </w:p>
    <w:p w14:paraId="2D65F04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 xml:space="preserve">4.1.1 </w:t>
      </w:r>
      <w:r>
        <w:rPr>
          <w:rFonts w:ascii="宋体" w:hAnsi="宋体" w:eastAsia="宋体" w:cs="宋体"/>
          <w:color w:val="auto"/>
          <w:spacing w:val="0"/>
          <w:w w:val="100"/>
          <w:position w:val="0"/>
          <w:sz w:val="20"/>
          <w:szCs w:val="20"/>
          <w:highlight w:val="none"/>
          <w:u w:val="single"/>
          <w:lang w:eastAsia="zh-CN"/>
        </w:rPr>
        <w:t>投标人应当按照招标文件和电子招标投标交易平台的要求加密投标文件，具体操作详见广州公共资源交易中心网站发布的最新版相关操作指南。</w:t>
      </w:r>
    </w:p>
    <w:p w14:paraId="3AC0D1B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4.1.2 投标文件封套上应写明的内容见投标人须知前附表。</w:t>
      </w:r>
    </w:p>
    <w:p w14:paraId="4B8AD4E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09" w:name="_Toc21371"/>
      <w:bookmarkStart w:id="110" w:name="_Toc8596"/>
      <w:bookmarkStart w:id="111" w:name="_Toc28726"/>
      <w:r>
        <w:rPr>
          <w:rFonts w:ascii="宋体" w:hAnsi="宋体" w:eastAsia="宋体" w:cs="宋体"/>
          <w:b/>
          <w:bCs/>
          <w:color w:val="auto"/>
          <w:spacing w:val="0"/>
          <w:w w:val="100"/>
          <w:position w:val="0"/>
          <w:sz w:val="28"/>
          <w:szCs w:val="28"/>
          <w:highlight w:val="none"/>
          <w:lang w:eastAsia="zh-CN"/>
        </w:rPr>
        <w:t>4.2 投标文件的递交</w:t>
      </w:r>
      <w:bookmarkEnd w:id="109"/>
      <w:bookmarkEnd w:id="110"/>
      <w:bookmarkEnd w:id="111"/>
    </w:p>
    <w:p w14:paraId="57FC924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4.2.1 投标人代表应按投标须知前附表所规定的时间和地点向招标人提交投标文件。</w:t>
      </w:r>
    </w:p>
    <w:p w14:paraId="0CBE772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4.2.2 投标人递交投标文件的地点：见投标人须知前附表。</w:t>
      </w:r>
    </w:p>
    <w:p w14:paraId="01ED6FF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4.2.3 除投标人须知前附表另有规定外，投标人所递交的投标文件不予退还。</w:t>
      </w:r>
    </w:p>
    <w:p w14:paraId="0CECAF3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4.2.4 投标人完成电子投标文件上传后，电子招标投标交易平台即时向投标人发出递交回执通知。递交时间以递交回执通知载明的传输完成时间为准。</w:t>
      </w:r>
    </w:p>
    <w:p w14:paraId="6F0BC1E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4.2.5 逾期送达的投标文件，电子招标投标交易平台将予以拒收。</w:t>
      </w:r>
    </w:p>
    <w:p w14:paraId="311BA13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4.2.6 投标截止前，招标人拒绝接收符合条件的投标文件，投标人可向招标监督机构投诉。</w:t>
      </w:r>
    </w:p>
    <w:p w14:paraId="0C049CE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4.2.7 到投标截止时间止，若收到的投标文件少于 3 家的，本项目招标失败，将依法重新招标。</w:t>
      </w:r>
    </w:p>
    <w:p w14:paraId="4FAF1BF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12" w:name="_Toc27136"/>
      <w:bookmarkStart w:id="113" w:name="_Toc19735"/>
      <w:bookmarkStart w:id="114" w:name="_Toc4158"/>
      <w:r>
        <w:rPr>
          <w:rFonts w:ascii="宋体" w:hAnsi="宋体" w:eastAsia="宋体" w:cs="宋体"/>
          <w:b/>
          <w:bCs/>
          <w:color w:val="auto"/>
          <w:spacing w:val="0"/>
          <w:w w:val="100"/>
          <w:position w:val="0"/>
          <w:sz w:val="28"/>
          <w:szCs w:val="28"/>
          <w:highlight w:val="none"/>
          <w:lang w:eastAsia="zh-CN"/>
        </w:rPr>
        <w:t>4.3 投标文件的修改与撤回</w:t>
      </w:r>
      <w:bookmarkEnd w:id="112"/>
      <w:bookmarkEnd w:id="113"/>
      <w:bookmarkEnd w:id="114"/>
    </w:p>
    <w:p w14:paraId="470D27F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4.3.1 在规定的投标截止时间前，投标人可以修改或撤回已递交的投标文件，但应以书面形式通知招标人。</w:t>
      </w:r>
    </w:p>
    <w:p w14:paraId="5EC42D5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4.3.2 投标人修改或撤回已递交投标文件的通知，应按照本章第3.7.3 项的要求加盖电子印章。电子招标投标交易平台收到通知后，即时向投标人发出确认回执通知。</w:t>
      </w:r>
    </w:p>
    <w:p w14:paraId="270B417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4.3.3 投标人撤回投标文件的，招标人自收到投标人书面撤回通知之日起 5 日内退还已收取的投标保证金。</w:t>
      </w:r>
    </w:p>
    <w:p w14:paraId="75DA245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4.3.4 修改的内容为投标文件的组成部分。修改的投标文件应按照本章第3条、第4条规定进行编制、密封、标记和递交，并标明“修改”字样。</w:t>
      </w:r>
    </w:p>
    <w:p w14:paraId="4CB07EA9">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4.3.5 在投标截止时间之后，投标人不得补充、修改和更换投标文件。</w:t>
      </w:r>
    </w:p>
    <w:p w14:paraId="29F7F2A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4.3.6 在投标截止后，投标人在投标文件格式中规定的有效期终止日前，投标人不能撤回投标文件，否则其投标担保将被没收，且招标人有权就其撤回行为报告政府主管部门载入不良信用记录。</w:t>
      </w:r>
    </w:p>
    <w:p w14:paraId="0E1D5A27">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15" w:name="_Toc5182"/>
      <w:bookmarkStart w:id="116" w:name="_Toc25332"/>
      <w:bookmarkStart w:id="117" w:name="_Toc15071"/>
      <w:bookmarkStart w:id="118" w:name="_Toc608"/>
      <w:bookmarkStart w:id="119" w:name="_Toc31602"/>
      <w:r>
        <w:rPr>
          <w:rFonts w:ascii="宋体" w:hAnsi="宋体" w:eastAsia="宋体" w:cs="宋体"/>
          <w:b/>
          <w:bCs/>
          <w:color w:val="auto"/>
          <w:spacing w:val="0"/>
          <w:w w:val="100"/>
          <w:position w:val="0"/>
          <w:sz w:val="28"/>
          <w:szCs w:val="28"/>
          <w:highlight w:val="none"/>
          <w:lang w:eastAsia="zh-CN"/>
        </w:rPr>
        <w:t>5. 开标</w:t>
      </w:r>
      <w:bookmarkEnd w:id="115"/>
      <w:bookmarkEnd w:id="116"/>
      <w:bookmarkEnd w:id="117"/>
      <w:bookmarkEnd w:id="118"/>
      <w:bookmarkEnd w:id="119"/>
    </w:p>
    <w:p w14:paraId="1A1E1C4D">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20" w:name="_Toc11362"/>
      <w:bookmarkStart w:id="121" w:name="_Toc19148"/>
      <w:bookmarkStart w:id="122" w:name="_Toc26755"/>
      <w:r>
        <w:rPr>
          <w:rFonts w:ascii="宋体" w:hAnsi="宋体" w:eastAsia="宋体" w:cs="宋体"/>
          <w:b/>
          <w:bCs/>
          <w:color w:val="auto"/>
          <w:spacing w:val="0"/>
          <w:w w:val="100"/>
          <w:position w:val="0"/>
          <w:sz w:val="28"/>
          <w:szCs w:val="28"/>
          <w:highlight w:val="none"/>
          <w:lang w:eastAsia="zh-CN"/>
        </w:rPr>
        <w:t>5.1 开标时间和地点</w:t>
      </w:r>
      <w:bookmarkEnd w:id="120"/>
      <w:bookmarkEnd w:id="121"/>
      <w:bookmarkEnd w:id="122"/>
    </w:p>
    <w:p w14:paraId="0251552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招标人在规定的投标截止时间（开标时间）和投标人须知前附表规定的地点公开开标，并邀请所有投标人的法定代表人或其委托代理人准时参加。投标截止时间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14:paraId="18F6247D">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23" w:name="_Toc2450"/>
      <w:bookmarkStart w:id="124" w:name="_Toc25298"/>
      <w:bookmarkStart w:id="125" w:name="_Toc17999"/>
      <w:r>
        <w:rPr>
          <w:rFonts w:ascii="宋体" w:hAnsi="宋体" w:eastAsia="宋体" w:cs="宋体"/>
          <w:b/>
          <w:bCs/>
          <w:color w:val="auto"/>
          <w:spacing w:val="0"/>
          <w:w w:val="100"/>
          <w:position w:val="0"/>
          <w:sz w:val="28"/>
          <w:szCs w:val="28"/>
          <w:highlight w:val="none"/>
          <w:lang w:eastAsia="zh-CN"/>
        </w:rPr>
        <w:t>5.2 开标程序</w:t>
      </w:r>
      <w:bookmarkEnd w:id="123"/>
      <w:bookmarkEnd w:id="124"/>
      <w:bookmarkEnd w:id="125"/>
    </w:p>
    <w:p w14:paraId="5141ABF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5.2.1 主持人按下列程序进行开标：</w:t>
      </w:r>
    </w:p>
    <w:p w14:paraId="5F6E1AC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（1）宣布开标纪律；</w:t>
      </w:r>
    </w:p>
    <w:p w14:paraId="1E07645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（2）公布在投标截止时间前递交投标文件的投标人名称；</w:t>
      </w:r>
    </w:p>
    <w:p w14:paraId="1CA25CF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1BD4478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（4）</w:t>
      </w:r>
      <w:r>
        <w:rPr>
          <w:rFonts w:hint="eastAsia" w:ascii="宋体" w:hAnsi="宋体" w:eastAsia="宋体" w:cs="宋体"/>
          <w:color w:val="auto"/>
          <w:spacing w:val="0"/>
          <w:w w:val="100"/>
          <w:position w:val="0"/>
          <w:sz w:val="20"/>
          <w:szCs w:val="20"/>
          <w:highlight w:val="none"/>
          <w:u w:val="single"/>
          <w:lang w:eastAsia="zh-CN"/>
        </w:rPr>
        <w:t>解密完成后，公布：a投标人名称；b投标文件递交情况；c投标文件解密情况；d投标担保递交情况；e项目负责人（施工负责人）、施工技术负责人、专职安全员；f投标总报价；g工期；h质量标准；i投标人的加密打包投标文件电脑机器特征码等主要内容，并记录在案。未在规定时间内解密的投标文件不参与开标、评标。</w:t>
      </w:r>
    </w:p>
    <w:p w14:paraId="39C8751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（5）截标后，开标开始时间因故推迟的，相关评标信息仍以原定的开标开始时间的信息为准。</w:t>
      </w:r>
    </w:p>
    <w:p w14:paraId="5A418B1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（6）备用光盘的读取按投标人须知前附表“10电子招标投标”第6点的规定执行。</w:t>
      </w:r>
    </w:p>
    <w:p w14:paraId="1F80C12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97DBA1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7582F6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（9）投标人未参加开标或在规定的时间内未提出异议的，视为对开标无异议。</w:t>
      </w:r>
    </w:p>
    <w:p w14:paraId="6D1EC38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（10）开标时，两个（含两个）以上的投标人加密打包投标文件电脑机器特征码一致的，不参与下一程序，并由评标委员会否决其投标。</w:t>
      </w:r>
    </w:p>
    <w:p w14:paraId="5040E93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（11）</w:t>
      </w:r>
      <w:r>
        <w:rPr>
          <w:rFonts w:hint="eastAsia" w:ascii="宋体" w:hAnsi="宋体" w:eastAsia="宋体" w:cs="宋体"/>
          <w:color w:val="auto"/>
          <w:spacing w:val="0"/>
          <w:w w:val="100"/>
          <w:position w:val="0"/>
          <w:sz w:val="20"/>
          <w:szCs w:val="20"/>
          <w:highlight w:val="none"/>
          <w:u w:val="single"/>
          <w:lang w:eastAsia="zh-CN"/>
        </w:rPr>
        <w:t>投标文件（设计方案）开标时不得开启，在评标时由广州公共资源交易中心数字交易平台随机编号后开启，交由评标委员会进行评审。编号所对应的投标人在设计方案评审结束前不得告知评标委员会、广州公共资源交易中心数字交易平台工作人员、招标人或招标代理机构。</w:t>
      </w:r>
    </w:p>
    <w:p w14:paraId="653FB98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（12）投标人代表、招标人代表、监标人、记录人等有关人员在开标记录上签字确认；若有关人员不签字的，不影响开标程序；</w:t>
      </w:r>
    </w:p>
    <w:p w14:paraId="58BD1BA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（13）开标结束。</w:t>
      </w:r>
    </w:p>
    <w:p w14:paraId="69DAA49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u w:val="single"/>
          <w:lang w:eastAsia="zh-CN"/>
        </w:rPr>
        <w:t>5.2.2 投标截止时间前未完成投标文件传输的或因投标人之外的原因造成投标文件未解密的，视为投标人撤回其投标文件。因投标人原因造成投标文件未解密的或未在投标截止时间后1小时内解密的，视为撤销其投标文件。</w:t>
      </w:r>
    </w:p>
    <w:p w14:paraId="7DF0EFE7">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26" w:name="_Toc26549"/>
      <w:bookmarkStart w:id="127" w:name="_Toc7339"/>
      <w:bookmarkStart w:id="128" w:name="_Toc29091"/>
      <w:r>
        <w:rPr>
          <w:rFonts w:ascii="宋体" w:hAnsi="宋体" w:eastAsia="宋体" w:cs="宋体"/>
          <w:b/>
          <w:bCs/>
          <w:color w:val="auto"/>
          <w:spacing w:val="0"/>
          <w:w w:val="100"/>
          <w:position w:val="0"/>
          <w:sz w:val="28"/>
          <w:szCs w:val="28"/>
          <w:highlight w:val="none"/>
          <w:lang w:eastAsia="zh-CN"/>
        </w:rPr>
        <w:t>5.3 开标异议</w:t>
      </w:r>
      <w:bookmarkEnd w:id="126"/>
      <w:bookmarkEnd w:id="127"/>
      <w:bookmarkEnd w:id="128"/>
    </w:p>
    <w:p w14:paraId="2200121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7C37FC1">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29" w:name="_Toc23323"/>
      <w:bookmarkStart w:id="130" w:name="_Toc16831"/>
      <w:bookmarkStart w:id="131" w:name="_Toc30115"/>
      <w:bookmarkStart w:id="132" w:name="_Toc2969"/>
      <w:bookmarkStart w:id="133" w:name="_Toc29656"/>
      <w:r>
        <w:rPr>
          <w:rFonts w:ascii="宋体" w:hAnsi="宋体" w:eastAsia="宋体" w:cs="宋体"/>
          <w:b/>
          <w:bCs/>
          <w:color w:val="auto"/>
          <w:spacing w:val="0"/>
          <w:w w:val="100"/>
          <w:position w:val="0"/>
          <w:sz w:val="28"/>
          <w:szCs w:val="28"/>
          <w:highlight w:val="none"/>
          <w:lang w:eastAsia="zh-CN"/>
        </w:rPr>
        <w:t>6.评标</w:t>
      </w:r>
      <w:bookmarkEnd w:id="129"/>
      <w:bookmarkEnd w:id="130"/>
      <w:bookmarkEnd w:id="131"/>
      <w:bookmarkEnd w:id="132"/>
      <w:bookmarkEnd w:id="133"/>
    </w:p>
    <w:p w14:paraId="4FB1B2C7">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34" w:name="_Toc3451"/>
      <w:bookmarkStart w:id="135" w:name="_Toc32746"/>
      <w:bookmarkStart w:id="136" w:name="_Toc6966"/>
      <w:r>
        <w:rPr>
          <w:rFonts w:ascii="宋体" w:hAnsi="宋体" w:eastAsia="宋体" w:cs="宋体"/>
          <w:b/>
          <w:bCs/>
          <w:color w:val="auto"/>
          <w:spacing w:val="0"/>
          <w:w w:val="100"/>
          <w:position w:val="0"/>
          <w:sz w:val="28"/>
          <w:szCs w:val="28"/>
          <w:highlight w:val="none"/>
          <w:lang w:eastAsia="zh-CN"/>
        </w:rPr>
        <w:t>6.1 评标委员会和定标委员会</w:t>
      </w:r>
      <w:bookmarkEnd w:id="134"/>
      <w:bookmarkEnd w:id="135"/>
      <w:bookmarkEnd w:id="136"/>
    </w:p>
    <w:p w14:paraId="5FE98972">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 xml:space="preserve">6.1.1 </w:t>
      </w:r>
      <w:r>
        <w:rPr>
          <w:rFonts w:ascii="宋体" w:hAnsi="宋体" w:eastAsia="宋体" w:cs="宋体"/>
          <w:color w:val="auto"/>
          <w:spacing w:val="0"/>
          <w:w w:val="100"/>
          <w:position w:val="0"/>
          <w:sz w:val="20"/>
          <w:szCs w:val="20"/>
          <w:highlight w:val="none"/>
          <w:u w:val="single"/>
          <w:lang w:eastAsia="zh-CN"/>
        </w:rPr>
        <w:t>评标和定标由招标人依法组建的评标委员会和定标委员会负责。评标委员会和定标委员会由招标人或其委托的招标代理机构熟悉相关业务的代表，以及有关技术、经济等方面的专家组成。评标委员会和定标委员会成员人数以及技术、经济等方面专家的确定方式见投标人须知前附表。</w:t>
      </w:r>
    </w:p>
    <w:p w14:paraId="1D4ABAD9">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6.1.2 评标委员会和定标委员会成员有下列情形之一的，应当回避：</w:t>
      </w:r>
    </w:p>
    <w:p w14:paraId="56EEE7E7">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（1）投标人或投标人主要负责人的近亲属；</w:t>
      </w:r>
    </w:p>
    <w:p w14:paraId="2643774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（2）项目主管部门或者行政监督部门的人员；</w:t>
      </w:r>
    </w:p>
    <w:p w14:paraId="05441AB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（3）与投标人有经济利益关系，可能影响对投标公正评审的；</w:t>
      </w:r>
    </w:p>
    <w:p w14:paraId="20C1A73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（4）曾因在招标、评标以及其他与招标投标有关活动中从事违法行为而受过行政处罚或刑事处罚的；</w:t>
      </w:r>
    </w:p>
    <w:p w14:paraId="403990F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（5）与投标人有其他利害关系。</w:t>
      </w:r>
    </w:p>
    <w:p w14:paraId="259476F9">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37" w:name="_Toc23334"/>
      <w:bookmarkStart w:id="138" w:name="_Toc28098"/>
      <w:bookmarkStart w:id="139" w:name="_Toc3313"/>
      <w:r>
        <w:rPr>
          <w:rFonts w:ascii="宋体" w:hAnsi="宋体" w:eastAsia="宋体" w:cs="宋体"/>
          <w:b/>
          <w:bCs/>
          <w:color w:val="auto"/>
          <w:spacing w:val="0"/>
          <w:w w:val="100"/>
          <w:position w:val="0"/>
          <w:sz w:val="28"/>
          <w:szCs w:val="28"/>
          <w:highlight w:val="none"/>
          <w:lang w:eastAsia="zh-CN"/>
        </w:rPr>
        <w:t>6.2 评标和定标原则</w:t>
      </w:r>
      <w:bookmarkEnd w:id="137"/>
      <w:bookmarkEnd w:id="138"/>
      <w:bookmarkEnd w:id="139"/>
    </w:p>
    <w:p w14:paraId="12B83A41">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评标和定标活动遵循公平、公正、科学和择优的原则。</w:t>
      </w:r>
    </w:p>
    <w:p w14:paraId="42BF97AA">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40" w:name="_Toc27349"/>
      <w:bookmarkStart w:id="141" w:name="_Toc22629"/>
      <w:bookmarkStart w:id="142" w:name="_Toc25944"/>
      <w:r>
        <w:rPr>
          <w:rFonts w:ascii="宋体" w:hAnsi="宋体" w:eastAsia="宋体" w:cs="宋体"/>
          <w:b/>
          <w:bCs/>
          <w:color w:val="auto"/>
          <w:spacing w:val="0"/>
          <w:w w:val="100"/>
          <w:position w:val="0"/>
          <w:sz w:val="28"/>
          <w:szCs w:val="28"/>
          <w:highlight w:val="none"/>
          <w:lang w:eastAsia="zh-CN"/>
        </w:rPr>
        <w:t>6.3 评标和定标</w:t>
      </w:r>
      <w:bookmarkEnd w:id="140"/>
      <w:bookmarkEnd w:id="141"/>
      <w:bookmarkEnd w:id="142"/>
    </w:p>
    <w:p w14:paraId="2372172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6.3.1</w:t>
      </w:r>
      <w:r>
        <w:rPr>
          <w:rFonts w:hint="eastAsia" w:ascii="宋体" w:hAnsi="宋体" w:eastAsia="宋体" w:cs="宋体"/>
          <w:color w:val="auto"/>
          <w:spacing w:val="0"/>
          <w:w w:val="100"/>
          <w:position w:val="0"/>
          <w:sz w:val="20"/>
          <w:szCs w:val="20"/>
          <w:highlight w:val="none"/>
          <w:lang w:val="en-US" w:eastAsia="zh-CN"/>
        </w:rPr>
        <w:t xml:space="preserve"> </w:t>
      </w:r>
      <w:r>
        <w:rPr>
          <w:rFonts w:hint="eastAsia" w:ascii="宋体" w:hAnsi="宋体" w:eastAsia="宋体" w:cs="宋体"/>
          <w:color w:val="auto"/>
          <w:spacing w:val="0"/>
          <w:w w:val="100"/>
          <w:position w:val="0"/>
          <w:sz w:val="20"/>
          <w:szCs w:val="20"/>
          <w:highlight w:val="none"/>
          <w:lang w:eastAsia="zh-CN"/>
        </w:rPr>
        <w:t>评标委员会和定标委员会按照第三章“评标办法”规定的方法、评审因素、标准和程序对投标文件进行评审。第三章“评标办法”没有规定的方法、评审因素和标准，不作为评标定标依据。</w:t>
      </w:r>
    </w:p>
    <w:p w14:paraId="0845570C">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6.3.2</w:t>
      </w:r>
      <w:r>
        <w:rPr>
          <w:rFonts w:hint="eastAsia" w:ascii="宋体" w:hAnsi="宋体" w:eastAsia="宋体" w:cs="宋体"/>
          <w:color w:val="auto"/>
          <w:spacing w:val="0"/>
          <w:w w:val="100"/>
          <w:position w:val="0"/>
          <w:sz w:val="20"/>
          <w:szCs w:val="20"/>
          <w:highlight w:val="none"/>
          <w:lang w:val="en-US" w:eastAsia="zh-CN"/>
        </w:rPr>
        <w:t xml:space="preserve"> </w:t>
      </w:r>
      <w:r>
        <w:rPr>
          <w:rFonts w:hint="eastAsia" w:ascii="宋体" w:hAnsi="宋体" w:eastAsia="宋体" w:cs="宋体"/>
          <w:color w:val="auto"/>
          <w:spacing w:val="0"/>
          <w:w w:val="100"/>
          <w:position w:val="0"/>
          <w:sz w:val="20"/>
          <w:szCs w:val="20"/>
          <w:highlight w:val="none"/>
          <w:lang w:eastAsia="zh-CN"/>
        </w:rPr>
        <w:t>评标委员会在开始评标前，应了解评标专家的职责及守则，认真阅读附件</w:t>
      </w:r>
      <w:r>
        <w:rPr>
          <w:rFonts w:hint="eastAsia" w:ascii="宋体" w:hAnsi="宋体" w:eastAsia="宋体" w:cs="宋体"/>
          <w:color w:val="auto"/>
          <w:spacing w:val="0"/>
          <w:w w:val="100"/>
          <w:position w:val="0"/>
          <w:sz w:val="20"/>
          <w:szCs w:val="20"/>
          <w:highlight w:val="none"/>
          <w:lang w:val="en-US" w:eastAsia="zh-CN"/>
        </w:rPr>
        <w:t>一</w:t>
      </w:r>
      <w:r>
        <w:rPr>
          <w:rFonts w:hint="eastAsia" w:ascii="宋体" w:hAnsi="宋体" w:eastAsia="宋体" w:cs="宋体"/>
          <w:color w:val="auto"/>
          <w:spacing w:val="0"/>
          <w:w w:val="100"/>
          <w:position w:val="0"/>
          <w:sz w:val="20"/>
          <w:szCs w:val="20"/>
          <w:highlight w:val="none"/>
          <w:lang w:eastAsia="zh-CN"/>
        </w:rPr>
        <w:t>《评标委员会成员声明》的内容并签名，签字后方可进行评标。</w:t>
      </w:r>
    </w:p>
    <w:p w14:paraId="64359F9F">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6.3.3</w:t>
      </w:r>
      <w:r>
        <w:rPr>
          <w:rFonts w:hint="eastAsia" w:ascii="宋体" w:hAnsi="宋体" w:eastAsia="宋体" w:cs="宋体"/>
          <w:color w:val="auto"/>
          <w:spacing w:val="0"/>
          <w:w w:val="100"/>
          <w:position w:val="0"/>
          <w:sz w:val="20"/>
          <w:szCs w:val="20"/>
          <w:highlight w:val="none"/>
          <w:lang w:val="en-US" w:eastAsia="zh-CN"/>
        </w:rPr>
        <w:t xml:space="preserve"> </w:t>
      </w:r>
      <w:r>
        <w:rPr>
          <w:rFonts w:hint="eastAsia" w:ascii="宋体" w:hAnsi="宋体" w:eastAsia="宋体" w:cs="宋体"/>
          <w:color w:val="auto"/>
          <w:spacing w:val="0"/>
          <w:w w:val="100"/>
          <w:position w:val="0"/>
          <w:sz w:val="20"/>
          <w:szCs w:val="20"/>
          <w:highlight w:val="none"/>
          <w:lang w:eastAsia="zh-CN"/>
        </w:rPr>
        <w:t>评标完成后，评标委员会应当向招标人提交书面评标报告和中标候选人名单。评标委员会推荐中标候选人的人数见投标人须知前附表。</w:t>
      </w:r>
    </w:p>
    <w:p w14:paraId="205200DE">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43" w:name="_Toc15528"/>
      <w:bookmarkStart w:id="144" w:name="_Toc26781"/>
      <w:bookmarkStart w:id="145" w:name="_Toc24478"/>
      <w:bookmarkStart w:id="146" w:name="_Toc5832"/>
      <w:bookmarkStart w:id="147" w:name="_Toc12293"/>
      <w:r>
        <w:rPr>
          <w:rFonts w:ascii="宋体" w:hAnsi="宋体" w:eastAsia="宋体" w:cs="宋体"/>
          <w:b/>
          <w:bCs/>
          <w:color w:val="auto"/>
          <w:spacing w:val="0"/>
          <w:w w:val="100"/>
          <w:position w:val="0"/>
          <w:sz w:val="28"/>
          <w:szCs w:val="28"/>
          <w:highlight w:val="none"/>
          <w:lang w:eastAsia="zh-CN"/>
        </w:rPr>
        <w:t>7. 合同授予</w:t>
      </w:r>
      <w:bookmarkEnd w:id="143"/>
      <w:bookmarkEnd w:id="144"/>
      <w:bookmarkEnd w:id="145"/>
      <w:bookmarkEnd w:id="146"/>
      <w:bookmarkEnd w:id="147"/>
    </w:p>
    <w:p w14:paraId="3A91974B">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48" w:name="_Toc1663"/>
      <w:bookmarkStart w:id="149" w:name="_Toc22236"/>
      <w:bookmarkStart w:id="150" w:name="_Toc21901"/>
      <w:r>
        <w:rPr>
          <w:rFonts w:ascii="宋体" w:hAnsi="宋体" w:eastAsia="宋体" w:cs="宋体"/>
          <w:b/>
          <w:bCs/>
          <w:color w:val="auto"/>
          <w:spacing w:val="0"/>
          <w:w w:val="100"/>
          <w:position w:val="0"/>
          <w:sz w:val="28"/>
          <w:szCs w:val="28"/>
          <w:highlight w:val="none"/>
          <w:lang w:eastAsia="zh-CN"/>
        </w:rPr>
        <w:t>7.1 定标方式</w:t>
      </w:r>
      <w:bookmarkEnd w:id="148"/>
      <w:bookmarkEnd w:id="149"/>
      <w:bookmarkEnd w:id="150"/>
    </w:p>
    <w:p w14:paraId="2866C34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7.1.1 招标人依据评标委员会推荐的中标候选人</w:t>
      </w:r>
      <w:r>
        <w:rPr>
          <w:rFonts w:hint="eastAsia" w:ascii="宋体" w:hAnsi="宋体" w:eastAsia="宋体" w:cs="宋体"/>
          <w:color w:val="auto"/>
          <w:spacing w:val="0"/>
          <w:w w:val="100"/>
          <w:position w:val="0"/>
          <w:sz w:val="20"/>
          <w:szCs w:val="20"/>
          <w:highlight w:val="none"/>
          <w:u w:val="single"/>
          <w:lang w:eastAsia="zh-CN"/>
        </w:rPr>
        <w:t>，并经招标人组织定标委员会来</w:t>
      </w:r>
      <w:r>
        <w:rPr>
          <w:rFonts w:ascii="宋体" w:hAnsi="宋体" w:eastAsia="宋体" w:cs="宋体"/>
          <w:color w:val="auto"/>
          <w:spacing w:val="0"/>
          <w:w w:val="100"/>
          <w:position w:val="0"/>
          <w:sz w:val="20"/>
          <w:szCs w:val="20"/>
          <w:highlight w:val="none"/>
          <w:u w:val="single"/>
          <w:lang w:eastAsia="zh-CN"/>
        </w:rPr>
        <w:t>确定中标人，评标委员会推荐中标候选人的人数见投标人须知前附表。</w:t>
      </w:r>
    </w:p>
    <w:p w14:paraId="7E0E1E4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51" w:name="_Toc2954"/>
      <w:bookmarkStart w:id="152" w:name="_Toc3307"/>
      <w:bookmarkStart w:id="153" w:name="_Toc18605"/>
      <w:r>
        <w:rPr>
          <w:rFonts w:ascii="宋体" w:hAnsi="宋体" w:eastAsia="宋体" w:cs="宋体"/>
          <w:b/>
          <w:bCs/>
          <w:color w:val="auto"/>
          <w:spacing w:val="0"/>
          <w:w w:val="100"/>
          <w:position w:val="0"/>
          <w:sz w:val="28"/>
          <w:szCs w:val="28"/>
          <w:highlight w:val="none"/>
          <w:lang w:eastAsia="zh-CN"/>
        </w:rPr>
        <w:t>7.2 合格的中标候选人公示和中标结果公开</w:t>
      </w:r>
      <w:bookmarkEnd w:id="151"/>
      <w:bookmarkEnd w:id="152"/>
      <w:bookmarkEnd w:id="153"/>
    </w:p>
    <w:p w14:paraId="255D347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7.2.1 招标人在投标人须知前附表规定的媒介公示合格的中标候选人，合格的中标候选人不排序。公示时间为三天，公示期间的最后1天应当为工作日，否则将公示期的最后1天顺延至下一个工作日。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3B369A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7.2.2 因异议或投诉生效导致合格中标候选人不符合中标资格的，将取消其中标候选人资格；因异议或投诉生效导致所有入围候选人均不符合招标文件要求的，应当重新组织招标。</w:t>
      </w:r>
    </w:p>
    <w:p w14:paraId="14E978D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7.2.3 定标工作完成后，招标人在投标人须知前附表规定的媒介公示中标结果，定标后出现中标人不符合法定情形的，招标人可从其他合格的中标候选人中采用原定标办法，由原定标委员会确定中标人，也可以重新组织招标。</w:t>
      </w:r>
    </w:p>
    <w:p w14:paraId="61276FA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54" w:name="_Toc3253"/>
      <w:bookmarkStart w:id="155" w:name="_Toc22589"/>
      <w:bookmarkStart w:id="156" w:name="_Toc1277"/>
      <w:r>
        <w:rPr>
          <w:rFonts w:ascii="宋体" w:hAnsi="宋体" w:eastAsia="宋体" w:cs="宋体"/>
          <w:b/>
          <w:bCs/>
          <w:color w:val="auto"/>
          <w:spacing w:val="0"/>
          <w:w w:val="100"/>
          <w:position w:val="0"/>
          <w:sz w:val="28"/>
          <w:szCs w:val="28"/>
          <w:highlight w:val="none"/>
          <w:lang w:eastAsia="zh-CN"/>
        </w:rPr>
        <w:t>7.3 中标通知</w:t>
      </w:r>
      <w:bookmarkEnd w:id="154"/>
      <w:bookmarkEnd w:id="155"/>
      <w:bookmarkEnd w:id="156"/>
    </w:p>
    <w:p w14:paraId="6DF7D8B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7.3.1 中标结果公示后，在本章第3.3 款规定的投标有效期内，招标人以书面形式向中标人发出中标通知书，中标通知书发出前须经广州公共资源交易中心盖章确认。</w:t>
      </w:r>
    </w:p>
    <w:p w14:paraId="5841BF5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u w:val="single"/>
          <w:lang w:eastAsia="zh-CN"/>
        </w:rPr>
      </w:pPr>
      <w:r>
        <w:rPr>
          <w:rFonts w:ascii="宋体" w:hAnsi="宋体" w:eastAsia="宋体" w:cs="宋体"/>
          <w:color w:val="auto"/>
          <w:spacing w:val="0"/>
          <w:w w:val="100"/>
          <w:position w:val="0"/>
          <w:sz w:val="20"/>
          <w:szCs w:val="20"/>
          <w:highlight w:val="none"/>
          <w:u w:val="single"/>
          <w:lang w:eastAsia="zh-CN"/>
        </w:rPr>
        <w:t>7.3.2 招标人应当自确定中标人后，向招投标监管机构提交招标投标情况的书面报告；经招投标监管机构备案后，方可发出中标通知书。中标通知书由招标人颁发，并经广州公共资源交易中心确认。</w:t>
      </w:r>
    </w:p>
    <w:p w14:paraId="4C002F99">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57" w:name="_Toc4928"/>
      <w:bookmarkStart w:id="158" w:name="_Toc5816"/>
      <w:bookmarkStart w:id="159" w:name="_Toc29298"/>
      <w:r>
        <w:rPr>
          <w:rFonts w:ascii="宋体" w:hAnsi="宋体" w:eastAsia="宋体" w:cs="宋体"/>
          <w:b/>
          <w:bCs/>
          <w:color w:val="auto"/>
          <w:spacing w:val="0"/>
          <w:w w:val="100"/>
          <w:position w:val="0"/>
          <w:sz w:val="28"/>
          <w:szCs w:val="28"/>
          <w:highlight w:val="none"/>
          <w:lang w:eastAsia="zh-CN"/>
        </w:rPr>
        <w:t>7.4 履约担保</w:t>
      </w:r>
      <w:bookmarkEnd w:id="157"/>
      <w:bookmarkEnd w:id="158"/>
      <w:bookmarkEnd w:id="159"/>
    </w:p>
    <w:p w14:paraId="24EBC50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7.4.1 中标人应按投标人须知前附表规定的担保形式和招标文件第四章“合同条款及格式”规定的或者事先经过招标人书面认可的履约担保格式向招标人提交履约担保。除投标人须知前附表另有规定外，履约担保金额为</w:t>
      </w:r>
      <w:r>
        <w:rPr>
          <w:rFonts w:hint="eastAsia" w:ascii="宋体" w:hAnsi="宋体" w:eastAsia="宋体" w:cs="宋体"/>
          <w:color w:val="auto"/>
          <w:spacing w:val="0"/>
          <w:w w:val="100"/>
          <w:position w:val="0"/>
          <w:sz w:val="20"/>
          <w:szCs w:val="20"/>
          <w:highlight w:val="none"/>
          <w:lang w:eastAsia="zh-CN"/>
        </w:rPr>
        <w:t>中标价款</w:t>
      </w:r>
      <w:r>
        <w:rPr>
          <w:rFonts w:ascii="宋体" w:hAnsi="宋体" w:eastAsia="宋体" w:cs="宋体"/>
          <w:color w:val="auto"/>
          <w:spacing w:val="0"/>
          <w:w w:val="100"/>
          <w:position w:val="0"/>
          <w:sz w:val="20"/>
          <w:szCs w:val="20"/>
          <w:highlight w:val="none"/>
          <w:lang w:eastAsia="zh-CN"/>
        </w:rPr>
        <w:t>的10%。相关要求按合同条款执行。</w:t>
      </w:r>
    </w:p>
    <w:p w14:paraId="03F1DEF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7.4.2 中标人不能按本章第 7.4.1 项要求提交履约担保的，视为放弃中标，其投标保证金不予退还，给招标人造成的损失超过投标保证金数额的，中标人还应当对超过部分予以赔偿。</w:t>
      </w:r>
    </w:p>
    <w:p w14:paraId="42004D36">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60" w:name="_Toc10132"/>
      <w:bookmarkStart w:id="161" w:name="_Toc27241"/>
      <w:bookmarkStart w:id="162" w:name="_Toc13925"/>
      <w:r>
        <w:rPr>
          <w:rFonts w:ascii="宋体" w:hAnsi="宋体" w:eastAsia="宋体" w:cs="宋体"/>
          <w:b/>
          <w:bCs/>
          <w:color w:val="auto"/>
          <w:spacing w:val="0"/>
          <w:w w:val="100"/>
          <w:position w:val="0"/>
          <w:sz w:val="28"/>
          <w:szCs w:val="28"/>
          <w:highlight w:val="none"/>
          <w:lang w:eastAsia="zh-CN"/>
        </w:rPr>
        <w:t>7.5 签订合同</w:t>
      </w:r>
      <w:bookmarkEnd w:id="160"/>
      <w:bookmarkEnd w:id="161"/>
      <w:bookmarkEnd w:id="162"/>
    </w:p>
    <w:p w14:paraId="0AA3E70B">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CE344EC">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7.5.2 发出中标通知书后，招标人无正当理由拒签合同的，招标人向中标人退还投标保证金；给中标人造成损失的，还应当赔偿损失。</w:t>
      </w:r>
    </w:p>
    <w:p w14:paraId="45D7E6DA">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63" w:name="_Toc10989"/>
      <w:bookmarkStart w:id="164" w:name="_Toc3202"/>
      <w:bookmarkStart w:id="165" w:name="_Toc18886"/>
      <w:bookmarkStart w:id="166" w:name="_Toc8603"/>
      <w:bookmarkStart w:id="167" w:name="_Toc20662"/>
      <w:r>
        <w:rPr>
          <w:rFonts w:ascii="宋体" w:hAnsi="宋体" w:eastAsia="宋体" w:cs="宋体"/>
          <w:b/>
          <w:bCs/>
          <w:color w:val="auto"/>
          <w:spacing w:val="0"/>
          <w:w w:val="100"/>
          <w:position w:val="0"/>
          <w:sz w:val="28"/>
          <w:szCs w:val="28"/>
          <w:highlight w:val="none"/>
          <w:lang w:eastAsia="zh-CN"/>
        </w:rPr>
        <w:t>8. 纪律和监督</w:t>
      </w:r>
      <w:bookmarkEnd w:id="163"/>
      <w:bookmarkEnd w:id="164"/>
      <w:bookmarkEnd w:id="165"/>
      <w:bookmarkEnd w:id="166"/>
      <w:bookmarkEnd w:id="167"/>
    </w:p>
    <w:p w14:paraId="13A0FB2F">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68" w:name="_Toc19858"/>
      <w:bookmarkStart w:id="169" w:name="_Toc14643"/>
      <w:bookmarkStart w:id="170" w:name="_Toc28137"/>
      <w:r>
        <w:rPr>
          <w:rFonts w:ascii="宋体" w:hAnsi="宋体" w:eastAsia="宋体" w:cs="宋体"/>
          <w:b/>
          <w:bCs/>
          <w:color w:val="auto"/>
          <w:spacing w:val="0"/>
          <w:w w:val="100"/>
          <w:position w:val="0"/>
          <w:sz w:val="28"/>
          <w:szCs w:val="28"/>
          <w:highlight w:val="none"/>
          <w:lang w:eastAsia="zh-CN"/>
        </w:rPr>
        <w:t>8.1 对招标人的纪律要求</w:t>
      </w:r>
      <w:bookmarkEnd w:id="168"/>
      <w:bookmarkEnd w:id="169"/>
      <w:bookmarkEnd w:id="170"/>
    </w:p>
    <w:p w14:paraId="67AEC676">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招标人不得</w:t>
      </w:r>
      <w:r>
        <w:rPr>
          <w:rFonts w:hint="eastAsia" w:ascii="宋体" w:hAnsi="宋体" w:eastAsia="宋体" w:cs="宋体"/>
          <w:color w:val="auto"/>
          <w:spacing w:val="0"/>
          <w:w w:val="100"/>
          <w:position w:val="0"/>
          <w:sz w:val="20"/>
          <w:szCs w:val="20"/>
          <w:highlight w:val="none"/>
          <w:lang w:eastAsia="zh-CN"/>
        </w:rPr>
        <w:t>泄露</w:t>
      </w:r>
      <w:r>
        <w:rPr>
          <w:rFonts w:ascii="宋体" w:hAnsi="宋体" w:eastAsia="宋体" w:cs="宋体"/>
          <w:color w:val="auto"/>
          <w:spacing w:val="0"/>
          <w:w w:val="100"/>
          <w:position w:val="0"/>
          <w:sz w:val="20"/>
          <w:szCs w:val="20"/>
          <w:highlight w:val="none"/>
          <w:lang w:eastAsia="zh-CN"/>
        </w:rPr>
        <w:t>招标投标活动中应当保密的情况和资料，不得与投标人串通损害国家利益、社会公共利益或者他人合法权益。</w:t>
      </w:r>
    </w:p>
    <w:p w14:paraId="370088FD">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71" w:name="_Toc11059"/>
      <w:bookmarkStart w:id="172" w:name="_Toc11157"/>
      <w:bookmarkStart w:id="173" w:name="_Toc2378"/>
      <w:r>
        <w:rPr>
          <w:rFonts w:ascii="宋体" w:hAnsi="宋体" w:eastAsia="宋体" w:cs="宋体"/>
          <w:b/>
          <w:bCs/>
          <w:color w:val="auto"/>
          <w:spacing w:val="0"/>
          <w:w w:val="100"/>
          <w:position w:val="0"/>
          <w:sz w:val="28"/>
          <w:szCs w:val="28"/>
          <w:highlight w:val="none"/>
          <w:lang w:eastAsia="zh-CN"/>
        </w:rPr>
        <w:t>8.2 对投标人的纪律要求</w:t>
      </w:r>
      <w:bookmarkEnd w:id="171"/>
      <w:bookmarkEnd w:id="172"/>
      <w:bookmarkEnd w:id="173"/>
    </w:p>
    <w:p w14:paraId="11FD4F50">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投标人不得相互串通投标或者与招标人串通投标，不得向招标人或者评标委员会和定标委员会成员行贿谋取中标，不得以他人名义投标或者以其他方式弄虚作假骗取中标；投标人不得以任何方式干扰、影响评标工作。</w:t>
      </w:r>
    </w:p>
    <w:p w14:paraId="31E55181">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74" w:name="_Toc2656"/>
      <w:bookmarkStart w:id="175" w:name="_Toc30696"/>
      <w:bookmarkStart w:id="176" w:name="_Toc11058"/>
      <w:r>
        <w:rPr>
          <w:rFonts w:ascii="宋体" w:hAnsi="宋体" w:eastAsia="宋体" w:cs="宋体"/>
          <w:b/>
          <w:bCs/>
          <w:color w:val="auto"/>
          <w:spacing w:val="0"/>
          <w:w w:val="100"/>
          <w:position w:val="0"/>
          <w:sz w:val="28"/>
          <w:szCs w:val="28"/>
          <w:highlight w:val="none"/>
          <w:lang w:eastAsia="zh-CN"/>
        </w:rPr>
        <w:t>8.3 对评标委员会和定标委员会成员的纪律要求</w:t>
      </w:r>
      <w:bookmarkEnd w:id="174"/>
      <w:bookmarkEnd w:id="175"/>
      <w:bookmarkEnd w:id="176"/>
    </w:p>
    <w:p w14:paraId="2321D59C">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评标委员会和定标委员会成员不得收受他人的财物或者其他好处，不得向他人透漏对投标文件的评审和比较、中标候选人的推荐情况以及评标有关的其他情况。在评标活动中，评标委员会和定标委员会成员应当客观、公正地履行职责，遵守职业道德，不得擅离职守，影响评标程序正常进行，不得使用第三章“评标办法”没有规定的评审因素和标准进行评标。</w:t>
      </w:r>
    </w:p>
    <w:p w14:paraId="640C967D">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77" w:name="_Toc23743"/>
      <w:bookmarkStart w:id="178" w:name="_Toc26581"/>
      <w:bookmarkStart w:id="179" w:name="_Toc9403"/>
      <w:r>
        <w:rPr>
          <w:rFonts w:ascii="宋体" w:hAnsi="宋体" w:eastAsia="宋体" w:cs="宋体"/>
          <w:b/>
          <w:bCs/>
          <w:color w:val="auto"/>
          <w:spacing w:val="0"/>
          <w:w w:val="100"/>
          <w:position w:val="0"/>
          <w:sz w:val="28"/>
          <w:szCs w:val="28"/>
          <w:highlight w:val="none"/>
          <w:lang w:eastAsia="zh-CN"/>
        </w:rPr>
        <w:t>8.4 对与评标和定标活动有关的工作人员的纪律要求</w:t>
      </w:r>
      <w:bookmarkEnd w:id="177"/>
      <w:bookmarkEnd w:id="178"/>
      <w:bookmarkEnd w:id="179"/>
    </w:p>
    <w:p w14:paraId="6BD9A70D">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与评标活动和定标活动有关的工作人员不得收受他人的财物或者其他好处，不得向他人透漏对投标文件的评审和比较、中标候选人的推荐情况以及评标有关的其他情况。在评标和定标活动中，与评标和定标活动有关的工作人员不得擅离职守，影响评标和定标程序正常进行。</w:t>
      </w:r>
    </w:p>
    <w:p w14:paraId="17EA9F93">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180" w:name="_Toc16126"/>
      <w:bookmarkStart w:id="181" w:name="_Toc856"/>
      <w:bookmarkStart w:id="182" w:name="_Toc20195"/>
      <w:r>
        <w:rPr>
          <w:rFonts w:ascii="宋体" w:hAnsi="宋体" w:eastAsia="宋体" w:cs="宋体"/>
          <w:b/>
          <w:bCs/>
          <w:color w:val="auto"/>
          <w:spacing w:val="0"/>
          <w:w w:val="100"/>
          <w:position w:val="0"/>
          <w:sz w:val="28"/>
          <w:szCs w:val="28"/>
          <w:highlight w:val="none"/>
          <w:lang w:eastAsia="zh-CN"/>
        </w:rPr>
        <w:t>8.5 投诉</w:t>
      </w:r>
      <w:bookmarkEnd w:id="180"/>
      <w:bookmarkEnd w:id="181"/>
      <w:bookmarkEnd w:id="182"/>
    </w:p>
    <w:p w14:paraId="42857E6C">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投标人和其他利害关系人认为本次招标活动违反法律、法规和规章规定的，有权向有关行政监督部门投诉。</w:t>
      </w:r>
    </w:p>
    <w:p w14:paraId="164FC795">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83" w:name="_Toc22601"/>
      <w:bookmarkStart w:id="184" w:name="_Toc7977"/>
      <w:bookmarkStart w:id="185" w:name="_Toc6814"/>
      <w:bookmarkStart w:id="186" w:name="_Toc16716"/>
      <w:bookmarkStart w:id="187" w:name="_Toc5285"/>
      <w:r>
        <w:rPr>
          <w:rFonts w:ascii="宋体" w:hAnsi="宋体" w:eastAsia="宋体" w:cs="宋体"/>
          <w:b/>
          <w:bCs/>
          <w:color w:val="auto"/>
          <w:spacing w:val="0"/>
          <w:w w:val="100"/>
          <w:position w:val="0"/>
          <w:sz w:val="28"/>
          <w:szCs w:val="28"/>
          <w:highlight w:val="none"/>
          <w:lang w:eastAsia="zh-CN"/>
        </w:rPr>
        <w:t>9. 需要补充的其他内容</w:t>
      </w:r>
      <w:bookmarkEnd w:id="183"/>
      <w:bookmarkEnd w:id="184"/>
      <w:bookmarkEnd w:id="185"/>
      <w:bookmarkEnd w:id="186"/>
      <w:bookmarkEnd w:id="187"/>
    </w:p>
    <w:p w14:paraId="0DA86A83">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需要补充的其他内容：见投标人须知前附表。</w:t>
      </w:r>
    </w:p>
    <w:p w14:paraId="110ACCBB">
      <w:pPr>
        <w:keepNext w:val="0"/>
        <w:keepLines w:val="0"/>
        <w:pageBreakBefore w:val="0"/>
        <w:widowControl/>
        <w:kinsoku/>
        <w:wordWrap/>
        <w:overflowPunct/>
        <w:topLinePunct w:val="0"/>
        <w:autoSpaceDE w:val="0"/>
        <w:autoSpaceDN w:val="0"/>
        <w:bidi w:val="0"/>
        <w:adjustRightInd w:val="0"/>
        <w:snapToGrid w:val="0"/>
        <w:spacing w:line="348"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188" w:name="_Toc10001"/>
      <w:bookmarkStart w:id="189" w:name="_Toc21603"/>
      <w:bookmarkStart w:id="190" w:name="_Toc22029"/>
      <w:bookmarkStart w:id="191" w:name="_Toc12582"/>
      <w:bookmarkStart w:id="192" w:name="_Toc21579"/>
      <w:r>
        <w:rPr>
          <w:rFonts w:ascii="宋体" w:hAnsi="宋体" w:eastAsia="宋体" w:cs="宋体"/>
          <w:b/>
          <w:bCs/>
          <w:color w:val="auto"/>
          <w:spacing w:val="0"/>
          <w:w w:val="100"/>
          <w:position w:val="0"/>
          <w:sz w:val="28"/>
          <w:szCs w:val="28"/>
          <w:highlight w:val="none"/>
          <w:lang w:eastAsia="zh-CN"/>
        </w:rPr>
        <w:t>10.电子招标投标</w:t>
      </w:r>
      <w:bookmarkEnd w:id="188"/>
      <w:bookmarkEnd w:id="189"/>
      <w:bookmarkEnd w:id="190"/>
      <w:bookmarkEnd w:id="191"/>
      <w:bookmarkEnd w:id="192"/>
    </w:p>
    <w:p w14:paraId="7FFCD8D8">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采用电子招标投标，对投标文件的编制、密封和标记、递交、开标、评标等具体要求，见投标人须知前附表。</w:t>
      </w:r>
    </w:p>
    <w:p w14:paraId="562665D2">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br w:type="page"/>
      </w:r>
    </w:p>
    <w:p w14:paraId="440FA9AA">
      <w:pPr>
        <w:keepNext w:val="0"/>
        <w:keepLines w:val="0"/>
        <w:pageBreakBefore w:val="0"/>
        <w:kinsoku/>
        <w:bidi w:val="0"/>
        <w:spacing w:before="91" w:line="219" w:lineRule="auto"/>
        <w:outlineLvl w:val="2"/>
        <w:rPr>
          <w:rFonts w:ascii="宋体" w:hAnsi="宋体" w:eastAsia="宋体" w:cs="宋体"/>
          <w:b/>
          <w:bCs/>
          <w:color w:val="auto"/>
          <w:spacing w:val="0"/>
          <w:w w:val="100"/>
          <w:position w:val="0"/>
          <w:sz w:val="28"/>
          <w:szCs w:val="28"/>
          <w:highlight w:val="none"/>
          <w:lang w:eastAsia="zh-CN"/>
        </w:rPr>
      </w:pPr>
      <w:bookmarkStart w:id="193" w:name="_Toc1720"/>
      <w:bookmarkStart w:id="194" w:name="_Toc22521"/>
      <w:bookmarkStart w:id="195" w:name="_Toc1897"/>
      <w:r>
        <w:rPr>
          <w:rFonts w:ascii="宋体" w:hAnsi="宋体" w:eastAsia="宋体" w:cs="宋体"/>
          <w:b/>
          <w:bCs/>
          <w:color w:val="auto"/>
          <w:spacing w:val="0"/>
          <w:w w:val="100"/>
          <w:position w:val="0"/>
          <w:sz w:val="28"/>
          <w:szCs w:val="28"/>
          <w:highlight w:val="none"/>
          <w:lang w:eastAsia="zh-CN"/>
        </w:rPr>
        <w:t>附件</w:t>
      </w:r>
      <w:r>
        <w:rPr>
          <w:rFonts w:hint="eastAsia" w:ascii="宋体" w:hAnsi="宋体" w:eastAsia="宋体" w:cs="宋体"/>
          <w:b/>
          <w:bCs/>
          <w:color w:val="auto"/>
          <w:spacing w:val="0"/>
          <w:w w:val="100"/>
          <w:position w:val="0"/>
          <w:sz w:val="28"/>
          <w:szCs w:val="28"/>
          <w:highlight w:val="none"/>
          <w:lang w:val="en-US" w:eastAsia="zh-CN"/>
        </w:rPr>
        <w:t>一</w:t>
      </w:r>
      <w:r>
        <w:rPr>
          <w:rFonts w:ascii="宋体" w:hAnsi="宋体" w:eastAsia="宋体" w:cs="宋体"/>
          <w:b/>
          <w:bCs/>
          <w:color w:val="auto"/>
          <w:spacing w:val="0"/>
          <w:w w:val="100"/>
          <w:position w:val="0"/>
          <w:sz w:val="28"/>
          <w:szCs w:val="28"/>
          <w:highlight w:val="none"/>
          <w:lang w:eastAsia="zh-CN"/>
        </w:rPr>
        <w:t>：</w:t>
      </w:r>
      <w:r>
        <w:rPr>
          <w:rFonts w:hint="eastAsia" w:ascii="宋体" w:hAnsi="宋体" w:eastAsia="宋体" w:cs="宋体"/>
          <w:b/>
          <w:bCs/>
          <w:color w:val="auto"/>
          <w:spacing w:val="0"/>
          <w:w w:val="100"/>
          <w:position w:val="0"/>
          <w:sz w:val="28"/>
          <w:szCs w:val="28"/>
          <w:highlight w:val="none"/>
          <w:lang w:eastAsia="zh-CN"/>
        </w:rPr>
        <w:t>评标委员会成员声明</w:t>
      </w:r>
      <w:bookmarkEnd w:id="193"/>
      <w:bookmarkEnd w:id="194"/>
      <w:bookmarkEnd w:id="195"/>
    </w:p>
    <w:p w14:paraId="58988FE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jc w:val="center"/>
        <w:textAlignment w:val="baseline"/>
        <w:rPr>
          <w:rFonts w:hint="eastAsia" w:ascii="宋体" w:hAnsi="宋体" w:eastAsia="宋体" w:cs="宋体"/>
          <w:b/>
          <w:bCs w:val="0"/>
          <w:color w:val="auto"/>
          <w:spacing w:val="0"/>
          <w:w w:val="100"/>
          <w:kern w:val="2"/>
          <w:position w:val="0"/>
          <w:sz w:val="28"/>
          <w:szCs w:val="28"/>
          <w:highlight w:val="none"/>
        </w:rPr>
      </w:pPr>
      <w:r>
        <w:rPr>
          <w:rFonts w:hint="eastAsia" w:ascii="宋体" w:hAnsi="宋体" w:eastAsia="宋体" w:cs="宋体"/>
          <w:b/>
          <w:bCs w:val="0"/>
          <w:color w:val="auto"/>
          <w:spacing w:val="0"/>
          <w:w w:val="100"/>
          <w:kern w:val="2"/>
          <w:position w:val="0"/>
          <w:sz w:val="28"/>
          <w:szCs w:val="28"/>
          <w:highlight w:val="none"/>
          <w:lang w:val="en-US" w:eastAsia="zh-CN" w:bidi="ar"/>
        </w:rPr>
        <w:t>评标委员会成员声明</w:t>
      </w:r>
    </w:p>
    <w:p w14:paraId="0141BC9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jc w:val="both"/>
        <w:textAlignment w:val="baseline"/>
        <w:rPr>
          <w:rFonts w:hint="eastAsia" w:ascii="宋体" w:hAnsi="宋体" w:eastAsia="宋体" w:cs="宋体"/>
          <w:color w:val="auto"/>
          <w:spacing w:val="0"/>
          <w:w w:val="100"/>
          <w:kern w:val="2"/>
          <w:position w:val="0"/>
          <w:sz w:val="21"/>
          <w:szCs w:val="21"/>
          <w:highlight w:val="none"/>
          <w:u w:val="none"/>
        </w:rPr>
      </w:pPr>
      <w:r>
        <w:rPr>
          <w:rFonts w:hint="eastAsia" w:ascii="宋体" w:hAnsi="宋体" w:eastAsia="宋体" w:cs="宋体"/>
          <w:color w:val="auto"/>
          <w:spacing w:val="0"/>
          <w:w w:val="100"/>
          <w:kern w:val="2"/>
          <w:position w:val="0"/>
          <w:sz w:val="21"/>
          <w:szCs w:val="21"/>
          <w:highlight w:val="none"/>
          <w:u w:val="single"/>
          <w:lang w:val="en-US" w:eastAsia="zh-CN" w:bidi="ar"/>
        </w:rPr>
        <w:t>汉成（广州）电子有限公司、广州开发区建设投资有限公司</w:t>
      </w:r>
      <w:r>
        <w:rPr>
          <w:rFonts w:hint="eastAsia" w:ascii="宋体" w:hAnsi="宋体" w:eastAsia="宋体" w:cs="宋体"/>
          <w:color w:val="auto"/>
          <w:spacing w:val="0"/>
          <w:w w:val="100"/>
          <w:kern w:val="2"/>
          <w:position w:val="0"/>
          <w:sz w:val="21"/>
          <w:szCs w:val="21"/>
          <w:highlight w:val="none"/>
          <w:u w:val="none"/>
          <w:lang w:val="en-US" w:eastAsia="zh-CN" w:bidi="ar"/>
        </w:rPr>
        <w:t>：</w:t>
      </w:r>
    </w:p>
    <w:p w14:paraId="3224FF5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
        </w:rPr>
        <w:t>本人就参与</w:t>
      </w:r>
      <w:r>
        <w:rPr>
          <w:rFonts w:hint="eastAsia" w:ascii="宋体" w:hAnsi="宋体" w:eastAsia="宋体" w:cs="宋体"/>
          <w:color w:val="auto"/>
          <w:spacing w:val="0"/>
          <w:w w:val="100"/>
          <w:kern w:val="2"/>
          <w:position w:val="0"/>
          <w:sz w:val="21"/>
          <w:szCs w:val="21"/>
          <w:highlight w:val="none"/>
          <w:u w:val="single"/>
          <w:lang w:val="en-US" w:eastAsia="zh-CN" w:bidi="ar"/>
        </w:rPr>
        <w:t>开投·智行产业空间研发中心和孵化器培育场地改造项目设计施工总承包</w:t>
      </w:r>
      <w:r>
        <w:rPr>
          <w:rFonts w:hint="eastAsia" w:ascii="宋体" w:hAnsi="宋体" w:eastAsia="宋体" w:cs="宋体"/>
          <w:color w:val="auto"/>
          <w:spacing w:val="0"/>
          <w:w w:val="100"/>
          <w:kern w:val="2"/>
          <w:position w:val="0"/>
          <w:sz w:val="21"/>
          <w:szCs w:val="21"/>
          <w:highlight w:val="none"/>
          <w:lang w:val="en-US" w:eastAsia="zh-CN" w:bidi="ar"/>
        </w:rPr>
        <w:t>的评标工作，作出郑重声明：</w:t>
      </w:r>
    </w:p>
    <w:p w14:paraId="111A90C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28A23C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8F4A32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555703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9B411A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lang w:val="en-US" w:eastAsia="zh-CN" w:bidi="ar"/>
        </w:rPr>
      </w:pPr>
      <w:r>
        <w:rPr>
          <w:rFonts w:hint="eastAsia" w:ascii="宋体" w:hAnsi="宋体" w:eastAsia="宋体" w:cs="宋体"/>
          <w:color w:val="auto"/>
          <w:spacing w:val="0"/>
          <w:w w:val="100"/>
          <w:kern w:val="2"/>
          <w:position w:val="0"/>
          <w:sz w:val="21"/>
          <w:szCs w:val="21"/>
          <w:highlight w:val="none"/>
          <w:lang w:val="en-US" w:eastAsia="zh-CN" w:bidi="ar"/>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E7C472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420" w:firstLineChars="200"/>
        <w:jc w:val="both"/>
        <w:textAlignment w:val="baseline"/>
        <w:rPr>
          <w:rFonts w:hint="eastAsia" w:ascii="宋体" w:hAnsi="宋体" w:eastAsia="宋体" w:cs="宋体"/>
          <w:color w:val="auto"/>
          <w:spacing w:val="0"/>
          <w:w w:val="100"/>
          <w:kern w:val="2"/>
          <w:position w:val="0"/>
          <w:sz w:val="21"/>
          <w:szCs w:val="21"/>
          <w:highlight w:val="none"/>
        </w:rPr>
      </w:pPr>
      <w:r>
        <w:rPr>
          <w:rFonts w:hint="eastAsia" w:ascii="宋体" w:hAnsi="宋体" w:eastAsia="宋体" w:cs="宋体"/>
          <w:color w:val="auto"/>
          <w:spacing w:val="0"/>
          <w:w w:val="100"/>
          <w:kern w:val="2"/>
          <w:position w:val="0"/>
          <w:sz w:val="21"/>
          <w:szCs w:val="21"/>
          <w:highlight w:val="none"/>
          <w:lang w:val="en-US" w:eastAsia="zh-CN" w:bidi="ar"/>
        </w:rPr>
        <w:t>如果本人违反上述声明内容，造成的后果由本人自行承担。</w:t>
      </w:r>
    </w:p>
    <w:p w14:paraId="1A90C04C">
      <w:pPr>
        <w:pStyle w:val="13"/>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36" w:lineRule="auto"/>
        <w:ind w:left="420" w:leftChars="200" w:right="0" w:firstLine="420" w:firstLineChars="200"/>
        <w:jc w:val="left"/>
        <w:textAlignment w:val="baseline"/>
        <w:rPr>
          <w:rFonts w:hint="eastAsia" w:ascii="宋体" w:hAnsi="宋体" w:eastAsia="宋体" w:cs="宋体"/>
          <w:color w:val="auto"/>
          <w:spacing w:val="0"/>
          <w:w w:val="100"/>
          <w:kern w:val="2"/>
          <w:position w:val="0"/>
          <w:sz w:val="21"/>
          <w:szCs w:val="21"/>
          <w:highlight w:val="none"/>
        </w:rPr>
      </w:pPr>
    </w:p>
    <w:p w14:paraId="3CEDCABF">
      <w:pPr>
        <w:pStyle w:val="13"/>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36" w:lineRule="auto"/>
        <w:ind w:left="420" w:leftChars="200" w:right="0" w:firstLine="420" w:firstLineChars="200"/>
        <w:jc w:val="left"/>
        <w:textAlignment w:val="baseline"/>
        <w:rPr>
          <w:rFonts w:hint="eastAsia" w:ascii="宋体" w:hAnsi="宋体" w:eastAsia="宋体" w:cs="宋体"/>
          <w:color w:val="auto"/>
          <w:spacing w:val="0"/>
          <w:w w:val="100"/>
          <w:kern w:val="2"/>
          <w:position w:val="0"/>
          <w:sz w:val="21"/>
          <w:szCs w:val="21"/>
          <w:highlight w:val="none"/>
        </w:rPr>
      </w:pPr>
    </w:p>
    <w:p w14:paraId="51A03724">
      <w:pPr>
        <w:pStyle w:val="13"/>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336" w:lineRule="auto"/>
        <w:ind w:left="420" w:leftChars="200" w:right="0" w:firstLine="420" w:firstLineChars="200"/>
        <w:jc w:val="left"/>
        <w:textAlignment w:val="baseline"/>
        <w:rPr>
          <w:rFonts w:hint="eastAsia" w:ascii="宋体" w:hAnsi="宋体" w:eastAsia="宋体" w:cs="宋体"/>
          <w:color w:val="auto"/>
          <w:spacing w:val="0"/>
          <w:w w:val="100"/>
          <w:kern w:val="2"/>
          <w:position w:val="0"/>
          <w:sz w:val="21"/>
          <w:szCs w:val="21"/>
          <w:highlight w:val="none"/>
        </w:rPr>
      </w:pPr>
    </w:p>
    <w:p w14:paraId="27C6EB9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210" w:firstLineChars="100"/>
        <w:jc w:val="right"/>
        <w:textAlignment w:val="baseline"/>
        <w:rPr>
          <w:rFonts w:hint="eastAsia" w:ascii="宋体" w:hAnsi="宋体" w:eastAsia="宋体" w:cs="宋体"/>
          <w:color w:val="auto"/>
          <w:spacing w:val="0"/>
          <w:w w:val="100"/>
          <w:kern w:val="2"/>
          <w:position w:val="0"/>
          <w:sz w:val="21"/>
          <w:szCs w:val="21"/>
          <w:highlight w:val="none"/>
          <w:lang w:val="en-US" w:eastAsia="zh-CN" w:bidi="ar"/>
        </w:rPr>
      </w:pPr>
      <w:r>
        <w:rPr>
          <w:rFonts w:hint="eastAsia" w:ascii="宋体" w:hAnsi="宋体" w:eastAsia="宋体" w:cs="宋体"/>
          <w:color w:val="auto"/>
          <w:spacing w:val="0"/>
          <w:w w:val="100"/>
          <w:kern w:val="2"/>
          <w:position w:val="0"/>
          <w:sz w:val="21"/>
          <w:szCs w:val="21"/>
          <w:highlight w:val="none"/>
          <w:lang w:val="en-US" w:eastAsia="zh-CN" w:bidi="ar"/>
        </w:rPr>
        <w:t>声明人：     （签名）</w:t>
      </w:r>
    </w:p>
    <w:p w14:paraId="66BB0C7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36" w:lineRule="auto"/>
        <w:ind w:left="0" w:right="0" w:firstLine="210" w:firstLineChars="100"/>
        <w:jc w:val="right"/>
        <w:textAlignment w:val="baseline"/>
        <w:rPr>
          <w:rFonts w:hint="default" w:ascii="宋体" w:hAnsi="宋体" w:eastAsia="宋体" w:cs="宋体"/>
          <w:color w:val="auto"/>
          <w:spacing w:val="0"/>
          <w:w w:val="100"/>
          <w:kern w:val="2"/>
          <w:position w:val="0"/>
          <w:sz w:val="21"/>
          <w:szCs w:val="21"/>
          <w:highlight w:val="none"/>
          <w:lang w:val="en-US" w:eastAsia="zh-CN" w:bidi="ar"/>
        </w:rPr>
      </w:pPr>
      <w:r>
        <w:rPr>
          <w:rFonts w:hint="eastAsia" w:ascii="宋体" w:hAnsi="宋体" w:eastAsia="宋体" w:cs="宋体"/>
          <w:color w:val="auto"/>
          <w:spacing w:val="0"/>
          <w:w w:val="100"/>
          <w:kern w:val="2"/>
          <w:position w:val="0"/>
          <w:sz w:val="21"/>
          <w:szCs w:val="21"/>
          <w:highlight w:val="none"/>
          <w:lang w:val="en-US" w:eastAsia="zh-CN" w:bidi="ar"/>
        </w:rPr>
        <w:t xml:space="preserve">   年   月   日</w:t>
      </w:r>
    </w:p>
    <w:p w14:paraId="326A2CF0">
      <w:pPr>
        <w:pStyle w:val="5"/>
        <w:keepNext w:val="0"/>
        <w:keepLines w:val="0"/>
        <w:pageBreakBefore w:val="0"/>
        <w:kinsoku/>
        <w:bidi w:val="0"/>
        <w:rPr>
          <w:color w:val="auto"/>
          <w:spacing w:val="0"/>
          <w:w w:val="100"/>
          <w:position w:val="0"/>
          <w:highlight w:val="none"/>
          <w:lang w:eastAsia="zh-CN"/>
        </w:rPr>
      </w:pPr>
    </w:p>
    <w:p w14:paraId="10D8E150">
      <w:pPr>
        <w:keepNext w:val="0"/>
        <w:keepLines w:val="0"/>
        <w:pageBreakBefore w:val="0"/>
        <w:kinsoku/>
        <w:bidi w:val="0"/>
        <w:spacing w:line="371" w:lineRule="auto"/>
        <w:rPr>
          <w:rFonts w:ascii="宋体" w:hAnsi="宋体" w:eastAsia="宋体" w:cs="宋体"/>
          <w:color w:val="auto"/>
          <w:spacing w:val="0"/>
          <w:w w:val="100"/>
          <w:position w:val="0"/>
          <w:sz w:val="20"/>
          <w:szCs w:val="20"/>
          <w:highlight w:val="none"/>
          <w:lang w:eastAsia="zh-CN"/>
        </w:rPr>
        <w:sectPr>
          <w:footerReference r:id="rId5" w:type="default"/>
          <w:footerReference r:id="rId6" w:type="even"/>
          <w:pgSz w:w="11905" w:h="16838"/>
          <w:pgMar w:top="1417" w:right="1417" w:bottom="1417" w:left="1417" w:header="850" w:footer="992" w:gutter="0"/>
          <w:pgNumType w:fmt="decimal"/>
          <w:cols w:space="0" w:num="1"/>
          <w:rtlGutter w:val="0"/>
          <w:docGrid w:linePitch="0" w:charSpace="0"/>
        </w:sectPr>
      </w:pPr>
    </w:p>
    <w:p w14:paraId="11C37ABB">
      <w:pPr>
        <w:keepNext w:val="0"/>
        <w:keepLines w:val="0"/>
        <w:pageBreakBefore w:val="0"/>
        <w:kinsoku/>
        <w:bidi w:val="0"/>
        <w:spacing w:before="91" w:line="219" w:lineRule="auto"/>
        <w:outlineLvl w:val="2"/>
        <w:rPr>
          <w:rFonts w:ascii="宋体" w:hAnsi="宋体" w:eastAsia="宋体" w:cs="宋体"/>
          <w:b/>
          <w:bCs/>
          <w:color w:val="auto"/>
          <w:spacing w:val="0"/>
          <w:w w:val="100"/>
          <w:position w:val="0"/>
          <w:sz w:val="28"/>
          <w:szCs w:val="28"/>
          <w:highlight w:val="none"/>
          <w:lang w:eastAsia="zh-CN"/>
        </w:rPr>
      </w:pPr>
      <w:bookmarkStart w:id="196" w:name="_Toc6170"/>
      <w:bookmarkStart w:id="197" w:name="_Toc6009"/>
      <w:bookmarkStart w:id="198" w:name="_Toc30533"/>
      <w:r>
        <w:rPr>
          <w:rFonts w:hint="eastAsia" w:ascii="宋体" w:hAnsi="宋体" w:eastAsia="宋体" w:cs="宋体"/>
          <w:b/>
          <w:bCs/>
          <w:color w:val="auto"/>
          <w:spacing w:val="0"/>
          <w:w w:val="100"/>
          <w:position w:val="0"/>
          <w:sz w:val="28"/>
          <w:szCs w:val="28"/>
          <w:highlight w:val="none"/>
          <w:lang w:val="en-US" w:eastAsia="zh-CN"/>
        </w:rPr>
        <w:t>附件二</w:t>
      </w:r>
      <w:r>
        <w:rPr>
          <w:rFonts w:ascii="宋体" w:hAnsi="宋体" w:eastAsia="宋体" w:cs="宋体"/>
          <w:b/>
          <w:bCs/>
          <w:color w:val="auto"/>
          <w:spacing w:val="0"/>
          <w:w w:val="100"/>
          <w:position w:val="0"/>
          <w:sz w:val="28"/>
          <w:szCs w:val="28"/>
          <w:highlight w:val="none"/>
          <w:lang w:eastAsia="zh-CN"/>
        </w:rPr>
        <w:t>：开标记录表</w:t>
      </w:r>
      <w:bookmarkEnd w:id="196"/>
      <w:bookmarkEnd w:id="197"/>
      <w:bookmarkEnd w:id="198"/>
    </w:p>
    <w:p w14:paraId="0073CE39">
      <w:pPr>
        <w:keepNext w:val="0"/>
        <w:keepLines w:val="0"/>
        <w:pageBreakBefore w:val="0"/>
        <w:kinsoku/>
        <w:bidi w:val="0"/>
        <w:spacing w:before="91" w:line="221" w:lineRule="auto"/>
        <w:ind w:left="6400"/>
        <w:rPr>
          <w:rFonts w:ascii="宋体" w:hAnsi="宋体" w:eastAsia="宋体" w:cs="宋体"/>
          <w:color w:val="auto"/>
          <w:spacing w:val="0"/>
          <w:w w:val="100"/>
          <w:position w:val="0"/>
          <w:sz w:val="28"/>
          <w:szCs w:val="28"/>
          <w:highlight w:val="none"/>
          <w:lang w:eastAsia="zh-CN"/>
        </w:rPr>
      </w:pPr>
      <w:r>
        <w:rPr>
          <w:rFonts w:ascii="宋体" w:hAnsi="宋体" w:eastAsia="宋体" w:cs="宋体"/>
          <w:color w:val="auto"/>
          <w:spacing w:val="0"/>
          <w:w w:val="100"/>
          <w:position w:val="0"/>
          <w:sz w:val="28"/>
          <w:szCs w:val="28"/>
          <w:highlight w:val="none"/>
          <w:lang w:eastAsia="zh-CN"/>
        </w:rPr>
        <w:t>开标记录表</w:t>
      </w:r>
    </w:p>
    <w:p w14:paraId="75BB0DBC">
      <w:pPr>
        <w:keepNext w:val="0"/>
        <w:keepLines w:val="0"/>
        <w:pageBreakBefore w:val="0"/>
        <w:kinsoku/>
        <w:bidi w:val="0"/>
        <w:spacing w:before="125" w:line="228" w:lineRule="auto"/>
        <w:ind w:left="121"/>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项目名称：</w:t>
      </w:r>
    </w:p>
    <w:p w14:paraId="240AEBDF">
      <w:pPr>
        <w:keepNext w:val="0"/>
        <w:keepLines w:val="0"/>
        <w:pageBreakBefore w:val="0"/>
        <w:kinsoku/>
        <w:bidi w:val="0"/>
        <w:spacing w:line="14" w:lineRule="exact"/>
        <w:rPr>
          <w:color w:val="auto"/>
          <w:spacing w:val="0"/>
          <w:w w:val="100"/>
          <w:position w:val="0"/>
          <w:highlight w:val="none"/>
        </w:rPr>
      </w:pPr>
    </w:p>
    <w:tbl>
      <w:tblPr>
        <w:tblStyle w:val="19"/>
        <w:tblW w:w="141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990"/>
        <w:gridCol w:w="1256"/>
        <w:gridCol w:w="1107"/>
        <w:gridCol w:w="1189"/>
        <w:gridCol w:w="1502"/>
        <w:gridCol w:w="1535"/>
        <w:gridCol w:w="1338"/>
        <w:gridCol w:w="1362"/>
        <w:gridCol w:w="957"/>
        <w:gridCol w:w="1278"/>
        <w:gridCol w:w="992"/>
      </w:tblGrid>
      <w:tr w14:paraId="1B78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66" w:type="dxa"/>
            <w:vAlign w:val="center"/>
          </w:tcPr>
          <w:p w14:paraId="076E132B">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序号</w:t>
            </w:r>
          </w:p>
        </w:tc>
        <w:tc>
          <w:tcPr>
            <w:tcW w:w="990" w:type="dxa"/>
            <w:vAlign w:val="center"/>
          </w:tcPr>
          <w:p w14:paraId="6B100484">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投标人</w:t>
            </w:r>
          </w:p>
          <w:p w14:paraId="42562068">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名称</w:t>
            </w:r>
          </w:p>
        </w:tc>
        <w:tc>
          <w:tcPr>
            <w:tcW w:w="1256" w:type="dxa"/>
            <w:vAlign w:val="center"/>
          </w:tcPr>
          <w:p w14:paraId="022518F7">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投标文件</w:t>
            </w:r>
          </w:p>
          <w:p w14:paraId="17251BE6">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递交情况</w:t>
            </w:r>
          </w:p>
        </w:tc>
        <w:tc>
          <w:tcPr>
            <w:tcW w:w="1107" w:type="dxa"/>
            <w:vAlign w:val="center"/>
          </w:tcPr>
          <w:p w14:paraId="546A8115">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投标文件</w:t>
            </w:r>
          </w:p>
          <w:p w14:paraId="1F5F46C2">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eastAsia="zh-CN"/>
              </w:rPr>
            </w:pPr>
            <w:r>
              <w:rPr>
                <w:rFonts w:hint="eastAsia" w:ascii="宋体" w:hAnsi="宋体" w:eastAsia="宋体" w:cs="宋体"/>
                <w:b w:val="0"/>
                <w:bCs w:val="0"/>
                <w:color w:val="auto"/>
                <w:spacing w:val="0"/>
                <w:w w:val="100"/>
                <w:position w:val="0"/>
                <w:sz w:val="21"/>
                <w:highlight w:val="none"/>
              </w:rPr>
              <w:t>解密情况</w:t>
            </w:r>
          </w:p>
        </w:tc>
        <w:tc>
          <w:tcPr>
            <w:tcW w:w="1189" w:type="dxa"/>
            <w:vAlign w:val="center"/>
          </w:tcPr>
          <w:p w14:paraId="61F2AC49">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val="en-US" w:eastAsia="zh-CN"/>
              </w:rPr>
            </w:pPr>
            <w:r>
              <w:rPr>
                <w:rFonts w:hint="eastAsia" w:ascii="宋体" w:hAnsi="宋体" w:eastAsia="宋体" w:cs="宋体"/>
                <w:b w:val="0"/>
                <w:bCs w:val="0"/>
                <w:color w:val="auto"/>
                <w:spacing w:val="0"/>
                <w:w w:val="100"/>
                <w:position w:val="0"/>
                <w:sz w:val="21"/>
                <w:highlight w:val="none"/>
              </w:rPr>
              <w:t>投标</w:t>
            </w:r>
            <w:r>
              <w:rPr>
                <w:rFonts w:hint="eastAsia" w:ascii="宋体" w:hAnsi="宋体" w:eastAsia="宋体" w:cs="宋体"/>
                <w:b w:val="0"/>
                <w:bCs w:val="0"/>
                <w:color w:val="auto"/>
                <w:spacing w:val="0"/>
                <w:w w:val="100"/>
                <w:position w:val="0"/>
                <w:sz w:val="21"/>
                <w:highlight w:val="none"/>
                <w:lang w:val="en-US" w:eastAsia="zh-CN"/>
              </w:rPr>
              <w:t>担保</w:t>
            </w:r>
          </w:p>
          <w:p w14:paraId="54A20D09">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val="en-US" w:eastAsia="zh-CN"/>
              </w:rPr>
            </w:pPr>
            <w:r>
              <w:rPr>
                <w:rFonts w:hint="eastAsia" w:ascii="宋体" w:hAnsi="宋体" w:eastAsia="宋体" w:cs="宋体"/>
                <w:b w:val="0"/>
                <w:bCs w:val="0"/>
                <w:color w:val="auto"/>
                <w:spacing w:val="0"/>
                <w:w w:val="100"/>
                <w:position w:val="0"/>
                <w:sz w:val="21"/>
                <w:highlight w:val="none"/>
              </w:rPr>
              <w:t>递交</w:t>
            </w:r>
            <w:r>
              <w:rPr>
                <w:rFonts w:hint="eastAsia" w:ascii="宋体" w:hAnsi="宋体" w:eastAsia="宋体" w:cs="宋体"/>
                <w:b w:val="0"/>
                <w:bCs w:val="0"/>
                <w:color w:val="auto"/>
                <w:spacing w:val="0"/>
                <w:w w:val="100"/>
                <w:position w:val="0"/>
                <w:sz w:val="21"/>
                <w:highlight w:val="none"/>
                <w:lang w:val="en-US" w:eastAsia="zh-CN"/>
              </w:rPr>
              <w:t>情况</w:t>
            </w:r>
          </w:p>
        </w:tc>
        <w:tc>
          <w:tcPr>
            <w:tcW w:w="1502" w:type="dxa"/>
            <w:vAlign w:val="center"/>
          </w:tcPr>
          <w:p w14:paraId="13DBDC22">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eastAsia="zh-CN"/>
              </w:rPr>
            </w:pPr>
            <w:r>
              <w:rPr>
                <w:rFonts w:hint="eastAsia" w:ascii="宋体" w:hAnsi="宋体" w:eastAsia="宋体" w:cs="宋体"/>
                <w:b w:val="0"/>
                <w:bCs w:val="0"/>
                <w:color w:val="auto"/>
                <w:spacing w:val="0"/>
                <w:w w:val="100"/>
                <w:position w:val="0"/>
                <w:sz w:val="21"/>
                <w:highlight w:val="none"/>
                <w:lang w:eastAsia="zh-CN"/>
              </w:rPr>
              <w:t>项目负责人</w:t>
            </w:r>
          </w:p>
          <w:p w14:paraId="1C4E5E5E">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eastAsia="zh-CN"/>
              </w:rPr>
            </w:pPr>
            <w:r>
              <w:rPr>
                <w:rFonts w:hint="eastAsia" w:ascii="宋体" w:hAnsi="宋体" w:eastAsia="宋体" w:cs="宋体"/>
                <w:b w:val="0"/>
                <w:bCs w:val="0"/>
                <w:color w:val="auto"/>
                <w:spacing w:val="0"/>
                <w:w w:val="100"/>
                <w:position w:val="0"/>
                <w:sz w:val="21"/>
                <w:highlight w:val="none"/>
                <w:lang w:eastAsia="zh-CN"/>
              </w:rPr>
              <w:t>（施工负责人）</w:t>
            </w:r>
          </w:p>
        </w:tc>
        <w:tc>
          <w:tcPr>
            <w:tcW w:w="1535" w:type="dxa"/>
            <w:vAlign w:val="center"/>
          </w:tcPr>
          <w:p w14:paraId="3B4BC1BC">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施工技术负责人</w:t>
            </w:r>
          </w:p>
        </w:tc>
        <w:tc>
          <w:tcPr>
            <w:tcW w:w="1338" w:type="dxa"/>
            <w:vAlign w:val="center"/>
          </w:tcPr>
          <w:p w14:paraId="085983F9">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专职安全员</w:t>
            </w:r>
          </w:p>
        </w:tc>
        <w:tc>
          <w:tcPr>
            <w:tcW w:w="1362" w:type="dxa"/>
            <w:vAlign w:val="center"/>
          </w:tcPr>
          <w:p w14:paraId="483D0679">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eastAsia="zh-CN"/>
              </w:rPr>
            </w:pPr>
            <w:r>
              <w:rPr>
                <w:rFonts w:hint="eastAsia" w:ascii="宋体" w:hAnsi="宋体" w:eastAsia="宋体" w:cs="宋体"/>
                <w:b w:val="0"/>
                <w:bCs w:val="0"/>
                <w:color w:val="auto"/>
                <w:spacing w:val="0"/>
                <w:w w:val="100"/>
                <w:position w:val="0"/>
                <w:sz w:val="21"/>
                <w:highlight w:val="none"/>
              </w:rPr>
              <w:t>投标总报价</w:t>
            </w:r>
          </w:p>
        </w:tc>
        <w:tc>
          <w:tcPr>
            <w:tcW w:w="957" w:type="dxa"/>
            <w:vAlign w:val="center"/>
          </w:tcPr>
          <w:p w14:paraId="682E26CC">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lang w:eastAsia="zh-CN"/>
              </w:rPr>
            </w:pPr>
            <w:r>
              <w:rPr>
                <w:rFonts w:hint="eastAsia" w:ascii="宋体" w:hAnsi="宋体" w:eastAsia="宋体" w:cs="宋体"/>
                <w:b w:val="0"/>
                <w:bCs w:val="0"/>
                <w:color w:val="auto"/>
                <w:spacing w:val="0"/>
                <w:w w:val="100"/>
                <w:position w:val="0"/>
                <w:sz w:val="21"/>
                <w:highlight w:val="none"/>
              </w:rPr>
              <w:t>工期</w:t>
            </w:r>
          </w:p>
        </w:tc>
        <w:tc>
          <w:tcPr>
            <w:tcW w:w="1278" w:type="dxa"/>
            <w:vAlign w:val="center"/>
          </w:tcPr>
          <w:p w14:paraId="27226E6C">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质量标准</w:t>
            </w:r>
          </w:p>
        </w:tc>
        <w:tc>
          <w:tcPr>
            <w:tcW w:w="992" w:type="dxa"/>
            <w:vAlign w:val="center"/>
          </w:tcPr>
          <w:p w14:paraId="02DE1F83">
            <w:pPr>
              <w:pStyle w:val="20"/>
              <w:keepNext w:val="0"/>
              <w:keepLines w:val="0"/>
              <w:pageBreakBefore w:val="0"/>
              <w:kinsoku/>
              <w:bidi w:val="0"/>
              <w:spacing w:before="58" w:line="221" w:lineRule="auto"/>
              <w:jc w:val="center"/>
              <w:rPr>
                <w:rFonts w:hint="eastAsia" w:ascii="宋体" w:hAnsi="宋体" w:eastAsia="宋体" w:cs="宋体"/>
                <w:b w:val="0"/>
                <w:bCs w:val="0"/>
                <w:color w:val="auto"/>
                <w:spacing w:val="0"/>
                <w:w w:val="100"/>
                <w:position w:val="0"/>
                <w:sz w:val="21"/>
                <w:highlight w:val="none"/>
              </w:rPr>
            </w:pPr>
            <w:r>
              <w:rPr>
                <w:rFonts w:hint="eastAsia" w:ascii="宋体" w:hAnsi="宋体" w:eastAsia="宋体" w:cs="宋体"/>
                <w:b w:val="0"/>
                <w:bCs w:val="0"/>
                <w:color w:val="auto"/>
                <w:spacing w:val="0"/>
                <w:w w:val="100"/>
                <w:position w:val="0"/>
                <w:sz w:val="21"/>
                <w:highlight w:val="none"/>
              </w:rPr>
              <w:t>投标人代表签名</w:t>
            </w:r>
          </w:p>
        </w:tc>
      </w:tr>
      <w:tr w14:paraId="17CF4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66" w:type="dxa"/>
            <w:vAlign w:val="center"/>
          </w:tcPr>
          <w:p w14:paraId="660BB6EF">
            <w:pPr>
              <w:keepNext w:val="0"/>
              <w:keepLines w:val="0"/>
              <w:pageBreakBefore w:val="0"/>
              <w:kinsoku/>
              <w:bidi w:val="0"/>
              <w:jc w:val="both"/>
              <w:rPr>
                <w:color w:val="auto"/>
                <w:spacing w:val="0"/>
                <w:w w:val="100"/>
                <w:position w:val="0"/>
                <w:highlight w:val="none"/>
              </w:rPr>
            </w:pPr>
          </w:p>
        </w:tc>
        <w:tc>
          <w:tcPr>
            <w:tcW w:w="990" w:type="dxa"/>
            <w:vAlign w:val="center"/>
          </w:tcPr>
          <w:p w14:paraId="6A75D3FA">
            <w:pPr>
              <w:keepNext w:val="0"/>
              <w:keepLines w:val="0"/>
              <w:pageBreakBefore w:val="0"/>
              <w:kinsoku/>
              <w:bidi w:val="0"/>
              <w:jc w:val="both"/>
              <w:rPr>
                <w:color w:val="auto"/>
                <w:spacing w:val="0"/>
                <w:w w:val="100"/>
                <w:position w:val="0"/>
                <w:highlight w:val="none"/>
              </w:rPr>
            </w:pPr>
          </w:p>
        </w:tc>
        <w:tc>
          <w:tcPr>
            <w:tcW w:w="1256" w:type="dxa"/>
            <w:vAlign w:val="center"/>
          </w:tcPr>
          <w:p w14:paraId="4551FFE7">
            <w:pPr>
              <w:keepNext w:val="0"/>
              <w:keepLines w:val="0"/>
              <w:pageBreakBefore w:val="0"/>
              <w:kinsoku/>
              <w:bidi w:val="0"/>
              <w:jc w:val="both"/>
              <w:rPr>
                <w:color w:val="auto"/>
                <w:spacing w:val="0"/>
                <w:w w:val="100"/>
                <w:position w:val="0"/>
                <w:highlight w:val="none"/>
              </w:rPr>
            </w:pPr>
          </w:p>
        </w:tc>
        <w:tc>
          <w:tcPr>
            <w:tcW w:w="1107" w:type="dxa"/>
            <w:vAlign w:val="center"/>
          </w:tcPr>
          <w:p w14:paraId="75D311D6">
            <w:pPr>
              <w:keepNext w:val="0"/>
              <w:keepLines w:val="0"/>
              <w:pageBreakBefore w:val="0"/>
              <w:kinsoku/>
              <w:bidi w:val="0"/>
              <w:jc w:val="both"/>
              <w:rPr>
                <w:color w:val="auto"/>
                <w:spacing w:val="0"/>
                <w:w w:val="100"/>
                <w:position w:val="0"/>
                <w:highlight w:val="none"/>
              </w:rPr>
            </w:pPr>
          </w:p>
        </w:tc>
        <w:tc>
          <w:tcPr>
            <w:tcW w:w="1189" w:type="dxa"/>
            <w:vAlign w:val="center"/>
          </w:tcPr>
          <w:p w14:paraId="3D60458A">
            <w:pPr>
              <w:keepNext w:val="0"/>
              <w:keepLines w:val="0"/>
              <w:pageBreakBefore w:val="0"/>
              <w:kinsoku/>
              <w:bidi w:val="0"/>
              <w:jc w:val="both"/>
              <w:rPr>
                <w:color w:val="auto"/>
                <w:spacing w:val="0"/>
                <w:w w:val="100"/>
                <w:position w:val="0"/>
                <w:highlight w:val="none"/>
              </w:rPr>
            </w:pPr>
          </w:p>
        </w:tc>
        <w:tc>
          <w:tcPr>
            <w:tcW w:w="1502" w:type="dxa"/>
            <w:vAlign w:val="center"/>
          </w:tcPr>
          <w:p w14:paraId="31589048">
            <w:pPr>
              <w:keepNext w:val="0"/>
              <w:keepLines w:val="0"/>
              <w:pageBreakBefore w:val="0"/>
              <w:kinsoku/>
              <w:bidi w:val="0"/>
              <w:jc w:val="both"/>
              <w:rPr>
                <w:color w:val="auto"/>
                <w:spacing w:val="0"/>
                <w:w w:val="100"/>
                <w:position w:val="0"/>
                <w:highlight w:val="none"/>
              </w:rPr>
            </w:pPr>
          </w:p>
        </w:tc>
        <w:tc>
          <w:tcPr>
            <w:tcW w:w="1535" w:type="dxa"/>
            <w:vAlign w:val="center"/>
          </w:tcPr>
          <w:p w14:paraId="2DA3E922">
            <w:pPr>
              <w:keepNext w:val="0"/>
              <w:keepLines w:val="0"/>
              <w:pageBreakBefore w:val="0"/>
              <w:kinsoku/>
              <w:bidi w:val="0"/>
              <w:jc w:val="both"/>
              <w:rPr>
                <w:color w:val="auto"/>
                <w:spacing w:val="0"/>
                <w:w w:val="100"/>
                <w:position w:val="0"/>
                <w:highlight w:val="none"/>
              </w:rPr>
            </w:pPr>
          </w:p>
        </w:tc>
        <w:tc>
          <w:tcPr>
            <w:tcW w:w="1338" w:type="dxa"/>
            <w:vAlign w:val="center"/>
          </w:tcPr>
          <w:p w14:paraId="04338211">
            <w:pPr>
              <w:keepNext w:val="0"/>
              <w:keepLines w:val="0"/>
              <w:pageBreakBefore w:val="0"/>
              <w:kinsoku/>
              <w:bidi w:val="0"/>
              <w:jc w:val="both"/>
              <w:rPr>
                <w:color w:val="auto"/>
                <w:spacing w:val="0"/>
                <w:w w:val="100"/>
                <w:position w:val="0"/>
                <w:highlight w:val="none"/>
              </w:rPr>
            </w:pPr>
          </w:p>
        </w:tc>
        <w:tc>
          <w:tcPr>
            <w:tcW w:w="1362" w:type="dxa"/>
            <w:vAlign w:val="center"/>
          </w:tcPr>
          <w:p w14:paraId="471168F1">
            <w:pPr>
              <w:keepNext w:val="0"/>
              <w:keepLines w:val="0"/>
              <w:pageBreakBefore w:val="0"/>
              <w:kinsoku/>
              <w:bidi w:val="0"/>
              <w:jc w:val="both"/>
              <w:rPr>
                <w:color w:val="auto"/>
                <w:spacing w:val="0"/>
                <w:w w:val="100"/>
                <w:position w:val="0"/>
                <w:highlight w:val="none"/>
              </w:rPr>
            </w:pPr>
          </w:p>
        </w:tc>
        <w:tc>
          <w:tcPr>
            <w:tcW w:w="957" w:type="dxa"/>
            <w:vAlign w:val="center"/>
          </w:tcPr>
          <w:p w14:paraId="01F3CA2F">
            <w:pPr>
              <w:keepNext w:val="0"/>
              <w:keepLines w:val="0"/>
              <w:pageBreakBefore w:val="0"/>
              <w:kinsoku/>
              <w:bidi w:val="0"/>
              <w:jc w:val="both"/>
              <w:rPr>
                <w:color w:val="auto"/>
                <w:spacing w:val="0"/>
                <w:w w:val="100"/>
                <w:position w:val="0"/>
                <w:highlight w:val="none"/>
              </w:rPr>
            </w:pPr>
          </w:p>
        </w:tc>
        <w:tc>
          <w:tcPr>
            <w:tcW w:w="1278" w:type="dxa"/>
            <w:vAlign w:val="center"/>
          </w:tcPr>
          <w:p w14:paraId="00A01E62">
            <w:pPr>
              <w:keepNext w:val="0"/>
              <w:keepLines w:val="0"/>
              <w:pageBreakBefore w:val="0"/>
              <w:kinsoku/>
              <w:bidi w:val="0"/>
              <w:jc w:val="both"/>
              <w:rPr>
                <w:color w:val="auto"/>
                <w:spacing w:val="0"/>
                <w:w w:val="100"/>
                <w:position w:val="0"/>
                <w:highlight w:val="none"/>
              </w:rPr>
            </w:pPr>
          </w:p>
        </w:tc>
        <w:tc>
          <w:tcPr>
            <w:tcW w:w="992" w:type="dxa"/>
            <w:vAlign w:val="center"/>
          </w:tcPr>
          <w:p w14:paraId="19BA36A6">
            <w:pPr>
              <w:keepNext w:val="0"/>
              <w:keepLines w:val="0"/>
              <w:pageBreakBefore w:val="0"/>
              <w:kinsoku/>
              <w:bidi w:val="0"/>
              <w:jc w:val="both"/>
              <w:rPr>
                <w:color w:val="auto"/>
                <w:spacing w:val="0"/>
                <w:w w:val="100"/>
                <w:position w:val="0"/>
                <w:highlight w:val="none"/>
              </w:rPr>
            </w:pPr>
          </w:p>
        </w:tc>
      </w:tr>
      <w:tr w14:paraId="409C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66" w:type="dxa"/>
            <w:vAlign w:val="center"/>
          </w:tcPr>
          <w:p w14:paraId="06C02F49">
            <w:pPr>
              <w:keepNext w:val="0"/>
              <w:keepLines w:val="0"/>
              <w:pageBreakBefore w:val="0"/>
              <w:kinsoku/>
              <w:bidi w:val="0"/>
              <w:jc w:val="both"/>
              <w:rPr>
                <w:color w:val="auto"/>
                <w:spacing w:val="0"/>
                <w:w w:val="100"/>
                <w:position w:val="0"/>
                <w:highlight w:val="none"/>
              </w:rPr>
            </w:pPr>
          </w:p>
        </w:tc>
        <w:tc>
          <w:tcPr>
            <w:tcW w:w="990" w:type="dxa"/>
            <w:vAlign w:val="center"/>
          </w:tcPr>
          <w:p w14:paraId="15E2BEC6">
            <w:pPr>
              <w:keepNext w:val="0"/>
              <w:keepLines w:val="0"/>
              <w:pageBreakBefore w:val="0"/>
              <w:kinsoku/>
              <w:bidi w:val="0"/>
              <w:jc w:val="both"/>
              <w:rPr>
                <w:color w:val="auto"/>
                <w:spacing w:val="0"/>
                <w:w w:val="100"/>
                <w:position w:val="0"/>
                <w:highlight w:val="none"/>
              </w:rPr>
            </w:pPr>
          </w:p>
        </w:tc>
        <w:tc>
          <w:tcPr>
            <w:tcW w:w="1256" w:type="dxa"/>
            <w:vAlign w:val="center"/>
          </w:tcPr>
          <w:p w14:paraId="36BD60E4">
            <w:pPr>
              <w:keepNext w:val="0"/>
              <w:keepLines w:val="0"/>
              <w:pageBreakBefore w:val="0"/>
              <w:kinsoku/>
              <w:bidi w:val="0"/>
              <w:jc w:val="both"/>
              <w:rPr>
                <w:color w:val="auto"/>
                <w:spacing w:val="0"/>
                <w:w w:val="100"/>
                <w:position w:val="0"/>
                <w:highlight w:val="none"/>
              </w:rPr>
            </w:pPr>
          </w:p>
        </w:tc>
        <w:tc>
          <w:tcPr>
            <w:tcW w:w="1107" w:type="dxa"/>
            <w:vAlign w:val="center"/>
          </w:tcPr>
          <w:p w14:paraId="1A3AE83F">
            <w:pPr>
              <w:keepNext w:val="0"/>
              <w:keepLines w:val="0"/>
              <w:pageBreakBefore w:val="0"/>
              <w:kinsoku/>
              <w:bidi w:val="0"/>
              <w:jc w:val="both"/>
              <w:rPr>
                <w:color w:val="auto"/>
                <w:spacing w:val="0"/>
                <w:w w:val="100"/>
                <w:position w:val="0"/>
                <w:highlight w:val="none"/>
              </w:rPr>
            </w:pPr>
          </w:p>
        </w:tc>
        <w:tc>
          <w:tcPr>
            <w:tcW w:w="1189" w:type="dxa"/>
            <w:vAlign w:val="center"/>
          </w:tcPr>
          <w:p w14:paraId="60EC87A2">
            <w:pPr>
              <w:keepNext w:val="0"/>
              <w:keepLines w:val="0"/>
              <w:pageBreakBefore w:val="0"/>
              <w:kinsoku/>
              <w:bidi w:val="0"/>
              <w:jc w:val="both"/>
              <w:rPr>
                <w:color w:val="auto"/>
                <w:spacing w:val="0"/>
                <w:w w:val="100"/>
                <w:position w:val="0"/>
                <w:highlight w:val="none"/>
              </w:rPr>
            </w:pPr>
          </w:p>
        </w:tc>
        <w:tc>
          <w:tcPr>
            <w:tcW w:w="1502" w:type="dxa"/>
            <w:vAlign w:val="center"/>
          </w:tcPr>
          <w:p w14:paraId="6D1C4E61">
            <w:pPr>
              <w:keepNext w:val="0"/>
              <w:keepLines w:val="0"/>
              <w:pageBreakBefore w:val="0"/>
              <w:kinsoku/>
              <w:bidi w:val="0"/>
              <w:jc w:val="both"/>
              <w:rPr>
                <w:color w:val="auto"/>
                <w:spacing w:val="0"/>
                <w:w w:val="100"/>
                <w:position w:val="0"/>
                <w:highlight w:val="none"/>
              </w:rPr>
            </w:pPr>
          </w:p>
        </w:tc>
        <w:tc>
          <w:tcPr>
            <w:tcW w:w="1535" w:type="dxa"/>
            <w:vAlign w:val="center"/>
          </w:tcPr>
          <w:p w14:paraId="71F7DB18">
            <w:pPr>
              <w:keepNext w:val="0"/>
              <w:keepLines w:val="0"/>
              <w:pageBreakBefore w:val="0"/>
              <w:kinsoku/>
              <w:bidi w:val="0"/>
              <w:jc w:val="both"/>
              <w:rPr>
                <w:color w:val="auto"/>
                <w:spacing w:val="0"/>
                <w:w w:val="100"/>
                <w:position w:val="0"/>
                <w:highlight w:val="none"/>
              </w:rPr>
            </w:pPr>
          </w:p>
        </w:tc>
        <w:tc>
          <w:tcPr>
            <w:tcW w:w="1338" w:type="dxa"/>
            <w:vAlign w:val="center"/>
          </w:tcPr>
          <w:p w14:paraId="4C9D0B4C">
            <w:pPr>
              <w:keepNext w:val="0"/>
              <w:keepLines w:val="0"/>
              <w:pageBreakBefore w:val="0"/>
              <w:kinsoku/>
              <w:bidi w:val="0"/>
              <w:jc w:val="both"/>
              <w:rPr>
                <w:color w:val="auto"/>
                <w:spacing w:val="0"/>
                <w:w w:val="100"/>
                <w:position w:val="0"/>
                <w:highlight w:val="none"/>
              </w:rPr>
            </w:pPr>
          </w:p>
        </w:tc>
        <w:tc>
          <w:tcPr>
            <w:tcW w:w="1362" w:type="dxa"/>
            <w:vAlign w:val="center"/>
          </w:tcPr>
          <w:p w14:paraId="3FC74BE2">
            <w:pPr>
              <w:keepNext w:val="0"/>
              <w:keepLines w:val="0"/>
              <w:pageBreakBefore w:val="0"/>
              <w:kinsoku/>
              <w:bidi w:val="0"/>
              <w:jc w:val="both"/>
              <w:rPr>
                <w:color w:val="auto"/>
                <w:spacing w:val="0"/>
                <w:w w:val="100"/>
                <w:position w:val="0"/>
                <w:highlight w:val="none"/>
              </w:rPr>
            </w:pPr>
          </w:p>
        </w:tc>
        <w:tc>
          <w:tcPr>
            <w:tcW w:w="957" w:type="dxa"/>
            <w:vAlign w:val="center"/>
          </w:tcPr>
          <w:p w14:paraId="5BB6FECF">
            <w:pPr>
              <w:keepNext w:val="0"/>
              <w:keepLines w:val="0"/>
              <w:pageBreakBefore w:val="0"/>
              <w:kinsoku/>
              <w:bidi w:val="0"/>
              <w:jc w:val="both"/>
              <w:rPr>
                <w:color w:val="auto"/>
                <w:spacing w:val="0"/>
                <w:w w:val="100"/>
                <w:position w:val="0"/>
                <w:highlight w:val="none"/>
              </w:rPr>
            </w:pPr>
          </w:p>
        </w:tc>
        <w:tc>
          <w:tcPr>
            <w:tcW w:w="1278" w:type="dxa"/>
            <w:vAlign w:val="center"/>
          </w:tcPr>
          <w:p w14:paraId="165A1FA5">
            <w:pPr>
              <w:keepNext w:val="0"/>
              <w:keepLines w:val="0"/>
              <w:pageBreakBefore w:val="0"/>
              <w:kinsoku/>
              <w:bidi w:val="0"/>
              <w:jc w:val="both"/>
              <w:rPr>
                <w:color w:val="auto"/>
                <w:spacing w:val="0"/>
                <w:w w:val="100"/>
                <w:position w:val="0"/>
                <w:highlight w:val="none"/>
              </w:rPr>
            </w:pPr>
          </w:p>
        </w:tc>
        <w:tc>
          <w:tcPr>
            <w:tcW w:w="992" w:type="dxa"/>
            <w:vAlign w:val="center"/>
          </w:tcPr>
          <w:p w14:paraId="1A7CCB9E">
            <w:pPr>
              <w:keepNext w:val="0"/>
              <w:keepLines w:val="0"/>
              <w:pageBreakBefore w:val="0"/>
              <w:kinsoku/>
              <w:bidi w:val="0"/>
              <w:jc w:val="both"/>
              <w:rPr>
                <w:color w:val="auto"/>
                <w:spacing w:val="0"/>
                <w:w w:val="100"/>
                <w:position w:val="0"/>
                <w:highlight w:val="none"/>
              </w:rPr>
            </w:pPr>
          </w:p>
        </w:tc>
      </w:tr>
      <w:tr w14:paraId="0272C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66" w:type="dxa"/>
            <w:vAlign w:val="center"/>
          </w:tcPr>
          <w:p w14:paraId="44A73632">
            <w:pPr>
              <w:keepNext w:val="0"/>
              <w:keepLines w:val="0"/>
              <w:pageBreakBefore w:val="0"/>
              <w:kinsoku/>
              <w:bidi w:val="0"/>
              <w:jc w:val="both"/>
              <w:rPr>
                <w:color w:val="auto"/>
                <w:spacing w:val="0"/>
                <w:w w:val="100"/>
                <w:position w:val="0"/>
                <w:highlight w:val="none"/>
              </w:rPr>
            </w:pPr>
          </w:p>
        </w:tc>
        <w:tc>
          <w:tcPr>
            <w:tcW w:w="990" w:type="dxa"/>
            <w:vAlign w:val="center"/>
          </w:tcPr>
          <w:p w14:paraId="5DD6FF4B">
            <w:pPr>
              <w:keepNext w:val="0"/>
              <w:keepLines w:val="0"/>
              <w:pageBreakBefore w:val="0"/>
              <w:kinsoku/>
              <w:bidi w:val="0"/>
              <w:jc w:val="both"/>
              <w:rPr>
                <w:color w:val="auto"/>
                <w:spacing w:val="0"/>
                <w:w w:val="100"/>
                <w:position w:val="0"/>
                <w:highlight w:val="none"/>
              </w:rPr>
            </w:pPr>
          </w:p>
        </w:tc>
        <w:tc>
          <w:tcPr>
            <w:tcW w:w="1256" w:type="dxa"/>
            <w:vAlign w:val="center"/>
          </w:tcPr>
          <w:p w14:paraId="1C0CC600">
            <w:pPr>
              <w:keepNext w:val="0"/>
              <w:keepLines w:val="0"/>
              <w:pageBreakBefore w:val="0"/>
              <w:kinsoku/>
              <w:bidi w:val="0"/>
              <w:jc w:val="both"/>
              <w:rPr>
                <w:color w:val="auto"/>
                <w:spacing w:val="0"/>
                <w:w w:val="100"/>
                <w:position w:val="0"/>
                <w:highlight w:val="none"/>
              </w:rPr>
            </w:pPr>
          </w:p>
        </w:tc>
        <w:tc>
          <w:tcPr>
            <w:tcW w:w="1107" w:type="dxa"/>
            <w:vAlign w:val="center"/>
          </w:tcPr>
          <w:p w14:paraId="3114BB1A">
            <w:pPr>
              <w:keepNext w:val="0"/>
              <w:keepLines w:val="0"/>
              <w:pageBreakBefore w:val="0"/>
              <w:kinsoku/>
              <w:bidi w:val="0"/>
              <w:jc w:val="both"/>
              <w:rPr>
                <w:color w:val="auto"/>
                <w:spacing w:val="0"/>
                <w:w w:val="100"/>
                <w:position w:val="0"/>
                <w:highlight w:val="none"/>
              </w:rPr>
            </w:pPr>
          </w:p>
        </w:tc>
        <w:tc>
          <w:tcPr>
            <w:tcW w:w="1189" w:type="dxa"/>
            <w:vAlign w:val="center"/>
          </w:tcPr>
          <w:p w14:paraId="035AAAC4">
            <w:pPr>
              <w:keepNext w:val="0"/>
              <w:keepLines w:val="0"/>
              <w:pageBreakBefore w:val="0"/>
              <w:kinsoku/>
              <w:bidi w:val="0"/>
              <w:jc w:val="both"/>
              <w:rPr>
                <w:color w:val="auto"/>
                <w:spacing w:val="0"/>
                <w:w w:val="100"/>
                <w:position w:val="0"/>
                <w:highlight w:val="none"/>
              </w:rPr>
            </w:pPr>
          </w:p>
        </w:tc>
        <w:tc>
          <w:tcPr>
            <w:tcW w:w="1502" w:type="dxa"/>
            <w:vAlign w:val="center"/>
          </w:tcPr>
          <w:p w14:paraId="4855DE45">
            <w:pPr>
              <w:keepNext w:val="0"/>
              <w:keepLines w:val="0"/>
              <w:pageBreakBefore w:val="0"/>
              <w:kinsoku/>
              <w:bidi w:val="0"/>
              <w:jc w:val="both"/>
              <w:rPr>
                <w:color w:val="auto"/>
                <w:spacing w:val="0"/>
                <w:w w:val="100"/>
                <w:position w:val="0"/>
                <w:highlight w:val="none"/>
              </w:rPr>
            </w:pPr>
          </w:p>
        </w:tc>
        <w:tc>
          <w:tcPr>
            <w:tcW w:w="1535" w:type="dxa"/>
            <w:vAlign w:val="center"/>
          </w:tcPr>
          <w:p w14:paraId="213CD855">
            <w:pPr>
              <w:keepNext w:val="0"/>
              <w:keepLines w:val="0"/>
              <w:pageBreakBefore w:val="0"/>
              <w:kinsoku/>
              <w:bidi w:val="0"/>
              <w:jc w:val="both"/>
              <w:rPr>
                <w:color w:val="auto"/>
                <w:spacing w:val="0"/>
                <w:w w:val="100"/>
                <w:position w:val="0"/>
                <w:highlight w:val="none"/>
              </w:rPr>
            </w:pPr>
          </w:p>
        </w:tc>
        <w:tc>
          <w:tcPr>
            <w:tcW w:w="1338" w:type="dxa"/>
            <w:vAlign w:val="center"/>
          </w:tcPr>
          <w:p w14:paraId="3643F17F">
            <w:pPr>
              <w:keepNext w:val="0"/>
              <w:keepLines w:val="0"/>
              <w:pageBreakBefore w:val="0"/>
              <w:kinsoku/>
              <w:bidi w:val="0"/>
              <w:jc w:val="both"/>
              <w:rPr>
                <w:color w:val="auto"/>
                <w:spacing w:val="0"/>
                <w:w w:val="100"/>
                <w:position w:val="0"/>
                <w:highlight w:val="none"/>
              </w:rPr>
            </w:pPr>
          </w:p>
        </w:tc>
        <w:tc>
          <w:tcPr>
            <w:tcW w:w="1362" w:type="dxa"/>
            <w:vAlign w:val="center"/>
          </w:tcPr>
          <w:p w14:paraId="67946CF3">
            <w:pPr>
              <w:keepNext w:val="0"/>
              <w:keepLines w:val="0"/>
              <w:pageBreakBefore w:val="0"/>
              <w:kinsoku/>
              <w:bidi w:val="0"/>
              <w:jc w:val="both"/>
              <w:rPr>
                <w:color w:val="auto"/>
                <w:spacing w:val="0"/>
                <w:w w:val="100"/>
                <w:position w:val="0"/>
                <w:highlight w:val="none"/>
              </w:rPr>
            </w:pPr>
          </w:p>
        </w:tc>
        <w:tc>
          <w:tcPr>
            <w:tcW w:w="957" w:type="dxa"/>
            <w:vAlign w:val="center"/>
          </w:tcPr>
          <w:p w14:paraId="4424A1FC">
            <w:pPr>
              <w:keepNext w:val="0"/>
              <w:keepLines w:val="0"/>
              <w:pageBreakBefore w:val="0"/>
              <w:kinsoku/>
              <w:bidi w:val="0"/>
              <w:jc w:val="both"/>
              <w:rPr>
                <w:color w:val="auto"/>
                <w:spacing w:val="0"/>
                <w:w w:val="100"/>
                <w:position w:val="0"/>
                <w:highlight w:val="none"/>
              </w:rPr>
            </w:pPr>
          </w:p>
        </w:tc>
        <w:tc>
          <w:tcPr>
            <w:tcW w:w="1278" w:type="dxa"/>
            <w:vAlign w:val="center"/>
          </w:tcPr>
          <w:p w14:paraId="4C67161D">
            <w:pPr>
              <w:keepNext w:val="0"/>
              <w:keepLines w:val="0"/>
              <w:pageBreakBefore w:val="0"/>
              <w:kinsoku/>
              <w:bidi w:val="0"/>
              <w:jc w:val="both"/>
              <w:rPr>
                <w:color w:val="auto"/>
                <w:spacing w:val="0"/>
                <w:w w:val="100"/>
                <w:position w:val="0"/>
                <w:highlight w:val="none"/>
              </w:rPr>
            </w:pPr>
          </w:p>
        </w:tc>
        <w:tc>
          <w:tcPr>
            <w:tcW w:w="992" w:type="dxa"/>
            <w:vAlign w:val="center"/>
          </w:tcPr>
          <w:p w14:paraId="29C84103">
            <w:pPr>
              <w:keepNext w:val="0"/>
              <w:keepLines w:val="0"/>
              <w:pageBreakBefore w:val="0"/>
              <w:kinsoku/>
              <w:bidi w:val="0"/>
              <w:jc w:val="both"/>
              <w:rPr>
                <w:color w:val="auto"/>
                <w:spacing w:val="0"/>
                <w:w w:val="100"/>
                <w:position w:val="0"/>
                <w:highlight w:val="none"/>
              </w:rPr>
            </w:pPr>
          </w:p>
        </w:tc>
      </w:tr>
      <w:tr w14:paraId="0797D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66" w:type="dxa"/>
            <w:vAlign w:val="center"/>
          </w:tcPr>
          <w:p w14:paraId="08693BFB">
            <w:pPr>
              <w:keepNext w:val="0"/>
              <w:keepLines w:val="0"/>
              <w:pageBreakBefore w:val="0"/>
              <w:kinsoku/>
              <w:bidi w:val="0"/>
              <w:jc w:val="both"/>
              <w:rPr>
                <w:color w:val="auto"/>
                <w:spacing w:val="0"/>
                <w:w w:val="100"/>
                <w:position w:val="0"/>
                <w:highlight w:val="none"/>
              </w:rPr>
            </w:pPr>
          </w:p>
        </w:tc>
        <w:tc>
          <w:tcPr>
            <w:tcW w:w="990" w:type="dxa"/>
            <w:vAlign w:val="center"/>
          </w:tcPr>
          <w:p w14:paraId="482EBA7E">
            <w:pPr>
              <w:keepNext w:val="0"/>
              <w:keepLines w:val="0"/>
              <w:pageBreakBefore w:val="0"/>
              <w:kinsoku/>
              <w:bidi w:val="0"/>
              <w:jc w:val="both"/>
              <w:rPr>
                <w:color w:val="auto"/>
                <w:spacing w:val="0"/>
                <w:w w:val="100"/>
                <w:position w:val="0"/>
                <w:highlight w:val="none"/>
              </w:rPr>
            </w:pPr>
          </w:p>
        </w:tc>
        <w:tc>
          <w:tcPr>
            <w:tcW w:w="1256" w:type="dxa"/>
            <w:vAlign w:val="center"/>
          </w:tcPr>
          <w:p w14:paraId="43B547FC">
            <w:pPr>
              <w:keepNext w:val="0"/>
              <w:keepLines w:val="0"/>
              <w:pageBreakBefore w:val="0"/>
              <w:kinsoku/>
              <w:bidi w:val="0"/>
              <w:jc w:val="both"/>
              <w:rPr>
                <w:color w:val="auto"/>
                <w:spacing w:val="0"/>
                <w:w w:val="100"/>
                <w:position w:val="0"/>
                <w:highlight w:val="none"/>
              </w:rPr>
            </w:pPr>
          </w:p>
        </w:tc>
        <w:tc>
          <w:tcPr>
            <w:tcW w:w="1107" w:type="dxa"/>
            <w:vAlign w:val="center"/>
          </w:tcPr>
          <w:p w14:paraId="1C975F66">
            <w:pPr>
              <w:keepNext w:val="0"/>
              <w:keepLines w:val="0"/>
              <w:pageBreakBefore w:val="0"/>
              <w:kinsoku/>
              <w:bidi w:val="0"/>
              <w:jc w:val="both"/>
              <w:rPr>
                <w:color w:val="auto"/>
                <w:spacing w:val="0"/>
                <w:w w:val="100"/>
                <w:position w:val="0"/>
                <w:highlight w:val="none"/>
              </w:rPr>
            </w:pPr>
          </w:p>
        </w:tc>
        <w:tc>
          <w:tcPr>
            <w:tcW w:w="1189" w:type="dxa"/>
            <w:vAlign w:val="center"/>
          </w:tcPr>
          <w:p w14:paraId="76337F27">
            <w:pPr>
              <w:keepNext w:val="0"/>
              <w:keepLines w:val="0"/>
              <w:pageBreakBefore w:val="0"/>
              <w:kinsoku/>
              <w:bidi w:val="0"/>
              <w:jc w:val="both"/>
              <w:rPr>
                <w:color w:val="auto"/>
                <w:spacing w:val="0"/>
                <w:w w:val="100"/>
                <w:position w:val="0"/>
                <w:highlight w:val="none"/>
              </w:rPr>
            </w:pPr>
          </w:p>
        </w:tc>
        <w:tc>
          <w:tcPr>
            <w:tcW w:w="1502" w:type="dxa"/>
            <w:vAlign w:val="center"/>
          </w:tcPr>
          <w:p w14:paraId="30A1F6BA">
            <w:pPr>
              <w:keepNext w:val="0"/>
              <w:keepLines w:val="0"/>
              <w:pageBreakBefore w:val="0"/>
              <w:kinsoku/>
              <w:bidi w:val="0"/>
              <w:jc w:val="both"/>
              <w:rPr>
                <w:color w:val="auto"/>
                <w:spacing w:val="0"/>
                <w:w w:val="100"/>
                <w:position w:val="0"/>
                <w:highlight w:val="none"/>
              </w:rPr>
            </w:pPr>
          </w:p>
        </w:tc>
        <w:tc>
          <w:tcPr>
            <w:tcW w:w="1535" w:type="dxa"/>
            <w:vAlign w:val="center"/>
          </w:tcPr>
          <w:p w14:paraId="50830547">
            <w:pPr>
              <w:keepNext w:val="0"/>
              <w:keepLines w:val="0"/>
              <w:pageBreakBefore w:val="0"/>
              <w:kinsoku/>
              <w:bidi w:val="0"/>
              <w:jc w:val="both"/>
              <w:rPr>
                <w:color w:val="auto"/>
                <w:spacing w:val="0"/>
                <w:w w:val="100"/>
                <w:position w:val="0"/>
                <w:highlight w:val="none"/>
              </w:rPr>
            </w:pPr>
          </w:p>
        </w:tc>
        <w:tc>
          <w:tcPr>
            <w:tcW w:w="1338" w:type="dxa"/>
            <w:vAlign w:val="center"/>
          </w:tcPr>
          <w:p w14:paraId="4D6E481D">
            <w:pPr>
              <w:keepNext w:val="0"/>
              <w:keepLines w:val="0"/>
              <w:pageBreakBefore w:val="0"/>
              <w:kinsoku/>
              <w:bidi w:val="0"/>
              <w:jc w:val="both"/>
              <w:rPr>
                <w:color w:val="auto"/>
                <w:spacing w:val="0"/>
                <w:w w:val="100"/>
                <w:position w:val="0"/>
                <w:highlight w:val="none"/>
              </w:rPr>
            </w:pPr>
          </w:p>
        </w:tc>
        <w:tc>
          <w:tcPr>
            <w:tcW w:w="1362" w:type="dxa"/>
            <w:vAlign w:val="center"/>
          </w:tcPr>
          <w:p w14:paraId="1AD159C7">
            <w:pPr>
              <w:keepNext w:val="0"/>
              <w:keepLines w:val="0"/>
              <w:pageBreakBefore w:val="0"/>
              <w:kinsoku/>
              <w:bidi w:val="0"/>
              <w:jc w:val="both"/>
              <w:rPr>
                <w:color w:val="auto"/>
                <w:spacing w:val="0"/>
                <w:w w:val="100"/>
                <w:position w:val="0"/>
                <w:highlight w:val="none"/>
              </w:rPr>
            </w:pPr>
          </w:p>
        </w:tc>
        <w:tc>
          <w:tcPr>
            <w:tcW w:w="957" w:type="dxa"/>
            <w:vAlign w:val="center"/>
          </w:tcPr>
          <w:p w14:paraId="6C6DE794">
            <w:pPr>
              <w:keepNext w:val="0"/>
              <w:keepLines w:val="0"/>
              <w:pageBreakBefore w:val="0"/>
              <w:kinsoku/>
              <w:bidi w:val="0"/>
              <w:jc w:val="both"/>
              <w:rPr>
                <w:color w:val="auto"/>
                <w:spacing w:val="0"/>
                <w:w w:val="100"/>
                <w:position w:val="0"/>
                <w:highlight w:val="none"/>
              </w:rPr>
            </w:pPr>
          </w:p>
        </w:tc>
        <w:tc>
          <w:tcPr>
            <w:tcW w:w="1278" w:type="dxa"/>
            <w:vAlign w:val="center"/>
          </w:tcPr>
          <w:p w14:paraId="4F5A131F">
            <w:pPr>
              <w:keepNext w:val="0"/>
              <w:keepLines w:val="0"/>
              <w:pageBreakBefore w:val="0"/>
              <w:kinsoku/>
              <w:bidi w:val="0"/>
              <w:jc w:val="both"/>
              <w:rPr>
                <w:color w:val="auto"/>
                <w:spacing w:val="0"/>
                <w:w w:val="100"/>
                <w:position w:val="0"/>
                <w:highlight w:val="none"/>
              </w:rPr>
            </w:pPr>
          </w:p>
        </w:tc>
        <w:tc>
          <w:tcPr>
            <w:tcW w:w="992" w:type="dxa"/>
            <w:vAlign w:val="center"/>
          </w:tcPr>
          <w:p w14:paraId="4D9C7DED">
            <w:pPr>
              <w:keepNext w:val="0"/>
              <w:keepLines w:val="0"/>
              <w:pageBreakBefore w:val="0"/>
              <w:kinsoku/>
              <w:bidi w:val="0"/>
              <w:jc w:val="both"/>
              <w:rPr>
                <w:color w:val="auto"/>
                <w:spacing w:val="0"/>
                <w:w w:val="100"/>
                <w:position w:val="0"/>
                <w:highlight w:val="none"/>
              </w:rPr>
            </w:pPr>
          </w:p>
        </w:tc>
      </w:tr>
      <w:tr w14:paraId="2F197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66" w:type="dxa"/>
            <w:vAlign w:val="center"/>
          </w:tcPr>
          <w:p w14:paraId="67DF7284">
            <w:pPr>
              <w:keepNext w:val="0"/>
              <w:keepLines w:val="0"/>
              <w:pageBreakBefore w:val="0"/>
              <w:kinsoku/>
              <w:bidi w:val="0"/>
              <w:jc w:val="both"/>
              <w:rPr>
                <w:color w:val="auto"/>
                <w:spacing w:val="0"/>
                <w:w w:val="100"/>
                <w:position w:val="0"/>
                <w:highlight w:val="none"/>
              </w:rPr>
            </w:pPr>
          </w:p>
        </w:tc>
        <w:tc>
          <w:tcPr>
            <w:tcW w:w="990" w:type="dxa"/>
            <w:vAlign w:val="center"/>
          </w:tcPr>
          <w:p w14:paraId="02392A97">
            <w:pPr>
              <w:keepNext w:val="0"/>
              <w:keepLines w:val="0"/>
              <w:pageBreakBefore w:val="0"/>
              <w:kinsoku/>
              <w:bidi w:val="0"/>
              <w:jc w:val="both"/>
              <w:rPr>
                <w:color w:val="auto"/>
                <w:spacing w:val="0"/>
                <w:w w:val="100"/>
                <w:position w:val="0"/>
                <w:highlight w:val="none"/>
              </w:rPr>
            </w:pPr>
          </w:p>
        </w:tc>
        <w:tc>
          <w:tcPr>
            <w:tcW w:w="1256" w:type="dxa"/>
            <w:vAlign w:val="center"/>
          </w:tcPr>
          <w:p w14:paraId="6623A743">
            <w:pPr>
              <w:keepNext w:val="0"/>
              <w:keepLines w:val="0"/>
              <w:pageBreakBefore w:val="0"/>
              <w:kinsoku/>
              <w:bidi w:val="0"/>
              <w:jc w:val="both"/>
              <w:rPr>
                <w:color w:val="auto"/>
                <w:spacing w:val="0"/>
                <w:w w:val="100"/>
                <w:position w:val="0"/>
                <w:highlight w:val="none"/>
              </w:rPr>
            </w:pPr>
          </w:p>
        </w:tc>
        <w:tc>
          <w:tcPr>
            <w:tcW w:w="1107" w:type="dxa"/>
            <w:vAlign w:val="center"/>
          </w:tcPr>
          <w:p w14:paraId="00D4AF54">
            <w:pPr>
              <w:keepNext w:val="0"/>
              <w:keepLines w:val="0"/>
              <w:pageBreakBefore w:val="0"/>
              <w:kinsoku/>
              <w:bidi w:val="0"/>
              <w:jc w:val="both"/>
              <w:rPr>
                <w:color w:val="auto"/>
                <w:spacing w:val="0"/>
                <w:w w:val="100"/>
                <w:position w:val="0"/>
                <w:highlight w:val="none"/>
              </w:rPr>
            </w:pPr>
          </w:p>
        </w:tc>
        <w:tc>
          <w:tcPr>
            <w:tcW w:w="1189" w:type="dxa"/>
            <w:vAlign w:val="center"/>
          </w:tcPr>
          <w:p w14:paraId="7A56E8E7">
            <w:pPr>
              <w:keepNext w:val="0"/>
              <w:keepLines w:val="0"/>
              <w:pageBreakBefore w:val="0"/>
              <w:kinsoku/>
              <w:bidi w:val="0"/>
              <w:jc w:val="both"/>
              <w:rPr>
                <w:color w:val="auto"/>
                <w:spacing w:val="0"/>
                <w:w w:val="100"/>
                <w:position w:val="0"/>
                <w:highlight w:val="none"/>
              </w:rPr>
            </w:pPr>
          </w:p>
        </w:tc>
        <w:tc>
          <w:tcPr>
            <w:tcW w:w="1502" w:type="dxa"/>
            <w:vAlign w:val="center"/>
          </w:tcPr>
          <w:p w14:paraId="7331D961">
            <w:pPr>
              <w:keepNext w:val="0"/>
              <w:keepLines w:val="0"/>
              <w:pageBreakBefore w:val="0"/>
              <w:kinsoku/>
              <w:bidi w:val="0"/>
              <w:jc w:val="both"/>
              <w:rPr>
                <w:color w:val="auto"/>
                <w:spacing w:val="0"/>
                <w:w w:val="100"/>
                <w:position w:val="0"/>
                <w:highlight w:val="none"/>
              </w:rPr>
            </w:pPr>
          </w:p>
        </w:tc>
        <w:tc>
          <w:tcPr>
            <w:tcW w:w="1535" w:type="dxa"/>
            <w:vAlign w:val="center"/>
          </w:tcPr>
          <w:p w14:paraId="5A6D6688">
            <w:pPr>
              <w:keepNext w:val="0"/>
              <w:keepLines w:val="0"/>
              <w:pageBreakBefore w:val="0"/>
              <w:kinsoku/>
              <w:bidi w:val="0"/>
              <w:jc w:val="both"/>
              <w:rPr>
                <w:color w:val="auto"/>
                <w:spacing w:val="0"/>
                <w:w w:val="100"/>
                <w:position w:val="0"/>
                <w:highlight w:val="none"/>
              </w:rPr>
            </w:pPr>
          </w:p>
        </w:tc>
        <w:tc>
          <w:tcPr>
            <w:tcW w:w="1338" w:type="dxa"/>
            <w:vAlign w:val="center"/>
          </w:tcPr>
          <w:p w14:paraId="320358D5">
            <w:pPr>
              <w:keepNext w:val="0"/>
              <w:keepLines w:val="0"/>
              <w:pageBreakBefore w:val="0"/>
              <w:kinsoku/>
              <w:bidi w:val="0"/>
              <w:jc w:val="both"/>
              <w:rPr>
                <w:color w:val="auto"/>
                <w:spacing w:val="0"/>
                <w:w w:val="100"/>
                <w:position w:val="0"/>
                <w:highlight w:val="none"/>
              </w:rPr>
            </w:pPr>
          </w:p>
        </w:tc>
        <w:tc>
          <w:tcPr>
            <w:tcW w:w="1362" w:type="dxa"/>
            <w:vAlign w:val="center"/>
          </w:tcPr>
          <w:p w14:paraId="4573ACA9">
            <w:pPr>
              <w:keepNext w:val="0"/>
              <w:keepLines w:val="0"/>
              <w:pageBreakBefore w:val="0"/>
              <w:kinsoku/>
              <w:bidi w:val="0"/>
              <w:jc w:val="both"/>
              <w:rPr>
                <w:color w:val="auto"/>
                <w:spacing w:val="0"/>
                <w:w w:val="100"/>
                <w:position w:val="0"/>
                <w:highlight w:val="none"/>
              </w:rPr>
            </w:pPr>
          </w:p>
        </w:tc>
        <w:tc>
          <w:tcPr>
            <w:tcW w:w="957" w:type="dxa"/>
            <w:vAlign w:val="center"/>
          </w:tcPr>
          <w:p w14:paraId="01B39B9A">
            <w:pPr>
              <w:keepNext w:val="0"/>
              <w:keepLines w:val="0"/>
              <w:pageBreakBefore w:val="0"/>
              <w:kinsoku/>
              <w:bidi w:val="0"/>
              <w:jc w:val="both"/>
              <w:rPr>
                <w:color w:val="auto"/>
                <w:spacing w:val="0"/>
                <w:w w:val="100"/>
                <w:position w:val="0"/>
                <w:highlight w:val="none"/>
              </w:rPr>
            </w:pPr>
          </w:p>
        </w:tc>
        <w:tc>
          <w:tcPr>
            <w:tcW w:w="1278" w:type="dxa"/>
            <w:vAlign w:val="center"/>
          </w:tcPr>
          <w:p w14:paraId="62650C01">
            <w:pPr>
              <w:keepNext w:val="0"/>
              <w:keepLines w:val="0"/>
              <w:pageBreakBefore w:val="0"/>
              <w:kinsoku/>
              <w:bidi w:val="0"/>
              <w:jc w:val="both"/>
              <w:rPr>
                <w:color w:val="auto"/>
                <w:spacing w:val="0"/>
                <w:w w:val="100"/>
                <w:position w:val="0"/>
                <w:highlight w:val="none"/>
              </w:rPr>
            </w:pPr>
          </w:p>
        </w:tc>
        <w:tc>
          <w:tcPr>
            <w:tcW w:w="992" w:type="dxa"/>
            <w:vAlign w:val="center"/>
          </w:tcPr>
          <w:p w14:paraId="598A70E2">
            <w:pPr>
              <w:keepNext w:val="0"/>
              <w:keepLines w:val="0"/>
              <w:pageBreakBefore w:val="0"/>
              <w:kinsoku/>
              <w:bidi w:val="0"/>
              <w:jc w:val="both"/>
              <w:rPr>
                <w:color w:val="auto"/>
                <w:spacing w:val="0"/>
                <w:w w:val="100"/>
                <w:position w:val="0"/>
                <w:highlight w:val="none"/>
              </w:rPr>
            </w:pPr>
          </w:p>
        </w:tc>
      </w:tr>
    </w:tbl>
    <w:p w14:paraId="7FB1F7D2">
      <w:pPr>
        <w:pStyle w:val="7"/>
        <w:keepNext w:val="0"/>
        <w:keepLines w:val="0"/>
        <w:pageBreakBefore w:val="0"/>
        <w:kinsoku/>
        <w:bidi w:val="0"/>
        <w:spacing w:line="248" w:lineRule="auto"/>
        <w:rPr>
          <w:color w:val="auto"/>
          <w:spacing w:val="0"/>
          <w:w w:val="100"/>
          <w:position w:val="0"/>
          <w:highlight w:val="none"/>
        </w:rPr>
      </w:pPr>
    </w:p>
    <w:p w14:paraId="697D1D03">
      <w:pPr>
        <w:keepNext w:val="0"/>
        <w:keepLines w:val="0"/>
        <w:pageBreakBefore w:val="0"/>
        <w:kinsoku/>
        <w:bidi w:val="0"/>
        <w:spacing w:before="66" w:line="228" w:lineRule="auto"/>
        <w:ind w:left="118"/>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监管单位：                                              招标人：                                 招标代理：</w:t>
      </w:r>
    </w:p>
    <w:p w14:paraId="7FCEE150">
      <w:pPr>
        <w:pStyle w:val="7"/>
        <w:keepNext w:val="0"/>
        <w:keepLines w:val="0"/>
        <w:pageBreakBefore w:val="0"/>
        <w:kinsoku/>
        <w:bidi w:val="0"/>
        <w:spacing w:line="284" w:lineRule="auto"/>
        <w:rPr>
          <w:color w:val="auto"/>
          <w:spacing w:val="0"/>
          <w:w w:val="100"/>
          <w:position w:val="0"/>
          <w:highlight w:val="none"/>
          <w:lang w:eastAsia="zh-CN"/>
        </w:rPr>
      </w:pPr>
    </w:p>
    <w:p w14:paraId="3EA6C97A">
      <w:pPr>
        <w:keepNext w:val="0"/>
        <w:keepLines w:val="0"/>
        <w:pageBreakBefore w:val="0"/>
        <w:kinsoku/>
        <w:bidi w:val="0"/>
        <w:spacing w:before="62" w:line="227" w:lineRule="auto"/>
        <w:ind w:left="518"/>
        <w:rPr>
          <w:rFonts w:ascii="宋体" w:hAnsi="宋体" w:eastAsia="宋体" w:cs="宋体"/>
          <w:color w:val="auto"/>
          <w:spacing w:val="0"/>
          <w:w w:val="100"/>
          <w:position w:val="0"/>
          <w:sz w:val="19"/>
          <w:szCs w:val="19"/>
          <w:highlight w:val="none"/>
          <w:lang w:eastAsia="zh-CN"/>
        </w:rPr>
      </w:pPr>
      <w:r>
        <w:rPr>
          <w:rFonts w:ascii="宋体" w:hAnsi="宋体" w:eastAsia="宋体" w:cs="宋体"/>
          <w:color w:val="auto"/>
          <w:spacing w:val="0"/>
          <w:w w:val="100"/>
          <w:position w:val="0"/>
          <w:sz w:val="19"/>
          <w:szCs w:val="19"/>
          <w:highlight w:val="none"/>
          <w:lang w:eastAsia="zh-CN"/>
        </w:rPr>
        <w:t>注： 以上格式</w:t>
      </w:r>
      <w:r>
        <w:rPr>
          <w:rFonts w:hint="eastAsia" w:ascii="宋体" w:hAnsi="宋体" w:eastAsia="宋体" w:cs="宋体"/>
          <w:color w:val="auto"/>
          <w:spacing w:val="0"/>
          <w:w w:val="100"/>
          <w:position w:val="0"/>
          <w:sz w:val="19"/>
          <w:szCs w:val="19"/>
          <w:highlight w:val="none"/>
          <w:lang w:val="en-US" w:eastAsia="zh-CN"/>
        </w:rPr>
        <w:t>仅</w:t>
      </w:r>
      <w:r>
        <w:rPr>
          <w:rFonts w:ascii="宋体" w:hAnsi="宋体" w:eastAsia="宋体" w:cs="宋体"/>
          <w:color w:val="auto"/>
          <w:spacing w:val="0"/>
          <w:w w:val="100"/>
          <w:position w:val="0"/>
          <w:sz w:val="19"/>
          <w:szCs w:val="19"/>
          <w:highlight w:val="none"/>
          <w:lang w:eastAsia="zh-CN"/>
        </w:rPr>
        <w:t>供参考，最终以广州公共资源交易中心系统生成格式为准。</w:t>
      </w:r>
    </w:p>
    <w:p w14:paraId="053C11E6">
      <w:pPr>
        <w:pStyle w:val="5"/>
        <w:keepNext w:val="0"/>
        <w:keepLines w:val="0"/>
        <w:pageBreakBefore w:val="0"/>
        <w:kinsoku/>
        <w:bidi w:val="0"/>
        <w:rPr>
          <w:rFonts w:ascii="宋体" w:hAnsi="宋体" w:eastAsia="宋体" w:cs="宋体"/>
          <w:color w:val="auto"/>
          <w:spacing w:val="0"/>
          <w:w w:val="100"/>
          <w:position w:val="0"/>
          <w:sz w:val="19"/>
          <w:szCs w:val="19"/>
          <w:highlight w:val="none"/>
          <w:lang w:eastAsia="zh-CN"/>
        </w:rPr>
      </w:pPr>
    </w:p>
    <w:p w14:paraId="1B7A7A60">
      <w:pPr>
        <w:keepNext w:val="0"/>
        <w:keepLines w:val="0"/>
        <w:pageBreakBefore w:val="0"/>
        <w:kinsoku/>
        <w:bidi w:val="0"/>
        <w:rPr>
          <w:color w:val="auto"/>
          <w:spacing w:val="0"/>
          <w:w w:val="100"/>
          <w:position w:val="0"/>
          <w:highlight w:val="none"/>
          <w:lang w:eastAsia="zh-CN"/>
        </w:rPr>
      </w:pPr>
    </w:p>
    <w:p w14:paraId="1F8C1A46">
      <w:pPr>
        <w:keepNext w:val="0"/>
        <w:keepLines w:val="0"/>
        <w:pageBreakBefore w:val="0"/>
        <w:kinsoku/>
        <w:bidi w:val="0"/>
        <w:spacing w:line="227" w:lineRule="auto"/>
        <w:rPr>
          <w:rFonts w:ascii="宋体" w:hAnsi="宋体" w:eastAsia="宋体" w:cs="宋体"/>
          <w:color w:val="auto"/>
          <w:spacing w:val="0"/>
          <w:w w:val="100"/>
          <w:position w:val="0"/>
          <w:sz w:val="19"/>
          <w:szCs w:val="19"/>
          <w:highlight w:val="none"/>
          <w:lang w:eastAsia="zh-CN"/>
        </w:rPr>
        <w:sectPr>
          <w:footerReference r:id="rId7" w:type="default"/>
          <w:pgSz w:w="16838" w:h="11905" w:orient="landscape"/>
          <w:pgMar w:top="1417" w:right="1417" w:bottom="1417" w:left="1417" w:header="850" w:footer="992" w:gutter="0"/>
          <w:pgNumType w:fmt="decimal"/>
          <w:cols w:space="0" w:num="1"/>
          <w:rtlGutter w:val="0"/>
          <w:docGrid w:linePitch="0" w:charSpace="0"/>
        </w:sectPr>
      </w:pPr>
    </w:p>
    <w:p w14:paraId="01106BE0">
      <w:pPr>
        <w:keepNext w:val="0"/>
        <w:keepLines w:val="0"/>
        <w:pageBreakBefore w:val="0"/>
        <w:kinsoku/>
        <w:bidi w:val="0"/>
        <w:spacing w:before="91" w:line="219" w:lineRule="auto"/>
        <w:outlineLvl w:val="2"/>
        <w:rPr>
          <w:rFonts w:ascii="宋体" w:hAnsi="宋体" w:eastAsia="宋体" w:cs="宋体"/>
          <w:b/>
          <w:bCs/>
          <w:color w:val="auto"/>
          <w:spacing w:val="0"/>
          <w:w w:val="100"/>
          <w:position w:val="0"/>
          <w:sz w:val="28"/>
          <w:szCs w:val="28"/>
          <w:highlight w:val="none"/>
          <w:lang w:eastAsia="zh-CN"/>
        </w:rPr>
      </w:pPr>
      <w:bookmarkStart w:id="199" w:name="_Toc23441"/>
      <w:bookmarkStart w:id="200" w:name="_Toc11311"/>
      <w:bookmarkStart w:id="201" w:name="_Toc2996"/>
      <w:r>
        <w:rPr>
          <w:rFonts w:ascii="宋体" w:hAnsi="宋体" w:eastAsia="宋体" w:cs="宋体"/>
          <w:b/>
          <w:bCs/>
          <w:color w:val="auto"/>
          <w:spacing w:val="0"/>
          <w:w w:val="100"/>
          <w:position w:val="0"/>
          <w:sz w:val="28"/>
          <w:szCs w:val="28"/>
          <w:highlight w:val="none"/>
          <w:lang w:eastAsia="zh-CN"/>
        </w:rPr>
        <w:t>附件</w:t>
      </w:r>
      <w:r>
        <w:rPr>
          <w:rFonts w:hint="eastAsia" w:ascii="宋体" w:hAnsi="宋体" w:eastAsia="宋体" w:cs="宋体"/>
          <w:b/>
          <w:bCs/>
          <w:color w:val="auto"/>
          <w:spacing w:val="0"/>
          <w:w w:val="100"/>
          <w:position w:val="0"/>
          <w:sz w:val="28"/>
          <w:szCs w:val="28"/>
          <w:highlight w:val="none"/>
          <w:lang w:val="en-US" w:eastAsia="zh-CN"/>
        </w:rPr>
        <w:t>三</w:t>
      </w:r>
      <w:r>
        <w:rPr>
          <w:rFonts w:ascii="宋体" w:hAnsi="宋体" w:eastAsia="宋体" w:cs="宋体"/>
          <w:b/>
          <w:bCs/>
          <w:color w:val="auto"/>
          <w:spacing w:val="0"/>
          <w:w w:val="100"/>
          <w:position w:val="0"/>
          <w:sz w:val="28"/>
          <w:szCs w:val="28"/>
          <w:highlight w:val="none"/>
          <w:lang w:eastAsia="zh-CN"/>
        </w:rPr>
        <w:t>：问题澄清通知</w:t>
      </w:r>
      <w:bookmarkEnd w:id="199"/>
      <w:bookmarkEnd w:id="200"/>
      <w:bookmarkEnd w:id="201"/>
    </w:p>
    <w:p w14:paraId="6E072486">
      <w:pPr>
        <w:pStyle w:val="7"/>
        <w:keepNext w:val="0"/>
        <w:keepLines w:val="0"/>
        <w:pageBreakBefore w:val="0"/>
        <w:kinsoku/>
        <w:bidi w:val="0"/>
        <w:spacing w:line="278" w:lineRule="auto"/>
        <w:rPr>
          <w:color w:val="auto"/>
          <w:spacing w:val="0"/>
          <w:w w:val="100"/>
          <w:position w:val="0"/>
          <w:highlight w:val="none"/>
          <w:lang w:eastAsia="zh-CN"/>
        </w:rPr>
      </w:pPr>
    </w:p>
    <w:p w14:paraId="231112B5">
      <w:pPr>
        <w:pStyle w:val="7"/>
        <w:keepNext w:val="0"/>
        <w:keepLines w:val="0"/>
        <w:pageBreakBefore w:val="0"/>
        <w:kinsoku/>
        <w:bidi w:val="0"/>
        <w:spacing w:line="279" w:lineRule="auto"/>
        <w:rPr>
          <w:color w:val="auto"/>
          <w:spacing w:val="0"/>
          <w:w w:val="100"/>
          <w:position w:val="0"/>
          <w:highlight w:val="none"/>
          <w:lang w:eastAsia="zh-CN"/>
        </w:rPr>
      </w:pPr>
    </w:p>
    <w:p w14:paraId="610769AB">
      <w:pPr>
        <w:pStyle w:val="7"/>
        <w:keepNext w:val="0"/>
        <w:keepLines w:val="0"/>
        <w:pageBreakBefore w:val="0"/>
        <w:kinsoku/>
        <w:bidi w:val="0"/>
        <w:spacing w:line="279" w:lineRule="auto"/>
        <w:rPr>
          <w:color w:val="auto"/>
          <w:spacing w:val="0"/>
          <w:w w:val="100"/>
          <w:position w:val="0"/>
          <w:highlight w:val="none"/>
          <w:lang w:eastAsia="zh-CN"/>
        </w:rPr>
      </w:pPr>
    </w:p>
    <w:p w14:paraId="5D4EDCFB">
      <w:pPr>
        <w:keepNext w:val="0"/>
        <w:keepLines w:val="0"/>
        <w:pageBreakBefore w:val="0"/>
        <w:kinsoku/>
        <w:bidi w:val="0"/>
        <w:spacing w:before="91" w:line="345" w:lineRule="auto"/>
        <w:ind w:right="31" w:rightChars="0"/>
        <w:jc w:val="center"/>
        <w:rPr>
          <w:rFonts w:ascii="宋体" w:hAnsi="宋体" w:eastAsia="宋体" w:cs="宋体"/>
          <w:b/>
          <w:bCs/>
          <w:color w:val="auto"/>
          <w:spacing w:val="0"/>
          <w:w w:val="100"/>
          <w:position w:val="0"/>
          <w:sz w:val="28"/>
          <w:szCs w:val="28"/>
          <w:highlight w:val="none"/>
          <w:lang w:eastAsia="zh-CN"/>
        </w:rPr>
      </w:pPr>
      <w:r>
        <w:rPr>
          <w:rFonts w:ascii="宋体" w:hAnsi="宋体" w:eastAsia="宋体" w:cs="宋体"/>
          <w:b/>
          <w:bCs/>
          <w:color w:val="auto"/>
          <w:spacing w:val="0"/>
          <w:w w:val="100"/>
          <w:position w:val="0"/>
          <w:sz w:val="28"/>
          <w:szCs w:val="28"/>
          <w:highlight w:val="none"/>
          <w:lang w:eastAsia="zh-CN"/>
        </w:rPr>
        <w:t>问题澄清通知</w:t>
      </w:r>
    </w:p>
    <w:p w14:paraId="746D9CA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600" w:firstLineChars="3300"/>
        <w:jc w:val="both"/>
        <w:textAlignment w:val="baseline"/>
        <w:rPr>
          <w:rFonts w:hint="default" w:ascii="宋体" w:hAnsi="宋体" w:eastAsia="宋体" w:cs="宋体"/>
          <w:color w:val="auto"/>
          <w:spacing w:val="0"/>
          <w:w w:val="100"/>
          <w:position w:val="0"/>
          <w:sz w:val="20"/>
          <w:szCs w:val="20"/>
          <w:highlight w:val="none"/>
          <w:u w:val="single"/>
          <w:lang w:val="en-US" w:eastAsia="zh-CN"/>
        </w:rPr>
      </w:pPr>
      <w:r>
        <w:rPr>
          <w:rFonts w:ascii="宋体" w:hAnsi="宋体" w:eastAsia="宋体" w:cs="宋体"/>
          <w:color w:val="auto"/>
          <w:spacing w:val="0"/>
          <w:w w:val="100"/>
          <w:position w:val="0"/>
          <w:sz w:val="20"/>
          <w:szCs w:val="20"/>
          <w:highlight w:val="none"/>
          <w:lang w:eastAsia="zh-CN"/>
        </w:rPr>
        <w:t>编号</w:t>
      </w:r>
      <w:r>
        <w:rPr>
          <w:rFonts w:ascii="宋体" w:hAnsi="宋体" w:eastAsia="宋体" w:cs="宋体"/>
          <w:color w:val="auto"/>
          <w:spacing w:val="0"/>
          <w:w w:val="100"/>
          <w:position w:val="0"/>
          <w:sz w:val="20"/>
          <w:szCs w:val="20"/>
          <w:highlight w:val="none"/>
          <w:u w:val="none"/>
          <w:lang w:eastAsia="zh-CN"/>
        </w:rPr>
        <w:t>：</w:t>
      </w:r>
      <w:r>
        <w:rPr>
          <w:rFonts w:hint="eastAsia" w:ascii="宋体" w:hAnsi="宋体" w:eastAsia="宋体" w:cs="宋体"/>
          <w:color w:val="auto"/>
          <w:spacing w:val="0"/>
          <w:w w:val="100"/>
          <w:position w:val="0"/>
          <w:sz w:val="20"/>
          <w:szCs w:val="20"/>
          <w:highlight w:val="none"/>
          <w:u w:val="single"/>
          <w:lang w:val="en-US" w:eastAsia="zh-CN"/>
        </w:rPr>
        <w:t xml:space="preserve">               </w:t>
      </w:r>
    </w:p>
    <w:p w14:paraId="3B4527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（投标人名称）：</w:t>
      </w:r>
    </w:p>
    <w:p w14:paraId="67B2FCD9">
      <w:pPr>
        <w:keepNext w:val="0"/>
        <w:keepLines w:val="0"/>
        <w:pageBreakBefore w:val="0"/>
        <w:widowControl/>
        <w:tabs>
          <w:tab w:val="left" w:pos="2231"/>
        </w:tabs>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（项目名称）招标的评标委员会，对你方的投标文件进行了仔细的审查，现需你方对下列问题以书面形式予以澄清：</w:t>
      </w:r>
    </w:p>
    <w:p w14:paraId="4D7C73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1.</w:t>
      </w:r>
    </w:p>
    <w:p w14:paraId="3A7639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2.</w:t>
      </w:r>
    </w:p>
    <w:p w14:paraId="40B21E5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w:t>
      </w:r>
    </w:p>
    <w:p w14:paraId="72AF2E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请将上述问题的澄清于</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年</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月</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日</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时</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hint="eastAsia" w:ascii="宋体" w:hAnsi="宋体" w:eastAsia="宋体" w:cs="宋体"/>
          <w:color w:val="auto"/>
          <w:spacing w:val="0"/>
          <w:w w:val="100"/>
          <w:position w:val="0"/>
          <w:sz w:val="20"/>
          <w:szCs w:val="20"/>
          <w:highlight w:val="none"/>
          <w:lang w:val="en-US" w:eastAsia="zh-CN"/>
        </w:rPr>
        <w:t>分</w:t>
      </w:r>
      <w:r>
        <w:rPr>
          <w:rFonts w:ascii="宋体" w:hAnsi="宋体" w:eastAsia="宋体" w:cs="宋体"/>
          <w:color w:val="auto"/>
          <w:spacing w:val="0"/>
          <w:w w:val="100"/>
          <w:position w:val="0"/>
          <w:sz w:val="20"/>
          <w:szCs w:val="20"/>
          <w:highlight w:val="none"/>
          <w:lang w:eastAsia="zh-CN"/>
        </w:rPr>
        <w:t>前递交至</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u w:val="single"/>
          <w:lang w:eastAsia="zh-CN"/>
        </w:rPr>
        <w:t>（详细地址）</w:t>
      </w:r>
      <w:r>
        <w:rPr>
          <w:rFonts w:ascii="宋体" w:hAnsi="宋体" w:eastAsia="宋体" w:cs="宋体"/>
          <w:color w:val="auto"/>
          <w:spacing w:val="0"/>
          <w:w w:val="100"/>
          <w:position w:val="0"/>
          <w:sz w:val="20"/>
          <w:szCs w:val="20"/>
          <w:highlight w:val="none"/>
          <w:lang w:eastAsia="zh-CN"/>
        </w:rPr>
        <w:t>或传真至</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（传真号码）。采用传真方式的，应在</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年</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月</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日</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时</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hint="eastAsia" w:ascii="宋体" w:hAnsi="宋体" w:eastAsia="宋体" w:cs="宋体"/>
          <w:color w:val="auto"/>
          <w:spacing w:val="0"/>
          <w:w w:val="100"/>
          <w:position w:val="0"/>
          <w:sz w:val="20"/>
          <w:szCs w:val="20"/>
          <w:highlight w:val="none"/>
          <w:lang w:val="en-US" w:eastAsia="zh-CN"/>
        </w:rPr>
        <w:t>分</w:t>
      </w:r>
      <w:r>
        <w:rPr>
          <w:rFonts w:ascii="宋体" w:hAnsi="宋体" w:eastAsia="宋体" w:cs="宋体"/>
          <w:color w:val="auto"/>
          <w:spacing w:val="0"/>
          <w:w w:val="100"/>
          <w:position w:val="0"/>
          <w:sz w:val="20"/>
          <w:szCs w:val="20"/>
          <w:highlight w:val="none"/>
          <w:lang w:eastAsia="zh-CN"/>
        </w:rPr>
        <w:t>前将原件递交至</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（详细地址）。</w:t>
      </w:r>
    </w:p>
    <w:p w14:paraId="5E6DB95A">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rPr>
          <w:color w:val="auto"/>
          <w:spacing w:val="0"/>
          <w:w w:val="100"/>
          <w:position w:val="0"/>
          <w:highlight w:val="none"/>
          <w:lang w:eastAsia="zh-CN"/>
        </w:rPr>
      </w:pPr>
    </w:p>
    <w:p w14:paraId="326C87DD">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rPr>
          <w:color w:val="auto"/>
          <w:spacing w:val="0"/>
          <w:w w:val="100"/>
          <w:position w:val="0"/>
          <w:highlight w:val="none"/>
          <w:lang w:eastAsia="zh-CN"/>
        </w:rPr>
      </w:pPr>
    </w:p>
    <w:p w14:paraId="08A4FEC8">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rPr>
          <w:color w:val="auto"/>
          <w:spacing w:val="0"/>
          <w:w w:val="100"/>
          <w:position w:val="0"/>
          <w:highlight w:val="none"/>
          <w:lang w:eastAsia="zh-CN"/>
        </w:rPr>
      </w:pPr>
    </w:p>
    <w:p w14:paraId="3CCEFB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right"/>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评标委员会</w:t>
      </w:r>
    </w:p>
    <w:p w14:paraId="06DCF09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jc w:val="right"/>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年</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月</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日</w:t>
      </w:r>
    </w:p>
    <w:p w14:paraId="6505F0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rPr>
          <w:rFonts w:ascii="宋体" w:hAnsi="宋体" w:eastAsia="宋体" w:cs="宋体"/>
          <w:color w:val="auto"/>
          <w:spacing w:val="0"/>
          <w:w w:val="100"/>
          <w:position w:val="0"/>
          <w:sz w:val="20"/>
          <w:szCs w:val="20"/>
          <w:highlight w:val="none"/>
          <w:lang w:eastAsia="zh-CN"/>
        </w:rPr>
        <w:sectPr>
          <w:footerReference r:id="rId8" w:type="default"/>
          <w:pgSz w:w="11905" w:h="16838"/>
          <w:pgMar w:top="1417" w:right="1417" w:bottom="1417" w:left="1417" w:header="850" w:footer="992" w:gutter="0"/>
          <w:pgNumType w:fmt="decimal"/>
          <w:cols w:space="0" w:num="1"/>
          <w:rtlGutter w:val="0"/>
          <w:docGrid w:linePitch="0" w:charSpace="0"/>
        </w:sectPr>
      </w:pPr>
    </w:p>
    <w:p w14:paraId="6BEC0D8A">
      <w:pPr>
        <w:keepNext w:val="0"/>
        <w:keepLines w:val="0"/>
        <w:pageBreakBefore w:val="0"/>
        <w:kinsoku/>
        <w:bidi w:val="0"/>
        <w:spacing w:before="91" w:line="219" w:lineRule="auto"/>
        <w:outlineLvl w:val="2"/>
        <w:rPr>
          <w:rFonts w:ascii="宋体" w:hAnsi="宋体" w:eastAsia="宋体" w:cs="宋体"/>
          <w:b/>
          <w:bCs/>
          <w:color w:val="auto"/>
          <w:spacing w:val="0"/>
          <w:w w:val="100"/>
          <w:position w:val="0"/>
          <w:sz w:val="28"/>
          <w:szCs w:val="28"/>
          <w:highlight w:val="none"/>
          <w:lang w:eastAsia="zh-CN"/>
        </w:rPr>
      </w:pPr>
      <w:bookmarkStart w:id="202" w:name="_Toc22217"/>
      <w:bookmarkStart w:id="203" w:name="_Toc6239"/>
      <w:bookmarkStart w:id="204" w:name="_Toc25734"/>
      <w:r>
        <w:rPr>
          <w:rFonts w:ascii="宋体" w:hAnsi="宋体" w:eastAsia="宋体" w:cs="宋体"/>
          <w:b/>
          <w:bCs/>
          <w:color w:val="auto"/>
          <w:spacing w:val="0"/>
          <w:w w:val="100"/>
          <w:position w:val="0"/>
          <w:sz w:val="28"/>
          <w:szCs w:val="28"/>
          <w:highlight w:val="none"/>
          <w:lang w:eastAsia="zh-CN"/>
        </w:rPr>
        <w:t>附件</w:t>
      </w:r>
      <w:r>
        <w:rPr>
          <w:rFonts w:hint="eastAsia" w:ascii="宋体" w:hAnsi="宋体" w:eastAsia="宋体" w:cs="宋体"/>
          <w:b/>
          <w:bCs/>
          <w:color w:val="auto"/>
          <w:spacing w:val="0"/>
          <w:w w:val="100"/>
          <w:position w:val="0"/>
          <w:sz w:val="28"/>
          <w:szCs w:val="28"/>
          <w:highlight w:val="none"/>
          <w:lang w:val="en-US" w:eastAsia="zh-CN"/>
        </w:rPr>
        <w:t>四</w:t>
      </w:r>
      <w:r>
        <w:rPr>
          <w:rFonts w:ascii="宋体" w:hAnsi="宋体" w:eastAsia="宋体" w:cs="宋体"/>
          <w:b/>
          <w:bCs/>
          <w:color w:val="auto"/>
          <w:spacing w:val="0"/>
          <w:w w:val="100"/>
          <w:position w:val="0"/>
          <w:sz w:val="28"/>
          <w:szCs w:val="28"/>
          <w:highlight w:val="none"/>
          <w:lang w:eastAsia="zh-CN"/>
        </w:rPr>
        <w:t>：问题的澄清</w:t>
      </w:r>
      <w:bookmarkEnd w:id="202"/>
      <w:bookmarkEnd w:id="203"/>
      <w:bookmarkEnd w:id="204"/>
    </w:p>
    <w:p w14:paraId="59D048EA">
      <w:pPr>
        <w:pStyle w:val="7"/>
        <w:keepNext w:val="0"/>
        <w:keepLines w:val="0"/>
        <w:pageBreakBefore w:val="0"/>
        <w:kinsoku/>
        <w:bidi w:val="0"/>
        <w:spacing w:line="253" w:lineRule="auto"/>
        <w:rPr>
          <w:color w:val="auto"/>
          <w:spacing w:val="0"/>
          <w:w w:val="100"/>
          <w:position w:val="0"/>
          <w:highlight w:val="none"/>
          <w:lang w:eastAsia="zh-CN"/>
        </w:rPr>
      </w:pPr>
    </w:p>
    <w:p w14:paraId="268A147F">
      <w:pPr>
        <w:pStyle w:val="7"/>
        <w:keepNext w:val="0"/>
        <w:keepLines w:val="0"/>
        <w:pageBreakBefore w:val="0"/>
        <w:kinsoku/>
        <w:bidi w:val="0"/>
        <w:spacing w:line="254" w:lineRule="auto"/>
        <w:rPr>
          <w:color w:val="auto"/>
          <w:spacing w:val="0"/>
          <w:w w:val="100"/>
          <w:position w:val="0"/>
          <w:highlight w:val="none"/>
          <w:lang w:eastAsia="zh-CN"/>
        </w:rPr>
      </w:pPr>
    </w:p>
    <w:p w14:paraId="1A411DA9">
      <w:pPr>
        <w:pStyle w:val="7"/>
        <w:keepNext w:val="0"/>
        <w:keepLines w:val="0"/>
        <w:pageBreakBefore w:val="0"/>
        <w:kinsoku/>
        <w:bidi w:val="0"/>
        <w:spacing w:line="254" w:lineRule="auto"/>
        <w:rPr>
          <w:color w:val="auto"/>
          <w:spacing w:val="0"/>
          <w:w w:val="100"/>
          <w:position w:val="0"/>
          <w:highlight w:val="none"/>
          <w:lang w:eastAsia="zh-CN"/>
        </w:rPr>
      </w:pPr>
    </w:p>
    <w:p w14:paraId="4F1BA7D9">
      <w:pPr>
        <w:keepNext w:val="0"/>
        <w:keepLines w:val="0"/>
        <w:pageBreakBefore w:val="0"/>
        <w:kinsoku/>
        <w:bidi w:val="0"/>
        <w:spacing w:before="91" w:line="345" w:lineRule="auto"/>
        <w:ind w:right="31" w:rightChars="0"/>
        <w:jc w:val="center"/>
        <w:rPr>
          <w:rFonts w:ascii="宋体" w:hAnsi="宋体" w:eastAsia="宋体" w:cs="宋体"/>
          <w:b/>
          <w:bCs/>
          <w:color w:val="auto"/>
          <w:spacing w:val="0"/>
          <w:w w:val="100"/>
          <w:position w:val="0"/>
          <w:sz w:val="28"/>
          <w:szCs w:val="28"/>
          <w:highlight w:val="none"/>
          <w:lang w:eastAsia="zh-CN"/>
        </w:rPr>
      </w:pPr>
      <w:r>
        <w:rPr>
          <w:rFonts w:ascii="宋体" w:hAnsi="宋体" w:eastAsia="宋体" w:cs="宋体"/>
          <w:b/>
          <w:bCs/>
          <w:color w:val="auto"/>
          <w:spacing w:val="0"/>
          <w:w w:val="100"/>
          <w:position w:val="0"/>
          <w:sz w:val="28"/>
          <w:szCs w:val="28"/>
          <w:highlight w:val="none"/>
          <w:lang w:eastAsia="zh-CN"/>
        </w:rPr>
        <w:t>问题的澄清</w:t>
      </w:r>
    </w:p>
    <w:p w14:paraId="3545E7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600" w:firstLineChars="3300"/>
        <w:jc w:val="both"/>
        <w:textAlignment w:val="baseline"/>
        <w:rPr>
          <w:rFonts w:hint="default" w:ascii="宋体" w:hAnsi="宋体" w:eastAsia="宋体" w:cs="宋体"/>
          <w:color w:val="auto"/>
          <w:spacing w:val="0"/>
          <w:w w:val="100"/>
          <w:position w:val="0"/>
          <w:sz w:val="20"/>
          <w:szCs w:val="20"/>
          <w:highlight w:val="none"/>
          <w:u w:val="single"/>
          <w:lang w:val="en-US" w:eastAsia="zh-CN"/>
        </w:rPr>
      </w:pPr>
      <w:r>
        <w:rPr>
          <w:rFonts w:ascii="宋体" w:hAnsi="宋体" w:eastAsia="宋体" w:cs="宋体"/>
          <w:color w:val="auto"/>
          <w:spacing w:val="0"/>
          <w:w w:val="100"/>
          <w:position w:val="0"/>
          <w:sz w:val="20"/>
          <w:szCs w:val="20"/>
          <w:highlight w:val="none"/>
          <w:lang w:eastAsia="zh-CN"/>
        </w:rPr>
        <w:t>编号</w:t>
      </w:r>
      <w:r>
        <w:rPr>
          <w:rFonts w:ascii="宋体" w:hAnsi="宋体" w:eastAsia="宋体" w:cs="宋体"/>
          <w:color w:val="auto"/>
          <w:spacing w:val="0"/>
          <w:w w:val="100"/>
          <w:position w:val="0"/>
          <w:sz w:val="20"/>
          <w:szCs w:val="20"/>
          <w:highlight w:val="none"/>
          <w:u w:val="none"/>
          <w:lang w:eastAsia="zh-CN"/>
        </w:rPr>
        <w:t>：</w:t>
      </w:r>
      <w:r>
        <w:rPr>
          <w:rFonts w:hint="eastAsia" w:ascii="宋体" w:hAnsi="宋体" w:eastAsia="宋体" w:cs="宋体"/>
          <w:color w:val="auto"/>
          <w:spacing w:val="0"/>
          <w:w w:val="100"/>
          <w:position w:val="0"/>
          <w:sz w:val="20"/>
          <w:szCs w:val="20"/>
          <w:highlight w:val="none"/>
          <w:u w:val="single"/>
          <w:lang w:val="en-US" w:eastAsia="zh-CN"/>
        </w:rPr>
        <w:t xml:space="preserve">               </w:t>
      </w:r>
    </w:p>
    <w:p w14:paraId="124E83EB">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color w:val="auto"/>
          <w:spacing w:val="0"/>
          <w:w w:val="100"/>
          <w:position w:val="0"/>
          <w:highlight w:val="none"/>
          <w:lang w:eastAsia="zh-CN"/>
        </w:rPr>
      </w:pPr>
    </w:p>
    <w:p w14:paraId="692792B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（项目名称）招标评标委员会：</w:t>
      </w:r>
    </w:p>
    <w:p w14:paraId="5951CA76">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问题澄清通知（编号：</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）已收悉，现澄清如下：</w:t>
      </w:r>
    </w:p>
    <w:p w14:paraId="31D0E9E2">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w:t>
      </w:r>
    </w:p>
    <w:p w14:paraId="36A954D9">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w:t>
      </w:r>
    </w:p>
    <w:p w14:paraId="5186C6E7">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w:t>
      </w:r>
    </w:p>
    <w:p w14:paraId="6C919DD3">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color w:val="auto"/>
          <w:spacing w:val="0"/>
          <w:w w:val="100"/>
          <w:position w:val="0"/>
          <w:highlight w:val="none"/>
          <w:lang w:eastAsia="zh-CN"/>
        </w:rPr>
      </w:pPr>
    </w:p>
    <w:p w14:paraId="29608B03">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color w:val="auto"/>
          <w:spacing w:val="0"/>
          <w:w w:val="100"/>
          <w:position w:val="0"/>
          <w:highlight w:val="none"/>
          <w:lang w:eastAsia="zh-CN"/>
        </w:rPr>
      </w:pPr>
    </w:p>
    <w:p w14:paraId="77C1AE67">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color w:val="auto"/>
          <w:spacing w:val="0"/>
          <w:w w:val="100"/>
          <w:position w:val="0"/>
          <w:highlight w:val="none"/>
          <w:lang w:eastAsia="zh-CN"/>
        </w:rPr>
      </w:pPr>
    </w:p>
    <w:p w14:paraId="04BF67D3">
      <w:pPr>
        <w:pStyle w:val="7"/>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color w:val="auto"/>
          <w:spacing w:val="0"/>
          <w:w w:val="100"/>
          <w:position w:val="0"/>
          <w:highlight w:val="none"/>
          <w:lang w:eastAsia="zh-CN"/>
        </w:rPr>
      </w:pPr>
    </w:p>
    <w:p w14:paraId="469966C0">
      <w:pPr>
        <w:keepNext w:val="0"/>
        <w:keepLines w:val="0"/>
        <w:pageBreakBefore w:val="0"/>
        <w:widowControl/>
        <w:kinsoku/>
        <w:wordWrap/>
        <w:overflowPunct/>
        <w:topLinePunct w:val="0"/>
        <w:autoSpaceDE w:val="0"/>
        <w:autoSpaceDN w:val="0"/>
        <w:bidi w:val="0"/>
        <w:adjustRightInd w:val="0"/>
        <w:snapToGrid w:val="0"/>
        <w:spacing w:line="360" w:lineRule="auto"/>
        <w:ind w:left="3141" w:firstLine="200" w:firstLineChars="100"/>
        <w:jc w:val="right"/>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投标人：</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（盖单位章）</w:t>
      </w:r>
    </w:p>
    <w:p w14:paraId="604C35D1">
      <w:pPr>
        <w:keepNext w:val="0"/>
        <w:keepLines w:val="0"/>
        <w:pageBreakBefore w:val="0"/>
        <w:widowControl/>
        <w:kinsoku/>
        <w:wordWrap/>
        <w:overflowPunct/>
        <w:topLinePunct w:val="0"/>
        <w:autoSpaceDE w:val="0"/>
        <w:autoSpaceDN w:val="0"/>
        <w:bidi w:val="0"/>
        <w:adjustRightInd w:val="0"/>
        <w:snapToGrid w:val="0"/>
        <w:spacing w:line="360" w:lineRule="auto"/>
        <w:ind w:left="3141" w:firstLine="200" w:firstLineChars="100"/>
        <w:jc w:val="right"/>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法定代表人或其委托代理人：</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hint="eastAsia" w:ascii="宋体" w:hAnsi="宋体" w:eastAsia="宋体" w:cs="宋体"/>
          <w:color w:val="auto"/>
          <w:spacing w:val="0"/>
          <w:w w:val="100"/>
          <w:position w:val="0"/>
          <w:sz w:val="18"/>
          <w:szCs w:val="18"/>
          <w:highlight w:val="none"/>
          <w:u w:val="single"/>
          <w:lang w:val="en-US" w:eastAsia="zh-CN"/>
        </w:rPr>
        <w:t xml:space="preserve"> </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（签字）</w:t>
      </w:r>
    </w:p>
    <w:p w14:paraId="54236857">
      <w:pPr>
        <w:keepNext w:val="0"/>
        <w:keepLines w:val="0"/>
        <w:pageBreakBefore w:val="0"/>
        <w:widowControl/>
        <w:kinsoku/>
        <w:wordWrap/>
        <w:overflowPunct/>
        <w:topLinePunct w:val="0"/>
        <w:autoSpaceDE w:val="0"/>
        <w:autoSpaceDN w:val="0"/>
        <w:bidi w:val="0"/>
        <w:adjustRightInd w:val="0"/>
        <w:snapToGrid w:val="0"/>
        <w:spacing w:line="360" w:lineRule="auto"/>
        <w:ind w:left="3141" w:firstLine="200" w:firstLineChars="100"/>
        <w:jc w:val="right"/>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年</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月</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日</w:t>
      </w:r>
    </w:p>
    <w:p w14:paraId="68E41478">
      <w:pPr>
        <w:keepNext w:val="0"/>
        <w:keepLines w:val="0"/>
        <w:pageBreakBefore w:val="0"/>
        <w:kinsoku/>
        <w:bidi w:val="0"/>
        <w:spacing w:before="66" w:line="228" w:lineRule="auto"/>
        <w:ind w:left="3979"/>
        <w:rPr>
          <w:rFonts w:ascii="宋体" w:hAnsi="宋体" w:eastAsia="宋体" w:cs="宋体"/>
          <w:color w:val="auto"/>
          <w:spacing w:val="0"/>
          <w:w w:val="100"/>
          <w:position w:val="0"/>
          <w:sz w:val="20"/>
          <w:szCs w:val="20"/>
          <w:highlight w:val="none"/>
          <w:lang w:eastAsia="zh-CN"/>
        </w:rPr>
      </w:pPr>
    </w:p>
    <w:p w14:paraId="18DFCE2A">
      <w:pPr>
        <w:keepNext w:val="0"/>
        <w:keepLines w:val="0"/>
        <w:pageBreakBefore w:val="0"/>
        <w:kinsoku/>
        <w:bidi w:val="0"/>
        <w:rPr>
          <w:color w:val="auto"/>
          <w:spacing w:val="0"/>
          <w:w w:val="100"/>
          <w:position w:val="0"/>
          <w:highlight w:val="none"/>
          <w:lang w:eastAsia="zh-CN"/>
        </w:rPr>
      </w:pPr>
      <w:r>
        <w:rPr>
          <w:color w:val="auto"/>
          <w:spacing w:val="0"/>
          <w:w w:val="100"/>
          <w:position w:val="0"/>
          <w:highlight w:val="none"/>
          <w:lang w:eastAsia="zh-CN"/>
        </w:rPr>
        <w:br w:type="page"/>
      </w:r>
    </w:p>
    <w:p w14:paraId="4FE331EC">
      <w:pPr>
        <w:keepNext w:val="0"/>
        <w:keepLines w:val="0"/>
        <w:pageBreakBefore w:val="0"/>
        <w:kinsoku/>
        <w:bidi w:val="0"/>
        <w:spacing w:before="91" w:line="219" w:lineRule="auto"/>
        <w:outlineLvl w:val="2"/>
        <w:rPr>
          <w:rFonts w:ascii="宋体" w:hAnsi="宋体" w:eastAsia="宋体" w:cs="宋体"/>
          <w:b/>
          <w:bCs/>
          <w:color w:val="auto"/>
          <w:spacing w:val="0"/>
          <w:w w:val="100"/>
          <w:position w:val="0"/>
          <w:sz w:val="28"/>
          <w:szCs w:val="28"/>
          <w:highlight w:val="none"/>
          <w:lang w:eastAsia="zh-CN"/>
        </w:rPr>
      </w:pPr>
      <w:bookmarkStart w:id="205" w:name="_Toc13948"/>
      <w:bookmarkStart w:id="206" w:name="_Toc24844"/>
      <w:bookmarkStart w:id="207" w:name="_Toc13588"/>
      <w:r>
        <w:rPr>
          <w:rFonts w:ascii="宋体" w:hAnsi="宋体" w:eastAsia="宋体" w:cs="宋体"/>
          <w:b/>
          <w:bCs/>
          <w:color w:val="auto"/>
          <w:spacing w:val="0"/>
          <w:w w:val="100"/>
          <w:position w:val="0"/>
          <w:sz w:val="28"/>
          <w:szCs w:val="28"/>
          <w:highlight w:val="none"/>
          <w:lang w:eastAsia="zh-CN"/>
        </w:rPr>
        <w:t>附件</w:t>
      </w:r>
      <w:r>
        <w:rPr>
          <w:rFonts w:hint="eastAsia" w:ascii="宋体" w:hAnsi="宋体" w:eastAsia="宋体" w:cs="宋体"/>
          <w:b/>
          <w:bCs/>
          <w:color w:val="auto"/>
          <w:spacing w:val="0"/>
          <w:w w:val="100"/>
          <w:position w:val="0"/>
          <w:sz w:val="28"/>
          <w:szCs w:val="28"/>
          <w:highlight w:val="none"/>
          <w:lang w:val="en-US" w:eastAsia="zh-CN"/>
        </w:rPr>
        <w:t>五</w:t>
      </w:r>
      <w:r>
        <w:rPr>
          <w:rFonts w:ascii="宋体" w:hAnsi="宋体" w:eastAsia="宋体" w:cs="宋体"/>
          <w:b/>
          <w:bCs/>
          <w:color w:val="auto"/>
          <w:spacing w:val="0"/>
          <w:w w:val="100"/>
          <w:position w:val="0"/>
          <w:sz w:val="28"/>
          <w:szCs w:val="28"/>
          <w:highlight w:val="none"/>
          <w:lang w:eastAsia="zh-CN"/>
        </w:rPr>
        <w:t>：中标通知书</w:t>
      </w:r>
      <w:bookmarkEnd w:id="205"/>
      <w:bookmarkEnd w:id="206"/>
      <w:bookmarkEnd w:id="207"/>
    </w:p>
    <w:p w14:paraId="67F8147A">
      <w:pPr>
        <w:pStyle w:val="7"/>
        <w:keepNext w:val="0"/>
        <w:keepLines w:val="0"/>
        <w:pageBreakBefore w:val="0"/>
        <w:kinsoku/>
        <w:bidi w:val="0"/>
        <w:spacing w:line="253" w:lineRule="auto"/>
        <w:rPr>
          <w:color w:val="auto"/>
          <w:spacing w:val="0"/>
          <w:w w:val="100"/>
          <w:position w:val="0"/>
          <w:highlight w:val="none"/>
          <w:lang w:eastAsia="zh-CN"/>
        </w:rPr>
      </w:pPr>
    </w:p>
    <w:p w14:paraId="4B7DF14C">
      <w:pPr>
        <w:pStyle w:val="7"/>
        <w:keepNext w:val="0"/>
        <w:keepLines w:val="0"/>
        <w:pageBreakBefore w:val="0"/>
        <w:kinsoku/>
        <w:bidi w:val="0"/>
        <w:spacing w:line="254" w:lineRule="auto"/>
        <w:rPr>
          <w:color w:val="auto"/>
          <w:spacing w:val="0"/>
          <w:w w:val="100"/>
          <w:position w:val="0"/>
          <w:highlight w:val="none"/>
          <w:lang w:eastAsia="zh-CN"/>
        </w:rPr>
      </w:pPr>
    </w:p>
    <w:p w14:paraId="536457D5">
      <w:pPr>
        <w:pStyle w:val="7"/>
        <w:keepNext w:val="0"/>
        <w:keepLines w:val="0"/>
        <w:pageBreakBefore w:val="0"/>
        <w:kinsoku/>
        <w:bidi w:val="0"/>
        <w:spacing w:line="254" w:lineRule="auto"/>
        <w:rPr>
          <w:color w:val="auto"/>
          <w:spacing w:val="0"/>
          <w:w w:val="100"/>
          <w:position w:val="0"/>
          <w:highlight w:val="none"/>
          <w:lang w:eastAsia="zh-CN"/>
        </w:rPr>
      </w:pPr>
    </w:p>
    <w:p w14:paraId="5B1D97DF">
      <w:pPr>
        <w:keepNext w:val="0"/>
        <w:keepLines w:val="0"/>
        <w:pageBreakBefore w:val="0"/>
        <w:kinsoku/>
        <w:bidi w:val="0"/>
        <w:spacing w:before="91" w:line="345" w:lineRule="auto"/>
        <w:ind w:right="31" w:rightChars="0"/>
        <w:jc w:val="center"/>
        <w:rPr>
          <w:rFonts w:ascii="宋体" w:hAnsi="宋体" w:eastAsia="宋体" w:cs="宋体"/>
          <w:b/>
          <w:bCs/>
          <w:color w:val="auto"/>
          <w:spacing w:val="0"/>
          <w:w w:val="100"/>
          <w:position w:val="0"/>
          <w:sz w:val="28"/>
          <w:szCs w:val="28"/>
          <w:highlight w:val="none"/>
          <w:lang w:eastAsia="zh-CN"/>
        </w:rPr>
      </w:pPr>
      <w:r>
        <w:rPr>
          <w:rFonts w:ascii="宋体" w:hAnsi="宋体" w:eastAsia="宋体" w:cs="宋体"/>
          <w:b/>
          <w:bCs/>
          <w:color w:val="auto"/>
          <w:spacing w:val="0"/>
          <w:w w:val="100"/>
          <w:position w:val="0"/>
          <w:sz w:val="28"/>
          <w:szCs w:val="28"/>
          <w:highlight w:val="none"/>
          <w:lang w:eastAsia="zh-CN"/>
        </w:rPr>
        <w:t>中标通知书</w:t>
      </w:r>
    </w:p>
    <w:p w14:paraId="19582C37">
      <w:pPr>
        <w:keepNext w:val="0"/>
        <w:keepLines w:val="0"/>
        <w:pageBreakBefore w:val="0"/>
        <w:kinsoku/>
        <w:bidi w:val="0"/>
        <w:spacing w:before="240" w:line="227" w:lineRule="auto"/>
        <w:ind w:left="2260"/>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（以广州公共资源交易中心出具格式为准）</w:t>
      </w:r>
    </w:p>
    <w:p w14:paraId="6DF0B742">
      <w:pPr>
        <w:keepNext w:val="0"/>
        <w:keepLines w:val="0"/>
        <w:pageBreakBefore w:val="0"/>
        <w:kinsoku/>
        <w:bidi w:val="0"/>
        <w:spacing w:before="240" w:line="227" w:lineRule="auto"/>
        <w:ind w:left="2260"/>
        <w:rPr>
          <w:rFonts w:ascii="宋体" w:hAnsi="宋体" w:eastAsia="宋体" w:cs="宋体"/>
          <w:color w:val="auto"/>
          <w:spacing w:val="0"/>
          <w:w w:val="100"/>
          <w:position w:val="0"/>
          <w:sz w:val="20"/>
          <w:szCs w:val="20"/>
          <w:highlight w:val="none"/>
          <w:lang w:eastAsia="zh-CN"/>
        </w:rPr>
      </w:pPr>
    </w:p>
    <w:p w14:paraId="5FE87304">
      <w:pPr>
        <w:keepNext w:val="0"/>
        <w:keepLines w:val="0"/>
        <w:pageBreakBefore w:val="0"/>
        <w:kinsoku/>
        <w:bidi w:val="0"/>
        <w:rPr>
          <w:rFonts w:ascii="宋体" w:hAnsi="宋体" w:eastAsia="宋体" w:cs="宋体"/>
          <w:b/>
          <w:bCs/>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br w:type="page"/>
      </w:r>
    </w:p>
    <w:p w14:paraId="6491C0FF">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208" w:name="_Toc7055"/>
      <w:bookmarkStart w:id="209" w:name="_Toc14983"/>
      <w:bookmarkStart w:id="210" w:name="_Toc14975"/>
      <w:bookmarkStart w:id="211" w:name="_Toc27602"/>
      <w:bookmarkStart w:id="212" w:name="_Toc19830"/>
      <w:r>
        <w:rPr>
          <w:rFonts w:ascii="宋体" w:hAnsi="宋体" w:eastAsia="宋体" w:cs="宋体"/>
          <w:b/>
          <w:bCs/>
          <w:color w:val="auto"/>
          <w:spacing w:val="0"/>
          <w:w w:val="100"/>
          <w:position w:val="0"/>
          <w:sz w:val="43"/>
          <w:szCs w:val="43"/>
          <w:highlight w:val="none"/>
          <w:lang w:eastAsia="zh-CN"/>
        </w:rPr>
        <w:t>第三章 评标办法（评定分离法）</w:t>
      </w:r>
      <w:bookmarkEnd w:id="208"/>
      <w:bookmarkEnd w:id="209"/>
      <w:bookmarkEnd w:id="210"/>
      <w:bookmarkEnd w:id="211"/>
      <w:bookmarkEnd w:id="212"/>
    </w:p>
    <w:p w14:paraId="46A5DC5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rPr>
        <w:t>评标办法前附表</w:t>
      </w:r>
    </w:p>
    <w:tbl>
      <w:tblPr>
        <w:tblStyle w:val="19"/>
        <w:tblW w:w="924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93"/>
        <w:gridCol w:w="1311"/>
        <w:gridCol w:w="1762"/>
        <w:gridCol w:w="5134"/>
      </w:tblGrid>
      <w:tr w14:paraId="6600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48" w:type="dxa"/>
            <w:gridSpan w:val="3"/>
            <w:tcBorders>
              <w:top w:val="single" w:color="000000" w:sz="2" w:space="0"/>
              <w:left w:val="single" w:color="000000" w:sz="2" w:space="0"/>
            </w:tcBorders>
          </w:tcPr>
          <w:p w14:paraId="356AA963">
            <w:pPr>
              <w:pStyle w:val="20"/>
              <w:keepNext w:val="0"/>
              <w:keepLines w:val="0"/>
              <w:pageBreakBefore w:val="0"/>
              <w:kinsoku/>
              <w:bidi w:val="0"/>
              <w:spacing w:before="197" w:line="228" w:lineRule="auto"/>
              <w:ind w:left="866"/>
              <w:rPr>
                <w:color w:val="auto"/>
                <w:spacing w:val="0"/>
                <w:w w:val="100"/>
                <w:position w:val="0"/>
                <w:highlight w:val="none"/>
              </w:rPr>
            </w:pPr>
            <w:r>
              <w:rPr>
                <w:b/>
                <w:bCs/>
                <w:color w:val="auto"/>
                <w:spacing w:val="0"/>
                <w:w w:val="100"/>
                <w:position w:val="0"/>
                <w:highlight w:val="none"/>
              </w:rPr>
              <w:t>条款号</w:t>
            </w:r>
          </w:p>
        </w:tc>
        <w:tc>
          <w:tcPr>
            <w:tcW w:w="1762" w:type="dxa"/>
            <w:tcBorders>
              <w:top w:val="single" w:color="000000" w:sz="2" w:space="0"/>
            </w:tcBorders>
          </w:tcPr>
          <w:p w14:paraId="57F11E05">
            <w:pPr>
              <w:pStyle w:val="20"/>
              <w:keepNext w:val="0"/>
              <w:keepLines w:val="0"/>
              <w:pageBreakBefore w:val="0"/>
              <w:kinsoku/>
              <w:bidi w:val="0"/>
              <w:spacing w:before="197" w:line="228" w:lineRule="auto"/>
              <w:ind w:left="402"/>
              <w:rPr>
                <w:color w:val="auto"/>
                <w:spacing w:val="0"/>
                <w:w w:val="100"/>
                <w:position w:val="0"/>
                <w:highlight w:val="none"/>
              </w:rPr>
            </w:pPr>
            <w:r>
              <w:rPr>
                <w:b/>
                <w:bCs/>
                <w:color w:val="auto"/>
                <w:spacing w:val="0"/>
                <w:w w:val="100"/>
                <w:position w:val="0"/>
                <w:highlight w:val="none"/>
              </w:rPr>
              <w:t>评审因素</w:t>
            </w:r>
          </w:p>
        </w:tc>
        <w:tc>
          <w:tcPr>
            <w:tcW w:w="5134" w:type="dxa"/>
            <w:tcBorders>
              <w:top w:val="single" w:color="000000" w:sz="2" w:space="0"/>
              <w:right w:val="single" w:color="000000" w:sz="2" w:space="0"/>
            </w:tcBorders>
          </w:tcPr>
          <w:p w14:paraId="58198499">
            <w:pPr>
              <w:pStyle w:val="20"/>
              <w:keepNext w:val="0"/>
              <w:keepLines w:val="0"/>
              <w:pageBreakBefore w:val="0"/>
              <w:kinsoku/>
              <w:bidi w:val="0"/>
              <w:spacing w:before="198" w:line="228" w:lineRule="auto"/>
              <w:ind w:left="2204"/>
              <w:rPr>
                <w:color w:val="auto"/>
                <w:spacing w:val="0"/>
                <w:w w:val="100"/>
                <w:position w:val="0"/>
                <w:highlight w:val="none"/>
              </w:rPr>
            </w:pPr>
            <w:r>
              <w:rPr>
                <w:b/>
                <w:bCs/>
                <w:color w:val="auto"/>
                <w:spacing w:val="0"/>
                <w:w w:val="100"/>
                <w:position w:val="0"/>
                <w:highlight w:val="none"/>
              </w:rPr>
              <w:t>评审标准</w:t>
            </w:r>
          </w:p>
        </w:tc>
      </w:tr>
      <w:tr w14:paraId="6BAD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44" w:type="dxa"/>
            <w:tcBorders>
              <w:left w:val="single" w:color="000000" w:sz="2" w:space="0"/>
            </w:tcBorders>
            <w:vAlign w:val="center"/>
          </w:tcPr>
          <w:p w14:paraId="49981C90">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2.1.1</w:t>
            </w:r>
          </w:p>
        </w:tc>
        <w:tc>
          <w:tcPr>
            <w:tcW w:w="1504" w:type="dxa"/>
            <w:gridSpan w:val="2"/>
            <w:vAlign w:val="center"/>
          </w:tcPr>
          <w:p w14:paraId="6B8CA743">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资格审查</w:t>
            </w:r>
          </w:p>
        </w:tc>
        <w:tc>
          <w:tcPr>
            <w:tcW w:w="1762" w:type="dxa"/>
            <w:tcBorders>
              <w:right w:val="single" w:color="000000" w:sz="2" w:space="0"/>
            </w:tcBorders>
            <w:vAlign w:val="center"/>
          </w:tcPr>
          <w:p w14:paraId="0DF9A536">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资格审查</w:t>
            </w:r>
          </w:p>
        </w:tc>
        <w:tc>
          <w:tcPr>
            <w:tcW w:w="5134" w:type="dxa"/>
            <w:tcBorders>
              <w:left w:val="single" w:color="000000" w:sz="2" w:space="0"/>
              <w:right w:val="single" w:color="000000" w:sz="2" w:space="0"/>
            </w:tcBorders>
            <w:vAlign w:val="center"/>
          </w:tcPr>
          <w:p w14:paraId="3D43C370">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ascii="宋体" w:hAnsi="宋体" w:eastAsia="宋体" w:cs="宋体"/>
                <w:color w:val="auto"/>
                <w:spacing w:val="0"/>
                <w:w w:val="100"/>
                <w:position w:val="0"/>
                <w:highlight w:val="none"/>
                <w:lang w:eastAsia="zh-CN"/>
              </w:rPr>
            </w:pPr>
            <w:r>
              <w:rPr>
                <w:rFonts w:ascii="宋体" w:hAnsi="宋体" w:eastAsia="宋体" w:cs="宋体"/>
                <w:color w:val="auto"/>
                <w:spacing w:val="0"/>
                <w:w w:val="100"/>
                <w:position w:val="0"/>
                <w:highlight w:val="none"/>
                <w:lang w:eastAsia="zh-CN"/>
              </w:rPr>
              <w:t>附表1《评标阶段资格审查表》</w:t>
            </w:r>
          </w:p>
        </w:tc>
      </w:tr>
      <w:tr w14:paraId="7668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44" w:type="dxa"/>
            <w:vMerge w:val="restart"/>
            <w:tcBorders>
              <w:left w:val="single" w:color="000000" w:sz="2" w:space="0"/>
            </w:tcBorders>
            <w:vAlign w:val="center"/>
          </w:tcPr>
          <w:p w14:paraId="20A97D93">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2.1.2</w:t>
            </w:r>
          </w:p>
        </w:tc>
        <w:tc>
          <w:tcPr>
            <w:tcW w:w="1504" w:type="dxa"/>
            <w:gridSpan w:val="2"/>
            <w:vMerge w:val="restart"/>
            <w:vAlign w:val="center"/>
          </w:tcPr>
          <w:p w14:paraId="1F8D7EE6">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有效性审查</w:t>
            </w:r>
          </w:p>
        </w:tc>
        <w:tc>
          <w:tcPr>
            <w:tcW w:w="1762" w:type="dxa"/>
            <w:tcBorders>
              <w:right w:val="single" w:color="000000" w:sz="2" w:space="0"/>
            </w:tcBorders>
            <w:vAlign w:val="center"/>
          </w:tcPr>
          <w:p w14:paraId="36B98E98">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设计方案投标文件有效性审查</w:t>
            </w:r>
          </w:p>
        </w:tc>
        <w:tc>
          <w:tcPr>
            <w:tcW w:w="5134" w:type="dxa"/>
            <w:tcBorders>
              <w:left w:val="single" w:color="000000" w:sz="2" w:space="0"/>
              <w:right w:val="single" w:color="000000" w:sz="2" w:space="0"/>
            </w:tcBorders>
            <w:vAlign w:val="center"/>
          </w:tcPr>
          <w:p w14:paraId="6283CC72">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附表2《</w:t>
            </w:r>
            <w:r>
              <w:rPr>
                <w:rFonts w:hint="eastAsia" w:ascii="宋体" w:hAnsi="宋体" w:eastAsia="宋体" w:cs="宋体"/>
                <w:color w:val="auto"/>
                <w:spacing w:val="0"/>
                <w:w w:val="100"/>
                <w:position w:val="0"/>
                <w:highlight w:val="none"/>
                <w:lang w:val="en-US" w:eastAsia="zh-CN"/>
              </w:rPr>
              <w:t>评标阶段</w:t>
            </w:r>
            <w:r>
              <w:rPr>
                <w:rFonts w:hint="eastAsia" w:ascii="宋体" w:hAnsi="宋体" w:eastAsia="宋体" w:cs="宋体"/>
                <w:color w:val="auto"/>
                <w:spacing w:val="0"/>
                <w:w w:val="100"/>
                <w:position w:val="0"/>
                <w:highlight w:val="none"/>
                <w:lang w:eastAsia="zh-CN"/>
              </w:rPr>
              <w:t>设计方案投标文件有效性审查表》</w:t>
            </w:r>
          </w:p>
        </w:tc>
      </w:tr>
      <w:tr w14:paraId="71775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44" w:type="dxa"/>
            <w:vMerge w:val="continue"/>
            <w:tcBorders>
              <w:left w:val="single" w:color="000000" w:sz="2" w:space="0"/>
            </w:tcBorders>
            <w:vAlign w:val="center"/>
          </w:tcPr>
          <w:p w14:paraId="76BD7D00">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p>
        </w:tc>
        <w:tc>
          <w:tcPr>
            <w:tcW w:w="1504" w:type="dxa"/>
            <w:gridSpan w:val="2"/>
            <w:vMerge w:val="continue"/>
            <w:vAlign w:val="center"/>
          </w:tcPr>
          <w:p w14:paraId="5E715C03">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p>
        </w:tc>
        <w:tc>
          <w:tcPr>
            <w:tcW w:w="1762" w:type="dxa"/>
            <w:tcBorders>
              <w:right w:val="single" w:color="000000" w:sz="2" w:space="0"/>
            </w:tcBorders>
            <w:shd w:val="clear" w:color="auto" w:fill="auto"/>
            <w:vAlign w:val="center"/>
          </w:tcPr>
          <w:p w14:paraId="68F19DD0">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0"/>
                <w:w w:val="100"/>
                <w:position w:val="0"/>
                <w:sz w:val="20"/>
                <w:szCs w:val="20"/>
                <w:highlight w:val="none"/>
                <w:lang w:val="en-US" w:eastAsia="zh-CN" w:bidi="ar-SA"/>
              </w:rPr>
            </w:pPr>
            <w:r>
              <w:rPr>
                <w:color w:val="auto"/>
                <w:spacing w:val="0"/>
                <w:w w:val="100"/>
                <w:position w:val="0"/>
                <w:highlight w:val="none"/>
                <w:lang w:eastAsia="zh-CN"/>
              </w:rPr>
              <w:t>工程总承包实施方案投标文件</w:t>
            </w:r>
            <w:r>
              <w:rPr>
                <w:rFonts w:ascii="宋体" w:hAnsi="宋体" w:eastAsia="宋体" w:cs="宋体"/>
                <w:color w:val="auto"/>
                <w:spacing w:val="0"/>
                <w:w w:val="100"/>
                <w:position w:val="0"/>
                <w:highlight w:val="none"/>
              </w:rPr>
              <w:t>有效性审查</w:t>
            </w:r>
          </w:p>
        </w:tc>
        <w:tc>
          <w:tcPr>
            <w:tcW w:w="5134" w:type="dxa"/>
            <w:tcBorders>
              <w:left w:val="single" w:color="000000" w:sz="2" w:space="0"/>
              <w:right w:val="single" w:color="000000" w:sz="2" w:space="0"/>
            </w:tcBorders>
            <w:shd w:val="clear" w:color="auto" w:fill="auto"/>
            <w:vAlign w:val="center"/>
          </w:tcPr>
          <w:p w14:paraId="730C6492">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ascii="宋体" w:hAnsi="宋体" w:eastAsia="宋体" w:cs="宋体"/>
                <w:snapToGrid w:val="0"/>
                <w:color w:val="auto"/>
                <w:spacing w:val="0"/>
                <w:w w:val="100"/>
                <w:position w:val="0"/>
                <w:sz w:val="20"/>
                <w:szCs w:val="20"/>
                <w:highlight w:val="none"/>
                <w:lang w:val="en-US" w:eastAsia="zh-CN" w:bidi="ar-SA"/>
              </w:rPr>
            </w:pPr>
            <w:r>
              <w:rPr>
                <w:rFonts w:hint="eastAsia"/>
                <w:color w:val="auto"/>
                <w:spacing w:val="0"/>
                <w:w w:val="100"/>
                <w:position w:val="0"/>
                <w:highlight w:val="none"/>
                <w:lang w:eastAsia="zh-CN"/>
              </w:rPr>
              <w:t>附表3《评标阶段工程总承包实施方案投标文件有效性审查表》</w:t>
            </w:r>
          </w:p>
        </w:tc>
      </w:tr>
      <w:tr w14:paraId="1264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44" w:type="dxa"/>
            <w:vMerge w:val="continue"/>
            <w:tcBorders>
              <w:left w:val="single" w:color="000000" w:sz="2" w:space="0"/>
            </w:tcBorders>
            <w:vAlign w:val="center"/>
          </w:tcPr>
          <w:p w14:paraId="35806CC9">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p>
        </w:tc>
        <w:tc>
          <w:tcPr>
            <w:tcW w:w="1504" w:type="dxa"/>
            <w:gridSpan w:val="2"/>
            <w:vMerge w:val="continue"/>
            <w:vAlign w:val="center"/>
          </w:tcPr>
          <w:p w14:paraId="0CF49A34">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highlight w:val="none"/>
              </w:rPr>
            </w:pPr>
          </w:p>
        </w:tc>
        <w:tc>
          <w:tcPr>
            <w:tcW w:w="1762" w:type="dxa"/>
            <w:tcBorders>
              <w:right w:val="single" w:color="000000" w:sz="2" w:space="0"/>
            </w:tcBorders>
            <w:shd w:val="clear" w:color="auto" w:fill="auto"/>
            <w:vAlign w:val="center"/>
          </w:tcPr>
          <w:p w14:paraId="24CFE4FF">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0"/>
                <w:w w:val="100"/>
                <w:position w:val="0"/>
                <w:sz w:val="20"/>
                <w:szCs w:val="20"/>
                <w:highlight w:val="none"/>
                <w:lang w:val="en-US" w:eastAsia="zh-CN" w:bidi="ar-SA"/>
              </w:rPr>
            </w:pPr>
            <w:r>
              <w:rPr>
                <w:rFonts w:hint="eastAsia" w:ascii="宋体" w:hAnsi="宋体" w:eastAsia="宋体" w:cs="宋体"/>
                <w:color w:val="auto"/>
                <w:spacing w:val="0"/>
                <w:w w:val="100"/>
                <w:position w:val="0"/>
                <w:highlight w:val="none"/>
                <w:lang w:val="en-US" w:eastAsia="zh-CN"/>
              </w:rPr>
              <w:t>经济标</w:t>
            </w:r>
            <w:r>
              <w:rPr>
                <w:color w:val="auto"/>
                <w:spacing w:val="0"/>
                <w:w w:val="100"/>
                <w:position w:val="0"/>
                <w:highlight w:val="none"/>
                <w:lang w:eastAsia="zh-CN"/>
              </w:rPr>
              <w:t>投标文件</w:t>
            </w:r>
            <w:r>
              <w:rPr>
                <w:rFonts w:ascii="宋体" w:hAnsi="宋体" w:eastAsia="宋体" w:cs="宋体"/>
                <w:color w:val="auto"/>
                <w:spacing w:val="0"/>
                <w:w w:val="100"/>
                <w:position w:val="0"/>
                <w:highlight w:val="none"/>
              </w:rPr>
              <w:t>有效性审查</w:t>
            </w:r>
          </w:p>
        </w:tc>
        <w:tc>
          <w:tcPr>
            <w:tcW w:w="5134" w:type="dxa"/>
            <w:tcBorders>
              <w:left w:val="single" w:color="000000" w:sz="2" w:space="0"/>
              <w:right w:val="single" w:color="000000" w:sz="2" w:space="0"/>
            </w:tcBorders>
            <w:shd w:val="clear" w:color="auto" w:fill="auto"/>
            <w:vAlign w:val="center"/>
          </w:tcPr>
          <w:p w14:paraId="7DB7D077">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ascii="宋体" w:hAnsi="宋体" w:eastAsia="宋体" w:cs="宋体"/>
                <w:snapToGrid w:val="0"/>
                <w:color w:val="auto"/>
                <w:spacing w:val="0"/>
                <w:w w:val="100"/>
                <w:position w:val="0"/>
                <w:sz w:val="20"/>
                <w:szCs w:val="20"/>
                <w:highlight w:val="none"/>
                <w:lang w:val="en-US" w:eastAsia="zh-CN" w:bidi="ar-SA"/>
              </w:rPr>
            </w:pPr>
            <w:r>
              <w:rPr>
                <w:rFonts w:hint="eastAsia"/>
                <w:color w:val="auto"/>
                <w:spacing w:val="0"/>
                <w:w w:val="100"/>
                <w:position w:val="0"/>
                <w:highlight w:val="none"/>
                <w:lang w:eastAsia="zh-CN"/>
              </w:rPr>
              <w:t>附表4《评标阶段经济标投标文件有效性审查表》</w:t>
            </w:r>
          </w:p>
        </w:tc>
      </w:tr>
      <w:tr w14:paraId="5CADE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348" w:type="dxa"/>
            <w:gridSpan w:val="3"/>
            <w:tcBorders>
              <w:left w:val="single" w:color="000000" w:sz="2" w:space="0"/>
            </w:tcBorders>
          </w:tcPr>
          <w:p w14:paraId="0B4761FC">
            <w:pPr>
              <w:pStyle w:val="20"/>
              <w:keepNext w:val="0"/>
              <w:keepLines w:val="0"/>
              <w:pageBreakBefore w:val="0"/>
              <w:kinsoku/>
              <w:bidi w:val="0"/>
              <w:spacing w:before="191" w:line="228" w:lineRule="auto"/>
              <w:ind w:left="866"/>
              <w:rPr>
                <w:color w:val="auto"/>
                <w:spacing w:val="0"/>
                <w:w w:val="100"/>
                <w:position w:val="0"/>
                <w:highlight w:val="none"/>
              </w:rPr>
            </w:pPr>
            <w:r>
              <w:rPr>
                <w:b/>
                <w:bCs/>
                <w:color w:val="auto"/>
                <w:spacing w:val="0"/>
                <w:w w:val="100"/>
                <w:position w:val="0"/>
                <w:highlight w:val="none"/>
              </w:rPr>
              <w:t>条款号</w:t>
            </w:r>
          </w:p>
        </w:tc>
        <w:tc>
          <w:tcPr>
            <w:tcW w:w="1762" w:type="dxa"/>
          </w:tcPr>
          <w:p w14:paraId="4C86B61F">
            <w:pPr>
              <w:pStyle w:val="20"/>
              <w:keepNext w:val="0"/>
              <w:keepLines w:val="0"/>
              <w:pageBreakBefore w:val="0"/>
              <w:kinsoku/>
              <w:bidi w:val="0"/>
              <w:spacing w:before="191" w:line="228" w:lineRule="auto"/>
              <w:ind w:left="404"/>
              <w:rPr>
                <w:color w:val="auto"/>
                <w:spacing w:val="0"/>
                <w:w w:val="100"/>
                <w:position w:val="0"/>
                <w:highlight w:val="none"/>
              </w:rPr>
            </w:pPr>
            <w:r>
              <w:rPr>
                <w:b/>
                <w:bCs/>
                <w:color w:val="auto"/>
                <w:spacing w:val="0"/>
                <w:w w:val="100"/>
                <w:position w:val="0"/>
                <w:highlight w:val="none"/>
              </w:rPr>
              <w:t>条款内容</w:t>
            </w:r>
          </w:p>
        </w:tc>
        <w:tc>
          <w:tcPr>
            <w:tcW w:w="5134" w:type="dxa"/>
            <w:tcBorders>
              <w:right w:val="single" w:color="000000" w:sz="2" w:space="0"/>
            </w:tcBorders>
          </w:tcPr>
          <w:p w14:paraId="6705983A">
            <w:pPr>
              <w:pStyle w:val="20"/>
              <w:keepNext w:val="0"/>
              <w:keepLines w:val="0"/>
              <w:pageBreakBefore w:val="0"/>
              <w:kinsoku/>
              <w:bidi w:val="0"/>
              <w:spacing w:before="191" w:line="228" w:lineRule="auto"/>
              <w:ind w:left="2207"/>
              <w:rPr>
                <w:color w:val="auto"/>
                <w:spacing w:val="0"/>
                <w:w w:val="100"/>
                <w:position w:val="0"/>
                <w:highlight w:val="none"/>
              </w:rPr>
            </w:pPr>
            <w:r>
              <w:rPr>
                <w:b/>
                <w:bCs/>
                <w:color w:val="auto"/>
                <w:spacing w:val="0"/>
                <w:w w:val="100"/>
                <w:position w:val="0"/>
                <w:highlight w:val="none"/>
              </w:rPr>
              <w:t>编列内容</w:t>
            </w:r>
          </w:p>
        </w:tc>
      </w:tr>
      <w:tr w14:paraId="6141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2348" w:type="dxa"/>
            <w:gridSpan w:val="3"/>
            <w:tcBorders>
              <w:left w:val="single" w:color="000000" w:sz="2" w:space="0"/>
            </w:tcBorders>
            <w:vAlign w:val="center"/>
          </w:tcPr>
          <w:p w14:paraId="1A133FEE">
            <w:pPr>
              <w:pStyle w:val="20"/>
              <w:keepNext w:val="0"/>
              <w:keepLines w:val="0"/>
              <w:pageBreakBefore w:val="0"/>
              <w:kinsoku/>
              <w:bidi w:val="0"/>
              <w:spacing w:before="65" w:line="268" w:lineRule="exact"/>
              <w:jc w:val="center"/>
              <w:rPr>
                <w:color w:val="auto"/>
                <w:spacing w:val="0"/>
                <w:w w:val="100"/>
                <w:position w:val="0"/>
                <w:highlight w:val="none"/>
              </w:rPr>
            </w:pPr>
            <w:r>
              <w:rPr>
                <w:color w:val="auto"/>
                <w:spacing w:val="0"/>
                <w:w w:val="100"/>
                <w:position w:val="0"/>
                <w:highlight w:val="none"/>
              </w:rPr>
              <w:t>2.2.1</w:t>
            </w:r>
          </w:p>
        </w:tc>
        <w:tc>
          <w:tcPr>
            <w:tcW w:w="1762" w:type="dxa"/>
          </w:tcPr>
          <w:p w14:paraId="6F8857F0">
            <w:pPr>
              <w:pStyle w:val="20"/>
              <w:keepNext w:val="0"/>
              <w:keepLines w:val="0"/>
              <w:pageBreakBefore w:val="0"/>
              <w:kinsoku/>
              <w:bidi w:val="0"/>
              <w:spacing w:before="225" w:line="279" w:lineRule="auto"/>
              <w:ind w:left="111" w:right="81" w:firstLine="85"/>
              <w:jc w:val="center"/>
              <w:rPr>
                <w:color w:val="auto"/>
                <w:spacing w:val="0"/>
                <w:w w:val="100"/>
                <w:position w:val="0"/>
                <w:highlight w:val="none"/>
                <w:lang w:eastAsia="zh-CN"/>
              </w:rPr>
            </w:pPr>
            <w:r>
              <w:rPr>
                <w:color w:val="auto"/>
                <w:spacing w:val="0"/>
                <w:w w:val="100"/>
                <w:position w:val="0"/>
                <w:highlight w:val="none"/>
                <w:lang w:eastAsia="zh-CN"/>
              </w:rPr>
              <w:t>分值构成及权重（评标阶段）</w:t>
            </w:r>
          </w:p>
        </w:tc>
        <w:tc>
          <w:tcPr>
            <w:tcW w:w="5134" w:type="dxa"/>
            <w:tcBorders>
              <w:right w:val="single" w:color="000000" w:sz="2" w:space="0"/>
            </w:tcBorders>
          </w:tcPr>
          <w:p w14:paraId="5CA28128">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color w:val="auto"/>
                <w:spacing w:val="0"/>
                <w:w w:val="100"/>
                <w:position w:val="0"/>
                <w:highlight w:val="none"/>
                <w:lang w:eastAsia="zh-CN"/>
              </w:rPr>
            </w:pPr>
            <w:r>
              <w:rPr>
                <w:rFonts w:hint="eastAsia" w:ascii="宋体" w:hAnsi="宋体" w:eastAsia="宋体" w:cs="宋体"/>
                <w:color w:val="auto"/>
                <w:sz w:val="20"/>
                <w:szCs w:val="20"/>
                <w:highlight w:val="none"/>
                <w:u w:val="single"/>
              </w:rPr>
              <w:t>投标人总得分(满分100分)=设计方案得分×设计方案权重（30%）+[工程总承包实施方案得分×工程总承包实施方案权重（</w:t>
            </w:r>
            <w:r>
              <w:rPr>
                <w:rFonts w:hint="eastAsia" w:eastAsia="宋体" w:cs="宋体"/>
                <w:color w:val="auto"/>
                <w:sz w:val="20"/>
                <w:szCs w:val="20"/>
                <w:highlight w:val="none"/>
                <w:u w:val="single"/>
                <w:lang w:val="en-US" w:eastAsia="zh-CN"/>
              </w:rPr>
              <w:t>5</w:t>
            </w:r>
            <w:r>
              <w:rPr>
                <w:rFonts w:hint="eastAsia" w:ascii="宋体" w:hAnsi="宋体" w:eastAsia="宋体" w:cs="宋体"/>
                <w:color w:val="auto"/>
                <w:sz w:val="20"/>
                <w:szCs w:val="20"/>
                <w:highlight w:val="none"/>
                <w:u w:val="single"/>
              </w:rPr>
              <w:t>0%）+工程施工费投标报价得分×投标报价权重（</w:t>
            </w:r>
            <w:r>
              <w:rPr>
                <w:rFonts w:hint="eastAsia" w:eastAsia="宋体" w:cs="宋体"/>
                <w:color w:val="auto"/>
                <w:sz w:val="20"/>
                <w:szCs w:val="20"/>
                <w:highlight w:val="none"/>
                <w:u w:val="single"/>
                <w:lang w:val="en-US" w:eastAsia="zh-CN"/>
              </w:rPr>
              <w:t>5</w:t>
            </w:r>
            <w:r>
              <w:rPr>
                <w:rFonts w:hint="eastAsia" w:ascii="宋体" w:hAnsi="宋体" w:eastAsia="宋体" w:cs="宋体"/>
                <w:color w:val="auto"/>
                <w:sz w:val="20"/>
                <w:szCs w:val="20"/>
                <w:highlight w:val="none"/>
                <w:u w:val="single"/>
              </w:rPr>
              <w:t>0%）]×权重（70%）</w:t>
            </w:r>
          </w:p>
        </w:tc>
      </w:tr>
      <w:tr w14:paraId="6217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348" w:type="dxa"/>
            <w:gridSpan w:val="3"/>
            <w:tcBorders>
              <w:left w:val="single" w:color="000000" w:sz="2" w:space="0"/>
            </w:tcBorders>
          </w:tcPr>
          <w:p w14:paraId="30E90E69">
            <w:pPr>
              <w:pStyle w:val="20"/>
              <w:keepNext w:val="0"/>
              <w:keepLines w:val="0"/>
              <w:pageBreakBefore w:val="0"/>
              <w:kinsoku/>
              <w:bidi w:val="0"/>
              <w:spacing w:before="192" w:line="228" w:lineRule="auto"/>
              <w:ind w:left="866"/>
              <w:rPr>
                <w:color w:val="auto"/>
                <w:spacing w:val="0"/>
                <w:w w:val="100"/>
                <w:position w:val="0"/>
                <w:highlight w:val="none"/>
              </w:rPr>
            </w:pPr>
            <w:r>
              <w:rPr>
                <w:b/>
                <w:bCs/>
                <w:color w:val="auto"/>
                <w:spacing w:val="0"/>
                <w:w w:val="100"/>
                <w:position w:val="0"/>
                <w:highlight w:val="none"/>
              </w:rPr>
              <w:t>条款号</w:t>
            </w:r>
          </w:p>
        </w:tc>
        <w:tc>
          <w:tcPr>
            <w:tcW w:w="1762" w:type="dxa"/>
            <w:tcBorders>
              <w:right w:val="single" w:color="000000" w:sz="2" w:space="0"/>
            </w:tcBorders>
          </w:tcPr>
          <w:p w14:paraId="77DA92CE">
            <w:pPr>
              <w:pStyle w:val="20"/>
              <w:keepNext w:val="0"/>
              <w:keepLines w:val="0"/>
              <w:pageBreakBefore w:val="0"/>
              <w:kinsoku/>
              <w:bidi w:val="0"/>
              <w:spacing w:before="192" w:line="228" w:lineRule="auto"/>
              <w:ind w:left="402"/>
              <w:rPr>
                <w:color w:val="auto"/>
                <w:spacing w:val="0"/>
                <w:w w:val="100"/>
                <w:position w:val="0"/>
                <w:highlight w:val="none"/>
              </w:rPr>
            </w:pPr>
            <w:r>
              <w:rPr>
                <w:b/>
                <w:bCs/>
                <w:color w:val="auto"/>
                <w:spacing w:val="0"/>
                <w:w w:val="100"/>
                <w:position w:val="0"/>
                <w:highlight w:val="none"/>
              </w:rPr>
              <w:t>评分因素</w:t>
            </w:r>
          </w:p>
        </w:tc>
        <w:tc>
          <w:tcPr>
            <w:tcW w:w="5134" w:type="dxa"/>
            <w:tcBorders>
              <w:left w:val="single" w:color="000000" w:sz="2" w:space="0"/>
              <w:right w:val="single" w:color="000000" w:sz="2" w:space="0"/>
            </w:tcBorders>
          </w:tcPr>
          <w:p w14:paraId="173EDFAD">
            <w:pPr>
              <w:pStyle w:val="20"/>
              <w:keepNext w:val="0"/>
              <w:keepLines w:val="0"/>
              <w:pageBreakBefore w:val="0"/>
              <w:kinsoku/>
              <w:bidi w:val="0"/>
              <w:spacing w:before="193" w:line="228" w:lineRule="auto"/>
              <w:ind w:left="2207"/>
              <w:rPr>
                <w:color w:val="auto"/>
                <w:spacing w:val="0"/>
                <w:w w:val="100"/>
                <w:position w:val="0"/>
                <w:highlight w:val="none"/>
              </w:rPr>
            </w:pPr>
            <w:r>
              <w:rPr>
                <w:b/>
                <w:bCs/>
                <w:color w:val="auto"/>
                <w:spacing w:val="0"/>
                <w:w w:val="100"/>
                <w:position w:val="0"/>
                <w:highlight w:val="none"/>
              </w:rPr>
              <w:t>评分标准</w:t>
            </w:r>
          </w:p>
        </w:tc>
      </w:tr>
      <w:tr w14:paraId="0C78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37" w:type="dxa"/>
            <w:gridSpan w:val="2"/>
            <w:tcBorders>
              <w:left w:val="single" w:color="000000" w:sz="2" w:space="0"/>
              <w:right w:val="single" w:color="000000" w:sz="2" w:space="0"/>
            </w:tcBorders>
          </w:tcPr>
          <w:p w14:paraId="405FF322">
            <w:pPr>
              <w:pStyle w:val="20"/>
              <w:keepNext w:val="0"/>
              <w:keepLines w:val="0"/>
              <w:pageBreakBefore w:val="0"/>
              <w:kinsoku/>
              <w:bidi w:val="0"/>
              <w:spacing w:before="28" w:line="239" w:lineRule="auto"/>
              <w:ind w:left="264"/>
              <w:rPr>
                <w:color w:val="auto"/>
                <w:spacing w:val="0"/>
                <w:w w:val="100"/>
                <w:position w:val="0"/>
                <w:highlight w:val="none"/>
              </w:rPr>
            </w:pPr>
            <w:r>
              <w:rPr>
                <w:color w:val="auto"/>
                <w:spacing w:val="0"/>
                <w:w w:val="100"/>
                <w:position w:val="0"/>
                <w:highlight w:val="none"/>
              </w:rPr>
              <w:t>2.2.2</w:t>
            </w:r>
          </w:p>
          <w:p w14:paraId="3BFF433B">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1</w:t>
            </w:r>
            <w:r>
              <w:rPr>
                <w:rFonts w:hint="eastAsia" w:cs="宋体"/>
                <w:color w:val="auto"/>
                <w:spacing w:val="0"/>
                <w:w w:val="100"/>
                <w:position w:val="0"/>
                <w:highlight w:val="none"/>
                <w:lang w:eastAsia="zh-CN"/>
              </w:rPr>
              <w:t>）</w:t>
            </w:r>
          </w:p>
        </w:tc>
        <w:tc>
          <w:tcPr>
            <w:tcW w:w="1311" w:type="dxa"/>
            <w:tcBorders>
              <w:left w:val="single" w:color="000000" w:sz="2" w:space="0"/>
            </w:tcBorders>
          </w:tcPr>
          <w:p w14:paraId="745361F7">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设计方案</w:t>
            </w:r>
          </w:p>
          <w:p w14:paraId="4AC30D25">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评分标准</w:t>
            </w:r>
          </w:p>
        </w:tc>
        <w:tc>
          <w:tcPr>
            <w:tcW w:w="1762" w:type="dxa"/>
            <w:tcBorders>
              <w:right w:val="single" w:color="000000" w:sz="2" w:space="0"/>
            </w:tcBorders>
          </w:tcPr>
          <w:p w14:paraId="102C9CBB">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lang w:eastAsia="zh-CN"/>
              </w:rPr>
            </w:pPr>
            <w:r>
              <w:rPr>
                <w:rFonts w:hint="eastAsia" w:ascii="宋体" w:hAnsi="宋体" w:eastAsia="宋体" w:cs="宋体"/>
                <w:color w:val="auto"/>
                <w:spacing w:val="0"/>
                <w:w w:val="100"/>
                <w:position w:val="0"/>
                <w:szCs w:val="21"/>
                <w:highlight w:val="none"/>
              </w:rPr>
              <w:t>设计方案投标文件详细审查评分标准</w:t>
            </w:r>
          </w:p>
        </w:tc>
        <w:tc>
          <w:tcPr>
            <w:tcW w:w="5134" w:type="dxa"/>
            <w:tcBorders>
              <w:left w:val="single" w:color="000000" w:sz="2" w:space="0"/>
              <w:right w:val="single" w:color="000000" w:sz="2" w:space="0"/>
            </w:tcBorders>
            <w:vAlign w:val="center"/>
          </w:tcPr>
          <w:p w14:paraId="1A857226">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kern w:val="2"/>
                <w:position w:val="0"/>
                <w:szCs w:val="21"/>
                <w:highlight w:val="none"/>
              </w:rPr>
              <w:t>附表</w:t>
            </w:r>
            <w:r>
              <w:rPr>
                <w:rFonts w:hint="eastAsia" w:cs="宋体"/>
                <w:color w:val="auto"/>
                <w:spacing w:val="0"/>
                <w:w w:val="100"/>
                <w:kern w:val="2"/>
                <w:position w:val="0"/>
                <w:szCs w:val="21"/>
                <w:highlight w:val="none"/>
                <w:lang w:val="en-US" w:eastAsia="zh-CN"/>
              </w:rPr>
              <w:t>5</w:t>
            </w:r>
            <w:r>
              <w:rPr>
                <w:rFonts w:hint="eastAsia" w:ascii="宋体" w:hAnsi="宋体" w:eastAsia="宋体" w:cs="宋体"/>
                <w:color w:val="auto"/>
                <w:spacing w:val="0"/>
                <w:w w:val="100"/>
                <w:kern w:val="2"/>
                <w:position w:val="0"/>
                <w:szCs w:val="21"/>
                <w:highlight w:val="none"/>
              </w:rPr>
              <w:t>《</w:t>
            </w:r>
            <w:r>
              <w:rPr>
                <w:rFonts w:hint="eastAsia" w:ascii="宋体" w:hAnsi="宋体" w:eastAsia="宋体" w:cs="宋体"/>
                <w:color w:val="auto"/>
                <w:spacing w:val="0"/>
                <w:w w:val="100"/>
                <w:position w:val="0"/>
                <w:szCs w:val="21"/>
                <w:highlight w:val="none"/>
                <w:lang w:val="en-US" w:eastAsia="zh-CN"/>
              </w:rPr>
              <w:t>评标阶段</w:t>
            </w:r>
            <w:r>
              <w:rPr>
                <w:rFonts w:hint="eastAsia" w:ascii="宋体" w:hAnsi="宋体" w:eastAsia="宋体" w:cs="宋体"/>
                <w:color w:val="auto"/>
                <w:spacing w:val="0"/>
                <w:w w:val="100"/>
                <w:position w:val="0"/>
                <w:szCs w:val="21"/>
                <w:highlight w:val="none"/>
              </w:rPr>
              <w:t>设计方案投标文件详细审查评分表</w:t>
            </w:r>
            <w:r>
              <w:rPr>
                <w:rFonts w:hint="eastAsia" w:ascii="宋体" w:hAnsi="宋体" w:eastAsia="宋体" w:cs="宋体"/>
                <w:color w:val="auto"/>
                <w:spacing w:val="0"/>
                <w:w w:val="100"/>
                <w:kern w:val="2"/>
                <w:position w:val="0"/>
                <w:szCs w:val="21"/>
                <w:highlight w:val="none"/>
              </w:rPr>
              <w:t>》</w:t>
            </w:r>
          </w:p>
        </w:tc>
      </w:tr>
      <w:tr w14:paraId="3A06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37" w:type="dxa"/>
            <w:gridSpan w:val="2"/>
            <w:tcBorders>
              <w:left w:val="single" w:color="000000" w:sz="2" w:space="0"/>
              <w:right w:val="single" w:color="000000" w:sz="2" w:space="0"/>
            </w:tcBorders>
            <w:vAlign w:val="center"/>
          </w:tcPr>
          <w:p w14:paraId="689C2B01">
            <w:pPr>
              <w:pStyle w:val="20"/>
              <w:keepNext w:val="0"/>
              <w:keepLines w:val="0"/>
              <w:pageBreakBefore w:val="0"/>
              <w:kinsoku/>
              <w:bidi w:val="0"/>
              <w:spacing w:before="28" w:line="239" w:lineRule="auto"/>
              <w:ind w:left="264"/>
              <w:rPr>
                <w:color w:val="auto"/>
                <w:spacing w:val="0"/>
                <w:w w:val="100"/>
                <w:position w:val="0"/>
                <w:highlight w:val="none"/>
              </w:rPr>
            </w:pPr>
            <w:r>
              <w:rPr>
                <w:color w:val="auto"/>
                <w:spacing w:val="0"/>
                <w:w w:val="100"/>
                <w:position w:val="0"/>
                <w:highlight w:val="none"/>
              </w:rPr>
              <w:t>2.2.2</w:t>
            </w:r>
          </w:p>
          <w:p w14:paraId="0737FB8B">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2</w:t>
            </w:r>
            <w:r>
              <w:rPr>
                <w:rFonts w:hint="eastAsia" w:cs="宋体"/>
                <w:color w:val="auto"/>
                <w:spacing w:val="0"/>
                <w:w w:val="100"/>
                <w:position w:val="0"/>
                <w:highlight w:val="none"/>
                <w:lang w:eastAsia="zh-CN"/>
              </w:rPr>
              <w:t>）</w:t>
            </w:r>
          </w:p>
        </w:tc>
        <w:tc>
          <w:tcPr>
            <w:tcW w:w="1311" w:type="dxa"/>
            <w:tcBorders>
              <w:left w:val="single" w:color="000000" w:sz="2" w:space="0"/>
            </w:tcBorders>
            <w:vAlign w:val="center"/>
          </w:tcPr>
          <w:p w14:paraId="3C97BCED">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投标报价</w:t>
            </w:r>
          </w:p>
          <w:p w14:paraId="2DD02559">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评分标准</w:t>
            </w:r>
          </w:p>
        </w:tc>
        <w:tc>
          <w:tcPr>
            <w:tcW w:w="1762" w:type="dxa"/>
            <w:tcBorders>
              <w:right w:val="single" w:color="000000" w:sz="2" w:space="0"/>
            </w:tcBorders>
            <w:vAlign w:val="center"/>
          </w:tcPr>
          <w:p w14:paraId="78DAC3C2">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rPr>
            </w:pPr>
            <w:r>
              <w:rPr>
                <w:rFonts w:hint="eastAsia" w:ascii="宋体" w:hAnsi="宋体" w:eastAsia="宋体" w:cs="宋体"/>
                <w:color w:val="auto"/>
                <w:spacing w:val="0"/>
                <w:w w:val="100"/>
                <w:position w:val="0"/>
                <w:szCs w:val="21"/>
                <w:highlight w:val="none"/>
              </w:rPr>
              <w:t>投标报价</w:t>
            </w:r>
          </w:p>
          <w:p w14:paraId="7FE29EBD">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rPr>
            </w:pPr>
            <w:r>
              <w:rPr>
                <w:rFonts w:hint="eastAsia" w:ascii="宋体" w:hAnsi="宋体" w:eastAsia="宋体" w:cs="宋体"/>
                <w:color w:val="auto"/>
                <w:spacing w:val="0"/>
                <w:w w:val="100"/>
                <w:position w:val="0"/>
                <w:szCs w:val="21"/>
                <w:highlight w:val="none"/>
              </w:rPr>
              <w:t>评分标准</w:t>
            </w:r>
          </w:p>
        </w:tc>
        <w:tc>
          <w:tcPr>
            <w:tcW w:w="5134" w:type="dxa"/>
            <w:tcBorders>
              <w:left w:val="single" w:color="000000" w:sz="2" w:space="0"/>
              <w:right w:val="single" w:color="000000" w:sz="2" w:space="0"/>
            </w:tcBorders>
            <w:vAlign w:val="center"/>
          </w:tcPr>
          <w:p w14:paraId="11702F64">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hint="eastAsia" w:ascii="宋体" w:hAnsi="宋体" w:eastAsia="宋体" w:cs="宋体"/>
                <w:color w:val="auto"/>
                <w:spacing w:val="0"/>
                <w:w w:val="100"/>
                <w:kern w:val="2"/>
                <w:position w:val="0"/>
                <w:szCs w:val="21"/>
                <w:highlight w:val="none"/>
              </w:rPr>
            </w:pPr>
            <w:r>
              <w:rPr>
                <w:color w:val="auto"/>
                <w:spacing w:val="0"/>
                <w:w w:val="100"/>
                <w:position w:val="0"/>
                <w:highlight w:val="none"/>
                <w:lang w:eastAsia="zh-CN"/>
              </w:rPr>
              <w:t>附表</w:t>
            </w:r>
            <w:r>
              <w:rPr>
                <w:rFonts w:hint="eastAsia"/>
                <w:color w:val="auto"/>
                <w:spacing w:val="0"/>
                <w:w w:val="100"/>
                <w:position w:val="0"/>
                <w:highlight w:val="none"/>
                <w:lang w:val="en-US" w:eastAsia="zh-CN"/>
              </w:rPr>
              <w:t>6</w:t>
            </w:r>
            <w:r>
              <w:rPr>
                <w:color w:val="auto"/>
                <w:spacing w:val="0"/>
                <w:w w:val="100"/>
                <w:position w:val="0"/>
                <w:highlight w:val="none"/>
                <w:lang w:eastAsia="zh-CN"/>
              </w:rPr>
              <w:t>《评标阶段经济标详细审查评分标准》</w:t>
            </w:r>
          </w:p>
        </w:tc>
      </w:tr>
      <w:tr w14:paraId="24AA0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37" w:type="dxa"/>
            <w:gridSpan w:val="2"/>
            <w:tcBorders>
              <w:left w:val="single" w:color="000000" w:sz="2" w:space="0"/>
              <w:right w:val="single" w:color="000000" w:sz="2" w:space="0"/>
            </w:tcBorders>
            <w:vAlign w:val="center"/>
          </w:tcPr>
          <w:p w14:paraId="42542181">
            <w:pPr>
              <w:pStyle w:val="20"/>
              <w:keepNext w:val="0"/>
              <w:keepLines w:val="0"/>
              <w:pageBreakBefore w:val="0"/>
              <w:kinsoku/>
              <w:bidi w:val="0"/>
              <w:spacing w:before="28" w:line="239" w:lineRule="auto"/>
              <w:ind w:left="264"/>
              <w:rPr>
                <w:color w:val="auto"/>
                <w:spacing w:val="0"/>
                <w:w w:val="100"/>
                <w:position w:val="0"/>
                <w:highlight w:val="none"/>
              </w:rPr>
            </w:pPr>
            <w:r>
              <w:rPr>
                <w:color w:val="auto"/>
                <w:spacing w:val="0"/>
                <w:w w:val="100"/>
                <w:position w:val="0"/>
                <w:highlight w:val="none"/>
              </w:rPr>
              <w:t>2.2.2</w:t>
            </w:r>
          </w:p>
          <w:p w14:paraId="09038EDF">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3</w:t>
            </w:r>
            <w:r>
              <w:rPr>
                <w:rFonts w:hint="eastAsia" w:cs="宋体"/>
                <w:color w:val="auto"/>
                <w:spacing w:val="0"/>
                <w:w w:val="100"/>
                <w:position w:val="0"/>
                <w:highlight w:val="none"/>
                <w:lang w:eastAsia="zh-CN"/>
              </w:rPr>
              <w:t>）</w:t>
            </w:r>
          </w:p>
        </w:tc>
        <w:tc>
          <w:tcPr>
            <w:tcW w:w="1311" w:type="dxa"/>
            <w:tcBorders>
              <w:left w:val="single" w:color="000000" w:sz="2" w:space="0"/>
            </w:tcBorders>
            <w:shd w:val="clear" w:color="auto" w:fill="auto"/>
            <w:vAlign w:val="center"/>
          </w:tcPr>
          <w:p w14:paraId="763D2809">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工程总承包实施方案评分</w:t>
            </w:r>
          </w:p>
          <w:p w14:paraId="49418D67">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lang w:val="en-US" w:eastAsia="en-US"/>
              </w:rPr>
            </w:pPr>
            <w:r>
              <w:rPr>
                <w:rFonts w:hint="eastAsia" w:ascii="宋体" w:hAnsi="宋体" w:eastAsia="宋体" w:cs="宋体"/>
                <w:color w:val="auto"/>
                <w:spacing w:val="0"/>
                <w:w w:val="100"/>
                <w:position w:val="0"/>
                <w:highlight w:val="none"/>
                <w:lang w:eastAsia="zh-CN"/>
              </w:rPr>
              <w:t>标准</w:t>
            </w:r>
          </w:p>
        </w:tc>
        <w:tc>
          <w:tcPr>
            <w:tcW w:w="1762" w:type="dxa"/>
            <w:tcBorders>
              <w:right w:val="single" w:color="000000" w:sz="2" w:space="0"/>
            </w:tcBorders>
            <w:vAlign w:val="center"/>
          </w:tcPr>
          <w:p w14:paraId="50C97658">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rPr>
            </w:pPr>
            <w:r>
              <w:rPr>
                <w:rFonts w:hint="eastAsia" w:ascii="宋体" w:hAnsi="宋体" w:eastAsia="宋体" w:cs="宋体"/>
                <w:color w:val="auto"/>
                <w:spacing w:val="0"/>
                <w:w w:val="100"/>
                <w:position w:val="0"/>
                <w:szCs w:val="21"/>
                <w:highlight w:val="none"/>
                <w:lang w:eastAsia="zh-CN"/>
              </w:rPr>
              <w:t>资信部分和项目实施组织方</w:t>
            </w:r>
            <w:r>
              <w:rPr>
                <w:rFonts w:hint="eastAsia" w:ascii="宋体" w:hAnsi="宋体" w:eastAsia="宋体" w:cs="宋体"/>
                <w:color w:val="auto"/>
                <w:spacing w:val="0"/>
                <w:w w:val="100"/>
                <w:position w:val="0"/>
                <w:szCs w:val="21"/>
                <w:highlight w:val="none"/>
              </w:rPr>
              <w:t>案部分</w:t>
            </w:r>
          </w:p>
        </w:tc>
        <w:tc>
          <w:tcPr>
            <w:tcW w:w="5134" w:type="dxa"/>
            <w:tcBorders>
              <w:left w:val="single" w:color="000000" w:sz="2" w:space="0"/>
              <w:right w:val="single" w:color="000000" w:sz="2" w:space="0"/>
            </w:tcBorders>
            <w:vAlign w:val="center"/>
          </w:tcPr>
          <w:p w14:paraId="10914CDD">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jc w:val="both"/>
              <w:textAlignment w:val="baseline"/>
              <w:rPr>
                <w:rFonts w:hint="eastAsia" w:ascii="宋体" w:hAnsi="宋体" w:eastAsia="宋体" w:cs="宋体"/>
                <w:color w:val="auto"/>
                <w:spacing w:val="0"/>
                <w:w w:val="100"/>
                <w:kern w:val="2"/>
                <w:position w:val="0"/>
                <w:szCs w:val="21"/>
                <w:highlight w:val="none"/>
              </w:rPr>
            </w:pPr>
            <w:r>
              <w:rPr>
                <w:rFonts w:hint="eastAsia"/>
                <w:color w:val="auto"/>
                <w:spacing w:val="0"/>
                <w:w w:val="100"/>
                <w:position w:val="0"/>
                <w:highlight w:val="none"/>
                <w:lang w:eastAsia="zh-CN"/>
              </w:rPr>
              <w:t>附表</w:t>
            </w:r>
            <w:r>
              <w:rPr>
                <w:rFonts w:hint="eastAsia"/>
                <w:color w:val="auto"/>
                <w:spacing w:val="0"/>
                <w:w w:val="100"/>
                <w:position w:val="0"/>
                <w:highlight w:val="none"/>
                <w:lang w:val="en-US" w:eastAsia="zh-CN"/>
              </w:rPr>
              <w:t>7</w:t>
            </w:r>
            <w:r>
              <w:rPr>
                <w:rFonts w:hint="eastAsia"/>
                <w:color w:val="auto"/>
                <w:spacing w:val="0"/>
                <w:w w:val="100"/>
                <w:position w:val="0"/>
                <w:highlight w:val="none"/>
                <w:lang w:eastAsia="zh-CN"/>
              </w:rPr>
              <w:t>《评标阶段工程总承包实施方案详细审查评分表》</w:t>
            </w:r>
          </w:p>
        </w:tc>
      </w:tr>
      <w:tr w14:paraId="3BA68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348" w:type="dxa"/>
            <w:gridSpan w:val="3"/>
            <w:tcBorders>
              <w:left w:val="single" w:color="000000" w:sz="2" w:space="0"/>
            </w:tcBorders>
            <w:vAlign w:val="center"/>
          </w:tcPr>
          <w:p w14:paraId="06344669">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color w:val="auto"/>
                <w:spacing w:val="0"/>
                <w:w w:val="100"/>
                <w:position w:val="0"/>
                <w:highlight w:val="none"/>
              </w:rPr>
              <w:t>2.2.3</w:t>
            </w:r>
          </w:p>
        </w:tc>
        <w:tc>
          <w:tcPr>
            <w:tcW w:w="1762" w:type="dxa"/>
            <w:tcBorders>
              <w:right w:val="single" w:color="000000" w:sz="2" w:space="0"/>
            </w:tcBorders>
            <w:vAlign w:val="center"/>
          </w:tcPr>
          <w:p w14:paraId="6B12F429">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lang w:eastAsia="zh-CN"/>
              </w:rPr>
            </w:pPr>
            <w:r>
              <w:rPr>
                <w:rFonts w:hint="eastAsia" w:ascii="宋体" w:hAnsi="宋体" w:eastAsia="宋体" w:cs="宋体"/>
                <w:color w:val="auto"/>
                <w:spacing w:val="0"/>
                <w:w w:val="100"/>
                <w:position w:val="0"/>
                <w:szCs w:val="21"/>
                <w:highlight w:val="none"/>
                <w:lang w:eastAsia="zh-CN"/>
              </w:rPr>
              <w:t>分值构成及权重</w:t>
            </w:r>
          </w:p>
          <w:p w14:paraId="1E7DDB60">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lang w:eastAsia="zh-CN"/>
              </w:rPr>
            </w:pPr>
            <w:r>
              <w:rPr>
                <w:rFonts w:hint="eastAsia" w:ascii="宋体" w:hAnsi="宋体" w:eastAsia="宋体" w:cs="宋体"/>
                <w:color w:val="auto"/>
                <w:spacing w:val="0"/>
                <w:w w:val="100"/>
                <w:position w:val="0"/>
                <w:szCs w:val="21"/>
                <w:highlight w:val="none"/>
                <w:lang w:eastAsia="zh-CN"/>
              </w:rPr>
              <w:t>（定标阶段）</w:t>
            </w:r>
          </w:p>
        </w:tc>
        <w:tc>
          <w:tcPr>
            <w:tcW w:w="5134" w:type="dxa"/>
            <w:tcBorders>
              <w:left w:val="single" w:color="000000" w:sz="2" w:space="0"/>
              <w:right w:val="single" w:color="000000" w:sz="2" w:space="0"/>
            </w:tcBorders>
            <w:vAlign w:val="center"/>
          </w:tcPr>
          <w:p w14:paraId="5D55B250">
            <w:pPr>
              <w:pStyle w:val="20"/>
              <w:keepNext w:val="0"/>
              <w:keepLines w:val="0"/>
              <w:pageBreakBefore w:val="0"/>
              <w:kinsoku/>
              <w:bidi w:val="0"/>
              <w:spacing w:before="29" w:line="224" w:lineRule="auto"/>
              <w:ind w:left="113" w:right="22" w:firstLine="1"/>
              <w:jc w:val="both"/>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投标人总得分（满分100分）=答辩因素得分</w:t>
            </w:r>
            <w:r>
              <w:rPr>
                <w:rFonts w:hint="eastAsia" w:ascii="宋体" w:hAnsi="宋体" w:eastAsia="宋体" w:cs="宋体"/>
                <w:color w:val="auto"/>
                <w:sz w:val="20"/>
                <w:szCs w:val="20"/>
                <w:highlight w:val="none"/>
                <w:u w:val="none"/>
              </w:rPr>
              <w:t>×</w:t>
            </w:r>
            <w:r>
              <w:rPr>
                <w:rFonts w:hint="eastAsia" w:ascii="宋体" w:hAnsi="宋体" w:eastAsia="宋体" w:cs="宋体"/>
                <w:color w:val="auto"/>
                <w:spacing w:val="0"/>
                <w:w w:val="100"/>
                <w:position w:val="0"/>
                <w:highlight w:val="none"/>
                <w:lang w:eastAsia="zh-CN"/>
              </w:rPr>
              <w:t>（答辩因素权重30%）+方案因素得分</w:t>
            </w:r>
            <w:r>
              <w:rPr>
                <w:rFonts w:hint="eastAsia" w:ascii="宋体" w:hAnsi="宋体" w:eastAsia="宋体" w:cs="宋体"/>
                <w:color w:val="auto"/>
                <w:sz w:val="20"/>
                <w:szCs w:val="20"/>
                <w:highlight w:val="none"/>
                <w:u w:val="none"/>
              </w:rPr>
              <w:t>×</w:t>
            </w:r>
            <w:r>
              <w:rPr>
                <w:rFonts w:hint="eastAsia" w:ascii="宋体" w:hAnsi="宋体" w:eastAsia="宋体" w:cs="宋体"/>
                <w:color w:val="auto"/>
                <w:spacing w:val="0"/>
                <w:w w:val="100"/>
                <w:position w:val="0"/>
                <w:highlight w:val="none"/>
                <w:lang w:eastAsia="zh-CN"/>
              </w:rPr>
              <w:t>（方案因素权重</w:t>
            </w:r>
            <w:r>
              <w:rPr>
                <w:rFonts w:hint="eastAsia" w:cs="宋体"/>
                <w:color w:val="auto"/>
                <w:spacing w:val="0"/>
                <w:w w:val="100"/>
                <w:position w:val="0"/>
                <w:highlight w:val="none"/>
                <w:lang w:val="en-US" w:eastAsia="zh-CN"/>
              </w:rPr>
              <w:t>40</w:t>
            </w:r>
            <w:r>
              <w:rPr>
                <w:rFonts w:hint="eastAsia" w:ascii="宋体" w:hAnsi="宋体" w:eastAsia="宋体" w:cs="宋体"/>
                <w:color w:val="auto"/>
                <w:spacing w:val="0"/>
                <w:w w:val="100"/>
                <w:position w:val="0"/>
                <w:highlight w:val="none"/>
                <w:lang w:eastAsia="zh-CN"/>
              </w:rPr>
              <w:t>%）+价格因素得分×（价格因素权重</w:t>
            </w:r>
            <w:r>
              <w:rPr>
                <w:rFonts w:hint="eastAsia" w:cs="宋体"/>
                <w:color w:val="auto"/>
                <w:spacing w:val="0"/>
                <w:w w:val="100"/>
                <w:position w:val="0"/>
                <w:highlight w:val="none"/>
                <w:lang w:val="en-US" w:eastAsia="zh-CN"/>
              </w:rPr>
              <w:t>30</w:t>
            </w:r>
            <w:r>
              <w:rPr>
                <w:rFonts w:hint="eastAsia" w:ascii="宋体" w:hAnsi="宋体" w:eastAsia="宋体" w:cs="宋体"/>
                <w:color w:val="auto"/>
                <w:spacing w:val="0"/>
                <w:w w:val="100"/>
                <w:position w:val="0"/>
                <w:highlight w:val="none"/>
                <w:lang w:eastAsia="zh-CN"/>
              </w:rPr>
              <w:t>%）。</w:t>
            </w:r>
          </w:p>
        </w:tc>
      </w:tr>
      <w:tr w14:paraId="43E1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37" w:type="dxa"/>
            <w:gridSpan w:val="2"/>
            <w:tcBorders>
              <w:left w:val="single" w:color="000000" w:sz="2" w:space="0"/>
              <w:right w:val="single" w:color="000000" w:sz="2" w:space="0"/>
            </w:tcBorders>
            <w:vAlign w:val="center"/>
          </w:tcPr>
          <w:p w14:paraId="7EE2619E">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2.2.4</w:t>
            </w:r>
          </w:p>
          <w:p w14:paraId="4DC7F970">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1</w:t>
            </w:r>
            <w:r>
              <w:rPr>
                <w:rFonts w:hint="eastAsia" w:cs="宋体"/>
                <w:color w:val="auto"/>
                <w:spacing w:val="0"/>
                <w:w w:val="100"/>
                <w:position w:val="0"/>
                <w:highlight w:val="none"/>
                <w:lang w:eastAsia="zh-CN"/>
              </w:rPr>
              <w:t>）</w:t>
            </w:r>
          </w:p>
        </w:tc>
        <w:tc>
          <w:tcPr>
            <w:tcW w:w="1311" w:type="dxa"/>
            <w:tcBorders>
              <w:left w:val="single" w:color="000000" w:sz="2" w:space="0"/>
            </w:tcBorders>
            <w:vAlign w:val="center"/>
          </w:tcPr>
          <w:p w14:paraId="2EBE2CE8">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rFonts w:hint="eastAsia"/>
                <w:color w:val="auto"/>
                <w:spacing w:val="0"/>
                <w:w w:val="100"/>
                <w:position w:val="0"/>
                <w:highlight w:val="none"/>
              </w:rPr>
              <w:t>答辩</w:t>
            </w:r>
            <w:r>
              <w:rPr>
                <w:color w:val="auto"/>
                <w:spacing w:val="0"/>
                <w:w w:val="100"/>
                <w:position w:val="0"/>
                <w:highlight w:val="none"/>
              </w:rPr>
              <w:t>因素</w:t>
            </w:r>
          </w:p>
          <w:p w14:paraId="0BB90E17">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color w:val="auto"/>
                <w:spacing w:val="0"/>
                <w:w w:val="100"/>
                <w:position w:val="0"/>
                <w:highlight w:val="none"/>
              </w:rPr>
              <w:t>评分</w:t>
            </w:r>
            <w:r>
              <w:rPr>
                <w:rFonts w:hint="eastAsia" w:ascii="宋体" w:hAnsi="宋体" w:eastAsia="宋体" w:cs="宋体"/>
                <w:color w:val="auto"/>
                <w:spacing w:val="0"/>
                <w:w w:val="100"/>
                <w:position w:val="0"/>
                <w:highlight w:val="none"/>
              </w:rPr>
              <w:t>标准</w:t>
            </w:r>
          </w:p>
        </w:tc>
        <w:tc>
          <w:tcPr>
            <w:tcW w:w="1762" w:type="dxa"/>
            <w:tcBorders>
              <w:right w:val="single" w:color="000000" w:sz="2" w:space="0"/>
            </w:tcBorders>
            <w:vAlign w:val="center"/>
          </w:tcPr>
          <w:p w14:paraId="555E3802">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rPr>
            </w:pPr>
            <w:r>
              <w:rPr>
                <w:rFonts w:hint="eastAsia" w:ascii="宋体" w:hAnsi="宋体" w:eastAsia="宋体" w:cs="宋体"/>
                <w:color w:val="auto"/>
                <w:spacing w:val="0"/>
                <w:w w:val="100"/>
                <w:position w:val="0"/>
                <w:szCs w:val="21"/>
                <w:highlight w:val="none"/>
              </w:rPr>
              <w:t>答辩因素</w:t>
            </w:r>
          </w:p>
        </w:tc>
        <w:tc>
          <w:tcPr>
            <w:tcW w:w="5134" w:type="dxa"/>
            <w:tcBorders>
              <w:left w:val="single" w:color="000000" w:sz="2" w:space="0"/>
              <w:right w:val="single" w:color="000000" w:sz="2" w:space="0"/>
            </w:tcBorders>
          </w:tcPr>
          <w:p w14:paraId="1A9792A6">
            <w:pPr>
              <w:pStyle w:val="20"/>
              <w:keepNext w:val="0"/>
              <w:keepLines w:val="0"/>
              <w:pageBreakBefore w:val="0"/>
              <w:kinsoku/>
              <w:bidi w:val="0"/>
              <w:spacing w:before="211" w:line="227" w:lineRule="auto"/>
              <w:ind w:left="129"/>
              <w:rPr>
                <w:color w:val="auto"/>
                <w:spacing w:val="0"/>
                <w:w w:val="100"/>
                <w:position w:val="0"/>
                <w:highlight w:val="none"/>
                <w:lang w:eastAsia="zh-CN"/>
              </w:rPr>
            </w:pPr>
            <w:r>
              <w:rPr>
                <w:color w:val="auto"/>
                <w:spacing w:val="0"/>
                <w:w w:val="100"/>
                <w:position w:val="0"/>
                <w:highlight w:val="none"/>
                <w:lang w:eastAsia="zh-CN"/>
              </w:rPr>
              <w:t>附表</w:t>
            </w:r>
            <w:r>
              <w:rPr>
                <w:rFonts w:hint="eastAsia"/>
                <w:color w:val="auto"/>
                <w:spacing w:val="0"/>
                <w:w w:val="100"/>
                <w:position w:val="0"/>
                <w:highlight w:val="none"/>
                <w:lang w:val="en-US" w:eastAsia="zh-CN"/>
              </w:rPr>
              <w:t>8</w:t>
            </w:r>
            <w:r>
              <w:rPr>
                <w:color w:val="auto"/>
                <w:spacing w:val="0"/>
                <w:w w:val="100"/>
                <w:position w:val="0"/>
                <w:highlight w:val="none"/>
                <w:lang w:eastAsia="zh-CN"/>
              </w:rPr>
              <w:t>《定标阶段答辩因素详细审查评分表》</w:t>
            </w:r>
          </w:p>
        </w:tc>
      </w:tr>
      <w:tr w14:paraId="67521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37" w:type="dxa"/>
            <w:gridSpan w:val="2"/>
            <w:tcBorders>
              <w:left w:val="single" w:color="000000" w:sz="2" w:space="0"/>
              <w:right w:val="single" w:color="000000" w:sz="2" w:space="0"/>
            </w:tcBorders>
            <w:vAlign w:val="center"/>
          </w:tcPr>
          <w:p w14:paraId="441DD46B">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2.2.4</w:t>
            </w:r>
          </w:p>
          <w:p w14:paraId="476AF2C6">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2</w:t>
            </w:r>
            <w:r>
              <w:rPr>
                <w:rFonts w:hint="eastAsia" w:cs="宋体"/>
                <w:color w:val="auto"/>
                <w:spacing w:val="0"/>
                <w:w w:val="100"/>
                <w:position w:val="0"/>
                <w:highlight w:val="none"/>
                <w:lang w:eastAsia="zh-CN"/>
              </w:rPr>
              <w:t>）</w:t>
            </w:r>
          </w:p>
        </w:tc>
        <w:tc>
          <w:tcPr>
            <w:tcW w:w="1311" w:type="dxa"/>
            <w:tcBorders>
              <w:left w:val="single" w:color="000000" w:sz="2" w:space="0"/>
            </w:tcBorders>
            <w:vAlign w:val="center"/>
          </w:tcPr>
          <w:p w14:paraId="2C3B2433">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color w:val="auto"/>
                <w:spacing w:val="0"/>
                <w:w w:val="100"/>
                <w:position w:val="0"/>
                <w:highlight w:val="none"/>
              </w:rPr>
              <w:t>方案因素</w:t>
            </w:r>
          </w:p>
          <w:p w14:paraId="5F2AA82B">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color w:val="auto"/>
                <w:spacing w:val="0"/>
                <w:w w:val="100"/>
                <w:position w:val="0"/>
                <w:highlight w:val="none"/>
              </w:rPr>
              <w:t>评分</w:t>
            </w:r>
            <w:r>
              <w:rPr>
                <w:rFonts w:hint="eastAsia" w:ascii="宋体" w:hAnsi="宋体" w:eastAsia="宋体" w:cs="宋体"/>
                <w:color w:val="auto"/>
                <w:spacing w:val="0"/>
                <w:w w:val="100"/>
                <w:position w:val="0"/>
                <w:highlight w:val="none"/>
              </w:rPr>
              <w:t>标准</w:t>
            </w:r>
          </w:p>
        </w:tc>
        <w:tc>
          <w:tcPr>
            <w:tcW w:w="1762" w:type="dxa"/>
            <w:tcBorders>
              <w:right w:val="single" w:color="000000" w:sz="2" w:space="0"/>
            </w:tcBorders>
            <w:vAlign w:val="center"/>
          </w:tcPr>
          <w:p w14:paraId="02825DF4">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rPr>
            </w:pPr>
            <w:r>
              <w:rPr>
                <w:rFonts w:hint="eastAsia" w:ascii="宋体" w:hAnsi="宋体" w:eastAsia="宋体" w:cs="宋体"/>
                <w:color w:val="auto"/>
                <w:spacing w:val="0"/>
                <w:w w:val="100"/>
                <w:position w:val="0"/>
                <w:szCs w:val="21"/>
                <w:highlight w:val="none"/>
              </w:rPr>
              <w:t>方案因素</w:t>
            </w:r>
          </w:p>
        </w:tc>
        <w:tc>
          <w:tcPr>
            <w:tcW w:w="5134" w:type="dxa"/>
            <w:tcBorders>
              <w:left w:val="single" w:color="000000" w:sz="2" w:space="0"/>
              <w:right w:val="single" w:color="000000" w:sz="2" w:space="0"/>
            </w:tcBorders>
          </w:tcPr>
          <w:p w14:paraId="5E5B156F">
            <w:pPr>
              <w:pStyle w:val="20"/>
              <w:keepNext w:val="0"/>
              <w:keepLines w:val="0"/>
              <w:pageBreakBefore w:val="0"/>
              <w:kinsoku/>
              <w:bidi w:val="0"/>
              <w:spacing w:before="212" w:line="227" w:lineRule="auto"/>
              <w:ind w:left="129"/>
              <w:rPr>
                <w:color w:val="auto"/>
                <w:spacing w:val="0"/>
                <w:w w:val="100"/>
                <w:position w:val="0"/>
                <w:highlight w:val="none"/>
                <w:lang w:eastAsia="zh-CN"/>
              </w:rPr>
            </w:pPr>
            <w:r>
              <w:rPr>
                <w:color w:val="auto"/>
                <w:spacing w:val="0"/>
                <w:w w:val="100"/>
                <w:position w:val="0"/>
                <w:highlight w:val="none"/>
                <w:lang w:eastAsia="zh-CN"/>
              </w:rPr>
              <w:t>附表</w:t>
            </w:r>
            <w:r>
              <w:rPr>
                <w:rFonts w:hint="eastAsia"/>
                <w:color w:val="auto"/>
                <w:spacing w:val="0"/>
                <w:w w:val="100"/>
                <w:position w:val="0"/>
                <w:highlight w:val="none"/>
                <w:lang w:val="en-US" w:eastAsia="zh-CN"/>
              </w:rPr>
              <w:t>9</w:t>
            </w:r>
            <w:r>
              <w:rPr>
                <w:color w:val="auto"/>
                <w:spacing w:val="0"/>
                <w:w w:val="100"/>
                <w:position w:val="0"/>
                <w:highlight w:val="none"/>
                <w:lang w:eastAsia="zh-CN"/>
              </w:rPr>
              <w:t>《定标阶段方案因素详细审查评分表》</w:t>
            </w:r>
          </w:p>
        </w:tc>
      </w:tr>
      <w:tr w14:paraId="658D0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37" w:type="dxa"/>
            <w:gridSpan w:val="2"/>
            <w:tcBorders>
              <w:left w:val="single" w:color="000000" w:sz="2" w:space="0"/>
              <w:right w:val="single" w:color="000000" w:sz="2" w:space="0"/>
            </w:tcBorders>
            <w:vAlign w:val="center"/>
          </w:tcPr>
          <w:p w14:paraId="53EB004B">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2.2.4</w:t>
            </w:r>
          </w:p>
          <w:p w14:paraId="79772BFD">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lang w:eastAsia="zh-CN"/>
              </w:rPr>
            </w:pP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3</w:t>
            </w:r>
            <w:r>
              <w:rPr>
                <w:rFonts w:hint="eastAsia" w:cs="宋体"/>
                <w:color w:val="auto"/>
                <w:spacing w:val="0"/>
                <w:w w:val="100"/>
                <w:position w:val="0"/>
                <w:highlight w:val="none"/>
                <w:lang w:eastAsia="zh-CN"/>
              </w:rPr>
              <w:t>）</w:t>
            </w:r>
          </w:p>
        </w:tc>
        <w:tc>
          <w:tcPr>
            <w:tcW w:w="1311" w:type="dxa"/>
            <w:tcBorders>
              <w:left w:val="single" w:color="000000" w:sz="2" w:space="0"/>
            </w:tcBorders>
            <w:vAlign w:val="center"/>
          </w:tcPr>
          <w:p w14:paraId="22468D15">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highlight w:val="none"/>
              </w:rPr>
            </w:pPr>
            <w:r>
              <w:rPr>
                <w:color w:val="auto"/>
                <w:spacing w:val="0"/>
                <w:w w:val="100"/>
                <w:position w:val="0"/>
                <w:highlight w:val="none"/>
              </w:rPr>
              <w:t>价格</w:t>
            </w:r>
            <w:r>
              <w:rPr>
                <w:rFonts w:hint="eastAsia" w:ascii="宋体" w:hAnsi="宋体" w:eastAsia="宋体" w:cs="宋体"/>
                <w:color w:val="auto"/>
                <w:spacing w:val="0"/>
                <w:w w:val="100"/>
                <w:position w:val="0"/>
                <w:highlight w:val="none"/>
              </w:rPr>
              <w:t>因素</w:t>
            </w:r>
          </w:p>
          <w:p w14:paraId="768852B7">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color w:val="auto"/>
                <w:spacing w:val="0"/>
                <w:w w:val="100"/>
                <w:position w:val="0"/>
                <w:highlight w:val="none"/>
              </w:rPr>
            </w:pPr>
            <w:r>
              <w:rPr>
                <w:color w:val="auto"/>
                <w:spacing w:val="0"/>
                <w:w w:val="100"/>
                <w:position w:val="0"/>
                <w:highlight w:val="none"/>
              </w:rPr>
              <w:t>评分</w:t>
            </w:r>
            <w:r>
              <w:rPr>
                <w:rFonts w:hint="eastAsia" w:ascii="宋体" w:hAnsi="宋体" w:eastAsia="宋体" w:cs="宋体"/>
                <w:color w:val="auto"/>
                <w:spacing w:val="0"/>
                <w:w w:val="100"/>
                <w:position w:val="0"/>
                <w:highlight w:val="none"/>
              </w:rPr>
              <w:t>标准</w:t>
            </w:r>
          </w:p>
        </w:tc>
        <w:tc>
          <w:tcPr>
            <w:tcW w:w="1762" w:type="dxa"/>
            <w:tcBorders>
              <w:right w:val="single" w:color="000000" w:sz="2" w:space="0"/>
            </w:tcBorders>
            <w:vAlign w:val="center"/>
          </w:tcPr>
          <w:p w14:paraId="66DA278C">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Cs w:val="21"/>
                <w:highlight w:val="none"/>
              </w:rPr>
            </w:pPr>
            <w:r>
              <w:rPr>
                <w:rFonts w:hint="eastAsia" w:ascii="宋体" w:hAnsi="宋体" w:eastAsia="宋体" w:cs="宋体"/>
                <w:color w:val="auto"/>
                <w:spacing w:val="0"/>
                <w:w w:val="100"/>
                <w:position w:val="0"/>
                <w:szCs w:val="21"/>
                <w:highlight w:val="none"/>
              </w:rPr>
              <w:t>价格因素</w:t>
            </w:r>
          </w:p>
        </w:tc>
        <w:tc>
          <w:tcPr>
            <w:tcW w:w="5134" w:type="dxa"/>
            <w:tcBorders>
              <w:left w:val="single" w:color="000000" w:sz="2" w:space="0"/>
              <w:right w:val="single" w:color="000000" w:sz="2" w:space="0"/>
            </w:tcBorders>
          </w:tcPr>
          <w:p w14:paraId="5A2C0372">
            <w:pPr>
              <w:pStyle w:val="20"/>
              <w:keepNext w:val="0"/>
              <w:keepLines w:val="0"/>
              <w:pageBreakBefore w:val="0"/>
              <w:kinsoku/>
              <w:bidi w:val="0"/>
              <w:spacing w:before="212" w:line="226" w:lineRule="auto"/>
              <w:ind w:left="129"/>
              <w:rPr>
                <w:color w:val="auto"/>
                <w:spacing w:val="0"/>
                <w:w w:val="100"/>
                <w:position w:val="0"/>
                <w:highlight w:val="none"/>
                <w:lang w:eastAsia="zh-CN"/>
              </w:rPr>
            </w:pPr>
            <w:r>
              <w:rPr>
                <w:color w:val="auto"/>
                <w:spacing w:val="0"/>
                <w:w w:val="100"/>
                <w:position w:val="0"/>
                <w:highlight w:val="none"/>
                <w:lang w:eastAsia="zh-CN"/>
              </w:rPr>
              <w:t>附表</w:t>
            </w:r>
            <w:r>
              <w:rPr>
                <w:rFonts w:hint="eastAsia"/>
                <w:color w:val="auto"/>
                <w:spacing w:val="0"/>
                <w:w w:val="100"/>
                <w:position w:val="0"/>
                <w:highlight w:val="none"/>
                <w:lang w:val="en-US" w:eastAsia="zh-CN"/>
              </w:rPr>
              <w:t>10</w:t>
            </w:r>
            <w:r>
              <w:rPr>
                <w:color w:val="auto"/>
                <w:spacing w:val="0"/>
                <w:w w:val="100"/>
                <w:position w:val="0"/>
                <w:highlight w:val="none"/>
                <w:lang w:eastAsia="zh-CN"/>
              </w:rPr>
              <w:t>《定标阶段价格因素详细审查评分表》</w:t>
            </w:r>
          </w:p>
        </w:tc>
      </w:tr>
      <w:tr w14:paraId="423DB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244" w:type="dxa"/>
            <w:gridSpan w:val="5"/>
            <w:tcBorders>
              <w:left w:val="single" w:color="000000" w:sz="2" w:space="0"/>
              <w:right w:val="single" w:color="000000" w:sz="2" w:space="0"/>
            </w:tcBorders>
          </w:tcPr>
          <w:p w14:paraId="6D7525F3">
            <w:pPr>
              <w:pStyle w:val="20"/>
              <w:keepNext w:val="0"/>
              <w:keepLines w:val="0"/>
              <w:pageBreakBefore w:val="0"/>
              <w:kinsoku/>
              <w:bidi w:val="0"/>
              <w:spacing w:before="195" w:line="228" w:lineRule="auto"/>
              <w:ind w:left="127"/>
              <w:rPr>
                <w:color w:val="auto"/>
                <w:spacing w:val="0"/>
                <w:w w:val="100"/>
                <w:position w:val="0"/>
                <w:highlight w:val="none"/>
              </w:rPr>
            </w:pPr>
            <w:r>
              <w:rPr>
                <w:b/>
                <w:bCs/>
                <w:color w:val="auto"/>
                <w:spacing w:val="0"/>
                <w:w w:val="100"/>
                <w:position w:val="0"/>
                <w:highlight w:val="none"/>
              </w:rPr>
              <w:t>需要补充的其他内容</w:t>
            </w:r>
          </w:p>
        </w:tc>
      </w:tr>
      <w:tr w14:paraId="1C79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9244" w:type="dxa"/>
            <w:gridSpan w:val="5"/>
            <w:tcBorders>
              <w:left w:val="single" w:color="000000" w:sz="2" w:space="0"/>
              <w:bottom w:val="single" w:color="000000" w:sz="2" w:space="0"/>
              <w:right w:val="single" w:color="000000" w:sz="2" w:space="0"/>
            </w:tcBorders>
          </w:tcPr>
          <w:p w14:paraId="556B256F">
            <w:pPr>
              <w:pStyle w:val="20"/>
              <w:keepNext w:val="0"/>
              <w:keepLines w:val="0"/>
              <w:pageBreakBefore w:val="0"/>
              <w:kinsoku/>
              <w:bidi w:val="0"/>
              <w:spacing w:before="31" w:line="228" w:lineRule="auto"/>
              <w:ind w:left="119"/>
              <w:rPr>
                <w:color w:val="auto"/>
                <w:spacing w:val="0"/>
                <w:w w:val="100"/>
                <w:position w:val="0"/>
                <w:highlight w:val="none"/>
                <w:lang w:eastAsia="zh-CN"/>
              </w:rPr>
            </w:pPr>
            <w:r>
              <w:rPr>
                <w:color w:val="auto"/>
                <w:spacing w:val="0"/>
                <w:w w:val="100"/>
                <w:position w:val="0"/>
                <w:highlight w:val="none"/>
                <w:lang w:eastAsia="zh-CN"/>
              </w:rPr>
              <w:t>关于联合体投标人评标的相关规定：</w:t>
            </w:r>
          </w:p>
          <w:p w14:paraId="0A87F2C9">
            <w:pPr>
              <w:pStyle w:val="20"/>
              <w:keepNext w:val="0"/>
              <w:keepLines w:val="0"/>
              <w:pageBreakBefore w:val="0"/>
              <w:kinsoku/>
              <w:bidi w:val="0"/>
              <w:spacing w:before="11" w:line="230" w:lineRule="auto"/>
              <w:ind w:left="116" w:right="54" w:firstLine="6"/>
              <w:jc w:val="both"/>
              <w:rPr>
                <w:color w:val="auto"/>
                <w:spacing w:val="0"/>
                <w:w w:val="100"/>
                <w:position w:val="0"/>
                <w:highlight w:val="none"/>
                <w:lang w:eastAsia="zh-CN"/>
              </w:rPr>
            </w:pPr>
            <w:r>
              <w:rPr>
                <w:color w:val="auto"/>
                <w:spacing w:val="0"/>
                <w:w w:val="100"/>
                <w:position w:val="0"/>
                <w:highlight w:val="none"/>
                <w:lang w:eastAsia="zh-CN"/>
              </w:rPr>
              <w:t>允许联合体投标，若为联合体投标的，至少有</w:t>
            </w:r>
            <w:r>
              <w:rPr>
                <w:color w:val="auto"/>
                <w:spacing w:val="0"/>
                <w:w w:val="100"/>
                <w:position w:val="0"/>
                <w:highlight w:val="none"/>
                <w:u w:val="single"/>
                <w:lang w:eastAsia="zh-CN"/>
              </w:rPr>
              <w:t xml:space="preserve"> 1 </w:t>
            </w:r>
            <w:r>
              <w:rPr>
                <w:color w:val="auto"/>
                <w:spacing w:val="0"/>
                <w:w w:val="100"/>
                <w:position w:val="0"/>
                <w:highlight w:val="none"/>
                <w:lang w:eastAsia="zh-CN"/>
              </w:rPr>
              <w:t>家设计单位和</w:t>
            </w:r>
            <w:r>
              <w:rPr>
                <w:color w:val="auto"/>
                <w:spacing w:val="0"/>
                <w:w w:val="100"/>
                <w:position w:val="0"/>
                <w:highlight w:val="none"/>
                <w:u w:val="single"/>
                <w:lang w:eastAsia="zh-CN"/>
              </w:rPr>
              <w:t xml:space="preserve"> 1 </w:t>
            </w:r>
            <w:r>
              <w:rPr>
                <w:color w:val="auto"/>
                <w:spacing w:val="0"/>
                <w:w w:val="100"/>
                <w:position w:val="0"/>
                <w:highlight w:val="none"/>
                <w:lang w:eastAsia="zh-CN"/>
              </w:rPr>
              <w:t>家施工单位组成的联合体。联合体成员应以承接施工任务的一方为主办方，其余成员均为协办方。且联合体应签订联合体投标协议书，联合体投标协议应明确约定各方拟承担的工作和责任。</w:t>
            </w:r>
          </w:p>
        </w:tc>
      </w:tr>
    </w:tbl>
    <w:p w14:paraId="59A0A190">
      <w:pPr>
        <w:pStyle w:val="7"/>
        <w:keepNext w:val="0"/>
        <w:keepLines w:val="0"/>
        <w:pageBreakBefore w:val="0"/>
        <w:kinsoku/>
        <w:bidi w:val="0"/>
        <w:rPr>
          <w:color w:val="auto"/>
          <w:spacing w:val="0"/>
          <w:w w:val="100"/>
          <w:position w:val="0"/>
          <w:highlight w:val="none"/>
          <w:lang w:eastAsia="zh-CN"/>
        </w:rPr>
      </w:pPr>
    </w:p>
    <w:p w14:paraId="25172CA1">
      <w:pPr>
        <w:keepNext w:val="0"/>
        <w:keepLines w:val="0"/>
        <w:pageBreakBefore w:val="0"/>
        <w:kinsoku/>
        <w:bidi w:val="0"/>
        <w:rPr>
          <w:color w:val="auto"/>
          <w:spacing w:val="0"/>
          <w:w w:val="100"/>
          <w:position w:val="0"/>
          <w:highlight w:val="none"/>
          <w:lang w:eastAsia="zh-CN"/>
        </w:rPr>
      </w:pPr>
    </w:p>
    <w:p w14:paraId="719C8E57">
      <w:pPr>
        <w:keepNext w:val="0"/>
        <w:keepLines w:val="0"/>
        <w:pageBreakBefore w:val="0"/>
        <w:kinsoku/>
        <w:bidi w:val="0"/>
        <w:rPr>
          <w:color w:val="auto"/>
          <w:spacing w:val="0"/>
          <w:w w:val="100"/>
          <w:position w:val="0"/>
          <w:highlight w:val="none"/>
          <w:lang w:eastAsia="zh-CN"/>
        </w:rPr>
      </w:pPr>
    </w:p>
    <w:p w14:paraId="316CEF31">
      <w:pPr>
        <w:keepNext w:val="0"/>
        <w:keepLines w:val="0"/>
        <w:pageBreakBefore w:val="0"/>
        <w:kinsoku/>
        <w:bidi w:val="0"/>
        <w:rPr>
          <w:rFonts w:ascii="宋体" w:hAnsi="宋体" w:eastAsia="宋体" w:cs="宋体"/>
          <w:b/>
          <w:bCs/>
          <w:color w:val="auto"/>
          <w:spacing w:val="0"/>
          <w:w w:val="100"/>
          <w:position w:val="0"/>
          <w:sz w:val="28"/>
          <w:szCs w:val="28"/>
          <w:highlight w:val="none"/>
          <w:lang w:eastAsia="zh-CN"/>
        </w:rPr>
      </w:pPr>
      <w:r>
        <w:rPr>
          <w:rFonts w:ascii="宋体" w:hAnsi="宋体" w:eastAsia="宋体" w:cs="宋体"/>
          <w:b/>
          <w:bCs/>
          <w:color w:val="auto"/>
          <w:spacing w:val="0"/>
          <w:w w:val="100"/>
          <w:position w:val="0"/>
          <w:sz w:val="28"/>
          <w:szCs w:val="28"/>
          <w:highlight w:val="none"/>
          <w:lang w:eastAsia="zh-CN"/>
        </w:rPr>
        <w:br w:type="page"/>
      </w:r>
    </w:p>
    <w:p w14:paraId="6EC4583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213" w:name="_Toc16772"/>
      <w:bookmarkStart w:id="214" w:name="_Toc30184"/>
      <w:bookmarkStart w:id="215" w:name="_Toc14087"/>
      <w:bookmarkStart w:id="216" w:name="_Toc27755"/>
      <w:bookmarkStart w:id="217" w:name="_Toc13744"/>
      <w:r>
        <w:rPr>
          <w:rFonts w:ascii="宋体" w:hAnsi="宋体" w:eastAsia="宋体" w:cs="宋体"/>
          <w:b/>
          <w:bCs/>
          <w:color w:val="auto"/>
          <w:spacing w:val="0"/>
          <w:w w:val="100"/>
          <w:position w:val="0"/>
          <w:sz w:val="28"/>
          <w:szCs w:val="28"/>
          <w:highlight w:val="none"/>
          <w:lang w:eastAsia="zh-CN"/>
        </w:rPr>
        <w:t>1. 评标方法和定标办法</w:t>
      </w:r>
      <w:bookmarkEnd w:id="213"/>
      <w:bookmarkEnd w:id="214"/>
      <w:bookmarkEnd w:id="215"/>
      <w:bookmarkEnd w:id="216"/>
      <w:bookmarkEnd w:id="217"/>
    </w:p>
    <w:p w14:paraId="12D90D8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本次评标和定标阶段均采用综合评分法。评标委员会和定标委员会对满足招标文件实质性要求的投标文件，按照投标人须知前附表</w:t>
      </w:r>
      <w:r>
        <w:rPr>
          <w:rFonts w:hint="eastAsia" w:ascii="宋体" w:hAnsi="宋体" w:eastAsia="宋体" w:cs="宋体"/>
          <w:color w:val="auto"/>
          <w:spacing w:val="0"/>
          <w:w w:val="100"/>
          <w:position w:val="0"/>
          <w:sz w:val="20"/>
          <w:szCs w:val="20"/>
          <w:highlight w:val="none"/>
          <w:lang w:val="en-US" w:eastAsia="zh-CN"/>
        </w:rPr>
        <w:t xml:space="preserve"> </w:t>
      </w:r>
      <w:r>
        <w:rPr>
          <w:rFonts w:ascii="宋体" w:hAnsi="宋体" w:eastAsia="宋体" w:cs="宋体"/>
          <w:color w:val="auto"/>
          <w:spacing w:val="0"/>
          <w:w w:val="100"/>
          <w:position w:val="0"/>
          <w:sz w:val="20"/>
          <w:szCs w:val="20"/>
          <w:highlight w:val="none"/>
          <w:lang w:eastAsia="zh-CN"/>
        </w:rPr>
        <w:t>5.5</w:t>
      </w:r>
      <w:r>
        <w:rPr>
          <w:rFonts w:hint="eastAsia" w:ascii="宋体" w:hAnsi="宋体" w:eastAsia="宋体" w:cs="宋体"/>
          <w:color w:val="auto"/>
          <w:spacing w:val="0"/>
          <w:w w:val="100"/>
          <w:position w:val="0"/>
          <w:sz w:val="20"/>
          <w:szCs w:val="20"/>
          <w:highlight w:val="none"/>
          <w:lang w:val="en-US" w:eastAsia="zh-CN"/>
        </w:rPr>
        <w:t xml:space="preserve"> </w:t>
      </w:r>
      <w:r>
        <w:rPr>
          <w:rFonts w:ascii="宋体" w:hAnsi="宋体" w:eastAsia="宋体" w:cs="宋体"/>
          <w:color w:val="auto"/>
          <w:spacing w:val="0"/>
          <w:w w:val="100"/>
          <w:position w:val="0"/>
          <w:sz w:val="20"/>
          <w:szCs w:val="20"/>
          <w:highlight w:val="none"/>
          <w:lang w:eastAsia="zh-CN"/>
        </w:rPr>
        <w:t>要求进行评标。</w:t>
      </w:r>
    </w:p>
    <w:p w14:paraId="16B16C80">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218" w:name="_Toc25899"/>
      <w:bookmarkStart w:id="219" w:name="_Toc12549"/>
      <w:bookmarkStart w:id="220" w:name="_Toc27153"/>
      <w:bookmarkStart w:id="221" w:name="_Toc9446"/>
      <w:bookmarkStart w:id="222" w:name="_Toc20788"/>
      <w:r>
        <w:rPr>
          <w:rFonts w:ascii="宋体" w:hAnsi="宋体" w:eastAsia="宋体" w:cs="宋体"/>
          <w:b/>
          <w:bCs/>
          <w:color w:val="auto"/>
          <w:spacing w:val="0"/>
          <w:w w:val="100"/>
          <w:position w:val="0"/>
          <w:sz w:val="28"/>
          <w:szCs w:val="28"/>
          <w:highlight w:val="none"/>
          <w:lang w:eastAsia="zh-CN"/>
        </w:rPr>
        <w:t>2. 评审标准</w:t>
      </w:r>
      <w:bookmarkEnd w:id="218"/>
      <w:bookmarkEnd w:id="219"/>
      <w:bookmarkEnd w:id="220"/>
      <w:bookmarkEnd w:id="221"/>
      <w:bookmarkEnd w:id="222"/>
    </w:p>
    <w:p w14:paraId="76F9E4C8">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23" w:name="_Toc4484"/>
      <w:bookmarkStart w:id="224" w:name="_Toc12269"/>
      <w:bookmarkStart w:id="225" w:name="_Toc22721"/>
      <w:r>
        <w:rPr>
          <w:rFonts w:ascii="宋体" w:hAnsi="宋体" w:eastAsia="宋体" w:cs="宋体"/>
          <w:b/>
          <w:bCs/>
          <w:color w:val="auto"/>
          <w:spacing w:val="0"/>
          <w:w w:val="100"/>
          <w:position w:val="0"/>
          <w:sz w:val="28"/>
          <w:szCs w:val="28"/>
          <w:highlight w:val="none"/>
          <w:lang w:eastAsia="zh-CN"/>
        </w:rPr>
        <w:t>2.1 初步评审标准</w:t>
      </w:r>
      <w:bookmarkEnd w:id="223"/>
      <w:bookmarkEnd w:id="224"/>
      <w:bookmarkEnd w:id="225"/>
    </w:p>
    <w:p w14:paraId="4F42FAA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2.1.1 资格审查标准：见评标办法前附表。</w:t>
      </w:r>
    </w:p>
    <w:p w14:paraId="33A06B5E">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2.1.2 有效性审查：见评标办法前附表。</w:t>
      </w:r>
    </w:p>
    <w:p w14:paraId="60BD90DD">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26" w:name="_Toc13055"/>
      <w:bookmarkStart w:id="227" w:name="_Toc14136"/>
      <w:bookmarkStart w:id="228" w:name="_Toc31454"/>
      <w:r>
        <w:rPr>
          <w:rFonts w:ascii="宋体" w:hAnsi="宋体" w:eastAsia="宋体" w:cs="宋体"/>
          <w:b/>
          <w:bCs/>
          <w:color w:val="auto"/>
          <w:spacing w:val="0"/>
          <w:w w:val="100"/>
          <w:position w:val="0"/>
          <w:sz w:val="28"/>
          <w:szCs w:val="28"/>
          <w:highlight w:val="none"/>
          <w:lang w:eastAsia="zh-CN"/>
        </w:rPr>
        <w:t>2.2 分值构成与评分标准</w:t>
      </w:r>
      <w:bookmarkEnd w:id="226"/>
      <w:bookmarkEnd w:id="227"/>
      <w:bookmarkEnd w:id="228"/>
    </w:p>
    <w:p w14:paraId="70CB7BD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2.2.1 分值构成及权重（评标阶段）：见评标办法前附表。</w:t>
      </w:r>
    </w:p>
    <w:p w14:paraId="166E1F0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2.2.2 评分标准（评标阶段）：见评标办法前附表。</w:t>
      </w:r>
    </w:p>
    <w:p w14:paraId="6A9D8AE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bookmarkStart w:id="229" w:name="_Toc22805"/>
      <w:bookmarkStart w:id="230" w:name="_Toc21344"/>
      <w:bookmarkStart w:id="231" w:name="_Toc5859"/>
      <w:bookmarkStart w:id="232" w:name="_Toc21540"/>
      <w:bookmarkStart w:id="233" w:name="_Toc22371"/>
      <w:r>
        <w:rPr>
          <w:rFonts w:hint="eastAsia" w:ascii="宋体" w:hAnsi="宋体" w:eastAsia="宋体" w:cs="宋体"/>
          <w:color w:val="auto"/>
          <w:spacing w:val="0"/>
          <w:w w:val="100"/>
          <w:position w:val="0"/>
          <w:sz w:val="20"/>
          <w:szCs w:val="20"/>
          <w:highlight w:val="none"/>
          <w:lang w:eastAsia="zh-CN"/>
        </w:rPr>
        <w:t>2.2.</w:t>
      </w:r>
      <w:r>
        <w:rPr>
          <w:rFonts w:hint="eastAsia" w:ascii="宋体" w:hAnsi="宋体" w:eastAsia="宋体" w:cs="宋体"/>
          <w:color w:val="auto"/>
          <w:spacing w:val="0"/>
          <w:w w:val="100"/>
          <w:position w:val="0"/>
          <w:sz w:val="20"/>
          <w:szCs w:val="20"/>
          <w:highlight w:val="none"/>
          <w:lang w:val="en-US" w:eastAsia="zh-CN"/>
        </w:rPr>
        <w:t>3</w:t>
      </w:r>
      <w:r>
        <w:rPr>
          <w:rFonts w:hint="eastAsia" w:ascii="宋体" w:hAnsi="宋体" w:eastAsia="宋体" w:cs="宋体"/>
          <w:color w:val="auto"/>
          <w:spacing w:val="0"/>
          <w:w w:val="100"/>
          <w:position w:val="0"/>
          <w:sz w:val="20"/>
          <w:szCs w:val="20"/>
          <w:highlight w:val="none"/>
          <w:lang w:eastAsia="zh-CN"/>
        </w:rPr>
        <w:t xml:space="preserve"> 分值构成及权重（定标阶段）：见评标办法前附表。</w:t>
      </w:r>
    </w:p>
    <w:p w14:paraId="5FE0559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outlineLvl w:val="9"/>
        <w:rPr>
          <w:rFonts w:hint="eastAsia" w:ascii="宋体" w:hAnsi="宋体" w:eastAsia="宋体" w:cs="宋体"/>
          <w:b/>
          <w:bCs/>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2.2.</w:t>
      </w:r>
      <w:r>
        <w:rPr>
          <w:rFonts w:hint="eastAsia" w:ascii="宋体" w:hAnsi="宋体" w:eastAsia="宋体" w:cs="宋体"/>
          <w:color w:val="auto"/>
          <w:spacing w:val="0"/>
          <w:w w:val="100"/>
          <w:position w:val="0"/>
          <w:sz w:val="20"/>
          <w:szCs w:val="20"/>
          <w:highlight w:val="none"/>
          <w:lang w:val="en-US" w:eastAsia="zh-CN"/>
        </w:rPr>
        <w:t>4</w:t>
      </w:r>
      <w:r>
        <w:rPr>
          <w:rFonts w:hint="eastAsia" w:ascii="宋体" w:hAnsi="宋体" w:eastAsia="宋体" w:cs="宋体"/>
          <w:color w:val="auto"/>
          <w:spacing w:val="0"/>
          <w:w w:val="100"/>
          <w:position w:val="0"/>
          <w:sz w:val="20"/>
          <w:szCs w:val="20"/>
          <w:highlight w:val="none"/>
          <w:lang w:eastAsia="zh-CN"/>
        </w:rPr>
        <w:t xml:space="preserve"> 评分标准（定标阶段）：见评标办法前附表。</w:t>
      </w:r>
    </w:p>
    <w:p w14:paraId="0667FB97">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r>
        <w:rPr>
          <w:rFonts w:ascii="宋体" w:hAnsi="宋体" w:eastAsia="宋体" w:cs="宋体"/>
          <w:b/>
          <w:bCs/>
          <w:color w:val="auto"/>
          <w:spacing w:val="0"/>
          <w:w w:val="100"/>
          <w:position w:val="0"/>
          <w:sz w:val="28"/>
          <w:szCs w:val="28"/>
          <w:highlight w:val="none"/>
          <w:lang w:eastAsia="zh-CN"/>
        </w:rPr>
        <w:t>3. 评标和定标程序</w:t>
      </w:r>
      <w:bookmarkEnd w:id="229"/>
      <w:bookmarkEnd w:id="230"/>
      <w:bookmarkEnd w:id="231"/>
      <w:bookmarkEnd w:id="232"/>
      <w:bookmarkEnd w:id="233"/>
    </w:p>
    <w:p w14:paraId="0FB7C19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34" w:name="_Toc17798"/>
      <w:bookmarkStart w:id="235" w:name="_Toc14195"/>
      <w:bookmarkStart w:id="236" w:name="_Toc15009"/>
      <w:r>
        <w:rPr>
          <w:rFonts w:ascii="宋体" w:hAnsi="宋体" w:eastAsia="宋体" w:cs="宋体"/>
          <w:b/>
          <w:bCs/>
          <w:color w:val="auto"/>
          <w:spacing w:val="0"/>
          <w:w w:val="100"/>
          <w:position w:val="0"/>
          <w:sz w:val="28"/>
          <w:szCs w:val="28"/>
          <w:highlight w:val="none"/>
          <w:lang w:eastAsia="zh-CN"/>
        </w:rPr>
        <w:t>3.1 资格审查文件评审（评标阶段</w:t>
      </w:r>
      <w:r>
        <w:rPr>
          <w:rFonts w:hint="eastAsia" w:ascii="宋体" w:hAnsi="宋体" w:eastAsia="宋体" w:cs="宋体"/>
          <w:b/>
          <w:bCs/>
          <w:color w:val="auto"/>
          <w:spacing w:val="0"/>
          <w:w w:val="100"/>
          <w:position w:val="0"/>
          <w:sz w:val="28"/>
          <w:szCs w:val="28"/>
          <w:highlight w:val="none"/>
          <w:lang w:eastAsia="zh-CN"/>
        </w:rPr>
        <w:t>，</w:t>
      </w:r>
      <w:r>
        <w:rPr>
          <w:rFonts w:hint="eastAsia" w:ascii="宋体" w:hAnsi="宋体" w:eastAsia="宋体" w:cs="宋体"/>
          <w:b/>
          <w:bCs/>
          <w:color w:val="auto"/>
          <w:spacing w:val="0"/>
          <w:w w:val="100"/>
          <w:position w:val="0"/>
          <w:sz w:val="28"/>
          <w:szCs w:val="28"/>
          <w:highlight w:val="none"/>
          <w:lang w:val="en-US" w:eastAsia="zh-CN"/>
        </w:rPr>
        <w:t>由施工组评标委员会负责</w:t>
      </w:r>
      <w:r>
        <w:rPr>
          <w:rFonts w:ascii="宋体" w:hAnsi="宋体" w:eastAsia="宋体" w:cs="宋体"/>
          <w:b/>
          <w:bCs/>
          <w:color w:val="auto"/>
          <w:spacing w:val="0"/>
          <w:w w:val="100"/>
          <w:position w:val="0"/>
          <w:sz w:val="28"/>
          <w:szCs w:val="28"/>
          <w:highlight w:val="none"/>
          <w:lang w:eastAsia="zh-CN"/>
        </w:rPr>
        <w:t>）</w:t>
      </w:r>
      <w:bookmarkEnd w:id="234"/>
      <w:bookmarkEnd w:id="235"/>
      <w:bookmarkEnd w:id="236"/>
    </w:p>
    <w:p w14:paraId="6005669D">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3.1.1 资格审查文件中全部符合附表1《评标阶段资格审查评审表》中情形的，为资格审查合格。否则为资格审查不合格，经评标委员会认定后，其资格审查文件将被拒绝。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只有通过资格审查的投标人方可进入下一阶段的评审。</w:t>
      </w:r>
    </w:p>
    <w:p w14:paraId="055845F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3.1.2 汇总资格审查情况，编写资格审查报告。</w:t>
      </w:r>
    </w:p>
    <w:p w14:paraId="133EDF8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3.1.3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442A42A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特别声明：资审合格后，投标人的资格发生变化而不满足投标人合格条件，在发出中标通知书前，资格问题仍未解决的，招标人将取消其中标资格。</w:t>
      </w:r>
    </w:p>
    <w:p w14:paraId="5CB62D52">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b/>
          <w:bCs/>
          <w:color w:val="auto"/>
          <w:spacing w:val="0"/>
          <w:w w:val="100"/>
          <w:position w:val="0"/>
          <w:sz w:val="28"/>
          <w:szCs w:val="28"/>
          <w:highlight w:val="none"/>
          <w:lang w:eastAsia="zh-CN"/>
        </w:rPr>
      </w:pPr>
      <w:bookmarkStart w:id="237" w:name="_Toc18359"/>
      <w:bookmarkStart w:id="238" w:name="_Toc27299"/>
      <w:bookmarkStart w:id="239" w:name="_Toc30336"/>
      <w:r>
        <w:rPr>
          <w:rFonts w:hint="eastAsia" w:ascii="宋体" w:hAnsi="宋体" w:eastAsia="宋体" w:cs="宋体"/>
          <w:b/>
          <w:bCs/>
          <w:color w:val="auto"/>
          <w:spacing w:val="0"/>
          <w:w w:val="100"/>
          <w:position w:val="0"/>
          <w:sz w:val="28"/>
          <w:szCs w:val="28"/>
          <w:highlight w:val="none"/>
          <w:lang w:eastAsia="zh-CN"/>
        </w:rPr>
        <w:t>3.2</w:t>
      </w:r>
      <w:r>
        <w:rPr>
          <w:rFonts w:hint="eastAsia" w:ascii="宋体" w:hAnsi="宋体" w:eastAsia="宋体" w:cs="宋体"/>
          <w:b/>
          <w:bCs/>
          <w:color w:val="auto"/>
          <w:spacing w:val="0"/>
          <w:w w:val="100"/>
          <w:position w:val="0"/>
          <w:sz w:val="28"/>
          <w:szCs w:val="28"/>
          <w:highlight w:val="none"/>
          <w:lang w:val="en-US" w:eastAsia="zh-CN"/>
        </w:rPr>
        <w:t xml:space="preserve"> </w:t>
      </w:r>
      <w:r>
        <w:rPr>
          <w:rFonts w:hint="eastAsia" w:ascii="宋体" w:hAnsi="宋体" w:eastAsia="宋体" w:cs="宋体"/>
          <w:b/>
          <w:bCs/>
          <w:color w:val="auto"/>
          <w:spacing w:val="0"/>
          <w:w w:val="100"/>
          <w:position w:val="0"/>
          <w:sz w:val="28"/>
          <w:szCs w:val="28"/>
          <w:highlight w:val="none"/>
          <w:lang w:eastAsia="zh-CN"/>
        </w:rPr>
        <w:t>设计方案评审</w:t>
      </w:r>
      <w:r>
        <w:rPr>
          <w:rFonts w:ascii="宋体" w:hAnsi="宋体" w:eastAsia="宋体" w:cs="宋体"/>
          <w:b/>
          <w:bCs/>
          <w:color w:val="auto"/>
          <w:spacing w:val="0"/>
          <w:w w:val="100"/>
          <w:position w:val="0"/>
          <w:sz w:val="28"/>
          <w:szCs w:val="28"/>
          <w:highlight w:val="none"/>
          <w:lang w:eastAsia="zh-CN"/>
        </w:rPr>
        <w:t>（评标阶段</w:t>
      </w:r>
      <w:r>
        <w:rPr>
          <w:rFonts w:hint="eastAsia" w:ascii="宋体" w:hAnsi="宋体" w:eastAsia="宋体" w:cs="宋体"/>
          <w:b/>
          <w:bCs/>
          <w:color w:val="auto"/>
          <w:spacing w:val="0"/>
          <w:w w:val="100"/>
          <w:position w:val="0"/>
          <w:sz w:val="28"/>
          <w:szCs w:val="28"/>
          <w:highlight w:val="none"/>
          <w:lang w:eastAsia="zh-CN"/>
        </w:rPr>
        <w:t>，由设计组评标委员会负责</w:t>
      </w:r>
      <w:r>
        <w:rPr>
          <w:rFonts w:ascii="宋体" w:hAnsi="宋体" w:eastAsia="宋体" w:cs="宋体"/>
          <w:b/>
          <w:bCs/>
          <w:color w:val="auto"/>
          <w:spacing w:val="0"/>
          <w:w w:val="100"/>
          <w:position w:val="0"/>
          <w:sz w:val="28"/>
          <w:szCs w:val="28"/>
          <w:highlight w:val="none"/>
          <w:lang w:eastAsia="zh-CN"/>
        </w:rPr>
        <w:t>）</w:t>
      </w:r>
      <w:bookmarkEnd w:id="237"/>
      <w:bookmarkEnd w:id="238"/>
      <w:bookmarkEnd w:id="239"/>
    </w:p>
    <w:p w14:paraId="476DC3A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3.2.1 评标委员会按本办法附表2《</w:t>
      </w:r>
      <w:r>
        <w:rPr>
          <w:rFonts w:hint="eastAsia" w:ascii="宋体" w:hAnsi="宋体" w:eastAsia="宋体" w:cs="宋体"/>
          <w:color w:val="auto"/>
          <w:spacing w:val="0"/>
          <w:w w:val="100"/>
          <w:position w:val="0"/>
          <w:sz w:val="20"/>
          <w:szCs w:val="20"/>
          <w:highlight w:val="none"/>
          <w:lang w:val="en-US" w:eastAsia="zh-CN"/>
        </w:rPr>
        <w:t>评标阶段设计方案投标文件有效性审查表</w:t>
      </w:r>
      <w:r>
        <w:rPr>
          <w:rFonts w:hint="eastAsia" w:ascii="宋体" w:hAnsi="宋体" w:eastAsia="宋体" w:cs="宋体"/>
          <w:color w:val="auto"/>
          <w:spacing w:val="0"/>
          <w:w w:val="100"/>
          <w:position w:val="0"/>
          <w:sz w:val="20"/>
          <w:szCs w:val="20"/>
          <w:highlight w:val="none"/>
          <w:lang w:eastAsia="zh-CN"/>
        </w:rPr>
        <w:t>》对各设计方案投标文件进行评审，只有通过有效性审查可进入下一阶段的评审。如评审意见不一致时，按照少数服从多数的原则决定。</w:t>
      </w:r>
    </w:p>
    <w:p w14:paraId="2434A23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3.2.2 评标委员会按本办法附表</w:t>
      </w:r>
      <w:r>
        <w:rPr>
          <w:rFonts w:hint="eastAsia" w:ascii="宋体" w:hAnsi="宋体" w:eastAsia="宋体" w:cs="宋体"/>
          <w:color w:val="auto"/>
          <w:spacing w:val="0"/>
          <w:w w:val="100"/>
          <w:position w:val="0"/>
          <w:sz w:val="20"/>
          <w:szCs w:val="20"/>
          <w:highlight w:val="none"/>
          <w:lang w:val="en-US" w:eastAsia="zh-CN"/>
        </w:rPr>
        <w:t>5</w:t>
      </w:r>
      <w:r>
        <w:rPr>
          <w:rFonts w:hint="eastAsia"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评标阶段</w:t>
      </w:r>
      <w:r>
        <w:rPr>
          <w:rFonts w:hint="eastAsia" w:ascii="宋体" w:hAnsi="宋体" w:eastAsia="宋体" w:cs="宋体"/>
          <w:color w:val="auto"/>
          <w:spacing w:val="0"/>
          <w:w w:val="100"/>
          <w:position w:val="0"/>
          <w:sz w:val="20"/>
          <w:szCs w:val="20"/>
          <w:highlight w:val="none"/>
          <w:lang w:eastAsia="zh-CN"/>
        </w:rPr>
        <w:t>设计方案投标文件详细审查评分表》对通过设计方案投标文件有效性审查的设计方案进行评分。设计方案</w:t>
      </w:r>
      <w:r>
        <w:rPr>
          <w:rFonts w:hint="eastAsia" w:ascii="宋体" w:hAnsi="宋体" w:eastAsia="宋体" w:cs="宋体"/>
          <w:color w:val="auto"/>
          <w:spacing w:val="0"/>
          <w:w w:val="100"/>
          <w:position w:val="0"/>
          <w:sz w:val="20"/>
          <w:szCs w:val="20"/>
          <w:highlight w:val="none"/>
          <w:lang w:val="en-US" w:eastAsia="zh-CN"/>
        </w:rPr>
        <w:t>得分</w:t>
      </w:r>
      <w:r>
        <w:rPr>
          <w:rFonts w:ascii="宋体" w:hAnsi="宋体" w:eastAsia="宋体" w:cs="宋体"/>
          <w:color w:val="auto"/>
          <w:spacing w:val="0"/>
          <w:w w:val="100"/>
          <w:position w:val="0"/>
          <w:sz w:val="20"/>
          <w:szCs w:val="20"/>
          <w:highlight w:val="none"/>
          <w:lang w:eastAsia="zh-CN"/>
        </w:rPr>
        <w:t>为评标专家打分的算术平均值，得出每个投标人</w:t>
      </w:r>
      <w:r>
        <w:rPr>
          <w:rFonts w:hint="eastAsia" w:ascii="宋体" w:hAnsi="宋体" w:eastAsia="宋体" w:cs="宋体"/>
          <w:color w:val="auto"/>
          <w:spacing w:val="0"/>
          <w:w w:val="100"/>
          <w:position w:val="0"/>
          <w:sz w:val="20"/>
          <w:szCs w:val="20"/>
          <w:highlight w:val="none"/>
          <w:lang w:val="en-US" w:eastAsia="zh-CN"/>
        </w:rPr>
        <w:t>设计</w:t>
      </w:r>
      <w:r>
        <w:rPr>
          <w:rFonts w:ascii="宋体" w:hAnsi="宋体" w:eastAsia="宋体" w:cs="宋体"/>
          <w:color w:val="auto"/>
          <w:spacing w:val="0"/>
          <w:w w:val="100"/>
          <w:position w:val="0"/>
          <w:sz w:val="20"/>
          <w:szCs w:val="20"/>
          <w:highlight w:val="none"/>
          <w:lang w:eastAsia="zh-CN"/>
        </w:rPr>
        <w:t>方案得分，分数出现小数点，保留小数点后二位，第三位小数四舍五入。</w:t>
      </w:r>
    </w:p>
    <w:p w14:paraId="38EF189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3.2.3 评标委员会通过系统揭晓各设计方案对应的投标人，得出各投标人的设计方案得分。</w:t>
      </w:r>
    </w:p>
    <w:p w14:paraId="725ECDB8">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40" w:name="_Toc30930"/>
      <w:bookmarkStart w:id="241" w:name="_Toc11385"/>
      <w:bookmarkStart w:id="242" w:name="_Toc5193"/>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3</w:t>
      </w:r>
      <w:r>
        <w:rPr>
          <w:rFonts w:ascii="宋体" w:hAnsi="宋体" w:eastAsia="宋体" w:cs="宋体"/>
          <w:b/>
          <w:bCs/>
          <w:color w:val="auto"/>
          <w:spacing w:val="0"/>
          <w:w w:val="100"/>
          <w:position w:val="0"/>
          <w:sz w:val="28"/>
          <w:szCs w:val="28"/>
          <w:highlight w:val="none"/>
          <w:lang w:eastAsia="zh-CN"/>
        </w:rPr>
        <w:t xml:space="preserve"> 工程总承包实施方案投标文件评审（评标阶段</w:t>
      </w:r>
      <w:r>
        <w:rPr>
          <w:rFonts w:hint="eastAsia" w:ascii="宋体" w:hAnsi="宋体" w:eastAsia="宋体" w:cs="宋体"/>
          <w:b/>
          <w:bCs/>
          <w:color w:val="auto"/>
          <w:spacing w:val="0"/>
          <w:w w:val="100"/>
          <w:position w:val="0"/>
          <w:sz w:val="28"/>
          <w:szCs w:val="28"/>
          <w:highlight w:val="none"/>
          <w:lang w:eastAsia="zh-CN"/>
        </w:rPr>
        <w:t>，由施工组评标委员会负责</w:t>
      </w:r>
      <w:r>
        <w:rPr>
          <w:rFonts w:ascii="宋体" w:hAnsi="宋体" w:eastAsia="宋体" w:cs="宋体"/>
          <w:b/>
          <w:bCs/>
          <w:color w:val="auto"/>
          <w:spacing w:val="0"/>
          <w:w w:val="100"/>
          <w:position w:val="0"/>
          <w:sz w:val="28"/>
          <w:szCs w:val="28"/>
          <w:highlight w:val="none"/>
          <w:lang w:eastAsia="zh-CN"/>
        </w:rPr>
        <w:t>）</w:t>
      </w:r>
      <w:bookmarkEnd w:id="240"/>
      <w:bookmarkEnd w:id="241"/>
      <w:bookmarkEnd w:id="242"/>
    </w:p>
    <w:p w14:paraId="4D01B901">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3</w:t>
      </w:r>
      <w:r>
        <w:rPr>
          <w:rFonts w:ascii="宋体" w:hAnsi="宋体" w:eastAsia="宋体" w:cs="宋体"/>
          <w:color w:val="auto"/>
          <w:spacing w:val="0"/>
          <w:w w:val="100"/>
          <w:position w:val="0"/>
          <w:sz w:val="20"/>
          <w:szCs w:val="20"/>
          <w:highlight w:val="none"/>
          <w:lang w:eastAsia="zh-CN"/>
        </w:rPr>
        <w:t>.1 工程总承包实施方案投标文件的有效性审查：通过资格审查的投标文件中没有任一种列于本办法附表</w:t>
      </w:r>
      <w:r>
        <w:rPr>
          <w:rFonts w:hint="eastAsia" w:ascii="宋体" w:hAnsi="宋体" w:eastAsia="宋体" w:cs="宋体"/>
          <w:color w:val="auto"/>
          <w:spacing w:val="0"/>
          <w:w w:val="100"/>
          <w:position w:val="0"/>
          <w:sz w:val="20"/>
          <w:szCs w:val="20"/>
          <w:highlight w:val="none"/>
          <w:lang w:val="en-US" w:eastAsia="zh-CN"/>
        </w:rPr>
        <w:t>3</w:t>
      </w:r>
      <w:r>
        <w:rPr>
          <w:rFonts w:ascii="宋体" w:hAnsi="宋体" w:eastAsia="宋体" w:cs="宋体"/>
          <w:color w:val="auto"/>
          <w:spacing w:val="0"/>
          <w:w w:val="100"/>
          <w:position w:val="0"/>
          <w:sz w:val="20"/>
          <w:szCs w:val="20"/>
          <w:highlight w:val="none"/>
          <w:lang w:eastAsia="zh-CN"/>
        </w:rPr>
        <w:t>《评标阶段工程总承包实施方案投标文件有效性审查表》中情形的，为有效标书。否则为无效标书，经评标委员会认定后，其投标文件将被拒绝。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未通过有效性审查的，不得进入下一阶段评审。</w:t>
      </w:r>
    </w:p>
    <w:p w14:paraId="44288349">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3</w:t>
      </w:r>
      <w:r>
        <w:rPr>
          <w:rFonts w:ascii="宋体" w:hAnsi="宋体" w:eastAsia="宋体" w:cs="宋体"/>
          <w:color w:val="auto"/>
          <w:spacing w:val="0"/>
          <w:w w:val="100"/>
          <w:position w:val="0"/>
          <w:sz w:val="20"/>
          <w:szCs w:val="20"/>
          <w:highlight w:val="none"/>
          <w:lang w:eastAsia="zh-CN"/>
        </w:rPr>
        <w:t>.2 投标文件详细审查评分：评标委员会按照本办法</w:t>
      </w:r>
      <w:r>
        <w:rPr>
          <w:rFonts w:hint="eastAsia" w:ascii="宋体" w:hAnsi="宋体" w:eastAsia="宋体" w:cs="宋体"/>
          <w:color w:val="auto"/>
          <w:spacing w:val="0"/>
          <w:w w:val="100"/>
          <w:position w:val="0"/>
          <w:sz w:val="20"/>
          <w:szCs w:val="20"/>
          <w:highlight w:val="none"/>
          <w:lang w:eastAsia="zh-CN"/>
        </w:rPr>
        <w:t>附表6《评标阶段工程总承包实施方案详细审查评分表》</w:t>
      </w:r>
      <w:r>
        <w:rPr>
          <w:rFonts w:ascii="宋体" w:hAnsi="宋体" w:eastAsia="宋体" w:cs="宋体"/>
          <w:color w:val="auto"/>
          <w:spacing w:val="0"/>
          <w:w w:val="100"/>
          <w:position w:val="0"/>
          <w:sz w:val="20"/>
          <w:szCs w:val="20"/>
          <w:highlight w:val="none"/>
          <w:lang w:eastAsia="zh-CN"/>
        </w:rPr>
        <w:t>的标准对通过投标文件有效性审查的投标文件进行详细审查。</w:t>
      </w:r>
    </w:p>
    <w:p w14:paraId="74BFBD80">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3</w:t>
      </w:r>
      <w:r>
        <w:rPr>
          <w:rFonts w:ascii="宋体" w:hAnsi="宋体" w:eastAsia="宋体" w:cs="宋体"/>
          <w:color w:val="auto"/>
          <w:spacing w:val="0"/>
          <w:w w:val="100"/>
          <w:position w:val="0"/>
          <w:sz w:val="20"/>
          <w:szCs w:val="20"/>
          <w:highlight w:val="none"/>
          <w:lang w:eastAsia="zh-CN"/>
        </w:rPr>
        <w:t>.3 评标委员会成员评出各投标人工程总承包实施方案得分的分数，工程总承包实施方案得分为评标专家打分的算术平均值，得出每个投标人工程总承包实施方案得分，分数出现小数点，保留小数点后二位，第三位小数四舍五入。</w:t>
      </w:r>
    </w:p>
    <w:p w14:paraId="12CF7B95">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43" w:name="_Toc10198"/>
      <w:bookmarkStart w:id="244" w:name="_Toc3677"/>
      <w:bookmarkStart w:id="245" w:name="_Toc19032"/>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4</w:t>
      </w:r>
      <w:r>
        <w:rPr>
          <w:rFonts w:ascii="宋体" w:hAnsi="宋体" w:eastAsia="宋体" w:cs="宋体"/>
          <w:b/>
          <w:bCs/>
          <w:color w:val="auto"/>
          <w:spacing w:val="0"/>
          <w:w w:val="100"/>
          <w:position w:val="0"/>
          <w:sz w:val="28"/>
          <w:szCs w:val="28"/>
          <w:highlight w:val="none"/>
          <w:lang w:eastAsia="zh-CN"/>
        </w:rPr>
        <w:t xml:space="preserve"> 经济标投标文件有效性审查（评标阶段</w:t>
      </w:r>
      <w:r>
        <w:rPr>
          <w:rFonts w:hint="eastAsia" w:ascii="宋体" w:hAnsi="宋体" w:eastAsia="宋体" w:cs="宋体"/>
          <w:b/>
          <w:bCs/>
          <w:color w:val="auto"/>
          <w:spacing w:val="0"/>
          <w:w w:val="100"/>
          <w:position w:val="0"/>
          <w:sz w:val="28"/>
          <w:szCs w:val="28"/>
          <w:highlight w:val="none"/>
          <w:lang w:eastAsia="zh-CN"/>
        </w:rPr>
        <w:t>，由施工组评标委员会负责</w:t>
      </w:r>
      <w:r>
        <w:rPr>
          <w:rFonts w:ascii="宋体" w:hAnsi="宋体" w:eastAsia="宋体" w:cs="宋体"/>
          <w:b/>
          <w:bCs/>
          <w:color w:val="auto"/>
          <w:spacing w:val="0"/>
          <w:w w:val="100"/>
          <w:position w:val="0"/>
          <w:sz w:val="28"/>
          <w:szCs w:val="28"/>
          <w:highlight w:val="none"/>
          <w:lang w:eastAsia="zh-CN"/>
        </w:rPr>
        <w:t>）</w:t>
      </w:r>
      <w:bookmarkEnd w:id="243"/>
      <w:bookmarkEnd w:id="244"/>
      <w:bookmarkEnd w:id="245"/>
    </w:p>
    <w:p w14:paraId="48523796">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4</w:t>
      </w:r>
      <w:r>
        <w:rPr>
          <w:rFonts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1</w:t>
      </w:r>
      <w:r>
        <w:rPr>
          <w:rFonts w:ascii="宋体" w:hAnsi="宋体" w:eastAsia="宋体" w:cs="宋体"/>
          <w:color w:val="auto"/>
          <w:spacing w:val="0"/>
          <w:w w:val="100"/>
          <w:position w:val="0"/>
          <w:sz w:val="20"/>
          <w:szCs w:val="20"/>
          <w:highlight w:val="none"/>
          <w:lang w:eastAsia="zh-CN"/>
        </w:rPr>
        <w:t xml:space="preserve"> 经济标投标文件有效性审查：评标委员会对通过资格审查和工程总承包实施方案投标文件有效性审查的投标人递交的经济标投标文件进行有效性审查，按本办法</w:t>
      </w:r>
      <w:r>
        <w:rPr>
          <w:rFonts w:hint="eastAsia" w:ascii="宋体" w:hAnsi="宋体" w:eastAsia="宋体" w:cs="宋体"/>
          <w:color w:val="auto"/>
          <w:spacing w:val="0"/>
          <w:w w:val="100"/>
          <w:position w:val="0"/>
          <w:sz w:val="20"/>
          <w:szCs w:val="20"/>
          <w:highlight w:val="none"/>
          <w:lang w:eastAsia="zh-CN"/>
        </w:rPr>
        <w:t>附表4《评标阶段经济标投标文件有效性审查表》</w:t>
      </w:r>
      <w:r>
        <w:rPr>
          <w:rFonts w:ascii="宋体" w:hAnsi="宋体" w:eastAsia="宋体" w:cs="宋体"/>
          <w:color w:val="auto"/>
          <w:spacing w:val="0"/>
          <w:w w:val="100"/>
          <w:position w:val="0"/>
          <w:sz w:val="20"/>
          <w:szCs w:val="20"/>
          <w:highlight w:val="none"/>
          <w:lang w:eastAsia="zh-CN"/>
        </w:rPr>
        <w:t>的评审内容进行经济标投标文件有效性审查，经评标委员会认定为无效标书的，其投标文件将被拒绝。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未通过有效性审查的，不得进入下一阶段评审。</w:t>
      </w:r>
    </w:p>
    <w:p w14:paraId="1C37CB4A">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4</w:t>
      </w:r>
      <w:r>
        <w:rPr>
          <w:rFonts w:ascii="宋体" w:hAnsi="宋体" w:eastAsia="宋体" w:cs="宋体"/>
          <w:color w:val="auto"/>
          <w:spacing w:val="0"/>
          <w:w w:val="100"/>
          <w:position w:val="0"/>
          <w:sz w:val="20"/>
          <w:szCs w:val="20"/>
          <w:highlight w:val="none"/>
          <w:lang w:eastAsia="zh-CN"/>
        </w:rPr>
        <w:t>.2 投标报价的算术校核。评标委员会对通过经济标投标文件有效性审查的投标文件的投标报价进行算术校核，具体标准如下：</w:t>
      </w:r>
    </w:p>
    <w:p w14:paraId="6A7C1BA0">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（1）如果数字表示的金额和用文字表示的金额不一致时，应以文字表示的金额为准（有以下算术性错误需要修正的除外）；</w:t>
      </w:r>
    </w:p>
    <w:p w14:paraId="5EC0FD00">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（2）如果费率与对应最高投标限价乘积不等于合价时，以费率为准修正合价（费率有明显的数量级错误的除外，此时应修正费率）；</w:t>
      </w:r>
    </w:p>
    <w:p w14:paraId="24938897">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（3）如果分项报价累加不等总价的，以分项报价累加为准，修正总价；</w:t>
      </w:r>
    </w:p>
    <w:p w14:paraId="410AB552">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（4）投标文件存在其他计算性错误的，按就低不就高计算并修正；</w:t>
      </w:r>
    </w:p>
    <w:p w14:paraId="3ECA618C">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（5）按上述修正错误的原则及方法调整或修正投标文件的投标报价，调整后的投标报价对投标人起约束作用。如果投标人不接受修正后的报价，则取消其投标资格，并且其投标担保也将被没收。</w:t>
      </w:r>
    </w:p>
    <w:p w14:paraId="3764BA4C">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46" w:name="_Toc21834"/>
      <w:bookmarkStart w:id="247" w:name="_Toc4048"/>
      <w:bookmarkStart w:id="248" w:name="_Toc10085"/>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5</w:t>
      </w:r>
      <w:r>
        <w:rPr>
          <w:rFonts w:ascii="宋体" w:hAnsi="宋体" w:eastAsia="宋体" w:cs="宋体"/>
          <w:b/>
          <w:bCs/>
          <w:color w:val="auto"/>
          <w:spacing w:val="0"/>
          <w:w w:val="100"/>
          <w:position w:val="0"/>
          <w:sz w:val="28"/>
          <w:szCs w:val="28"/>
          <w:highlight w:val="none"/>
          <w:lang w:eastAsia="zh-CN"/>
        </w:rPr>
        <w:t xml:space="preserve"> 施工部分报价评审（评标阶段和定标阶段）</w:t>
      </w:r>
      <w:bookmarkEnd w:id="246"/>
      <w:bookmarkEnd w:id="247"/>
      <w:bookmarkEnd w:id="248"/>
    </w:p>
    <w:p w14:paraId="59E75282">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5</w:t>
      </w:r>
      <w:r>
        <w:rPr>
          <w:rFonts w:ascii="宋体" w:hAnsi="宋体" w:eastAsia="宋体" w:cs="宋体"/>
          <w:color w:val="auto"/>
          <w:spacing w:val="0"/>
          <w:w w:val="100"/>
          <w:position w:val="0"/>
          <w:sz w:val="20"/>
          <w:szCs w:val="20"/>
          <w:highlight w:val="none"/>
          <w:lang w:eastAsia="zh-CN"/>
        </w:rPr>
        <w:t>.1 投标报价的算术复核。评标委员会对通过初步评审的投标文件的投标报进行算术校核，具体标准如下：</w:t>
      </w:r>
    </w:p>
    <w:p w14:paraId="7E4E87A0">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（1）如果数字表示的金额和用文字表示的金额不一致时，应以文字表示的金额为准（有以下算术性错误需要修正的除外）；</w:t>
      </w:r>
    </w:p>
    <w:p w14:paraId="7BCE926F">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（2）如果费率与限价乘积不等于合价时，以费率为准修正合价（费率有明显的数量级错误的除外，此时应修正费率）；</w:t>
      </w:r>
    </w:p>
    <w:p w14:paraId="6A038E2D">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（3）如果分项报价累加不等总价的，以分项报价累加为准，修正总价；</w:t>
      </w:r>
    </w:p>
    <w:p w14:paraId="18CE6F3D">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（4）投标文件存在其他计算性错误的，按正确的方法计算并修正；</w:t>
      </w:r>
    </w:p>
    <w:p w14:paraId="21687292">
      <w:pPr>
        <w:keepNext w:val="0"/>
        <w:keepLines w:val="0"/>
        <w:pageBreakBefore w:val="0"/>
        <w:widowControl/>
        <w:kinsoku/>
        <w:wordWrap/>
        <w:overflowPunct/>
        <w:topLinePunct w:val="0"/>
        <w:autoSpaceDE w:val="0"/>
        <w:autoSpaceDN w:val="0"/>
        <w:bidi w:val="0"/>
        <w:adjustRightInd w:val="0"/>
        <w:snapToGrid w:val="0"/>
        <w:spacing w:line="348"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（5）按上述修正错误的原则及方法调整或修正投标文件的投标报价，调整后的投标报价对投标人起约束作用。如果投标人不接受修正后的报价，则取消其投标资格。</w:t>
      </w:r>
    </w:p>
    <w:p w14:paraId="08912117">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rPr>
          <w:rFonts w:ascii="宋体" w:hAnsi="宋体" w:eastAsia="宋体" w:cs="宋体"/>
          <w:b/>
          <w:bCs/>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t>3.</w:t>
      </w:r>
      <w:r>
        <w:rPr>
          <w:rFonts w:hint="eastAsia" w:ascii="宋体" w:hAnsi="宋体" w:eastAsia="宋体" w:cs="宋体"/>
          <w:b/>
          <w:bCs/>
          <w:color w:val="auto"/>
          <w:spacing w:val="0"/>
          <w:w w:val="100"/>
          <w:position w:val="0"/>
          <w:sz w:val="20"/>
          <w:szCs w:val="20"/>
          <w:highlight w:val="none"/>
          <w:lang w:val="en-US" w:eastAsia="zh-CN"/>
        </w:rPr>
        <w:t>5</w:t>
      </w:r>
      <w:r>
        <w:rPr>
          <w:rFonts w:ascii="宋体" w:hAnsi="宋体" w:eastAsia="宋体" w:cs="宋体"/>
          <w:b/>
          <w:bCs/>
          <w:color w:val="auto"/>
          <w:spacing w:val="0"/>
          <w:w w:val="100"/>
          <w:position w:val="0"/>
          <w:sz w:val="20"/>
          <w:szCs w:val="20"/>
          <w:highlight w:val="none"/>
          <w:lang w:eastAsia="zh-CN"/>
        </w:rPr>
        <w:t>.2 投标报价评分（评标阶段</w:t>
      </w:r>
      <w:r>
        <w:rPr>
          <w:rFonts w:hint="eastAsia" w:ascii="宋体" w:hAnsi="宋体" w:eastAsia="宋体" w:cs="宋体"/>
          <w:b/>
          <w:bCs/>
          <w:color w:val="auto"/>
          <w:spacing w:val="0"/>
          <w:w w:val="100"/>
          <w:position w:val="0"/>
          <w:sz w:val="20"/>
          <w:szCs w:val="20"/>
          <w:highlight w:val="none"/>
          <w:lang w:eastAsia="zh-CN"/>
        </w:rPr>
        <w:t>，由施工组评标委员会负责</w:t>
      </w:r>
      <w:r>
        <w:rPr>
          <w:rFonts w:ascii="宋体" w:hAnsi="宋体" w:eastAsia="宋体" w:cs="宋体"/>
          <w:b/>
          <w:bCs/>
          <w:color w:val="auto"/>
          <w:spacing w:val="0"/>
          <w:w w:val="100"/>
          <w:position w:val="0"/>
          <w:sz w:val="20"/>
          <w:szCs w:val="20"/>
          <w:highlight w:val="none"/>
          <w:lang w:eastAsia="zh-CN"/>
        </w:rPr>
        <w:t>）</w:t>
      </w:r>
    </w:p>
    <w:p w14:paraId="1D3AD1B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（1）经评审的工程施工费投标报价低于成本警戒价的投标文件，不参加投标报价评分，其投标报价得分为0分。</w:t>
      </w:r>
    </w:p>
    <w:p w14:paraId="7EE2BFF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确定评标参考价：以通过初步评审并经算术校核的投标人的工程施工费投标报价中，设在[成本警戒价，工程施工费最高投标限价×95%]区间的工程施工费投标报价数量为G,上述G个投标人的设计方案、工程总承包实施方案</w:t>
      </w:r>
      <w:r>
        <w:rPr>
          <w:rFonts w:hint="eastAsia" w:ascii="宋体" w:hAnsi="宋体" w:eastAsia="宋体" w:cs="宋体"/>
          <w:color w:val="auto"/>
          <w:spacing w:val="0"/>
          <w:w w:val="100"/>
          <w:position w:val="0"/>
          <w:sz w:val="20"/>
          <w:szCs w:val="20"/>
          <w:highlight w:val="none"/>
          <w:lang w:val="en-US" w:eastAsia="zh-CN"/>
        </w:rPr>
        <w:t>详细</w:t>
      </w:r>
      <w:r>
        <w:rPr>
          <w:rFonts w:hint="eastAsia" w:ascii="宋体" w:hAnsi="宋体" w:eastAsia="宋体" w:cs="宋体"/>
          <w:color w:val="auto"/>
          <w:spacing w:val="0"/>
          <w:w w:val="100"/>
          <w:position w:val="0"/>
          <w:sz w:val="20"/>
          <w:szCs w:val="20"/>
          <w:highlight w:val="none"/>
          <w:lang w:eastAsia="zh-CN"/>
        </w:rPr>
        <w:t>评审的</w:t>
      </w:r>
      <w:r>
        <w:rPr>
          <w:rFonts w:hint="eastAsia" w:ascii="宋体" w:hAnsi="宋体" w:eastAsia="宋体" w:cs="宋体"/>
          <w:color w:val="auto"/>
          <w:spacing w:val="0"/>
          <w:w w:val="100"/>
          <w:position w:val="0"/>
          <w:sz w:val="20"/>
          <w:szCs w:val="20"/>
          <w:highlight w:val="none"/>
          <w:lang w:val="en-US" w:eastAsia="zh-CN"/>
        </w:rPr>
        <w:t>汇总</w:t>
      </w:r>
      <w:r>
        <w:rPr>
          <w:rFonts w:hint="eastAsia" w:ascii="宋体" w:hAnsi="宋体" w:eastAsia="宋体" w:cs="宋体"/>
          <w:color w:val="auto"/>
          <w:spacing w:val="0"/>
          <w:w w:val="100"/>
          <w:position w:val="0"/>
          <w:sz w:val="20"/>
          <w:szCs w:val="20"/>
          <w:highlight w:val="none"/>
          <w:lang w:eastAsia="zh-CN"/>
        </w:rPr>
        <w:t>得分由高至低排序（总分相等时，以工程总承包实施方案部分得分高的排前；如仍存在相同情况，则以设计方案部分得分高的排前。工程总承包实施方案部分得分和设计方案部分得分均相同的投标文件，以投标总报价较低的排前；如仍存在相同情况，则对具有相同情况的投标人，由评标委员会采用记名投票方式确定排序），将设计方案、工程总承包实施方案</w:t>
      </w:r>
      <w:r>
        <w:rPr>
          <w:rFonts w:hint="eastAsia" w:ascii="宋体" w:hAnsi="宋体" w:eastAsia="宋体" w:cs="宋体"/>
          <w:color w:val="auto"/>
          <w:spacing w:val="0"/>
          <w:w w:val="100"/>
          <w:position w:val="0"/>
          <w:sz w:val="20"/>
          <w:szCs w:val="20"/>
          <w:highlight w:val="none"/>
          <w:lang w:val="en-US" w:eastAsia="zh-CN"/>
        </w:rPr>
        <w:t>详细</w:t>
      </w:r>
      <w:r>
        <w:rPr>
          <w:rFonts w:hint="eastAsia" w:ascii="宋体" w:hAnsi="宋体" w:eastAsia="宋体" w:cs="宋体"/>
          <w:color w:val="auto"/>
          <w:spacing w:val="0"/>
          <w:w w:val="100"/>
          <w:position w:val="0"/>
          <w:sz w:val="20"/>
          <w:szCs w:val="20"/>
          <w:highlight w:val="none"/>
          <w:lang w:eastAsia="zh-CN"/>
        </w:rPr>
        <w:t>评审的</w:t>
      </w:r>
      <w:r>
        <w:rPr>
          <w:rFonts w:hint="eastAsia" w:ascii="宋体" w:hAnsi="宋体" w:eastAsia="宋体" w:cs="宋体"/>
          <w:color w:val="auto"/>
          <w:spacing w:val="0"/>
          <w:w w:val="100"/>
          <w:position w:val="0"/>
          <w:sz w:val="20"/>
          <w:szCs w:val="20"/>
          <w:highlight w:val="none"/>
          <w:lang w:val="en-US" w:eastAsia="zh-CN"/>
        </w:rPr>
        <w:t>汇总</w:t>
      </w:r>
      <w:r>
        <w:rPr>
          <w:rFonts w:hint="eastAsia" w:ascii="宋体" w:hAnsi="宋体" w:eastAsia="宋体" w:cs="宋体"/>
          <w:color w:val="auto"/>
          <w:spacing w:val="0"/>
          <w:w w:val="100"/>
          <w:position w:val="0"/>
          <w:sz w:val="20"/>
          <w:szCs w:val="20"/>
          <w:highlight w:val="none"/>
          <w:lang w:eastAsia="zh-CN"/>
        </w:rPr>
        <w:t>得分前H名的工程施工费投标报价的算术平均值作为评标参考价(如G≥10，则H=10；如1≤G&lt;10，则H=G)；若G=0的,则采用成本警戒价与“工程施工费最高投标限价×95%”的算术平均值为评标参考价。</w:t>
      </w:r>
    </w:p>
    <w:p w14:paraId="7450F70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计算工程施工费投标报价得分：当工程施工费投标报价等于评标参考价时得100分，工程施工费投标报价每高于评标参考价1%，扣1.5分，每低于评标参考价1%，扣1分，最多扣100分，得出的工程施工费投标报价得分作为投标报价得分，精确到小数点后两位。</w:t>
      </w:r>
    </w:p>
    <w:p w14:paraId="07C5638E">
      <w:pPr>
        <w:keepNext w:val="0"/>
        <w:keepLines w:val="0"/>
        <w:pageBreakBefore w:val="0"/>
        <w:widowControl/>
        <w:kinsoku/>
        <w:wordWrap/>
        <w:overflowPunct/>
        <w:topLinePunct w:val="0"/>
        <w:autoSpaceDE w:val="0"/>
        <w:autoSpaceDN w:val="0"/>
        <w:bidi w:val="0"/>
        <w:adjustRightInd w:val="0"/>
        <w:snapToGrid w:val="0"/>
        <w:spacing w:line="360" w:lineRule="auto"/>
        <w:ind w:left="0" w:firstLine="402" w:firstLineChars="200"/>
        <w:textAlignment w:val="baseline"/>
        <w:rPr>
          <w:rFonts w:ascii="宋体" w:hAnsi="宋体" w:eastAsia="宋体" w:cs="宋体"/>
          <w:b/>
          <w:bCs/>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t>3.</w:t>
      </w:r>
      <w:r>
        <w:rPr>
          <w:rFonts w:hint="eastAsia" w:ascii="宋体" w:hAnsi="宋体" w:eastAsia="宋体" w:cs="宋体"/>
          <w:b/>
          <w:bCs/>
          <w:color w:val="auto"/>
          <w:spacing w:val="0"/>
          <w:w w:val="100"/>
          <w:position w:val="0"/>
          <w:sz w:val="20"/>
          <w:szCs w:val="20"/>
          <w:highlight w:val="none"/>
          <w:lang w:val="en-US" w:eastAsia="zh-CN"/>
        </w:rPr>
        <w:t>5</w:t>
      </w:r>
      <w:r>
        <w:rPr>
          <w:rFonts w:ascii="宋体" w:hAnsi="宋体" w:eastAsia="宋体" w:cs="宋体"/>
          <w:b/>
          <w:bCs/>
          <w:color w:val="auto"/>
          <w:spacing w:val="0"/>
          <w:w w:val="100"/>
          <w:position w:val="0"/>
          <w:sz w:val="20"/>
          <w:szCs w:val="20"/>
          <w:highlight w:val="none"/>
          <w:lang w:eastAsia="zh-CN"/>
        </w:rPr>
        <w:t>.3 投标报价评分（定标阶段）</w:t>
      </w:r>
    </w:p>
    <w:p w14:paraId="6FAB6E55">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（1）经评审的工程施工费投标报价低于成本警戒价的投标文件，不参加投标报价评分，其投标报价得分为0分。</w:t>
      </w:r>
    </w:p>
    <w:p w14:paraId="6E8C9E8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（2）确定定标参考价：以进入定标阶段的合格中标候选人的工程施工费投标报价中，设在[成本警戒价，工程施工费最高投标限价×95%]区间的投标报价数量为G,上述G个合格中标候选人的定标因素（</w:t>
      </w:r>
      <w:r>
        <w:rPr>
          <w:rFonts w:hint="eastAsia" w:ascii="宋体" w:hAnsi="宋体" w:eastAsia="宋体" w:cs="宋体"/>
          <w:color w:val="auto"/>
          <w:sz w:val="20"/>
          <w:szCs w:val="20"/>
          <w:highlight w:val="none"/>
          <w:lang w:eastAsia="zh-CN"/>
        </w:rPr>
        <w:t>指</w:t>
      </w:r>
      <w:r>
        <w:rPr>
          <w:rFonts w:hint="eastAsia" w:ascii="宋体" w:hAnsi="宋体" w:eastAsia="宋体" w:cs="宋体"/>
          <w:color w:val="auto"/>
          <w:sz w:val="20"/>
          <w:szCs w:val="20"/>
          <w:highlight w:val="none"/>
          <w:lang w:val="en-US" w:eastAsia="zh-CN"/>
        </w:rPr>
        <w:t>答辩因素</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方案因素</w:t>
      </w:r>
      <w:r>
        <w:rPr>
          <w:rFonts w:hint="eastAsia"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详细</w:t>
      </w:r>
      <w:r>
        <w:rPr>
          <w:rFonts w:hint="eastAsia" w:ascii="宋体" w:hAnsi="宋体" w:eastAsia="宋体" w:cs="宋体"/>
          <w:color w:val="auto"/>
          <w:spacing w:val="0"/>
          <w:w w:val="100"/>
          <w:position w:val="0"/>
          <w:sz w:val="20"/>
          <w:szCs w:val="20"/>
          <w:highlight w:val="none"/>
          <w:lang w:eastAsia="zh-CN"/>
        </w:rPr>
        <w:t>评审的</w:t>
      </w:r>
      <w:r>
        <w:rPr>
          <w:rFonts w:hint="eastAsia" w:ascii="宋体" w:hAnsi="宋体" w:eastAsia="宋体" w:cs="宋体"/>
          <w:color w:val="auto"/>
          <w:spacing w:val="0"/>
          <w:w w:val="100"/>
          <w:position w:val="0"/>
          <w:sz w:val="20"/>
          <w:szCs w:val="20"/>
          <w:highlight w:val="none"/>
          <w:lang w:val="en-US" w:eastAsia="zh-CN"/>
        </w:rPr>
        <w:t>汇总</w:t>
      </w:r>
      <w:r>
        <w:rPr>
          <w:rFonts w:hint="eastAsia" w:ascii="宋体" w:hAnsi="宋体" w:eastAsia="宋体" w:cs="宋体"/>
          <w:color w:val="auto"/>
          <w:spacing w:val="0"/>
          <w:w w:val="100"/>
          <w:position w:val="0"/>
          <w:sz w:val="20"/>
          <w:szCs w:val="20"/>
          <w:highlight w:val="none"/>
          <w:lang w:eastAsia="zh-CN"/>
        </w:rPr>
        <w:t>得分由高至低排序，将定标因素（</w:t>
      </w:r>
      <w:r>
        <w:rPr>
          <w:rFonts w:hint="eastAsia" w:ascii="宋体" w:hAnsi="宋体" w:eastAsia="宋体" w:cs="宋体"/>
          <w:color w:val="auto"/>
          <w:sz w:val="20"/>
          <w:szCs w:val="20"/>
          <w:highlight w:val="none"/>
          <w:lang w:eastAsia="zh-CN"/>
        </w:rPr>
        <w:t>指</w:t>
      </w:r>
      <w:r>
        <w:rPr>
          <w:rFonts w:hint="eastAsia" w:ascii="宋体" w:hAnsi="宋体" w:eastAsia="宋体" w:cs="宋体"/>
          <w:color w:val="auto"/>
          <w:sz w:val="20"/>
          <w:szCs w:val="20"/>
          <w:highlight w:val="none"/>
          <w:lang w:val="en-US" w:eastAsia="zh-CN"/>
        </w:rPr>
        <w:t>答辩因素</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方案因素</w:t>
      </w:r>
      <w:r>
        <w:rPr>
          <w:rFonts w:hint="eastAsia" w:ascii="宋体" w:hAnsi="宋体" w:eastAsia="宋体" w:cs="宋体"/>
          <w:color w:val="auto"/>
          <w:spacing w:val="0"/>
          <w:w w:val="100"/>
          <w:position w:val="0"/>
          <w:sz w:val="20"/>
          <w:szCs w:val="20"/>
          <w:highlight w:val="none"/>
          <w:lang w:eastAsia="zh-CN"/>
        </w:rPr>
        <w:t>）</w:t>
      </w:r>
      <w:r>
        <w:rPr>
          <w:rFonts w:hint="eastAsia" w:ascii="宋体" w:hAnsi="宋体" w:eastAsia="宋体" w:cs="宋体"/>
          <w:color w:val="auto"/>
          <w:spacing w:val="0"/>
          <w:w w:val="100"/>
          <w:position w:val="0"/>
          <w:sz w:val="20"/>
          <w:szCs w:val="20"/>
          <w:highlight w:val="none"/>
          <w:lang w:val="en-US" w:eastAsia="zh-CN"/>
        </w:rPr>
        <w:t>详细</w:t>
      </w:r>
      <w:r>
        <w:rPr>
          <w:rFonts w:hint="eastAsia" w:ascii="宋体" w:hAnsi="宋体" w:eastAsia="宋体" w:cs="宋体"/>
          <w:color w:val="auto"/>
          <w:spacing w:val="0"/>
          <w:w w:val="100"/>
          <w:position w:val="0"/>
          <w:sz w:val="20"/>
          <w:szCs w:val="20"/>
          <w:highlight w:val="none"/>
          <w:lang w:eastAsia="zh-CN"/>
        </w:rPr>
        <w:t>评审的</w:t>
      </w:r>
      <w:r>
        <w:rPr>
          <w:rFonts w:hint="eastAsia" w:ascii="宋体" w:hAnsi="宋体" w:eastAsia="宋体" w:cs="宋体"/>
          <w:color w:val="auto"/>
          <w:spacing w:val="0"/>
          <w:w w:val="100"/>
          <w:position w:val="0"/>
          <w:sz w:val="20"/>
          <w:szCs w:val="20"/>
          <w:highlight w:val="none"/>
          <w:lang w:val="en-US" w:eastAsia="zh-CN"/>
        </w:rPr>
        <w:t>汇总</w:t>
      </w:r>
      <w:r>
        <w:rPr>
          <w:rFonts w:hint="eastAsia" w:ascii="宋体" w:hAnsi="宋体" w:eastAsia="宋体" w:cs="宋体"/>
          <w:color w:val="auto"/>
          <w:spacing w:val="0"/>
          <w:w w:val="100"/>
          <w:position w:val="0"/>
          <w:sz w:val="20"/>
          <w:szCs w:val="20"/>
          <w:highlight w:val="none"/>
          <w:lang w:eastAsia="zh-CN"/>
        </w:rPr>
        <w:t>得分前H名的工程施工费投标报价的算术平均值作为定标参考价(如G≥7，则H=7；如1≤G&lt;7，则H=G)；若G=0的,则采用成本警戒价与“工程施工费最高投标限价×95%”的算术平均值为定标参考价。</w:t>
      </w:r>
    </w:p>
    <w:p w14:paraId="3265E54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计算工程施工费投标报价得分：当工程施工费投标报价等于定标参考价时得100分，工程施工费投标报价每高于定标参考价1%，扣1.5分，每低于定标参考价1%，扣1分，最多扣100分，得出的工程施工费投标报价得分作为价格因素得分，精确到小数点后两位。</w:t>
      </w:r>
    </w:p>
    <w:p w14:paraId="72E1DC8E">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49" w:name="_Toc27586"/>
      <w:bookmarkStart w:id="250" w:name="_Toc448"/>
      <w:bookmarkStart w:id="251" w:name="_Toc13215"/>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6</w:t>
      </w:r>
      <w:r>
        <w:rPr>
          <w:rFonts w:ascii="宋体" w:hAnsi="宋体" w:eastAsia="宋体" w:cs="宋体"/>
          <w:b/>
          <w:bCs/>
          <w:color w:val="auto"/>
          <w:spacing w:val="0"/>
          <w:w w:val="100"/>
          <w:position w:val="0"/>
          <w:sz w:val="28"/>
          <w:szCs w:val="28"/>
          <w:highlight w:val="none"/>
          <w:lang w:eastAsia="zh-CN"/>
        </w:rPr>
        <w:t xml:space="preserve"> 评审汇总（评标阶段和定标阶段）</w:t>
      </w:r>
      <w:bookmarkEnd w:id="249"/>
      <w:bookmarkEnd w:id="250"/>
      <w:bookmarkEnd w:id="251"/>
    </w:p>
    <w:p w14:paraId="6FB95BB5">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6</w:t>
      </w:r>
      <w:r>
        <w:rPr>
          <w:rFonts w:hint="eastAsia" w:ascii="宋体" w:hAnsi="宋体" w:eastAsia="宋体" w:cs="宋体"/>
          <w:color w:val="auto"/>
          <w:spacing w:val="0"/>
          <w:w w:val="100"/>
          <w:position w:val="0"/>
          <w:sz w:val="20"/>
          <w:szCs w:val="20"/>
          <w:highlight w:val="none"/>
          <w:lang w:eastAsia="zh-CN"/>
        </w:rPr>
        <w:t>.1 投标人总得分满分为100分，总分权重分配见：评标办法前附表。</w:t>
      </w:r>
    </w:p>
    <w:p w14:paraId="308B9102">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6</w:t>
      </w:r>
      <w:r>
        <w:rPr>
          <w:rFonts w:hint="eastAsia" w:ascii="宋体" w:hAnsi="宋体" w:eastAsia="宋体" w:cs="宋体"/>
          <w:color w:val="auto"/>
          <w:spacing w:val="0"/>
          <w:w w:val="100"/>
          <w:position w:val="0"/>
          <w:sz w:val="20"/>
          <w:szCs w:val="20"/>
          <w:highlight w:val="none"/>
          <w:lang w:eastAsia="zh-CN"/>
        </w:rPr>
        <w:t>.2 评标委员会按照“</w:t>
      </w:r>
      <w:r>
        <w:rPr>
          <w:rFonts w:hint="eastAsia" w:ascii="宋体" w:hAnsi="宋体" w:eastAsia="宋体" w:cs="宋体"/>
          <w:color w:val="auto"/>
          <w:sz w:val="20"/>
          <w:szCs w:val="20"/>
          <w:highlight w:val="none"/>
          <w:u w:val="single"/>
        </w:rPr>
        <w:t>投标人总得分(满分100分)=设计方案得分×设计方案权重（30%）+[工程总承包实施方案得分×工程总承包实施方案权重（</w:t>
      </w:r>
      <w:r>
        <w:rPr>
          <w:rFonts w:hint="eastAsia" w:ascii="宋体" w:hAnsi="宋体" w:eastAsia="宋体" w:cs="宋体"/>
          <w:color w:val="auto"/>
          <w:sz w:val="20"/>
          <w:szCs w:val="20"/>
          <w:highlight w:val="none"/>
          <w:u w:val="single"/>
          <w:lang w:val="en-US" w:eastAsia="zh-CN"/>
        </w:rPr>
        <w:t>5</w:t>
      </w:r>
      <w:r>
        <w:rPr>
          <w:rFonts w:hint="eastAsia" w:ascii="宋体" w:hAnsi="宋体" w:eastAsia="宋体" w:cs="宋体"/>
          <w:color w:val="auto"/>
          <w:sz w:val="20"/>
          <w:szCs w:val="20"/>
          <w:highlight w:val="none"/>
          <w:u w:val="single"/>
        </w:rPr>
        <w:t>0%）+工程施工费投标报价得分×投标报价权重（</w:t>
      </w:r>
      <w:r>
        <w:rPr>
          <w:rFonts w:hint="eastAsia" w:ascii="宋体" w:hAnsi="宋体" w:eastAsia="宋体" w:cs="宋体"/>
          <w:color w:val="auto"/>
          <w:sz w:val="20"/>
          <w:szCs w:val="20"/>
          <w:highlight w:val="none"/>
          <w:u w:val="single"/>
          <w:lang w:val="en-US" w:eastAsia="zh-CN"/>
        </w:rPr>
        <w:t>5</w:t>
      </w:r>
      <w:r>
        <w:rPr>
          <w:rFonts w:hint="eastAsia" w:ascii="宋体" w:hAnsi="宋体" w:eastAsia="宋体" w:cs="宋体"/>
          <w:color w:val="auto"/>
          <w:sz w:val="20"/>
          <w:szCs w:val="20"/>
          <w:highlight w:val="none"/>
          <w:u w:val="single"/>
        </w:rPr>
        <w:t>0%）]×权重（70%）</w:t>
      </w:r>
      <w:r>
        <w:rPr>
          <w:rFonts w:hint="eastAsia" w:ascii="宋体" w:hAnsi="宋体" w:eastAsia="宋体" w:cs="宋体"/>
          <w:color w:val="auto"/>
          <w:spacing w:val="0"/>
          <w:w w:val="100"/>
          <w:position w:val="0"/>
          <w:sz w:val="20"/>
          <w:szCs w:val="20"/>
          <w:highlight w:val="none"/>
          <w:lang w:eastAsia="zh-CN"/>
        </w:rPr>
        <w:t>”公式，计算各有效投标文件的总分（精确到小数点后两位）。并按照总分从高到低排列先后次序。同时通过资格审查、投标文件有效性审查的投标人才能参与投标人总得分汇总。总分相等时，以资信部分和项目实施组织方案部分汇总得分高的排前；如仍存在相同情况，则以项目实施组织方案部分得分高的排前。</w:t>
      </w:r>
    </w:p>
    <w:p w14:paraId="1CB5D0E4">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6</w:t>
      </w: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 xml:space="preserve"> </w:t>
      </w:r>
      <w:r>
        <w:rPr>
          <w:rFonts w:hint="eastAsia" w:ascii="宋体" w:hAnsi="宋体" w:eastAsia="宋体" w:cs="宋体"/>
          <w:color w:val="auto"/>
          <w:spacing w:val="0"/>
          <w:w w:val="100"/>
          <w:position w:val="0"/>
          <w:sz w:val="20"/>
          <w:szCs w:val="20"/>
          <w:highlight w:val="none"/>
          <w:lang w:eastAsia="zh-CN"/>
        </w:rPr>
        <w:t>设S（S=M+N）为通过初步评审的投标人数,其中M为工程施工费投标报价低于成本警戒价的投标人数，N为工程施工费投标报价不低于成本警示价的投标人数。</w:t>
      </w:r>
    </w:p>
    <w:p w14:paraId="691CA91A">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1）对经评审的工程施工费投标报价低于成本警戒价的M个投标人的投标文件，仅对其设计方案、工程总承包实施方案得分进行汇总并由高至低排序，其投标报价得分按0分计。总分相等时，以工程总承包实施方案部分得分高的排前；如仍存在相同情况，则以设计方案部分得分高的排前。如仍存在相同情况，则对具有相同情况的投标人，按照合格中标候选人数的规定，由评标委员会采用记名投票方式确定排序。评标委员会按照总分的排序向招标人推荐第1名为合格中标候选人进入定标阶段。</w:t>
      </w:r>
    </w:p>
    <w:p w14:paraId="4022630E">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对经评审的工程施工费投标报价不低于成本警戒价的N个投标人的投标文件，对其设计方案、工程总承包实施方案、工程施工费投标报价得分进行汇总并由高至低排序。当N&lt;3时，全部推荐为合格中标候选人；当N≥3时，评标委员会根据总分排序，推荐前7名（不足7名的，则推荐全部有效的投标人为合格中标候选人）不排序的合格中标候选人进入定标阶段。总分相等时，以工程总承包实施方案部分得分高的排前；如仍存在相同情况，则以设计方案部分得分高的排前。工程总承包实施方案部分得分和设计方案部分得分均相同的投标文件，以投标总报价较低的排前；如仍存在相同情况，则对具有相同情况的投标人，按照合格中标候选人数量规定，由评标委员会采用记名投票方式确定排序。</w:t>
      </w:r>
    </w:p>
    <w:p w14:paraId="1FB738CB">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6</w:t>
      </w:r>
      <w:r>
        <w:rPr>
          <w:rFonts w:hint="eastAsia" w:ascii="宋体" w:hAnsi="宋体" w:eastAsia="宋体" w:cs="宋体"/>
          <w:color w:val="auto"/>
          <w:spacing w:val="0"/>
          <w:w w:val="100"/>
          <w:position w:val="0"/>
          <w:sz w:val="20"/>
          <w:szCs w:val="20"/>
          <w:highlight w:val="none"/>
          <w:lang w:eastAsia="zh-CN"/>
        </w:rPr>
        <w:t>.4 评标委员会编写、签署评标报告。评标报告由评标委员会全体成员签字，对评标结论持有异议的评标委员会成员可以书面方式阐述其不同意见和理由。</w:t>
      </w:r>
    </w:p>
    <w:p w14:paraId="56949224">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注：编写评标报告时，合格中标候选人不排序，按投标人（如为联合体，以联合体主办方为准）统一社会信用代码后4位（除校验码外）大小排位，如统一社会信用代码后4位出现字母情况的，字母以“0”进行代替大小排位；如出现后4位（除校验码外）大小一致的，则随机排位。</w:t>
      </w:r>
    </w:p>
    <w:p w14:paraId="710D5505">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6</w:t>
      </w:r>
      <w:r>
        <w:rPr>
          <w:rFonts w:hint="eastAsia" w:ascii="宋体" w:hAnsi="宋体" w:eastAsia="宋体" w:cs="宋体"/>
          <w:color w:val="auto"/>
          <w:spacing w:val="0"/>
          <w:w w:val="100"/>
          <w:position w:val="0"/>
          <w:sz w:val="20"/>
          <w:szCs w:val="20"/>
          <w:highlight w:val="none"/>
          <w:lang w:eastAsia="zh-CN"/>
        </w:rPr>
        <w:t>.5 有效投标单位S不足三家，应当依法重新组织该标段招标。</w:t>
      </w:r>
    </w:p>
    <w:p w14:paraId="3BDDD2A8">
      <w:pPr>
        <w:keepNext w:val="0"/>
        <w:keepLines w:val="0"/>
        <w:pageBreakBefore w:val="0"/>
        <w:widowControl/>
        <w:kinsoku/>
        <w:wordWrap/>
        <w:overflowPunct/>
        <w:topLinePunct w:val="0"/>
        <w:autoSpaceDE w:val="0"/>
        <w:autoSpaceDN w:val="0"/>
        <w:bidi w:val="0"/>
        <w:adjustRightInd w:val="0"/>
        <w:snapToGrid w:val="0"/>
        <w:spacing w:line="372" w:lineRule="auto"/>
        <w:ind w:left="0" w:firstLine="400" w:firstLineChars="200"/>
        <w:textAlignment w:val="baseline"/>
        <w:rPr>
          <w:rFonts w:hint="eastAsia" w:ascii="宋体" w:hAnsi="宋体" w:eastAsia="宋体" w:cs="宋体"/>
          <w:color w:val="auto"/>
          <w:spacing w:val="0"/>
          <w:w w:val="100"/>
          <w:position w:val="0"/>
          <w:sz w:val="20"/>
          <w:szCs w:val="20"/>
          <w:highlight w:val="none"/>
          <w:u w:val="none"/>
          <w:lang w:eastAsia="zh-CN"/>
        </w:rPr>
      </w:pPr>
      <w:r>
        <w:rPr>
          <w:rFonts w:hint="eastAsia"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6</w:t>
      </w:r>
      <w:r>
        <w:rPr>
          <w:rFonts w:hint="eastAsia" w:ascii="宋体" w:hAnsi="宋体" w:eastAsia="宋体" w:cs="宋体"/>
          <w:color w:val="auto"/>
          <w:spacing w:val="0"/>
          <w:w w:val="100"/>
          <w:position w:val="0"/>
          <w:sz w:val="20"/>
          <w:szCs w:val="20"/>
          <w:highlight w:val="none"/>
          <w:lang w:eastAsia="zh-CN"/>
        </w:rPr>
        <w:t>.6 定标委员会按照“投标人总得分（满分100分）=答辩因素得分</w:t>
      </w:r>
      <w:r>
        <w:rPr>
          <w:rFonts w:hint="eastAsia" w:ascii="宋体" w:hAnsi="宋体" w:eastAsia="宋体" w:cs="宋体"/>
          <w:color w:val="auto"/>
          <w:sz w:val="20"/>
          <w:szCs w:val="20"/>
          <w:highlight w:val="none"/>
          <w:u w:val="none"/>
        </w:rPr>
        <w:t>×</w:t>
      </w:r>
      <w:r>
        <w:rPr>
          <w:rFonts w:hint="eastAsia" w:ascii="宋体" w:hAnsi="宋体" w:eastAsia="宋体" w:cs="宋体"/>
          <w:color w:val="auto"/>
          <w:spacing w:val="0"/>
          <w:w w:val="100"/>
          <w:position w:val="0"/>
          <w:sz w:val="20"/>
          <w:szCs w:val="20"/>
          <w:highlight w:val="none"/>
          <w:u w:val="none"/>
          <w:lang w:eastAsia="zh-CN"/>
        </w:rPr>
        <w:t>（答辩因素权重30%）+方案因素得分</w:t>
      </w:r>
      <w:r>
        <w:rPr>
          <w:rFonts w:hint="eastAsia" w:ascii="宋体" w:hAnsi="宋体" w:eastAsia="宋体" w:cs="宋体"/>
          <w:color w:val="auto"/>
          <w:sz w:val="20"/>
          <w:szCs w:val="20"/>
          <w:highlight w:val="none"/>
          <w:u w:val="none"/>
        </w:rPr>
        <w:t>×</w:t>
      </w:r>
      <w:r>
        <w:rPr>
          <w:rFonts w:hint="eastAsia" w:ascii="宋体" w:hAnsi="宋体" w:eastAsia="宋体" w:cs="宋体"/>
          <w:color w:val="auto"/>
          <w:spacing w:val="0"/>
          <w:w w:val="100"/>
          <w:position w:val="0"/>
          <w:sz w:val="20"/>
          <w:szCs w:val="20"/>
          <w:highlight w:val="none"/>
          <w:lang w:eastAsia="zh-CN"/>
        </w:rPr>
        <w:t>（方案因素权重</w:t>
      </w:r>
      <w:r>
        <w:rPr>
          <w:rFonts w:hint="eastAsia" w:ascii="宋体" w:hAnsi="宋体" w:eastAsia="宋体" w:cs="宋体"/>
          <w:color w:val="auto"/>
          <w:spacing w:val="0"/>
          <w:w w:val="100"/>
          <w:position w:val="0"/>
          <w:sz w:val="20"/>
          <w:szCs w:val="20"/>
          <w:highlight w:val="none"/>
          <w:lang w:val="en-US" w:eastAsia="zh-CN"/>
        </w:rPr>
        <w:t>4</w:t>
      </w:r>
      <w:r>
        <w:rPr>
          <w:rFonts w:hint="eastAsia" w:ascii="宋体" w:hAnsi="宋体" w:eastAsia="宋体" w:cs="宋体"/>
          <w:color w:val="auto"/>
          <w:spacing w:val="0"/>
          <w:w w:val="100"/>
          <w:position w:val="0"/>
          <w:sz w:val="20"/>
          <w:szCs w:val="20"/>
          <w:highlight w:val="none"/>
          <w:lang w:eastAsia="zh-CN"/>
        </w:rPr>
        <w:t>0%）+价格因素得分×（价格因素权重</w:t>
      </w:r>
      <w:r>
        <w:rPr>
          <w:rFonts w:hint="eastAsia" w:ascii="宋体" w:hAnsi="宋体" w:eastAsia="宋体" w:cs="宋体"/>
          <w:color w:val="auto"/>
          <w:spacing w:val="0"/>
          <w:w w:val="100"/>
          <w:position w:val="0"/>
          <w:sz w:val="20"/>
          <w:szCs w:val="20"/>
          <w:highlight w:val="none"/>
          <w:lang w:val="en-US" w:eastAsia="zh-CN"/>
        </w:rPr>
        <w:t>30</w:t>
      </w:r>
      <w:r>
        <w:rPr>
          <w:rFonts w:hint="eastAsia" w:ascii="宋体" w:hAnsi="宋体" w:eastAsia="宋体" w:cs="宋体"/>
          <w:color w:val="auto"/>
          <w:spacing w:val="0"/>
          <w:w w:val="100"/>
          <w:position w:val="0"/>
          <w:sz w:val="20"/>
          <w:szCs w:val="20"/>
          <w:highlight w:val="none"/>
          <w:lang w:eastAsia="zh-CN"/>
        </w:rPr>
        <w:t>%）。”公式，计算各合格中标候选人投标文件的总分（精确到小数点后两位）。</w:t>
      </w:r>
      <w:r>
        <w:rPr>
          <w:rFonts w:hint="eastAsia" w:ascii="宋体" w:hAnsi="宋体" w:eastAsia="宋体" w:cs="宋体"/>
          <w:color w:val="auto"/>
          <w:spacing w:val="0"/>
          <w:w w:val="100"/>
          <w:position w:val="0"/>
          <w:sz w:val="20"/>
          <w:szCs w:val="20"/>
          <w:highlight w:val="none"/>
          <w:u w:val="none"/>
          <w:lang w:eastAsia="zh-CN"/>
        </w:rPr>
        <w:t>并按照总分从高到低排列先后次序。总分相等时，以方案因素部分得分高的排前；如仍存在相同情况，则以答辩因素部分得分高的排前。如仍存在综合得分相同情况的，由定标委员会成员记名投票决定排序。确定</w:t>
      </w:r>
      <w:r>
        <w:rPr>
          <w:rFonts w:hint="eastAsia" w:ascii="宋体" w:hAnsi="宋体" w:eastAsia="宋体" w:cs="宋体"/>
          <w:color w:val="auto"/>
          <w:spacing w:val="0"/>
          <w:w w:val="100"/>
          <w:position w:val="0"/>
          <w:sz w:val="20"/>
          <w:szCs w:val="20"/>
          <w:highlight w:val="none"/>
          <w:u w:val="none"/>
          <w:lang w:val="en-US" w:eastAsia="zh-CN"/>
        </w:rPr>
        <w:t>得分最高</w:t>
      </w:r>
      <w:r>
        <w:rPr>
          <w:rFonts w:hint="eastAsia" w:ascii="宋体" w:hAnsi="宋体" w:eastAsia="宋体" w:cs="宋体"/>
          <w:color w:val="auto"/>
          <w:spacing w:val="0"/>
          <w:w w:val="100"/>
          <w:position w:val="0"/>
          <w:sz w:val="20"/>
          <w:szCs w:val="20"/>
          <w:highlight w:val="none"/>
          <w:u w:val="none"/>
          <w:lang w:eastAsia="zh-CN"/>
        </w:rPr>
        <w:t>的</w:t>
      </w:r>
      <w:r>
        <w:rPr>
          <w:rFonts w:hint="eastAsia" w:ascii="宋体" w:hAnsi="宋体" w:eastAsia="宋体" w:cs="宋体"/>
          <w:color w:val="auto"/>
          <w:spacing w:val="0"/>
          <w:w w:val="100"/>
          <w:position w:val="0"/>
          <w:sz w:val="20"/>
          <w:szCs w:val="20"/>
          <w:highlight w:val="none"/>
          <w:u w:val="none"/>
          <w:lang w:val="en-US" w:eastAsia="zh-CN"/>
        </w:rPr>
        <w:t>中标候选人</w:t>
      </w:r>
      <w:r>
        <w:rPr>
          <w:rFonts w:hint="eastAsia" w:ascii="宋体" w:hAnsi="宋体" w:eastAsia="宋体" w:cs="宋体"/>
          <w:color w:val="auto"/>
          <w:spacing w:val="0"/>
          <w:w w:val="100"/>
          <w:position w:val="0"/>
          <w:sz w:val="20"/>
          <w:szCs w:val="20"/>
          <w:highlight w:val="none"/>
          <w:u w:val="none"/>
          <w:lang w:eastAsia="zh-CN"/>
        </w:rPr>
        <w:t>为中标人，并编写定标报告。</w:t>
      </w:r>
    </w:p>
    <w:p w14:paraId="7DEA4424">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52" w:name="_Toc11017"/>
      <w:bookmarkStart w:id="253" w:name="_Toc1626"/>
      <w:bookmarkStart w:id="254" w:name="_Toc14129"/>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7</w:t>
      </w:r>
      <w:r>
        <w:rPr>
          <w:rFonts w:ascii="宋体" w:hAnsi="宋体" w:eastAsia="宋体" w:cs="宋体"/>
          <w:b/>
          <w:bCs/>
          <w:color w:val="auto"/>
          <w:spacing w:val="0"/>
          <w:w w:val="100"/>
          <w:position w:val="0"/>
          <w:sz w:val="28"/>
          <w:szCs w:val="28"/>
          <w:highlight w:val="none"/>
          <w:lang w:eastAsia="zh-CN"/>
        </w:rPr>
        <w:t xml:space="preserve"> 投标文件的澄清和补正</w:t>
      </w:r>
      <w:bookmarkEnd w:id="252"/>
      <w:bookmarkEnd w:id="253"/>
      <w:bookmarkEnd w:id="254"/>
    </w:p>
    <w:p w14:paraId="338394A6">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7</w:t>
      </w:r>
      <w:r>
        <w:rPr>
          <w:rFonts w:ascii="宋体" w:hAnsi="宋体" w:eastAsia="宋体" w:cs="宋体"/>
          <w:color w:val="auto"/>
          <w:spacing w:val="0"/>
          <w:w w:val="100"/>
          <w:position w:val="0"/>
          <w:sz w:val="20"/>
          <w:szCs w:val="20"/>
          <w:highlight w:val="none"/>
          <w:lang w:eastAsia="zh-CN"/>
        </w:rPr>
        <w:t>.1 为有助于投标文件的审查、评价和比较，评标期间，经评标委员会中超过两人（含两人）的成员以书面形式提出动议，评标委员会应当书面发出澄清通知，要求投标人对投标文件含义不明确的内容作出澄清。</w:t>
      </w:r>
    </w:p>
    <w:p w14:paraId="7178DA53">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7</w:t>
      </w:r>
      <w:r>
        <w:rPr>
          <w:rFonts w:ascii="宋体" w:hAnsi="宋体" w:eastAsia="宋体" w:cs="宋体"/>
          <w:color w:val="auto"/>
          <w:spacing w:val="0"/>
          <w:w w:val="100"/>
          <w:position w:val="0"/>
          <w:sz w:val="20"/>
          <w:szCs w:val="20"/>
          <w:highlight w:val="none"/>
          <w:lang w:eastAsia="zh-CN"/>
        </w:rPr>
        <w:t>.2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32357A14">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7</w:t>
      </w:r>
      <w:r>
        <w:rPr>
          <w:rFonts w:ascii="宋体" w:hAnsi="宋体" w:eastAsia="宋体" w:cs="宋体"/>
          <w:color w:val="auto"/>
          <w:spacing w:val="0"/>
          <w:w w:val="100"/>
          <w:position w:val="0"/>
          <w:sz w:val="20"/>
          <w:szCs w:val="20"/>
          <w:highlight w:val="none"/>
          <w:lang w:eastAsia="zh-CN"/>
        </w:rPr>
        <w:t>.3 评标委员会成员均应当阅读投标人的澄清，但应独立参考澄清对投标文件进行评审。</w:t>
      </w:r>
    </w:p>
    <w:p w14:paraId="7FD6A8D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7</w:t>
      </w:r>
      <w:r>
        <w:rPr>
          <w:rFonts w:ascii="宋体" w:hAnsi="宋体" w:eastAsia="宋体" w:cs="宋体"/>
          <w:color w:val="auto"/>
          <w:spacing w:val="0"/>
          <w:w w:val="100"/>
          <w:position w:val="0"/>
          <w:sz w:val="20"/>
          <w:szCs w:val="20"/>
          <w:highlight w:val="none"/>
          <w:lang w:eastAsia="zh-CN"/>
        </w:rPr>
        <w:t>.4 如果投标文件实质上不响应招标文件的各项要求，评标委员会相应评审将按照有效性审查标准予以拒绝，不接受投标人通过修改或撤销其不符合要求的差异或保留，使之成为具有响应性的投标。</w:t>
      </w:r>
    </w:p>
    <w:p w14:paraId="7005DB4D">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55" w:name="_Toc20678"/>
      <w:bookmarkStart w:id="256" w:name="_Toc19474"/>
      <w:bookmarkStart w:id="257" w:name="_Toc6380"/>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8</w:t>
      </w:r>
      <w:r>
        <w:rPr>
          <w:rFonts w:ascii="宋体" w:hAnsi="宋体" w:eastAsia="宋体" w:cs="宋体"/>
          <w:b/>
          <w:bCs/>
          <w:color w:val="auto"/>
          <w:spacing w:val="0"/>
          <w:w w:val="100"/>
          <w:position w:val="0"/>
          <w:sz w:val="28"/>
          <w:szCs w:val="28"/>
          <w:highlight w:val="none"/>
          <w:lang w:eastAsia="zh-CN"/>
        </w:rPr>
        <w:t xml:space="preserve"> 评标结果</w:t>
      </w:r>
      <w:bookmarkEnd w:id="255"/>
      <w:bookmarkEnd w:id="256"/>
      <w:bookmarkEnd w:id="257"/>
    </w:p>
    <w:p w14:paraId="0D498C4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8</w:t>
      </w:r>
      <w:r>
        <w:rPr>
          <w:rFonts w:ascii="宋体" w:hAnsi="宋体" w:eastAsia="宋体" w:cs="宋体"/>
          <w:color w:val="auto"/>
          <w:spacing w:val="0"/>
          <w:w w:val="100"/>
          <w:position w:val="0"/>
          <w:sz w:val="20"/>
          <w:szCs w:val="20"/>
          <w:highlight w:val="none"/>
          <w:lang w:eastAsia="zh-CN"/>
        </w:rPr>
        <w:t>.1 除第一章“投标人须知”前附表授权直接确定中标人外，评标委员会将《投标人须知前附表》规定的方法推荐合格中标候选人，进入定标阶段。</w:t>
      </w:r>
    </w:p>
    <w:p w14:paraId="3CB6EA18">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8</w:t>
      </w:r>
      <w:r>
        <w:rPr>
          <w:rFonts w:ascii="宋体" w:hAnsi="宋体" w:eastAsia="宋体" w:cs="宋体"/>
          <w:color w:val="auto"/>
          <w:spacing w:val="0"/>
          <w:w w:val="100"/>
          <w:position w:val="0"/>
          <w:sz w:val="20"/>
          <w:szCs w:val="20"/>
          <w:highlight w:val="none"/>
          <w:lang w:eastAsia="zh-CN"/>
        </w:rPr>
        <w:t>.2 评标委员会完成评标后，应当向招标人提交书面评标报告。</w:t>
      </w:r>
    </w:p>
    <w:p w14:paraId="05367AE0">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w:t>
      </w:r>
      <w:r>
        <w:rPr>
          <w:rFonts w:hint="eastAsia" w:ascii="宋体" w:hAnsi="宋体" w:eastAsia="宋体" w:cs="宋体"/>
          <w:color w:val="auto"/>
          <w:spacing w:val="0"/>
          <w:w w:val="100"/>
          <w:position w:val="0"/>
          <w:sz w:val="20"/>
          <w:szCs w:val="20"/>
          <w:highlight w:val="none"/>
          <w:lang w:val="en-US" w:eastAsia="zh-CN"/>
        </w:rPr>
        <w:t>8</w:t>
      </w:r>
      <w:r>
        <w:rPr>
          <w:rFonts w:ascii="宋体" w:hAnsi="宋体" w:eastAsia="宋体" w:cs="宋体"/>
          <w:color w:val="auto"/>
          <w:spacing w:val="0"/>
          <w:w w:val="100"/>
          <w:position w:val="0"/>
          <w:sz w:val="20"/>
          <w:szCs w:val="20"/>
          <w:highlight w:val="none"/>
          <w:lang w:eastAsia="zh-CN"/>
        </w:rPr>
        <w:t>.3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0D3C7E77">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0"/>
          <w:w w:val="100"/>
          <w:position w:val="0"/>
          <w:sz w:val="28"/>
          <w:szCs w:val="28"/>
          <w:highlight w:val="none"/>
          <w:lang w:eastAsia="zh-CN"/>
        </w:rPr>
      </w:pPr>
      <w:bookmarkStart w:id="258" w:name="_Toc117"/>
      <w:bookmarkStart w:id="259" w:name="_Toc16920"/>
      <w:bookmarkStart w:id="260" w:name="_Toc18011"/>
      <w:r>
        <w:rPr>
          <w:rFonts w:ascii="宋体" w:hAnsi="宋体" w:eastAsia="宋体" w:cs="宋体"/>
          <w:b/>
          <w:bCs/>
          <w:color w:val="auto"/>
          <w:spacing w:val="0"/>
          <w:w w:val="100"/>
          <w:position w:val="0"/>
          <w:sz w:val="28"/>
          <w:szCs w:val="28"/>
          <w:highlight w:val="none"/>
          <w:lang w:eastAsia="zh-CN"/>
        </w:rPr>
        <w:t>3.</w:t>
      </w:r>
      <w:r>
        <w:rPr>
          <w:rFonts w:hint="eastAsia" w:ascii="宋体" w:hAnsi="宋体" w:eastAsia="宋体" w:cs="宋体"/>
          <w:b/>
          <w:bCs/>
          <w:color w:val="auto"/>
          <w:spacing w:val="0"/>
          <w:w w:val="100"/>
          <w:position w:val="0"/>
          <w:sz w:val="28"/>
          <w:szCs w:val="28"/>
          <w:highlight w:val="none"/>
          <w:lang w:val="en-US" w:eastAsia="zh-CN"/>
        </w:rPr>
        <w:t>9</w:t>
      </w:r>
      <w:r>
        <w:rPr>
          <w:rFonts w:ascii="宋体" w:hAnsi="宋体" w:eastAsia="宋体" w:cs="宋体"/>
          <w:b/>
          <w:bCs/>
          <w:color w:val="auto"/>
          <w:spacing w:val="0"/>
          <w:w w:val="100"/>
          <w:position w:val="0"/>
          <w:sz w:val="28"/>
          <w:szCs w:val="28"/>
          <w:highlight w:val="none"/>
          <w:lang w:eastAsia="zh-CN"/>
        </w:rPr>
        <w:t xml:space="preserve"> 定标结果</w:t>
      </w:r>
      <w:bookmarkEnd w:id="258"/>
      <w:bookmarkEnd w:id="259"/>
      <w:bookmarkEnd w:id="260"/>
    </w:p>
    <w:p w14:paraId="38B2BD6A">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定标委员会对合格中标候选人进行评审打分并计算综合得分，定标委员会按得分由高到低顺序，确定</w:t>
      </w:r>
      <w:r>
        <w:rPr>
          <w:rFonts w:hint="eastAsia" w:ascii="宋体" w:hAnsi="宋体" w:eastAsia="宋体" w:cs="宋体"/>
          <w:color w:val="auto"/>
          <w:spacing w:val="0"/>
          <w:w w:val="100"/>
          <w:position w:val="0"/>
          <w:sz w:val="20"/>
          <w:szCs w:val="20"/>
          <w:highlight w:val="none"/>
          <w:lang w:val="en-US" w:eastAsia="zh-CN"/>
        </w:rPr>
        <w:t>得分最高</w:t>
      </w:r>
      <w:r>
        <w:rPr>
          <w:rFonts w:ascii="宋体" w:hAnsi="宋体" w:eastAsia="宋体" w:cs="宋体"/>
          <w:color w:val="auto"/>
          <w:spacing w:val="0"/>
          <w:w w:val="100"/>
          <w:position w:val="0"/>
          <w:sz w:val="20"/>
          <w:szCs w:val="20"/>
          <w:highlight w:val="none"/>
          <w:lang w:eastAsia="zh-CN"/>
        </w:rPr>
        <w:t>的</w:t>
      </w:r>
      <w:r>
        <w:rPr>
          <w:rFonts w:hint="eastAsia" w:ascii="宋体" w:hAnsi="宋体" w:eastAsia="宋体" w:cs="宋体"/>
          <w:color w:val="auto"/>
          <w:spacing w:val="0"/>
          <w:w w:val="100"/>
          <w:position w:val="0"/>
          <w:sz w:val="20"/>
          <w:szCs w:val="20"/>
          <w:highlight w:val="none"/>
          <w:lang w:val="en-US" w:eastAsia="zh-CN"/>
        </w:rPr>
        <w:t>中标候选人</w:t>
      </w:r>
      <w:r>
        <w:rPr>
          <w:rFonts w:ascii="宋体" w:hAnsi="宋体" w:eastAsia="宋体" w:cs="宋体"/>
          <w:color w:val="auto"/>
          <w:spacing w:val="0"/>
          <w:w w:val="100"/>
          <w:position w:val="0"/>
          <w:sz w:val="20"/>
          <w:szCs w:val="20"/>
          <w:highlight w:val="none"/>
          <w:lang w:eastAsia="zh-CN"/>
        </w:rPr>
        <w:t>为中标人</w:t>
      </w:r>
      <w:r>
        <w:rPr>
          <w:rFonts w:hint="eastAsia" w:ascii="宋体" w:hAnsi="宋体" w:eastAsia="宋体" w:cs="宋体"/>
          <w:color w:val="auto"/>
          <w:spacing w:val="0"/>
          <w:w w:val="100"/>
          <w:position w:val="0"/>
          <w:sz w:val="20"/>
          <w:szCs w:val="20"/>
          <w:highlight w:val="none"/>
          <w:lang w:eastAsia="zh-CN"/>
        </w:rPr>
        <w:t>。</w:t>
      </w:r>
      <w:r>
        <w:rPr>
          <w:rFonts w:ascii="宋体" w:hAnsi="宋体" w:eastAsia="宋体" w:cs="宋体"/>
          <w:color w:val="auto"/>
          <w:spacing w:val="0"/>
          <w:w w:val="100"/>
          <w:position w:val="0"/>
          <w:sz w:val="20"/>
          <w:szCs w:val="20"/>
          <w:highlight w:val="none"/>
          <w:lang w:eastAsia="zh-CN"/>
        </w:rPr>
        <w:t>若定标综合得分相同的，总分相等时，以方案因素部分得分高的排前；如仍存在相同情况，则以答辩因素部分得分高的排前。如仍存在综合得分相同情况的，由定标委员会成员记名投票决定排序。</w:t>
      </w:r>
    </w:p>
    <w:p w14:paraId="7658F5B3">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outlineLvl w:val="1"/>
        <w:rPr>
          <w:rFonts w:ascii="宋体" w:hAnsi="宋体" w:eastAsia="宋体" w:cs="宋体"/>
          <w:b/>
          <w:bCs/>
          <w:color w:val="auto"/>
          <w:spacing w:val="0"/>
          <w:w w:val="100"/>
          <w:position w:val="0"/>
          <w:sz w:val="28"/>
          <w:szCs w:val="28"/>
          <w:highlight w:val="none"/>
          <w:lang w:eastAsia="zh-CN"/>
        </w:rPr>
      </w:pPr>
      <w:bookmarkStart w:id="261" w:name="_Toc24685"/>
      <w:bookmarkStart w:id="262" w:name="_Toc15551"/>
      <w:bookmarkStart w:id="263" w:name="_Toc4673"/>
      <w:bookmarkStart w:id="264" w:name="_Toc7435"/>
      <w:bookmarkStart w:id="265" w:name="_Toc4532"/>
      <w:r>
        <w:rPr>
          <w:rFonts w:ascii="宋体" w:hAnsi="宋体" w:eastAsia="宋体" w:cs="宋体"/>
          <w:b/>
          <w:bCs/>
          <w:color w:val="auto"/>
          <w:spacing w:val="0"/>
          <w:w w:val="100"/>
          <w:position w:val="0"/>
          <w:sz w:val="28"/>
          <w:szCs w:val="28"/>
          <w:highlight w:val="none"/>
          <w:lang w:eastAsia="zh-CN"/>
        </w:rPr>
        <w:t>4. 评标表格和定标表格</w:t>
      </w:r>
      <w:bookmarkEnd w:id="261"/>
      <w:bookmarkEnd w:id="262"/>
      <w:bookmarkEnd w:id="263"/>
      <w:bookmarkEnd w:id="264"/>
      <w:bookmarkEnd w:id="265"/>
    </w:p>
    <w:p w14:paraId="6F08FBBB">
      <w:pPr>
        <w:keepNext w:val="0"/>
        <w:keepLines w:val="0"/>
        <w:pageBreakBefore w:val="0"/>
        <w:widowControl/>
        <w:kinsoku/>
        <w:wordWrap/>
        <w:overflowPunct/>
        <w:topLinePunct w:val="0"/>
        <w:autoSpaceDE w:val="0"/>
        <w:autoSpaceDN w:val="0"/>
        <w:bidi w:val="0"/>
        <w:adjustRightInd w:val="0"/>
        <w:snapToGrid w:val="0"/>
        <w:spacing w:line="360" w:lineRule="auto"/>
        <w:ind w:left="0" w:firstLine="400" w:firstLineChars="200"/>
        <w:textAlignment w:val="baseline"/>
        <w:rPr>
          <w:rFonts w:hint="default" w:ascii="宋体" w:hAnsi="宋体" w:eastAsia="宋体" w:cs="宋体"/>
          <w:color w:val="auto"/>
          <w:spacing w:val="0"/>
          <w:w w:val="100"/>
          <w:position w:val="0"/>
          <w:sz w:val="20"/>
          <w:szCs w:val="20"/>
          <w:highlight w:val="none"/>
          <w:lang w:val="en-US" w:eastAsia="zh-CN"/>
        </w:rPr>
      </w:pPr>
      <w:r>
        <w:rPr>
          <w:rFonts w:ascii="宋体" w:hAnsi="宋体" w:eastAsia="宋体" w:cs="宋体"/>
          <w:color w:val="auto"/>
          <w:spacing w:val="0"/>
          <w:w w:val="100"/>
          <w:position w:val="0"/>
          <w:sz w:val="20"/>
          <w:szCs w:val="20"/>
          <w:highlight w:val="none"/>
          <w:lang w:eastAsia="zh-CN"/>
        </w:rPr>
        <w:t>见后附表1-</w:t>
      </w:r>
      <w:r>
        <w:rPr>
          <w:rFonts w:hint="eastAsia" w:ascii="宋体" w:hAnsi="宋体" w:eastAsia="宋体" w:cs="宋体"/>
          <w:color w:val="auto"/>
          <w:spacing w:val="0"/>
          <w:w w:val="100"/>
          <w:position w:val="0"/>
          <w:sz w:val="20"/>
          <w:szCs w:val="20"/>
          <w:highlight w:val="none"/>
          <w:lang w:val="en-US" w:eastAsia="zh-CN"/>
        </w:rPr>
        <w:t>10</w:t>
      </w:r>
    </w:p>
    <w:p w14:paraId="6848EF19">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p>
    <w:p w14:paraId="15CB72B8">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p>
    <w:p w14:paraId="0576AB7D">
      <w:pPr>
        <w:keepNext w:val="0"/>
        <w:keepLines w:val="0"/>
        <w:pageBreakBefore w:val="0"/>
        <w:kinsoku/>
        <w:bidi w:val="0"/>
        <w:rPr>
          <w:color w:val="auto"/>
          <w:spacing w:val="0"/>
          <w:w w:val="100"/>
          <w:position w:val="0"/>
          <w:highlight w:val="none"/>
          <w:lang w:eastAsia="zh-CN"/>
        </w:rPr>
        <w:sectPr>
          <w:footerReference r:id="rId9" w:type="default"/>
          <w:pgSz w:w="11905" w:h="16838"/>
          <w:pgMar w:top="1417" w:right="1417" w:bottom="1417" w:left="1417" w:header="850" w:footer="992" w:gutter="0"/>
          <w:pgNumType w:fmt="decimal"/>
          <w:cols w:space="0" w:num="1"/>
          <w:rtlGutter w:val="0"/>
          <w:docGrid w:linePitch="0" w:charSpace="0"/>
        </w:sectPr>
      </w:pPr>
    </w:p>
    <w:p w14:paraId="51B5247C">
      <w:pPr>
        <w:keepNext w:val="0"/>
        <w:keepLines w:val="0"/>
        <w:pageBreakBefore w:val="0"/>
        <w:kinsoku/>
        <w:bidi w:val="0"/>
        <w:spacing w:before="98" w:line="219" w:lineRule="auto"/>
        <w:outlineLvl w:val="1"/>
        <w:rPr>
          <w:rFonts w:hint="default" w:ascii="宋体" w:hAnsi="宋体" w:eastAsia="宋体" w:cs="宋体"/>
          <w:color w:val="auto"/>
          <w:spacing w:val="0"/>
          <w:w w:val="100"/>
          <w:position w:val="0"/>
          <w:sz w:val="30"/>
          <w:szCs w:val="30"/>
          <w:highlight w:val="none"/>
          <w:lang w:val="en-US" w:eastAsia="zh-CN"/>
        </w:rPr>
      </w:pPr>
      <w:bookmarkStart w:id="266" w:name="_Toc16314"/>
      <w:bookmarkStart w:id="267" w:name="_Toc26896"/>
      <w:bookmarkStart w:id="268" w:name="_Toc4891"/>
      <w:bookmarkStart w:id="269" w:name="_Toc12210"/>
      <w:bookmarkStart w:id="270" w:name="_Toc14172"/>
      <w:r>
        <w:rPr>
          <w:rFonts w:ascii="宋体" w:hAnsi="宋体" w:eastAsia="宋体" w:cs="宋体"/>
          <w:b/>
          <w:bCs/>
          <w:color w:val="auto"/>
          <w:spacing w:val="0"/>
          <w:w w:val="100"/>
          <w:position w:val="0"/>
          <w:sz w:val="30"/>
          <w:szCs w:val="30"/>
          <w:highlight w:val="none"/>
          <w:lang w:eastAsia="zh-CN"/>
        </w:rPr>
        <w:t>附表1</w:t>
      </w:r>
      <w:r>
        <w:rPr>
          <w:rFonts w:hint="eastAsia" w:ascii="宋体" w:hAnsi="宋体" w:eastAsia="宋体" w:cs="宋体"/>
          <w:b/>
          <w:bCs/>
          <w:color w:val="auto"/>
          <w:spacing w:val="0"/>
          <w:w w:val="100"/>
          <w:position w:val="0"/>
          <w:sz w:val="30"/>
          <w:szCs w:val="30"/>
          <w:highlight w:val="none"/>
          <w:lang w:eastAsia="zh-CN"/>
        </w:rPr>
        <w:t>：评标阶段资格审查表</w:t>
      </w:r>
      <w:bookmarkEnd w:id="266"/>
      <w:bookmarkEnd w:id="267"/>
      <w:bookmarkEnd w:id="268"/>
      <w:bookmarkEnd w:id="269"/>
      <w:bookmarkEnd w:id="270"/>
    </w:p>
    <w:p w14:paraId="2D458E94">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ascii="宋体" w:hAnsi="宋体" w:eastAsia="宋体" w:cs="宋体"/>
          <w:color w:val="auto"/>
          <w:spacing w:val="0"/>
          <w:w w:val="100"/>
          <w:position w:val="0"/>
          <w:sz w:val="30"/>
          <w:szCs w:val="30"/>
          <w:highlight w:val="none"/>
          <w:lang w:eastAsia="zh-CN"/>
        </w:rPr>
      </w:pPr>
      <w:r>
        <w:rPr>
          <w:rFonts w:ascii="宋体" w:hAnsi="宋体" w:eastAsia="宋体" w:cs="宋体"/>
          <w:b/>
          <w:bCs/>
          <w:color w:val="auto"/>
          <w:spacing w:val="0"/>
          <w:w w:val="100"/>
          <w:position w:val="0"/>
          <w:sz w:val="30"/>
          <w:szCs w:val="30"/>
          <w:highlight w:val="none"/>
          <w:lang w:eastAsia="zh-CN"/>
        </w:rPr>
        <w:t>评标阶段资格审查表</w:t>
      </w:r>
    </w:p>
    <w:p w14:paraId="607B7BF6">
      <w:pPr>
        <w:keepNext w:val="0"/>
        <w:keepLines w:val="0"/>
        <w:pageBreakBefore w:val="0"/>
        <w:kinsoku/>
        <w:bidi w:val="0"/>
        <w:spacing w:before="154" w:line="214" w:lineRule="auto"/>
        <w:ind w:left="4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项目名称：</w:t>
      </w:r>
    </w:p>
    <w:tbl>
      <w:tblPr>
        <w:tblStyle w:val="19"/>
        <w:tblW w:w="14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1694"/>
        <w:gridCol w:w="586"/>
        <w:gridCol w:w="638"/>
        <w:gridCol w:w="774"/>
      </w:tblGrid>
      <w:tr w14:paraId="4875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blHeader/>
        </w:trPr>
        <w:tc>
          <w:tcPr>
            <w:tcW w:w="536" w:type="dxa"/>
            <w:vAlign w:val="center"/>
          </w:tcPr>
          <w:p w14:paraId="7C4F6F0B">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序号</w:t>
            </w:r>
          </w:p>
        </w:tc>
        <w:tc>
          <w:tcPr>
            <w:tcW w:w="11694" w:type="dxa"/>
            <w:vAlign w:val="center"/>
          </w:tcPr>
          <w:p w14:paraId="0E6401AB">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评审内容</w:t>
            </w:r>
          </w:p>
        </w:tc>
        <w:tc>
          <w:tcPr>
            <w:tcW w:w="586" w:type="dxa"/>
            <w:vAlign w:val="center"/>
          </w:tcPr>
          <w:p w14:paraId="2DA0BC96">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投标</w:t>
            </w:r>
          </w:p>
          <w:p w14:paraId="0A6F9A91">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人1</w:t>
            </w:r>
          </w:p>
        </w:tc>
        <w:tc>
          <w:tcPr>
            <w:tcW w:w="638" w:type="dxa"/>
            <w:vAlign w:val="center"/>
          </w:tcPr>
          <w:p w14:paraId="76895881">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投标人</w:t>
            </w:r>
          </w:p>
          <w:p w14:paraId="0E155709">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2</w:t>
            </w:r>
          </w:p>
        </w:tc>
        <w:tc>
          <w:tcPr>
            <w:tcW w:w="774" w:type="dxa"/>
            <w:vAlign w:val="center"/>
          </w:tcPr>
          <w:p w14:paraId="63B8A5A5">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投标</w:t>
            </w:r>
          </w:p>
          <w:p w14:paraId="3DB79FAE">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b/>
                <w:bCs/>
                <w:color w:val="auto"/>
                <w:spacing w:val="0"/>
                <w:w w:val="100"/>
                <w:position w:val="0"/>
                <w:sz w:val="18"/>
                <w:szCs w:val="18"/>
                <w:highlight w:val="none"/>
              </w:rPr>
              <w:t>人…</w:t>
            </w:r>
          </w:p>
        </w:tc>
      </w:tr>
      <w:tr w14:paraId="3AF3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65E9F4A7">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1</w:t>
            </w:r>
          </w:p>
        </w:tc>
        <w:tc>
          <w:tcPr>
            <w:tcW w:w="11694" w:type="dxa"/>
            <w:vAlign w:val="center"/>
          </w:tcPr>
          <w:p w14:paraId="5B5B8C4C">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投标人参加投标的意思表达清楚，投标人代表被授权有效。</w:t>
            </w:r>
          </w:p>
        </w:tc>
        <w:tc>
          <w:tcPr>
            <w:tcW w:w="586" w:type="dxa"/>
            <w:vAlign w:val="center"/>
          </w:tcPr>
          <w:p w14:paraId="6222337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51C959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44A2F73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3C00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224C47A1">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2</w:t>
            </w:r>
          </w:p>
        </w:tc>
        <w:tc>
          <w:tcPr>
            <w:tcW w:w="11694" w:type="dxa"/>
            <w:vAlign w:val="center"/>
          </w:tcPr>
          <w:p w14:paraId="6364A901">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投标人（若为联合体投标，指联合体各方）均具有独立法人资格，持有市场监督（工商行政）管理部门核发的法人营业执照或事业单位法人证书，按国家法律经营。</w:t>
            </w:r>
          </w:p>
        </w:tc>
        <w:tc>
          <w:tcPr>
            <w:tcW w:w="586" w:type="dxa"/>
            <w:vAlign w:val="center"/>
          </w:tcPr>
          <w:p w14:paraId="27B46A1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4F56252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36DC499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0DE8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6EA98922">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3</w:t>
            </w:r>
          </w:p>
        </w:tc>
        <w:tc>
          <w:tcPr>
            <w:tcW w:w="11694" w:type="dxa"/>
            <w:vAlign w:val="center"/>
          </w:tcPr>
          <w:p w14:paraId="78FED310">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投标人（若为联合体投标，指承担施工任务的单位）持有有效的建设行政主管部门颁发的安全生产许可证。</w:t>
            </w:r>
          </w:p>
        </w:tc>
        <w:tc>
          <w:tcPr>
            <w:tcW w:w="586" w:type="dxa"/>
            <w:vAlign w:val="center"/>
          </w:tcPr>
          <w:p w14:paraId="62F3F4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43F54E9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34D5ECC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43ED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2287EA23">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4</w:t>
            </w:r>
          </w:p>
        </w:tc>
        <w:tc>
          <w:tcPr>
            <w:tcW w:w="11694" w:type="dxa"/>
            <w:vAlign w:val="center"/>
          </w:tcPr>
          <w:p w14:paraId="532E0FC3">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投标人（若为联合体投标，指联合体各方）企业资质符合招标公告要求。</w:t>
            </w:r>
          </w:p>
        </w:tc>
        <w:tc>
          <w:tcPr>
            <w:tcW w:w="586" w:type="dxa"/>
            <w:vAlign w:val="center"/>
          </w:tcPr>
          <w:p w14:paraId="291F9DE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3CF8AC1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2AEF932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772EE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1B892FF1">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5</w:t>
            </w:r>
          </w:p>
        </w:tc>
        <w:tc>
          <w:tcPr>
            <w:tcW w:w="11694" w:type="dxa"/>
            <w:vAlign w:val="center"/>
          </w:tcPr>
          <w:p w14:paraId="7900E9DE">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投标人拟担任本项目的项目负责人（兼施工负责人）资格满足招标公告要求。</w:t>
            </w:r>
          </w:p>
        </w:tc>
        <w:tc>
          <w:tcPr>
            <w:tcW w:w="586" w:type="dxa"/>
            <w:vAlign w:val="center"/>
          </w:tcPr>
          <w:p w14:paraId="3318E82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D8E04D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2C5C978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2D40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5D8E9630">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6</w:t>
            </w:r>
          </w:p>
        </w:tc>
        <w:tc>
          <w:tcPr>
            <w:tcW w:w="11694" w:type="dxa"/>
            <w:vAlign w:val="center"/>
          </w:tcPr>
          <w:p w14:paraId="422488FA">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投标人拟担任本项目的设计负责人资格满足招标公告要求。</w:t>
            </w:r>
          </w:p>
        </w:tc>
        <w:tc>
          <w:tcPr>
            <w:tcW w:w="586" w:type="dxa"/>
            <w:vAlign w:val="center"/>
          </w:tcPr>
          <w:p w14:paraId="0EA7BAF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3BD190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1877212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5248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21A8241D">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7</w:t>
            </w:r>
          </w:p>
        </w:tc>
        <w:tc>
          <w:tcPr>
            <w:tcW w:w="11694" w:type="dxa"/>
            <w:vAlign w:val="center"/>
          </w:tcPr>
          <w:p w14:paraId="4A7E1F90">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投标人拟担任本项目的施工技术负责人资格满足招标公告要求。</w:t>
            </w:r>
          </w:p>
        </w:tc>
        <w:tc>
          <w:tcPr>
            <w:tcW w:w="586" w:type="dxa"/>
            <w:vAlign w:val="center"/>
          </w:tcPr>
          <w:p w14:paraId="638DA58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4C146A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4655527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5E55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46463A58">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8</w:t>
            </w:r>
          </w:p>
        </w:tc>
        <w:tc>
          <w:tcPr>
            <w:tcW w:w="11694" w:type="dxa"/>
            <w:vAlign w:val="center"/>
          </w:tcPr>
          <w:p w14:paraId="0F39179D">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投标人（若为联合体投标，由主办方提供）项目负责人（兼施工负责人）持有在有效期内的安全</w:t>
            </w:r>
            <w:r>
              <w:rPr>
                <w:rFonts w:hint="eastAsia"/>
                <w:color w:val="auto"/>
                <w:spacing w:val="0"/>
                <w:w w:val="100"/>
                <w:position w:val="0"/>
                <w:sz w:val="18"/>
                <w:szCs w:val="18"/>
                <w:highlight w:val="none"/>
                <w:lang w:val="en-US" w:eastAsia="zh-CN"/>
              </w:rPr>
              <w:t>生产</w:t>
            </w:r>
            <w:r>
              <w:rPr>
                <w:color w:val="auto"/>
                <w:spacing w:val="0"/>
                <w:w w:val="100"/>
                <w:position w:val="0"/>
                <w:sz w:val="18"/>
                <w:szCs w:val="18"/>
                <w:highlight w:val="none"/>
                <w:lang w:eastAsia="zh-CN"/>
              </w:rPr>
              <w:t>考核合格证（B类）或建筑施工企业项目负责人安全生产考核合格证书，项目负责人（兼施工负责人）和专职安全员不为同一人。</w:t>
            </w:r>
          </w:p>
        </w:tc>
        <w:tc>
          <w:tcPr>
            <w:tcW w:w="586" w:type="dxa"/>
            <w:vAlign w:val="center"/>
          </w:tcPr>
          <w:p w14:paraId="1C4BAD1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1E3D0B8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26EFF3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5D85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08FFE6D1">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r>
              <w:rPr>
                <w:color w:val="auto"/>
                <w:spacing w:val="0"/>
                <w:w w:val="100"/>
                <w:position w:val="0"/>
                <w:sz w:val="18"/>
                <w:szCs w:val="18"/>
                <w:highlight w:val="none"/>
              </w:rPr>
              <w:t>9</w:t>
            </w:r>
          </w:p>
        </w:tc>
        <w:tc>
          <w:tcPr>
            <w:tcW w:w="11694" w:type="dxa"/>
            <w:vAlign w:val="center"/>
          </w:tcPr>
          <w:p w14:paraId="5C4682B1">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lang w:eastAsia="zh-CN"/>
              </w:rPr>
              <w:t>投标人（若为联合体投标，指承担施工任务的主办方）专职安全员（若为联合体投标，指承担施工任务的单位提供）安全生产考核合格证（C类）或建筑施工企业专职安全生产管理人员安全生产考核合格证书（C3），项目负责人（兼施工负责人）和专职安全员不为同一人。</w:t>
            </w:r>
          </w:p>
        </w:tc>
        <w:tc>
          <w:tcPr>
            <w:tcW w:w="586" w:type="dxa"/>
            <w:vAlign w:val="center"/>
          </w:tcPr>
          <w:p w14:paraId="1810A4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194162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3921B76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4CE2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4CCA36EE">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10</w:t>
            </w:r>
          </w:p>
        </w:tc>
        <w:tc>
          <w:tcPr>
            <w:tcW w:w="11694" w:type="dxa"/>
            <w:shd w:val="clear" w:color="auto" w:fill="auto"/>
            <w:vAlign w:val="center"/>
          </w:tcPr>
          <w:p w14:paraId="49FF7299">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val="en-US" w:eastAsia="zh-CN"/>
              </w:rPr>
            </w:pPr>
            <w:r>
              <w:rPr>
                <w:color w:val="auto"/>
                <w:spacing w:val="0"/>
                <w:w w:val="100"/>
                <w:position w:val="0"/>
                <w:sz w:val="18"/>
                <w:szCs w:val="18"/>
                <w:highlight w:val="none"/>
                <w:lang w:eastAsia="zh-CN"/>
              </w:rPr>
              <w:t>投标人提供的《投标人声明》符合招标公告要求。</w:t>
            </w:r>
          </w:p>
        </w:tc>
        <w:tc>
          <w:tcPr>
            <w:tcW w:w="586" w:type="dxa"/>
            <w:vAlign w:val="center"/>
          </w:tcPr>
          <w:p w14:paraId="15A6843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48FDD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0B86CFE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226F4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5F3FAF66">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11</w:t>
            </w:r>
          </w:p>
        </w:tc>
        <w:tc>
          <w:tcPr>
            <w:tcW w:w="11694" w:type="dxa"/>
            <w:shd w:val="clear" w:color="auto" w:fill="auto"/>
            <w:vAlign w:val="center"/>
          </w:tcPr>
          <w:p w14:paraId="635C4648">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val="en-US" w:eastAsia="zh-CN"/>
              </w:rPr>
            </w:pPr>
            <w:r>
              <w:rPr>
                <w:color w:val="auto"/>
                <w:spacing w:val="0"/>
                <w:w w:val="100"/>
                <w:position w:val="0"/>
                <w:sz w:val="18"/>
                <w:szCs w:val="18"/>
                <w:highlight w:val="none"/>
                <w:lang w:eastAsia="zh-CN"/>
              </w:rPr>
              <w:t>联合体投标的提交联合体投标协议书，联合体组成符合招标公告要求。</w:t>
            </w:r>
          </w:p>
        </w:tc>
        <w:tc>
          <w:tcPr>
            <w:tcW w:w="586" w:type="dxa"/>
            <w:vAlign w:val="center"/>
          </w:tcPr>
          <w:p w14:paraId="14D2D0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391996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5FDC3F6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661D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15039F26">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12</w:t>
            </w:r>
          </w:p>
        </w:tc>
        <w:tc>
          <w:tcPr>
            <w:tcW w:w="11694" w:type="dxa"/>
            <w:shd w:val="clear" w:color="auto" w:fill="auto"/>
            <w:vAlign w:val="center"/>
          </w:tcPr>
          <w:p w14:paraId="12EDE96C">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资格审查前，投标人（含联合体各方）在广州市住建行业信用管理平台建立企业信用档案及拟担任本工程项目负责人、专职安全员须是本企业信息档案中的在册人员。企业信用档案取自投标截止时间投标人在广州市住建行业信用管理平台内的信息，投标人无需提交相关资料，若招标人延长递交投标文件截止时间的，信用档案信息的评审时点也相应延长。</w:t>
            </w:r>
          </w:p>
        </w:tc>
        <w:tc>
          <w:tcPr>
            <w:tcW w:w="586" w:type="dxa"/>
            <w:vAlign w:val="center"/>
          </w:tcPr>
          <w:p w14:paraId="0B30580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7A44135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12BD81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50EF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5302B471">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13</w:t>
            </w:r>
          </w:p>
        </w:tc>
        <w:tc>
          <w:tcPr>
            <w:tcW w:w="11694" w:type="dxa"/>
            <w:shd w:val="clear" w:color="auto" w:fill="auto"/>
            <w:vAlign w:val="center"/>
          </w:tcPr>
          <w:p w14:paraId="4860EF9C">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val="en-US" w:eastAsia="zh-CN"/>
              </w:rPr>
            </w:pPr>
            <w:r>
              <w:rPr>
                <w:color w:val="auto"/>
                <w:spacing w:val="0"/>
                <w:w w:val="100"/>
                <w:position w:val="0"/>
                <w:sz w:val="18"/>
                <w:szCs w:val="18"/>
                <w:highlight w:val="none"/>
                <w:lang w:eastAsia="zh-CN"/>
              </w:rPr>
              <w:t>投标人未出现以下情形：与其它投标人的单位负责人（如为联合体，含联合体中各单位负责人）为同一人或者存在控股、管理关系的（按投标人提供的《投标人声明》第</w:t>
            </w:r>
            <w:r>
              <w:rPr>
                <w:rFonts w:hint="eastAsia"/>
                <w:color w:val="auto"/>
                <w:spacing w:val="0"/>
                <w:w w:val="100"/>
                <w:position w:val="0"/>
                <w:sz w:val="18"/>
                <w:szCs w:val="18"/>
                <w:highlight w:val="none"/>
                <w:lang w:val="en-US" w:eastAsia="zh-CN"/>
              </w:rPr>
              <w:t>九</w:t>
            </w:r>
            <w:r>
              <w:rPr>
                <w:color w:val="auto"/>
                <w:spacing w:val="0"/>
                <w:w w:val="100"/>
                <w:position w:val="0"/>
                <w:sz w:val="18"/>
                <w:szCs w:val="18"/>
                <w:highlight w:val="none"/>
                <w:lang w:eastAsia="zh-CN"/>
              </w:rPr>
              <w:t>条内容进行评审）。如不同投标申请人出现单位负责人为同一人或者存在控股、管理关系的情形，则不得参加同一标段投标或者未划分标段的同一招标项目投标，否则均视其不符合投标人合格条件予以处理。（联合体内各成员之间不受本条限制）。</w:t>
            </w:r>
          </w:p>
        </w:tc>
        <w:tc>
          <w:tcPr>
            <w:tcW w:w="586" w:type="dxa"/>
            <w:vAlign w:val="center"/>
          </w:tcPr>
          <w:p w14:paraId="249550B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66C0981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20B4A01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5945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26819B72">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14</w:t>
            </w:r>
          </w:p>
        </w:tc>
        <w:tc>
          <w:tcPr>
            <w:tcW w:w="11694" w:type="dxa"/>
            <w:shd w:val="clear" w:color="auto" w:fill="auto"/>
            <w:vAlign w:val="center"/>
          </w:tcPr>
          <w:p w14:paraId="4E6F53AF">
            <w:pPr>
              <w:pStyle w:val="20"/>
              <w:keepNext w:val="0"/>
              <w:keepLines w:val="0"/>
              <w:pageBreakBefore w:val="0"/>
              <w:widowControl/>
              <w:kinsoku/>
              <w:wordWrap/>
              <w:overflowPunct/>
              <w:topLinePunct w:val="0"/>
              <w:autoSpaceDE w:val="0"/>
              <w:autoSpaceDN w:val="0"/>
              <w:bidi w:val="0"/>
              <w:adjustRightInd w:val="0"/>
              <w:snapToGrid w:val="0"/>
              <w:spacing w:line="240" w:lineRule="auto"/>
              <w:ind w:left="42" w:leftChars="20" w:right="0" w:firstLine="0"/>
              <w:jc w:val="both"/>
              <w:textAlignment w:val="baseline"/>
              <w:rPr>
                <w:color w:val="auto"/>
                <w:spacing w:val="0"/>
                <w:w w:val="100"/>
                <w:position w:val="0"/>
                <w:sz w:val="18"/>
                <w:szCs w:val="18"/>
                <w:highlight w:val="none"/>
                <w:lang w:val="en-US" w:eastAsia="zh-CN"/>
              </w:rPr>
            </w:pPr>
            <w:r>
              <w:rPr>
                <w:rFonts w:hint="eastAsia"/>
                <w:color w:val="auto"/>
                <w:spacing w:val="0"/>
                <w:w w:val="100"/>
                <w:position w:val="0"/>
                <w:sz w:val="18"/>
                <w:szCs w:val="18"/>
                <w:highlight w:val="none"/>
                <w:lang w:val="en-US" w:eastAsia="zh-CN"/>
              </w:rPr>
              <w:t>投标人（联合体各方）未被列入拖欠农民工工资失信联合惩戒对象名单和失信被执行人。（投标人无需提供资料，按投标截止时间交易系统比对的结果进行评审）。</w:t>
            </w:r>
          </w:p>
        </w:tc>
        <w:tc>
          <w:tcPr>
            <w:tcW w:w="586" w:type="dxa"/>
            <w:vAlign w:val="center"/>
          </w:tcPr>
          <w:p w14:paraId="4E58FC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367D59B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3F0CDA3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r w14:paraId="78FC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36" w:type="dxa"/>
            <w:vAlign w:val="center"/>
          </w:tcPr>
          <w:p w14:paraId="279F5008">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color w:val="auto"/>
                <w:spacing w:val="0"/>
                <w:w w:val="100"/>
                <w:position w:val="0"/>
                <w:sz w:val="18"/>
                <w:szCs w:val="18"/>
                <w:highlight w:val="none"/>
              </w:rPr>
            </w:pPr>
          </w:p>
        </w:tc>
        <w:tc>
          <w:tcPr>
            <w:tcW w:w="11694" w:type="dxa"/>
            <w:vAlign w:val="center"/>
          </w:tcPr>
          <w:p w14:paraId="0D60E08D">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r>
              <w:rPr>
                <w:color w:val="auto"/>
                <w:spacing w:val="0"/>
                <w:w w:val="100"/>
                <w:position w:val="0"/>
                <w:sz w:val="18"/>
                <w:szCs w:val="18"/>
                <w:highlight w:val="none"/>
              </w:rPr>
              <w:t>结论</w:t>
            </w:r>
          </w:p>
        </w:tc>
        <w:tc>
          <w:tcPr>
            <w:tcW w:w="586" w:type="dxa"/>
            <w:vAlign w:val="center"/>
          </w:tcPr>
          <w:p w14:paraId="1BD01DD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638" w:type="dxa"/>
            <w:vAlign w:val="center"/>
          </w:tcPr>
          <w:p w14:paraId="54DE8B2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c>
          <w:tcPr>
            <w:tcW w:w="774" w:type="dxa"/>
            <w:vAlign w:val="center"/>
          </w:tcPr>
          <w:p w14:paraId="241B518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color w:val="auto"/>
                <w:spacing w:val="0"/>
                <w:w w:val="100"/>
                <w:position w:val="0"/>
                <w:sz w:val="18"/>
                <w:szCs w:val="18"/>
                <w:highlight w:val="none"/>
                <w:lang w:eastAsia="zh-CN"/>
              </w:rPr>
            </w:pPr>
          </w:p>
        </w:tc>
      </w:tr>
    </w:tbl>
    <w:p w14:paraId="46818CA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备注：</w:t>
      </w:r>
    </w:p>
    <w:p w14:paraId="72FE464C">
      <w:pPr>
        <w:keepNext w:val="0"/>
        <w:keepLines w:val="0"/>
        <w:pageBreakBefore w:val="0"/>
        <w:widowControl/>
        <w:kinsoku/>
        <w:wordWrap/>
        <w:overflowPunct/>
        <w:topLinePunct w:val="0"/>
        <w:autoSpaceDE w:val="0"/>
        <w:autoSpaceDN w:val="0"/>
        <w:bidi w:val="0"/>
        <w:adjustRightInd w:val="0"/>
        <w:snapToGrid w:val="0"/>
        <w:spacing w:line="240" w:lineRule="auto"/>
        <w:ind w:left="551"/>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1.根据本表审查项目，符合的填“○”,不符合的填“×”,评审结论填“通过”或“不通过”。</w:t>
      </w:r>
    </w:p>
    <w:p w14:paraId="1FDBD689">
      <w:pPr>
        <w:keepNext w:val="0"/>
        <w:keepLines w:val="0"/>
        <w:pageBreakBefore w:val="0"/>
        <w:widowControl/>
        <w:kinsoku/>
        <w:wordWrap/>
        <w:overflowPunct/>
        <w:topLinePunct w:val="0"/>
        <w:autoSpaceDE w:val="0"/>
        <w:autoSpaceDN w:val="0"/>
        <w:bidi w:val="0"/>
        <w:adjustRightInd w:val="0"/>
        <w:snapToGrid w:val="0"/>
        <w:spacing w:line="240" w:lineRule="auto"/>
        <w:ind w:left="54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2.本表中出现一个（或以上）“×”,投标人的评审结论为“不通过”，即该投标人不进入下一阶段评审。</w:t>
      </w:r>
    </w:p>
    <w:p w14:paraId="4FC2023C">
      <w:pPr>
        <w:keepNext w:val="0"/>
        <w:keepLines w:val="0"/>
        <w:pageBreakBefore w:val="0"/>
        <w:widowControl/>
        <w:kinsoku/>
        <w:wordWrap/>
        <w:overflowPunct/>
        <w:topLinePunct w:val="0"/>
        <w:autoSpaceDE w:val="0"/>
        <w:autoSpaceDN w:val="0"/>
        <w:bidi w:val="0"/>
        <w:adjustRightInd w:val="0"/>
        <w:snapToGrid w:val="0"/>
        <w:spacing w:line="240" w:lineRule="auto"/>
        <w:ind w:left="541"/>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3.本表中评审项目全部为“○”,投标人的评审结论为“通过”，即该投标人进入下一阶段评审。</w:t>
      </w:r>
    </w:p>
    <w:p w14:paraId="60DCA80A">
      <w:pPr>
        <w:keepNext w:val="0"/>
        <w:keepLines w:val="0"/>
        <w:pageBreakBefore w:val="0"/>
        <w:widowControl/>
        <w:kinsoku/>
        <w:wordWrap/>
        <w:overflowPunct/>
        <w:topLinePunct w:val="0"/>
        <w:autoSpaceDE w:val="0"/>
        <w:autoSpaceDN w:val="0"/>
        <w:bidi w:val="0"/>
        <w:adjustRightInd w:val="0"/>
        <w:snapToGrid w:val="0"/>
        <w:spacing w:line="240" w:lineRule="auto"/>
        <w:ind w:left="537"/>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4.如对本表中某种情形的评审意见不一致时，以评审组过半数成员的意见作为评审组对该情形的认定结论。</w:t>
      </w:r>
    </w:p>
    <w:p w14:paraId="4EB2FB73">
      <w:pPr>
        <w:keepNext w:val="0"/>
        <w:keepLines w:val="0"/>
        <w:pageBreakBefore w:val="0"/>
        <w:widowControl/>
        <w:kinsoku/>
        <w:wordWrap/>
        <w:overflowPunct/>
        <w:topLinePunct w:val="0"/>
        <w:autoSpaceDE w:val="0"/>
        <w:autoSpaceDN w:val="0"/>
        <w:bidi w:val="0"/>
        <w:adjustRightInd w:val="0"/>
        <w:snapToGrid w:val="0"/>
        <w:spacing w:line="240" w:lineRule="auto"/>
        <w:ind w:firstLine="541"/>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44D5C15">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539"/>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评委签名：                                         日期：</w:t>
      </w:r>
    </w:p>
    <w:p w14:paraId="13BE186A">
      <w:pPr>
        <w:keepNext w:val="0"/>
        <w:keepLines w:val="0"/>
        <w:pageBreakBefore w:val="0"/>
        <w:kinsoku/>
        <w:bidi w:val="0"/>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br w:type="page"/>
      </w:r>
    </w:p>
    <w:p w14:paraId="2746C076">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271" w:name="_Toc20661"/>
      <w:bookmarkStart w:id="272" w:name="_Toc30289"/>
      <w:bookmarkStart w:id="273" w:name="_Toc32723"/>
      <w:bookmarkStart w:id="274" w:name="_Toc26274"/>
      <w:bookmarkStart w:id="275" w:name="_Toc29542"/>
      <w:r>
        <w:rPr>
          <w:rFonts w:hint="eastAsia" w:ascii="宋体" w:hAnsi="宋体" w:eastAsia="宋体" w:cs="宋体"/>
          <w:b/>
          <w:bCs/>
          <w:color w:val="auto"/>
          <w:spacing w:val="0"/>
          <w:w w:val="100"/>
          <w:position w:val="0"/>
          <w:sz w:val="30"/>
          <w:szCs w:val="30"/>
          <w:highlight w:val="none"/>
          <w:lang w:eastAsia="zh-CN"/>
        </w:rPr>
        <w:t>附表2：评标阶段设计方案投标文件有效性审查表</w:t>
      </w:r>
      <w:bookmarkEnd w:id="271"/>
      <w:bookmarkEnd w:id="272"/>
      <w:bookmarkEnd w:id="273"/>
      <w:bookmarkEnd w:id="274"/>
      <w:bookmarkEnd w:id="275"/>
    </w:p>
    <w:p w14:paraId="14C658FF">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hint="eastAsia" w:ascii="宋体" w:hAnsi="宋体" w:eastAsia="宋体" w:cs="宋体"/>
          <w:b/>
          <w:bCs/>
          <w:color w:val="auto"/>
          <w:spacing w:val="0"/>
          <w:w w:val="100"/>
          <w:position w:val="0"/>
          <w:sz w:val="30"/>
          <w:szCs w:val="30"/>
          <w:highlight w:val="none"/>
          <w:lang w:eastAsia="zh-CN"/>
        </w:rPr>
      </w:pPr>
      <w:r>
        <w:rPr>
          <w:rFonts w:hint="eastAsia" w:ascii="宋体" w:hAnsi="宋体" w:eastAsia="宋体" w:cs="宋体"/>
          <w:b/>
          <w:bCs/>
          <w:color w:val="auto"/>
          <w:spacing w:val="0"/>
          <w:w w:val="100"/>
          <w:position w:val="0"/>
          <w:sz w:val="30"/>
          <w:szCs w:val="30"/>
          <w:highlight w:val="none"/>
          <w:lang w:eastAsia="zh-CN"/>
        </w:rPr>
        <w:t>评标阶段设计方案投标文件有效性审查表</w:t>
      </w:r>
    </w:p>
    <w:p w14:paraId="50498668">
      <w:pPr>
        <w:keepNext w:val="0"/>
        <w:keepLines w:val="0"/>
        <w:pageBreakBefore w:val="0"/>
        <w:kinsoku/>
        <w:bidi w:val="0"/>
        <w:snapToGrid w:val="0"/>
        <w:ind w:firstLine="482"/>
        <w:rPr>
          <w:rFonts w:hint="eastAsia" w:asciiTheme="minorEastAsia" w:hAnsiTheme="minorEastAsia" w:eastAsiaTheme="minorEastAsia" w:cstheme="minorEastAsia"/>
          <w:b w:val="0"/>
          <w:bCs/>
          <w:color w:val="auto"/>
          <w:spacing w:val="0"/>
          <w:w w:val="100"/>
          <w:position w:val="0"/>
          <w:sz w:val="20"/>
          <w:szCs w:val="20"/>
          <w:highlight w:val="none"/>
        </w:rPr>
      </w:pPr>
      <w:r>
        <w:rPr>
          <w:rFonts w:hint="eastAsia" w:asciiTheme="minorEastAsia" w:hAnsiTheme="minorEastAsia" w:eastAsiaTheme="minorEastAsia" w:cstheme="minorEastAsia"/>
          <w:b w:val="0"/>
          <w:bCs/>
          <w:color w:val="auto"/>
          <w:spacing w:val="0"/>
          <w:w w:val="100"/>
          <w:position w:val="0"/>
          <w:sz w:val="20"/>
          <w:szCs w:val="20"/>
          <w:highlight w:val="none"/>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015"/>
        <w:gridCol w:w="1015"/>
        <w:gridCol w:w="1016"/>
        <w:gridCol w:w="1016"/>
        <w:gridCol w:w="1015"/>
        <w:gridCol w:w="1016"/>
        <w:gridCol w:w="1016"/>
      </w:tblGrid>
      <w:tr w14:paraId="1E65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05" w:type="dxa"/>
            <w:noWrap/>
            <w:vAlign w:val="center"/>
          </w:tcPr>
          <w:p w14:paraId="1A08F1A4">
            <w:pPr>
              <w:keepNext w:val="0"/>
              <w:keepLines w:val="0"/>
              <w:pageBreakBefore w:val="0"/>
              <w:kinsoku/>
              <w:bidi w:val="0"/>
              <w:snapToGrid w:val="0"/>
              <w:ind w:firstLine="0" w:firstLineChars="0"/>
              <w:jc w:val="center"/>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序号</w:t>
            </w:r>
          </w:p>
        </w:tc>
        <w:tc>
          <w:tcPr>
            <w:tcW w:w="7015" w:type="dxa"/>
            <w:tcBorders>
              <w:tl2br w:val="single" w:color="auto" w:sz="4" w:space="0"/>
            </w:tcBorders>
            <w:noWrap/>
            <w:vAlign w:val="center"/>
          </w:tcPr>
          <w:p w14:paraId="1846981B">
            <w:pPr>
              <w:keepNext w:val="0"/>
              <w:keepLines w:val="0"/>
              <w:pageBreakBefore w:val="0"/>
              <w:kinsoku/>
              <w:wordWrap w:val="0"/>
              <w:bidi w:val="0"/>
              <w:snapToGrid w:val="0"/>
              <w:ind w:left="552" w:leftChars="263" w:firstLine="1200" w:firstLineChars="600"/>
              <w:jc w:val="right"/>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方案编号</w:t>
            </w:r>
          </w:p>
          <w:p w14:paraId="40580E00">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审查项目</w:t>
            </w:r>
          </w:p>
        </w:tc>
        <w:tc>
          <w:tcPr>
            <w:tcW w:w="1015" w:type="dxa"/>
            <w:noWrap/>
            <w:vAlign w:val="top"/>
          </w:tcPr>
          <w:p w14:paraId="66596A4F">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528E5B32">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3E61ACF5">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2687A33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6DE46300">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0B193967">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r w14:paraId="3D9B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05" w:type="dxa"/>
            <w:noWrap/>
            <w:vAlign w:val="center"/>
          </w:tcPr>
          <w:p w14:paraId="6B3F4C1C">
            <w:pPr>
              <w:keepNext w:val="0"/>
              <w:keepLines w:val="0"/>
              <w:pageBreakBefore w:val="0"/>
              <w:kinsoku/>
              <w:bidi w:val="0"/>
              <w:snapToGrid w:val="0"/>
              <w:ind w:firstLine="0" w:firstLineChars="0"/>
              <w:jc w:val="center"/>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1</w:t>
            </w:r>
          </w:p>
        </w:tc>
        <w:tc>
          <w:tcPr>
            <w:tcW w:w="7015" w:type="dxa"/>
            <w:noWrap/>
            <w:vAlign w:val="center"/>
          </w:tcPr>
          <w:p w14:paraId="0F22327A">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投标人在</w:t>
            </w:r>
            <w:r>
              <w:rPr>
                <w:rFonts w:hint="eastAsia" w:asciiTheme="minorEastAsia" w:hAnsiTheme="minorEastAsia" w:eastAsiaTheme="minorEastAsia" w:cstheme="minorEastAsia"/>
                <w:color w:val="auto"/>
                <w:spacing w:val="0"/>
                <w:w w:val="100"/>
                <w:position w:val="0"/>
                <w:sz w:val="20"/>
                <w:szCs w:val="20"/>
                <w:highlight w:val="none"/>
                <w:u w:val="single"/>
              </w:rPr>
              <w:t>设计方案、计算机文件、展示图纸</w:t>
            </w:r>
            <w:r>
              <w:rPr>
                <w:rFonts w:hint="eastAsia" w:asciiTheme="minorEastAsia" w:hAnsiTheme="minorEastAsia" w:eastAsiaTheme="minorEastAsia" w:cstheme="minorEastAsia"/>
                <w:color w:val="auto"/>
                <w:spacing w:val="0"/>
                <w:w w:val="100"/>
                <w:position w:val="0"/>
                <w:sz w:val="20"/>
                <w:szCs w:val="20"/>
                <w:highlight w:val="none"/>
              </w:rPr>
              <w:t>内标注名称、印章、商标、图形等记认符号（或使人辨认出投标人或其专业技术人员的身份）的；</w:t>
            </w:r>
          </w:p>
        </w:tc>
        <w:tc>
          <w:tcPr>
            <w:tcW w:w="1015" w:type="dxa"/>
            <w:noWrap/>
            <w:vAlign w:val="top"/>
          </w:tcPr>
          <w:p w14:paraId="7115E2F0">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2ECF28F0">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73AAE57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13229C34">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78D3DEE7">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241D622A">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r w14:paraId="6A70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5" w:type="dxa"/>
            <w:noWrap/>
            <w:vAlign w:val="center"/>
          </w:tcPr>
          <w:p w14:paraId="7D231A96">
            <w:pPr>
              <w:keepNext w:val="0"/>
              <w:keepLines w:val="0"/>
              <w:pageBreakBefore w:val="0"/>
              <w:kinsoku/>
              <w:bidi w:val="0"/>
              <w:snapToGrid w:val="0"/>
              <w:ind w:firstLine="0" w:firstLineChars="0"/>
              <w:jc w:val="center"/>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2</w:t>
            </w:r>
          </w:p>
        </w:tc>
        <w:tc>
          <w:tcPr>
            <w:tcW w:w="7015" w:type="dxa"/>
            <w:noWrap/>
            <w:vAlign w:val="center"/>
          </w:tcPr>
          <w:p w14:paraId="35C2D213">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存在互相雷同和串通投标情形的（串通投标情形以《中华人民共和国招标投标法实施条例》的规定为准）；</w:t>
            </w:r>
          </w:p>
        </w:tc>
        <w:tc>
          <w:tcPr>
            <w:tcW w:w="1015" w:type="dxa"/>
            <w:noWrap/>
            <w:vAlign w:val="top"/>
          </w:tcPr>
          <w:p w14:paraId="7B3B910D">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1E81D78F">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4A0B7252">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7C22710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6E2A4D35">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702E4D38">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r w14:paraId="4DD7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5" w:type="dxa"/>
            <w:noWrap/>
            <w:vAlign w:val="center"/>
          </w:tcPr>
          <w:p w14:paraId="5CCCE034">
            <w:pPr>
              <w:keepNext w:val="0"/>
              <w:keepLines w:val="0"/>
              <w:pageBreakBefore w:val="0"/>
              <w:kinsoku/>
              <w:bidi w:val="0"/>
              <w:snapToGrid w:val="0"/>
              <w:ind w:firstLine="0" w:firstLineChars="0"/>
              <w:jc w:val="center"/>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3</w:t>
            </w:r>
          </w:p>
        </w:tc>
        <w:tc>
          <w:tcPr>
            <w:tcW w:w="7015" w:type="dxa"/>
            <w:noWrap/>
            <w:vAlign w:val="center"/>
          </w:tcPr>
          <w:p w14:paraId="7C760EF3">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lang w:eastAsia="zh-CN"/>
              </w:rPr>
              <w:t>（</w:t>
            </w:r>
            <w:r>
              <w:rPr>
                <w:rFonts w:hint="eastAsia" w:asciiTheme="minorEastAsia" w:hAnsiTheme="minorEastAsia" w:eastAsiaTheme="minorEastAsia" w:cstheme="minorEastAsia"/>
                <w:color w:val="auto"/>
                <w:spacing w:val="0"/>
                <w:w w:val="100"/>
                <w:position w:val="0"/>
                <w:sz w:val="20"/>
                <w:szCs w:val="20"/>
                <w:highlight w:val="none"/>
              </w:rPr>
              <w:t>除本项目公开的前期资料外</w:t>
            </w:r>
            <w:r>
              <w:rPr>
                <w:rFonts w:hint="eastAsia" w:asciiTheme="minorEastAsia" w:hAnsiTheme="minorEastAsia" w:eastAsiaTheme="minorEastAsia" w:cstheme="minorEastAsia"/>
                <w:color w:val="auto"/>
                <w:spacing w:val="0"/>
                <w:w w:val="100"/>
                <w:position w:val="0"/>
                <w:sz w:val="20"/>
                <w:szCs w:val="20"/>
                <w:highlight w:val="none"/>
                <w:lang w:eastAsia="zh-CN"/>
              </w:rPr>
              <w:t>）</w:t>
            </w:r>
            <w:r>
              <w:rPr>
                <w:rFonts w:hint="eastAsia" w:asciiTheme="minorEastAsia" w:hAnsiTheme="minorEastAsia" w:eastAsiaTheme="minorEastAsia" w:cstheme="minorEastAsia"/>
                <w:color w:val="auto"/>
                <w:spacing w:val="0"/>
                <w:w w:val="100"/>
                <w:position w:val="0"/>
                <w:sz w:val="20"/>
                <w:szCs w:val="20"/>
                <w:highlight w:val="none"/>
              </w:rPr>
              <w:t>存在明显抄袭行为的；</w:t>
            </w:r>
          </w:p>
        </w:tc>
        <w:tc>
          <w:tcPr>
            <w:tcW w:w="1015" w:type="dxa"/>
            <w:noWrap/>
            <w:vAlign w:val="top"/>
          </w:tcPr>
          <w:p w14:paraId="65FE849B">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40116FF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7E6ED916">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2DFE4038">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1DAD2347">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16BC8963">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r w14:paraId="1DDC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 w:type="dxa"/>
            <w:noWrap/>
            <w:vAlign w:val="center"/>
          </w:tcPr>
          <w:p w14:paraId="7F29A81E">
            <w:pPr>
              <w:keepNext w:val="0"/>
              <w:keepLines w:val="0"/>
              <w:pageBreakBefore w:val="0"/>
              <w:kinsoku/>
              <w:bidi w:val="0"/>
              <w:snapToGrid w:val="0"/>
              <w:ind w:firstLine="0" w:firstLineChars="0"/>
              <w:jc w:val="center"/>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4</w:t>
            </w:r>
          </w:p>
        </w:tc>
        <w:tc>
          <w:tcPr>
            <w:tcW w:w="7015" w:type="dxa"/>
            <w:noWrap/>
            <w:vAlign w:val="center"/>
          </w:tcPr>
          <w:p w14:paraId="2D7E7050">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lang w:eastAsia="zh-CN"/>
              </w:rPr>
              <w:t>（</w:t>
            </w:r>
            <w:r>
              <w:rPr>
                <w:rFonts w:hint="eastAsia" w:asciiTheme="minorEastAsia" w:hAnsiTheme="minorEastAsia" w:eastAsiaTheme="minorEastAsia" w:cstheme="minorEastAsia"/>
                <w:color w:val="auto"/>
                <w:spacing w:val="0"/>
                <w:w w:val="100"/>
                <w:position w:val="0"/>
                <w:sz w:val="20"/>
                <w:szCs w:val="20"/>
                <w:highlight w:val="none"/>
              </w:rPr>
              <w:t>除本项目公开的前期资料外</w:t>
            </w:r>
            <w:r>
              <w:rPr>
                <w:rFonts w:hint="eastAsia" w:asciiTheme="minorEastAsia" w:hAnsiTheme="minorEastAsia" w:eastAsiaTheme="minorEastAsia" w:cstheme="minorEastAsia"/>
                <w:color w:val="auto"/>
                <w:spacing w:val="0"/>
                <w:w w:val="100"/>
                <w:position w:val="0"/>
                <w:sz w:val="20"/>
                <w:szCs w:val="20"/>
                <w:highlight w:val="none"/>
                <w:lang w:eastAsia="zh-CN"/>
              </w:rPr>
              <w:t>）</w:t>
            </w:r>
            <w:r>
              <w:rPr>
                <w:rFonts w:hint="eastAsia" w:asciiTheme="minorEastAsia" w:hAnsiTheme="minorEastAsia" w:eastAsiaTheme="minorEastAsia" w:cstheme="minorEastAsia"/>
                <w:color w:val="auto"/>
                <w:spacing w:val="0"/>
                <w:w w:val="100"/>
                <w:position w:val="0"/>
                <w:sz w:val="20"/>
                <w:szCs w:val="20"/>
                <w:highlight w:val="none"/>
              </w:rPr>
              <w:t>存在侵犯他人著作权和特许权的；</w:t>
            </w:r>
          </w:p>
        </w:tc>
        <w:tc>
          <w:tcPr>
            <w:tcW w:w="1015" w:type="dxa"/>
            <w:noWrap/>
            <w:vAlign w:val="top"/>
          </w:tcPr>
          <w:p w14:paraId="1FF9EC78">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601FD52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511489FB">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152A80E7">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468C16CD">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4E709AE4">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r w14:paraId="22D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5" w:type="dxa"/>
            <w:noWrap/>
            <w:vAlign w:val="center"/>
          </w:tcPr>
          <w:p w14:paraId="2BE33B92">
            <w:pPr>
              <w:keepNext w:val="0"/>
              <w:keepLines w:val="0"/>
              <w:pageBreakBefore w:val="0"/>
              <w:kinsoku/>
              <w:bidi w:val="0"/>
              <w:snapToGrid w:val="0"/>
              <w:ind w:firstLine="0" w:firstLineChars="0"/>
              <w:jc w:val="center"/>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5</w:t>
            </w:r>
          </w:p>
        </w:tc>
        <w:tc>
          <w:tcPr>
            <w:tcW w:w="7015" w:type="dxa"/>
            <w:noWrap/>
            <w:vAlign w:val="center"/>
          </w:tcPr>
          <w:p w14:paraId="2C8C8A7E">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存在投标人与招标人、评标委员会成员或其他投标人串通投标情形的；</w:t>
            </w:r>
          </w:p>
        </w:tc>
        <w:tc>
          <w:tcPr>
            <w:tcW w:w="1015" w:type="dxa"/>
            <w:noWrap/>
            <w:vAlign w:val="top"/>
          </w:tcPr>
          <w:p w14:paraId="35ECD40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44E538BE">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22FE35BC">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61B3A4FE">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0F3EC79F">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5E488AD3">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r w14:paraId="2F2B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5" w:type="dxa"/>
            <w:noWrap/>
            <w:vAlign w:val="center"/>
          </w:tcPr>
          <w:p w14:paraId="79F1FD95">
            <w:pPr>
              <w:keepNext w:val="0"/>
              <w:keepLines w:val="0"/>
              <w:pageBreakBefore w:val="0"/>
              <w:kinsoku/>
              <w:bidi w:val="0"/>
              <w:snapToGrid w:val="0"/>
              <w:ind w:firstLine="0" w:firstLineChars="0"/>
              <w:jc w:val="both"/>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结论</w:t>
            </w:r>
          </w:p>
        </w:tc>
        <w:tc>
          <w:tcPr>
            <w:tcW w:w="7015" w:type="dxa"/>
            <w:noWrap/>
            <w:vAlign w:val="center"/>
          </w:tcPr>
          <w:p w14:paraId="5CAF1DFD">
            <w:pPr>
              <w:keepNext w:val="0"/>
              <w:keepLines w:val="0"/>
              <w:pageBreakBefore w:val="0"/>
              <w:kinsoku/>
              <w:bidi w:val="0"/>
              <w:snapToGrid w:val="0"/>
              <w:ind w:firstLine="0" w:firstLineChars="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结论（通过/不通过）</w:t>
            </w:r>
          </w:p>
        </w:tc>
        <w:tc>
          <w:tcPr>
            <w:tcW w:w="1015" w:type="dxa"/>
            <w:noWrap/>
            <w:vAlign w:val="top"/>
          </w:tcPr>
          <w:p w14:paraId="0028C0A2">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5D18E97E">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0A861726">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5" w:type="dxa"/>
            <w:noWrap/>
            <w:vAlign w:val="top"/>
          </w:tcPr>
          <w:p w14:paraId="13C0D825">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21412704">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c>
          <w:tcPr>
            <w:tcW w:w="1016" w:type="dxa"/>
            <w:noWrap/>
            <w:vAlign w:val="top"/>
          </w:tcPr>
          <w:p w14:paraId="1ABE5197">
            <w:pPr>
              <w:keepNext w:val="0"/>
              <w:keepLines w:val="0"/>
              <w:pageBreakBefore w:val="0"/>
              <w:kinsoku/>
              <w:bidi w:val="0"/>
              <w:snapToGrid w:val="0"/>
              <w:ind w:left="552" w:firstLine="360"/>
              <w:rPr>
                <w:rFonts w:hint="eastAsia" w:asciiTheme="minorEastAsia" w:hAnsiTheme="minorEastAsia" w:eastAsiaTheme="minorEastAsia" w:cstheme="minorEastAsia"/>
                <w:color w:val="auto"/>
                <w:spacing w:val="0"/>
                <w:w w:val="100"/>
                <w:position w:val="0"/>
                <w:sz w:val="20"/>
                <w:szCs w:val="20"/>
                <w:highlight w:val="none"/>
              </w:rPr>
            </w:pPr>
          </w:p>
        </w:tc>
      </w:tr>
    </w:tbl>
    <w:p w14:paraId="7C11955A">
      <w:pPr>
        <w:keepNext w:val="0"/>
        <w:keepLines w:val="0"/>
        <w:pageBreakBefore w:val="0"/>
        <w:widowControl/>
        <w:kinsoku/>
        <w:wordWrap/>
        <w:overflowPunct/>
        <w:topLinePunct w:val="0"/>
        <w:autoSpaceDE w:val="0"/>
        <w:autoSpaceDN w:val="0"/>
        <w:bidi w:val="0"/>
        <w:adjustRightInd w:val="0"/>
        <w:snapToGrid w:val="0"/>
        <w:spacing w:before="0" w:beforeLines="100" w:line="360" w:lineRule="auto"/>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注：1.凡出现以上任何一项情形，结论均为无效，否则为有效。有效的记“○”，无效的记“×”。全部审查项目均为有效的，结论为“是”，否则为“否”。</w:t>
      </w:r>
    </w:p>
    <w:p w14:paraId="035C0095">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2.如对本表中某种情形的评审意见不一致时，以评审组过半数成员的意见作为评审组对该情形的认定结论。</w:t>
      </w:r>
    </w:p>
    <w:p w14:paraId="5996A81D">
      <w:pPr>
        <w:keepNext w:val="0"/>
        <w:keepLines w:val="0"/>
        <w:pageBreakBefore w:val="0"/>
        <w:widowControl/>
        <w:kinsoku/>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评委签名：                     日期：</w:t>
      </w:r>
    </w:p>
    <w:p w14:paraId="686F887E">
      <w:pPr>
        <w:keepNext w:val="0"/>
        <w:keepLines w:val="0"/>
        <w:pageBreakBefore w:val="0"/>
        <w:kinsoku/>
        <w:bidi w:val="0"/>
        <w:rPr>
          <w:rFonts w:ascii="黑体" w:hAnsi="黑体" w:eastAsia="黑体" w:cs="黑体"/>
          <w:b/>
          <w:bCs/>
          <w:color w:val="auto"/>
          <w:spacing w:val="0"/>
          <w:w w:val="100"/>
          <w:position w:val="0"/>
          <w:sz w:val="28"/>
          <w:szCs w:val="28"/>
          <w:highlight w:val="none"/>
          <w:lang w:eastAsia="zh-CN"/>
        </w:rPr>
      </w:pPr>
      <w:r>
        <w:rPr>
          <w:rFonts w:ascii="黑体" w:hAnsi="黑体" w:eastAsia="黑体" w:cs="黑体"/>
          <w:b/>
          <w:bCs/>
          <w:color w:val="auto"/>
          <w:spacing w:val="0"/>
          <w:w w:val="100"/>
          <w:position w:val="0"/>
          <w:sz w:val="28"/>
          <w:szCs w:val="28"/>
          <w:highlight w:val="none"/>
          <w:lang w:eastAsia="zh-CN"/>
        </w:rPr>
        <w:br w:type="page"/>
      </w:r>
    </w:p>
    <w:p w14:paraId="522616C0">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276" w:name="_Toc20426"/>
      <w:bookmarkStart w:id="277" w:name="_Toc7851"/>
      <w:bookmarkStart w:id="278" w:name="_Toc3822"/>
      <w:bookmarkStart w:id="279" w:name="_Toc29505"/>
      <w:bookmarkStart w:id="280" w:name="_Toc2263"/>
      <w:r>
        <w:rPr>
          <w:rFonts w:hint="eastAsia" w:ascii="宋体" w:hAnsi="宋体" w:eastAsia="宋体" w:cs="宋体"/>
          <w:b/>
          <w:bCs/>
          <w:color w:val="auto"/>
          <w:spacing w:val="0"/>
          <w:w w:val="100"/>
          <w:position w:val="0"/>
          <w:sz w:val="30"/>
          <w:szCs w:val="30"/>
          <w:highlight w:val="none"/>
          <w:lang w:eastAsia="zh-CN"/>
        </w:rPr>
        <w:t>附表3：评标阶段工程总承包实施方案投标文件有效性审查表</w:t>
      </w:r>
      <w:bookmarkEnd w:id="276"/>
      <w:bookmarkEnd w:id="277"/>
      <w:bookmarkEnd w:id="278"/>
      <w:bookmarkEnd w:id="279"/>
      <w:bookmarkEnd w:id="280"/>
    </w:p>
    <w:p w14:paraId="269D1F6C">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ascii="宋体" w:hAnsi="宋体" w:eastAsia="宋体" w:cs="宋体"/>
          <w:b/>
          <w:bCs/>
          <w:color w:val="auto"/>
          <w:spacing w:val="0"/>
          <w:w w:val="100"/>
          <w:position w:val="0"/>
          <w:sz w:val="30"/>
          <w:szCs w:val="30"/>
          <w:highlight w:val="none"/>
          <w:lang w:eastAsia="zh-CN"/>
        </w:rPr>
      </w:pPr>
      <w:r>
        <w:rPr>
          <w:rFonts w:ascii="宋体" w:hAnsi="宋体" w:eastAsia="宋体" w:cs="宋体"/>
          <w:b/>
          <w:bCs/>
          <w:color w:val="auto"/>
          <w:spacing w:val="0"/>
          <w:w w:val="100"/>
          <w:position w:val="0"/>
          <w:sz w:val="30"/>
          <w:szCs w:val="30"/>
          <w:highlight w:val="none"/>
          <w:lang w:eastAsia="zh-CN"/>
        </w:rPr>
        <w:t>评标阶段工程总承包实施方案投标文件有效性审查表</w:t>
      </w:r>
    </w:p>
    <w:p w14:paraId="74CB44BA">
      <w:pPr>
        <w:keepNext w:val="0"/>
        <w:keepLines w:val="0"/>
        <w:pageBreakBefore w:val="0"/>
        <w:kinsoku/>
        <w:bidi w:val="0"/>
        <w:spacing w:before="179" w:line="228" w:lineRule="auto"/>
        <w:ind w:left="124"/>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项目名称：</w:t>
      </w:r>
    </w:p>
    <w:p w14:paraId="35189340">
      <w:pPr>
        <w:keepNext w:val="0"/>
        <w:keepLines w:val="0"/>
        <w:pageBreakBefore w:val="0"/>
        <w:kinsoku/>
        <w:bidi w:val="0"/>
        <w:spacing w:line="18" w:lineRule="exact"/>
        <w:rPr>
          <w:color w:val="auto"/>
          <w:spacing w:val="0"/>
          <w:w w:val="100"/>
          <w:position w:val="0"/>
          <w:highlight w:val="none"/>
        </w:rPr>
      </w:pPr>
    </w:p>
    <w:tbl>
      <w:tblPr>
        <w:tblStyle w:val="19"/>
        <w:tblW w:w="141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9644"/>
        <w:gridCol w:w="1228"/>
        <w:gridCol w:w="1228"/>
        <w:gridCol w:w="1229"/>
      </w:tblGrid>
      <w:tr w14:paraId="5620A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43" w:type="dxa"/>
          </w:tcPr>
          <w:p w14:paraId="0AD5C583">
            <w:pPr>
              <w:pStyle w:val="20"/>
              <w:keepNext w:val="0"/>
              <w:keepLines w:val="0"/>
              <w:pageBreakBefore w:val="0"/>
              <w:kinsoku/>
              <w:bidi w:val="0"/>
              <w:spacing w:before="182" w:line="229" w:lineRule="auto"/>
              <w:ind w:left="215"/>
              <w:rPr>
                <w:color w:val="auto"/>
                <w:spacing w:val="0"/>
                <w:w w:val="100"/>
                <w:position w:val="0"/>
                <w:highlight w:val="none"/>
              </w:rPr>
            </w:pPr>
            <w:r>
              <w:rPr>
                <w:b/>
                <w:bCs/>
                <w:color w:val="auto"/>
                <w:spacing w:val="0"/>
                <w:w w:val="100"/>
                <w:position w:val="0"/>
                <w:highlight w:val="none"/>
              </w:rPr>
              <w:t>序号</w:t>
            </w:r>
          </w:p>
        </w:tc>
        <w:tc>
          <w:tcPr>
            <w:tcW w:w="9644" w:type="dxa"/>
            <w:tcBorders>
              <w:tl2br w:val="single" w:color="000000" w:sz="4" w:space="0"/>
            </w:tcBorders>
          </w:tcPr>
          <w:p w14:paraId="4606DC1A">
            <w:pPr>
              <w:pStyle w:val="20"/>
              <w:keepNext w:val="0"/>
              <w:keepLines w:val="0"/>
              <w:pageBreakBefore w:val="0"/>
              <w:kinsoku/>
              <w:bidi w:val="0"/>
              <w:spacing w:before="36" w:line="228" w:lineRule="auto"/>
              <w:ind w:left="4944"/>
              <w:rPr>
                <w:color w:val="auto"/>
                <w:spacing w:val="0"/>
                <w:w w:val="100"/>
                <w:position w:val="0"/>
                <w:highlight w:val="none"/>
              </w:rPr>
            </w:pPr>
            <w:r>
              <w:rPr>
                <w:b/>
                <w:bCs/>
                <w:color w:val="auto"/>
                <w:spacing w:val="0"/>
                <w:w w:val="100"/>
                <w:position w:val="0"/>
                <w:highlight w:val="none"/>
              </w:rPr>
              <w:t>投标单位</w:t>
            </w:r>
          </w:p>
          <w:p w14:paraId="10369D0D">
            <w:pPr>
              <w:pStyle w:val="20"/>
              <w:keepNext w:val="0"/>
              <w:keepLines w:val="0"/>
              <w:pageBreakBefore w:val="0"/>
              <w:kinsoku/>
              <w:bidi w:val="0"/>
              <w:spacing w:before="23" w:line="228" w:lineRule="auto"/>
              <w:ind w:left="320"/>
              <w:rPr>
                <w:color w:val="auto"/>
                <w:spacing w:val="0"/>
                <w:w w:val="100"/>
                <w:position w:val="0"/>
                <w:highlight w:val="none"/>
              </w:rPr>
            </w:pPr>
            <w:r>
              <w:rPr>
                <w:b/>
                <w:bCs/>
                <w:color w:val="auto"/>
                <w:spacing w:val="0"/>
                <w:w w:val="100"/>
                <w:position w:val="0"/>
                <w:highlight w:val="none"/>
              </w:rPr>
              <w:t>评审内容</w:t>
            </w:r>
          </w:p>
        </w:tc>
        <w:tc>
          <w:tcPr>
            <w:tcW w:w="1228" w:type="dxa"/>
          </w:tcPr>
          <w:p w14:paraId="1A33B9C4">
            <w:pPr>
              <w:keepNext w:val="0"/>
              <w:keepLines w:val="0"/>
              <w:pageBreakBefore w:val="0"/>
              <w:kinsoku/>
              <w:bidi w:val="0"/>
              <w:rPr>
                <w:color w:val="auto"/>
                <w:spacing w:val="0"/>
                <w:w w:val="100"/>
                <w:position w:val="0"/>
                <w:highlight w:val="none"/>
              </w:rPr>
            </w:pPr>
          </w:p>
        </w:tc>
        <w:tc>
          <w:tcPr>
            <w:tcW w:w="1228" w:type="dxa"/>
          </w:tcPr>
          <w:p w14:paraId="4D6A56F7">
            <w:pPr>
              <w:keepNext w:val="0"/>
              <w:keepLines w:val="0"/>
              <w:pageBreakBefore w:val="0"/>
              <w:kinsoku/>
              <w:bidi w:val="0"/>
              <w:rPr>
                <w:color w:val="auto"/>
                <w:spacing w:val="0"/>
                <w:w w:val="100"/>
                <w:position w:val="0"/>
                <w:highlight w:val="none"/>
              </w:rPr>
            </w:pPr>
          </w:p>
        </w:tc>
        <w:tc>
          <w:tcPr>
            <w:tcW w:w="1229" w:type="dxa"/>
          </w:tcPr>
          <w:p w14:paraId="03971581">
            <w:pPr>
              <w:keepNext w:val="0"/>
              <w:keepLines w:val="0"/>
              <w:pageBreakBefore w:val="0"/>
              <w:kinsoku/>
              <w:bidi w:val="0"/>
              <w:rPr>
                <w:color w:val="auto"/>
                <w:spacing w:val="0"/>
                <w:w w:val="100"/>
                <w:position w:val="0"/>
                <w:highlight w:val="none"/>
              </w:rPr>
            </w:pPr>
          </w:p>
        </w:tc>
      </w:tr>
      <w:tr w14:paraId="0E6E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3E7A7B5D">
            <w:pPr>
              <w:pStyle w:val="20"/>
              <w:keepNext w:val="0"/>
              <w:keepLines w:val="0"/>
              <w:pageBreakBefore w:val="0"/>
              <w:kinsoku/>
              <w:bidi w:val="0"/>
              <w:spacing w:before="180" w:line="270" w:lineRule="exact"/>
              <w:ind w:left="390"/>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1</w:t>
            </w:r>
          </w:p>
        </w:tc>
        <w:tc>
          <w:tcPr>
            <w:tcW w:w="9644" w:type="dxa"/>
            <w:vAlign w:val="top"/>
          </w:tcPr>
          <w:p w14:paraId="7BDB7506">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《投标书》中</w:t>
            </w:r>
            <w:r>
              <w:rPr>
                <w:rFonts w:hint="eastAsia" w:asciiTheme="minorEastAsia" w:hAnsiTheme="minorEastAsia" w:eastAsiaTheme="minorEastAsia" w:cstheme="minorEastAsia"/>
                <w:color w:val="auto"/>
                <w:spacing w:val="0"/>
                <w:w w:val="100"/>
                <w:position w:val="0"/>
                <w:sz w:val="20"/>
                <w:szCs w:val="20"/>
                <w:highlight w:val="none"/>
                <w:lang w:val="en-US" w:eastAsia="zh-CN"/>
              </w:rPr>
              <w:t>总</w:t>
            </w:r>
            <w:r>
              <w:rPr>
                <w:rFonts w:hint="eastAsia" w:asciiTheme="minorEastAsia" w:hAnsiTheme="minorEastAsia" w:eastAsiaTheme="minorEastAsia" w:cstheme="minorEastAsia"/>
                <w:color w:val="auto"/>
                <w:spacing w:val="0"/>
                <w:w w:val="100"/>
                <w:position w:val="0"/>
                <w:sz w:val="20"/>
                <w:szCs w:val="20"/>
                <w:highlight w:val="none"/>
                <w:lang w:eastAsia="zh-CN"/>
              </w:rPr>
              <w:t>工期能满足完成投标项目</w:t>
            </w:r>
            <w:r>
              <w:rPr>
                <w:rFonts w:hint="eastAsia" w:asciiTheme="minorEastAsia" w:hAnsiTheme="minorEastAsia" w:eastAsiaTheme="minorEastAsia" w:cstheme="minorEastAsia"/>
                <w:color w:val="auto"/>
                <w:spacing w:val="0"/>
                <w:w w:val="100"/>
                <w:position w:val="0"/>
                <w:sz w:val="20"/>
                <w:szCs w:val="20"/>
                <w:highlight w:val="none"/>
                <w:lang w:val="en-US" w:eastAsia="zh-CN"/>
              </w:rPr>
              <w:t>总</w:t>
            </w:r>
            <w:r>
              <w:rPr>
                <w:rFonts w:hint="eastAsia" w:asciiTheme="minorEastAsia" w:hAnsiTheme="minorEastAsia" w:eastAsiaTheme="minorEastAsia" w:cstheme="minorEastAsia"/>
                <w:color w:val="auto"/>
                <w:spacing w:val="0"/>
                <w:w w:val="100"/>
                <w:position w:val="0"/>
                <w:sz w:val="20"/>
                <w:szCs w:val="20"/>
                <w:highlight w:val="none"/>
                <w:lang w:eastAsia="zh-CN"/>
              </w:rPr>
              <w:t>工期的。</w:t>
            </w:r>
          </w:p>
        </w:tc>
        <w:tc>
          <w:tcPr>
            <w:tcW w:w="1228" w:type="dxa"/>
            <w:vAlign w:val="top"/>
          </w:tcPr>
          <w:p w14:paraId="2D256A02">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0F6087E6">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054A4CBD">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5340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444C3607">
            <w:pPr>
              <w:pStyle w:val="20"/>
              <w:keepNext w:val="0"/>
              <w:keepLines w:val="0"/>
              <w:pageBreakBefore w:val="0"/>
              <w:kinsoku/>
              <w:bidi w:val="0"/>
              <w:spacing w:before="180" w:line="270" w:lineRule="exact"/>
              <w:ind w:left="377"/>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2</w:t>
            </w:r>
          </w:p>
        </w:tc>
        <w:tc>
          <w:tcPr>
            <w:tcW w:w="9644" w:type="dxa"/>
            <w:vAlign w:val="top"/>
          </w:tcPr>
          <w:p w14:paraId="3AC17732">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《投标书》中质量标准能满足完成投标项目质量标准的。</w:t>
            </w:r>
          </w:p>
        </w:tc>
        <w:tc>
          <w:tcPr>
            <w:tcW w:w="1228" w:type="dxa"/>
            <w:vAlign w:val="top"/>
          </w:tcPr>
          <w:p w14:paraId="2B068C09">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35370B10">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1BB03DD4">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73A4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08710B0C">
            <w:pPr>
              <w:pStyle w:val="20"/>
              <w:keepNext w:val="0"/>
              <w:keepLines w:val="0"/>
              <w:pageBreakBefore w:val="0"/>
              <w:kinsoku/>
              <w:bidi w:val="0"/>
              <w:spacing w:before="181" w:line="270" w:lineRule="exact"/>
              <w:ind w:left="374"/>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val="en-US" w:eastAsia="zh-CN"/>
              </w:rPr>
              <w:t>3</w:t>
            </w:r>
          </w:p>
        </w:tc>
        <w:tc>
          <w:tcPr>
            <w:tcW w:w="9644" w:type="dxa"/>
            <w:vAlign w:val="top"/>
          </w:tcPr>
          <w:p w14:paraId="73C18DE5">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投标人有按要求提供投标担保的。</w:t>
            </w:r>
          </w:p>
        </w:tc>
        <w:tc>
          <w:tcPr>
            <w:tcW w:w="1228" w:type="dxa"/>
            <w:vAlign w:val="top"/>
          </w:tcPr>
          <w:p w14:paraId="636D6F6B">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785844FE">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6D5BBE67">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7056B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07B42157">
            <w:pPr>
              <w:pStyle w:val="20"/>
              <w:keepNext w:val="0"/>
              <w:keepLines w:val="0"/>
              <w:pageBreakBefore w:val="0"/>
              <w:kinsoku/>
              <w:bidi w:val="0"/>
              <w:spacing w:before="181" w:line="269" w:lineRule="exact"/>
              <w:ind w:left="379"/>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val="en-US" w:eastAsia="zh-CN"/>
              </w:rPr>
              <w:t>4</w:t>
            </w:r>
          </w:p>
        </w:tc>
        <w:tc>
          <w:tcPr>
            <w:tcW w:w="9644" w:type="dxa"/>
            <w:vAlign w:val="top"/>
          </w:tcPr>
          <w:p w14:paraId="246FB54A">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val="en-US" w:eastAsia="zh-CN"/>
              </w:rPr>
              <w:t>投标文件</w:t>
            </w:r>
            <w:r>
              <w:rPr>
                <w:rFonts w:hint="eastAsia" w:asciiTheme="minorEastAsia" w:hAnsiTheme="minorEastAsia" w:eastAsiaTheme="minorEastAsia" w:cstheme="minorEastAsia"/>
                <w:color w:val="auto"/>
                <w:spacing w:val="0"/>
                <w:w w:val="100"/>
                <w:position w:val="0"/>
                <w:sz w:val="20"/>
                <w:szCs w:val="20"/>
                <w:highlight w:val="none"/>
                <w:lang w:eastAsia="zh-CN"/>
              </w:rPr>
              <w:t>按相应的格式4、格式</w:t>
            </w:r>
            <w:r>
              <w:rPr>
                <w:rFonts w:hint="eastAsia" w:asciiTheme="minorEastAsia" w:hAnsiTheme="minorEastAsia" w:eastAsiaTheme="minorEastAsia" w:cstheme="minorEastAsia"/>
                <w:color w:val="auto"/>
                <w:spacing w:val="0"/>
                <w:w w:val="100"/>
                <w:position w:val="0"/>
                <w:sz w:val="20"/>
                <w:szCs w:val="20"/>
                <w:highlight w:val="none"/>
                <w:lang w:val="en-US" w:eastAsia="zh-CN"/>
              </w:rPr>
              <w:t>6</w:t>
            </w:r>
            <w:r>
              <w:rPr>
                <w:rFonts w:hint="eastAsia" w:asciiTheme="minorEastAsia" w:hAnsiTheme="minorEastAsia" w:eastAsiaTheme="minorEastAsia" w:cstheme="minorEastAsia"/>
                <w:color w:val="auto"/>
                <w:spacing w:val="0"/>
                <w:w w:val="100"/>
                <w:position w:val="0"/>
                <w:sz w:val="20"/>
                <w:szCs w:val="20"/>
                <w:highlight w:val="none"/>
                <w:lang w:eastAsia="zh-CN"/>
              </w:rPr>
              <w:t>填写，主要内容全，关键字迹清晰、能辨认的。</w:t>
            </w:r>
          </w:p>
        </w:tc>
        <w:tc>
          <w:tcPr>
            <w:tcW w:w="1228" w:type="dxa"/>
            <w:vAlign w:val="top"/>
          </w:tcPr>
          <w:p w14:paraId="6C8A9193">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1AFFAF5D">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5DF7391B">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606D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496E5653">
            <w:pPr>
              <w:pStyle w:val="20"/>
              <w:keepNext w:val="0"/>
              <w:keepLines w:val="0"/>
              <w:pageBreakBefore w:val="0"/>
              <w:kinsoku/>
              <w:bidi w:val="0"/>
              <w:spacing w:before="183" w:line="268" w:lineRule="exact"/>
              <w:ind w:left="376"/>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val="en-US" w:eastAsia="zh-CN"/>
              </w:rPr>
              <w:t>5</w:t>
            </w:r>
          </w:p>
        </w:tc>
        <w:tc>
          <w:tcPr>
            <w:tcW w:w="9644" w:type="dxa"/>
            <w:vAlign w:val="top"/>
          </w:tcPr>
          <w:p w14:paraId="28F28AB1">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不存在串通投标情形（串通投标情形以《中华人民共和国招标投标法实施条例》的规定为准）。</w:t>
            </w:r>
          </w:p>
        </w:tc>
        <w:tc>
          <w:tcPr>
            <w:tcW w:w="1228" w:type="dxa"/>
            <w:vAlign w:val="top"/>
          </w:tcPr>
          <w:p w14:paraId="7BBF6849">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7910BD5D">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123D9AF0">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7CAC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6B11158B">
            <w:pPr>
              <w:pStyle w:val="20"/>
              <w:keepNext w:val="0"/>
              <w:keepLines w:val="0"/>
              <w:pageBreakBefore w:val="0"/>
              <w:kinsoku/>
              <w:bidi w:val="0"/>
              <w:spacing w:before="182" w:line="268" w:lineRule="exact"/>
              <w:ind w:left="380"/>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val="en-US" w:eastAsia="zh-CN"/>
              </w:rPr>
              <w:t>6</w:t>
            </w:r>
          </w:p>
        </w:tc>
        <w:tc>
          <w:tcPr>
            <w:tcW w:w="9644" w:type="dxa"/>
            <w:vAlign w:val="top"/>
          </w:tcPr>
          <w:p w14:paraId="09746FB5">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有《参与编制工程总承包实施方案投标文件人员名单》的。</w:t>
            </w:r>
          </w:p>
        </w:tc>
        <w:tc>
          <w:tcPr>
            <w:tcW w:w="1228" w:type="dxa"/>
            <w:vAlign w:val="top"/>
          </w:tcPr>
          <w:p w14:paraId="52EE301F">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16B8E60A">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4E5DB9C4">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0E25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7DF24E92">
            <w:pPr>
              <w:pStyle w:val="20"/>
              <w:keepNext w:val="0"/>
              <w:keepLines w:val="0"/>
              <w:pageBreakBefore w:val="0"/>
              <w:kinsoku/>
              <w:bidi w:val="0"/>
              <w:spacing w:before="183" w:line="268" w:lineRule="exact"/>
              <w:ind w:left="375"/>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val="en-US" w:eastAsia="zh-CN"/>
              </w:rPr>
              <w:t>7</w:t>
            </w:r>
          </w:p>
        </w:tc>
        <w:tc>
          <w:tcPr>
            <w:tcW w:w="9644" w:type="dxa"/>
            <w:vAlign w:val="top"/>
          </w:tcPr>
          <w:p w14:paraId="53BD2D5A">
            <w:pPr>
              <w:pStyle w:val="20"/>
              <w:keepNext w:val="0"/>
              <w:keepLines w:val="0"/>
              <w:pageBreakBefore w:val="0"/>
              <w:kinsoku/>
              <w:bidi w:val="0"/>
              <w:spacing w:before="180" w:line="227" w:lineRule="auto"/>
              <w:ind w:left="11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投标人与本项目其他投标人加密打包投标文件电脑机器特征码不一致（以广州公共资源交易中心评标系统的检索信息为准），如一致，其投标将被否决。</w:t>
            </w:r>
          </w:p>
        </w:tc>
        <w:tc>
          <w:tcPr>
            <w:tcW w:w="1228" w:type="dxa"/>
            <w:vAlign w:val="top"/>
          </w:tcPr>
          <w:p w14:paraId="1B81A858">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5823F8DB">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770ECEEF">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r w14:paraId="6056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Align w:val="top"/>
          </w:tcPr>
          <w:p w14:paraId="5423F91F">
            <w:pPr>
              <w:pStyle w:val="20"/>
              <w:keepNext w:val="0"/>
              <w:keepLines w:val="0"/>
              <w:pageBreakBefore w:val="0"/>
              <w:kinsoku/>
              <w:bidi w:val="0"/>
              <w:spacing w:before="183" w:line="229" w:lineRule="auto"/>
              <w:ind w:left="221"/>
              <w:rPr>
                <w:rFonts w:hint="eastAsia" w:asciiTheme="minorEastAsia" w:hAnsiTheme="minorEastAsia" w:eastAsiaTheme="minorEastAsia" w:cstheme="minorEastAsia"/>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结论</w:t>
            </w:r>
          </w:p>
        </w:tc>
        <w:tc>
          <w:tcPr>
            <w:tcW w:w="9644" w:type="dxa"/>
            <w:vAlign w:val="top"/>
          </w:tcPr>
          <w:p w14:paraId="0318FBD3">
            <w:pPr>
              <w:pStyle w:val="20"/>
              <w:keepNext w:val="0"/>
              <w:keepLines w:val="0"/>
              <w:pageBreakBefore w:val="0"/>
              <w:kinsoku/>
              <w:bidi w:val="0"/>
              <w:spacing w:before="183" w:line="228" w:lineRule="auto"/>
              <w:ind w:left="116"/>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是否通过并进入下一阶段评审（通过/不通过）</w:t>
            </w:r>
          </w:p>
        </w:tc>
        <w:tc>
          <w:tcPr>
            <w:tcW w:w="1228" w:type="dxa"/>
            <w:vAlign w:val="top"/>
          </w:tcPr>
          <w:p w14:paraId="70816DCB">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8" w:type="dxa"/>
            <w:vAlign w:val="top"/>
          </w:tcPr>
          <w:p w14:paraId="305E0208">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c>
          <w:tcPr>
            <w:tcW w:w="1229" w:type="dxa"/>
            <w:vAlign w:val="top"/>
          </w:tcPr>
          <w:p w14:paraId="2180AC13">
            <w:pPr>
              <w:keepNext w:val="0"/>
              <w:keepLines w:val="0"/>
              <w:pageBreakBefore w:val="0"/>
              <w:kinsoku/>
              <w:bidi w:val="0"/>
              <w:rPr>
                <w:rFonts w:hint="eastAsia" w:asciiTheme="minorEastAsia" w:hAnsiTheme="minorEastAsia" w:eastAsiaTheme="minorEastAsia" w:cstheme="minorEastAsia"/>
                <w:color w:val="auto"/>
                <w:spacing w:val="0"/>
                <w:w w:val="100"/>
                <w:position w:val="0"/>
                <w:sz w:val="20"/>
                <w:szCs w:val="20"/>
                <w:highlight w:val="none"/>
                <w:lang w:eastAsia="zh-CN"/>
              </w:rPr>
            </w:pPr>
          </w:p>
        </w:tc>
      </w:tr>
    </w:tbl>
    <w:p w14:paraId="34086156">
      <w:pPr>
        <w:keepNext w:val="0"/>
        <w:keepLines w:val="0"/>
        <w:pageBreakBefore w:val="0"/>
        <w:widowControl/>
        <w:kinsoku/>
        <w:wordWrap/>
        <w:overflowPunct/>
        <w:topLinePunct w:val="0"/>
        <w:autoSpaceDE w:val="0"/>
        <w:autoSpaceDN w:val="0"/>
        <w:bidi w:val="0"/>
        <w:adjustRightInd w:val="0"/>
        <w:snapToGrid w:val="0"/>
        <w:spacing w:line="240" w:lineRule="auto"/>
        <w:ind w:firstLine="200" w:firstLineChars="100"/>
        <w:textAlignment w:val="baseline"/>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注：1.每一项目符合有效的记“√”无效的记“×”,全部审查项目均为有效的，结论为“通过”否则为“不通过”。</w:t>
      </w:r>
    </w:p>
    <w:p w14:paraId="0BF07A2A">
      <w:pPr>
        <w:keepNext w:val="0"/>
        <w:keepLines w:val="0"/>
        <w:pageBreakBefore w:val="0"/>
        <w:widowControl/>
        <w:kinsoku/>
        <w:wordWrap/>
        <w:overflowPunct/>
        <w:topLinePunct w:val="0"/>
        <w:autoSpaceDE w:val="0"/>
        <w:autoSpaceDN w:val="0"/>
        <w:bidi w:val="0"/>
        <w:adjustRightInd w:val="0"/>
        <w:snapToGrid w:val="0"/>
        <w:spacing w:line="240" w:lineRule="auto"/>
        <w:ind w:firstLine="610" w:firstLineChars="305"/>
        <w:textAlignment w:val="baseline"/>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2.如对本表中某种情形的评审意见不一致时，以评审组过半数成员的意见作为评审组对该情形的认定结论。</w:t>
      </w:r>
    </w:p>
    <w:p w14:paraId="22D08639">
      <w:pPr>
        <w:keepNext w:val="0"/>
        <w:keepLines w:val="0"/>
        <w:pageBreakBefore w:val="0"/>
        <w:widowControl/>
        <w:kinsoku/>
        <w:wordWrap/>
        <w:overflowPunct/>
        <w:topLinePunct w:val="0"/>
        <w:autoSpaceDE w:val="0"/>
        <w:autoSpaceDN w:val="0"/>
        <w:bidi w:val="0"/>
        <w:adjustRightInd w:val="0"/>
        <w:snapToGrid w:val="0"/>
        <w:spacing w:line="240" w:lineRule="auto"/>
        <w:ind w:firstLine="610" w:firstLineChars="305"/>
        <w:textAlignment w:val="baseline"/>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3.资格审查资料按招标公告要求提供。</w:t>
      </w:r>
    </w:p>
    <w:p w14:paraId="501CF029">
      <w:pPr>
        <w:keepNext w:val="0"/>
        <w:keepLines w:val="0"/>
        <w:pageBreakBefore w:val="0"/>
        <w:widowControl/>
        <w:kinsoku/>
        <w:wordWrap/>
        <w:overflowPunct/>
        <w:topLinePunct w:val="0"/>
        <w:autoSpaceDE w:val="0"/>
        <w:autoSpaceDN w:val="0"/>
        <w:bidi w:val="0"/>
        <w:adjustRightInd w:val="0"/>
        <w:snapToGrid w:val="0"/>
        <w:spacing w:line="240" w:lineRule="auto"/>
        <w:ind w:firstLine="610" w:firstLineChars="305"/>
        <w:textAlignment w:val="baseline"/>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4E28B50">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610" w:firstLineChars="305"/>
        <w:textAlignment w:val="baseline"/>
        <w:rPr>
          <w:rFonts w:ascii="宋体" w:hAnsi="宋体" w:eastAsia="宋体" w:cs="宋体"/>
          <w:color w:val="auto"/>
          <w:spacing w:val="0"/>
          <w:w w:val="100"/>
          <w:position w:val="0"/>
          <w:sz w:val="20"/>
          <w:szCs w:val="20"/>
          <w:highlight w:val="none"/>
        </w:rPr>
      </w:pPr>
      <w:r>
        <w:rPr>
          <w:rFonts w:hint="eastAsia" w:asciiTheme="minorEastAsia" w:hAnsiTheme="minorEastAsia" w:eastAsiaTheme="minorEastAsia" w:cstheme="minorEastAsia"/>
          <w:color w:val="auto"/>
          <w:spacing w:val="0"/>
          <w:w w:val="100"/>
          <w:position w:val="0"/>
          <w:sz w:val="20"/>
          <w:szCs w:val="20"/>
          <w:highlight w:val="none"/>
        </w:rPr>
        <w:t>评委签名：                      日期：</w:t>
      </w:r>
    </w:p>
    <w:p w14:paraId="796D85B0">
      <w:pPr>
        <w:keepNext w:val="0"/>
        <w:keepLines w:val="0"/>
        <w:pageBreakBefore w:val="0"/>
        <w:kinsoku/>
        <w:bidi w:val="0"/>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br w:type="page"/>
      </w:r>
    </w:p>
    <w:p w14:paraId="4F3D0ADF">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281" w:name="_Toc15265"/>
      <w:bookmarkStart w:id="282" w:name="_Toc31585"/>
      <w:bookmarkStart w:id="283" w:name="_Toc16498"/>
      <w:bookmarkStart w:id="284" w:name="_Toc5626"/>
      <w:bookmarkStart w:id="285" w:name="_Toc1413"/>
      <w:r>
        <w:rPr>
          <w:rFonts w:hint="eastAsia" w:ascii="宋体" w:hAnsi="宋体" w:eastAsia="宋体" w:cs="宋体"/>
          <w:b/>
          <w:bCs/>
          <w:color w:val="auto"/>
          <w:spacing w:val="0"/>
          <w:w w:val="100"/>
          <w:position w:val="0"/>
          <w:sz w:val="30"/>
          <w:szCs w:val="30"/>
          <w:highlight w:val="none"/>
          <w:lang w:eastAsia="zh-CN"/>
        </w:rPr>
        <w:t>附表4：评标阶段经济标投标文件有效性审查表</w:t>
      </w:r>
      <w:bookmarkEnd w:id="281"/>
      <w:bookmarkEnd w:id="282"/>
      <w:bookmarkEnd w:id="283"/>
      <w:bookmarkEnd w:id="284"/>
      <w:bookmarkEnd w:id="285"/>
    </w:p>
    <w:p w14:paraId="5F4169E9">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ascii="宋体" w:hAnsi="宋体" w:eastAsia="宋体" w:cs="宋体"/>
          <w:b/>
          <w:bCs/>
          <w:color w:val="auto"/>
          <w:spacing w:val="0"/>
          <w:w w:val="100"/>
          <w:position w:val="0"/>
          <w:sz w:val="30"/>
          <w:szCs w:val="30"/>
          <w:highlight w:val="none"/>
          <w:lang w:eastAsia="zh-CN"/>
        </w:rPr>
      </w:pPr>
      <w:r>
        <w:rPr>
          <w:rFonts w:ascii="宋体" w:hAnsi="宋体" w:eastAsia="宋体" w:cs="宋体"/>
          <w:b/>
          <w:bCs/>
          <w:color w:val="auto"/>
          <w:spacing w:val="0"/>
          <w:w w:val="100"/>
          <w:position w:val="0"/>
          <w:sz w:val="30"/>
          <w:szCs w:val="30"/>
          <w:highlight w:val="none"/>
          <w:lang w:eastAsia="zh-CN"/>
        </w:rPr>
        <w:t>评标阶段经济标投标文件有效性审查表</w:t>
      </w:r>
    </w:p>
    <w:p w14:paraId="6B88F372">
      <w:pPr>
        <w:keepNext w:val="0"/>
        <w:keepLines w:val="0"/>
        <w:pageBreakBefore w:val="0"/>
        <w:kinsoku/>
        <w:bidi w:val="0"/>
        <w:spacing w:before="182" w:line="228" w:lineRule="auto"/>
        <w:ind w:left="10"/>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工程名称：</w:t>
      </w:r>
    </w:p>
    <w:p w14:paraId="7FF05A84">
      <w:pPr>
        <w:keepNext w:val="0"/>
        <w:keepLines w:val="0"/>
        <w:pageBreakBefore w:val="0"/>
        <w:kinsoku/>
        <w:bidi w:val="0"/>
        <w:spacing w:line="17" w:lineRule="exact"/>
        <w:rPr>
          <w:color w:val="auto"/>
          <w:spacing w:val="0"/>
          <w:w w:val="100"/>
          <w:position w:val="0"/>
          <w:highlight w:val="none"/>
        </w:rPr>
      </w:pPr>
    </w:p>
    <w:tbl>
      <w:tblPr>
        <w:tblStyle w:val="19"/>
        <w:tblW w:w="1432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9110"/>
        <w:gridCol w:w="513"/>
        <w:gridCol w:w="776"/>
        <w:gridCol w:w="776"/>
        <w:gridCol w:w="774"/>
        <w:gridCol w:w="774"/>
        <w:gridCol w:w="776"/>
      </w:tblGrid>
      <w:tr w14:paraId="67657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21" w:type="dxa"/>
            <w:tcBorders>
              <w:top w:val="single" w:color="000000" w:sz="2" w:space="0"/>
              <w:left w:val="single" w:color="000000" w:sz="2" w:space="0"/>
              <w:right w:val="single" w:color="000000" w:sz="2" w:space="0"/>
            </w:tcBorders>
            <w:vAlign w:val="center"/>
          </w:tcPr>
          <w:p w14:paraId="42CD6EC4">
            <w:pPr>
              <w:pStyle w:val="20"/>
              <w:keepNext w:val="0"/>
              <w:keepLines w:val="0"/>
              <w:pageBreakBefore w:val="0"/>
              <w:widowControl/>
              <w:kinsoku/>
              <w:wordWrap/>
              <w:overflowPunct/>
              <w:topLinePunct w:val="0"/>
              <w:autoSpaceDE w:val="0"/>
              <w:autoSpaceDN w:val="0"/>
              <w:bidi w:val="0"/>
              <w:adjustRightInd w:val="0"/>
              <w:snapToGrid w:val="0"/>
              <w:spacing w:line="240" w:lineRule="auto"/>
              <w:ind w:left="114"/>
              <w:jc w:val="center"/>
              <w:textAlignment w:val="baseline"/>
              <w:rPr>
                <w:color w:val="auto"/>
                <w:spacing w:val="0"/>
                <w:w w:val="100"/>
                <w:position w:val="0"/>
                <w:sz w:val="20"/>
                <w:szCs w:val="20"/>
                <w:highlight w:val="none"/>
              </w:rPr>
            </w:pPr>
            <w:r>
              <w:rPr>
                <w:color w:val="auto"/>
                <w:spacing w:val="0"/>
                <w:w w:val="100"/>
                <w:position w:val="0"/>
                <w:sz w:val="20"/>
                <w:szCs w:val="20"/>
                <w:highlight w:val="none"/>
              </w:rPr>
              <w:t>序号</w:t>
            </w:r>
          </w:p>
        </w:tc>
        <w:tc>
          <w:tcPr>
            <w:tcW w:w="9110" w:type="dxa"/>
            <w:tcBorders>
              <w:top w:val="single" w:color="000000" w:sz="2" w:space="0"/>
              <w:left w:val="single" w:color="000000" w:sz="2" w:space="0"/>
              <w:bottom w:val="single" w:color="000000" w:sz="2" w:space="0"/>
              <w:right w:val="single" w:color="000000" w:sz="2" w:space="0"/>
              <w:tl2br w:val="single" w:color="000000" w:sz="4" w:space="0"/>
            </w:tcBorders>
            <w:vAlign w:val="center"/>
          </w:tcPr>
          <w:p w14:paraId="5E1F35EF">
            <w:pPr>
              <w:pStyle w:val="20"/>
              <w:keepNext w:val="0"/>
              <w:keepLines w:val="0"/>
              <w:pageBreakBefore w:val="0"/>
              <w:widowControl/>
              <w:kinsoku/>
              <w:wordWrap/>
              <w:overflowPunct/>
              <w:topLinePunct w:val="0"/>
              <w:autoSpaceDE w:val="0"/>
              <w:autoSpaceDN w:val="0"/>
              <w:bidi w:val="0"/>
              <w:adjustRightInd w:val="0"/>
              <w:snapToGrid w:val="0"/>
              <w:spacing w:line="240" w:lineRule="auto"/>
              <w:ind w:left="7637"/>
              <w:jc w:val="center"/>
              <w:textAlignment w:val="baseline"/>
              <w:rPr>
                <w:color w:val="auto"/>
                <w:spacing w:val="0"/>
                <w:w w:val="100"/>
                <w:position w:val="0"/>
                <w:sz w:val="20"/>
                <w:szCs w:val="20"/>
                <w:highlight w:val="none"/>
              </w:rPr>
            </w:pPr>
            <w:r>
              <w:rPr>
                <w:color w:val="auto"/>
                <w:spacing w:val="0"/>
                <w:w w:val="100"/>
                <w:position w:val="0"/>
                <w:sz w:val="20"/>
                <w:szCs w:val="20"/>
                <w:highlight w:val="none"/>
              </w:rPr>
              <w:t>投标单位</w:t>
            </w:r>
          </w:p>
          <w:p w14:paraId="6E64FEC4">
            <w:pPr>
              <w:pStyle w:val="20"/>
              <w:keepNext w:val="0"/>
              <w:keepLines w:val="0"/>
              <w:pageBreakBefore w:val="0"/>
              <w:widowControl/>
              <w:kinsoku/>
              <w:wordWrap/>
              <w:overflowPunct/>
              <w:topLinePunct w:val="0"/>
              <w:autoSpaceDE w:val="0"/>
              <w:autoSpaceDN w:val="0"/>
              <w:bidi w:val="0"/>
              <w:adjustRightInd w:val="0"/>
              <w:snapToGrid w:val="0"/>
              <w:spacing w:line="240" w:lineRule="auto"/>
              <w:ind w:firstLine="200" w:firstLineChars="100"/>
              <w:jc w:val="both"/>
              <w:textAlignment w:val="baseline"/>
              <w:rPr>
                <w:color w:val="auto"/>
                <w:spacing w:val="0"/>
                <w:w w:val="100"/>
                <w:position w:val="0"/>
                <w:sz w:val="20"/>
                <w:szCs w:val="20"/>
                <w:highlight w:val="none"/>
              </w:rPr>
            </w:pPr>
            <w:r>
              <w:rPr>
                <w:color w:val="auto"/>
                <w:spacing w:val="0"/>
                <w:w w:val="100"/>
                <w:position w:val="0"/>
                <w:sz w:val="20"/>
                <w:szCs w:val="20"/>
                <w:highlight w:val="none"/>
              </w:rPr>
              <w:t>评审内容</w:t>
            </w:r>
          </w:p>
        </w:tc>
        <w:tc>
          <w:tcPr>
            <w:tcW w:w="513" w:type="dxa"/>
            <w:tcBorders>
              <w:top w:val="single" w:color="000000" w:sz="2" w:space="0"/>
              <w:left w:val="single" w:color="000000" w:sz="2" w:space="0"/>
            </w:tcBorders>
            <w:vAlign w:val="center"/>
          </w:tcPr>
          <w:p w14:paraId="338EA974">
            <w:pPr>
              <w:keepNext w:val="0"/>
              <w:keepLines w:val="0"/>
              <w:pageBreakBefore w:val="0"/>
              <w:kinsoku/>
              <w:bidi w:val="0"/>
              <w:jc w:val="center"/>
              <w:rPr>
                <w:color w:val="auto"/>
                <w:spacing w:val="0"/>
                <w:w w:val="100"/>
                <w:position w:val="0"/>
                <w:highlight w:val="none"/>
              </w:rPr>
            </w:pPr>
          </w:p>
        </w:tc>
        <w:tc>
          <w:tcPr>
            <w:tcW w:w="776" w:type="dxa"/>
            <w:tcBorders>
              <w:top w:val="single" w:color="000000" w:sz="2" w:space="0"/>
            </w:tcBorders>
            <w:vAlign w:val="center"/>
          </w:tcPr>
          <w:p w14:paraId="0307918C">
            <w:pPr>
              <w:keepNext w:val="0"/>
              <w:keepLines w:val="0"/>
              <w:pageBreakBefore w:val="0"/>
              <w:kinsoku/>
              <w:bidi w:val="0"/>
              <w:jc w:val="center"/>
              <w:rPr>
                <w:color w:val="auto"/>
                <w:spacing w:val="0"/>
                <w:w w:val="100"/>
                <w:position w:val="0"/>
                <w:highlight w:val="none"/>
              </w:rPr>
            </w:pPr>
          </w:p>
        </w:tc>
        <w:tc>
          <w:tcPr>
            <w:tcW w:w="776" w:type="dxa"/>
            <w:tcBorders>
              <w:top w:val="single" w:color="000000" w:sz="2" w:space="0"/>
            </w:tcBorders>
            <w:vAlign w:val="center"/>
          </w:tcPr>
          <w:p w14:paraId="5467697F">
            <w:pPr>
              <w:keepNext w:val="0"/>
              <w:keepLines w:val="0"/>
              <w:pageBreakBefore w:val="0"/>
              <w:kinsoku/>
              <w:bidi w:val="0"/>
              <w:jc w:val="center"/>
              <w:rPr>
                <w:color w:val="auto"/>
                <w:spacing w:val="0"/>
                <w:w w:val="100"/>
                <w:position w:val="0"/>
                <w:highlight w:val="none"/>
              </w:rPr>
            </w:pPr>
          </w:p>
        </w:tc>
        <w:tc>
          <w:tcPr>
            <w:tcW w:w="774" w:type="dxa"/>
            <w:tcBorders>
              <w:top w:val="single" w:color="000000" w:sz="2" w:space="0"/>
            </w:tcBorders>
            <w:vAlign w:val="center"/>
          </w:tcPr>
          <w:p w14:paraId="1E470B7A">
            <w:pPr>
              <w:keepNext w:val="0"/>
              <w:keepLines w:val="0"/>
              <w:pageBreakBefore w:val="0"/>
              <w:kinsoku/>
              <w:bidi w:val="0"/>
              <w:jc w:val="center"/>
              <w:rPr>
                <w:color w:val="auto"/>
                <w:spacing w:val="0"/>
                <w:w w:val="100"/>
                <w:position w:val="0"/>
                <w:highlight w:val="none"/>
              </w:rPr>
            </w:pPr>
          </w:p>
        </w:tc>
        <w:tc>
          <w:tcPr>
            <w:tcW w:w="774" w:type="dxa"/>
            <w:tcBorders>
              <w:top w:val="single" w:color="000000" w:sz="2" w:space="0"/>
            </w:tcBorders>
            <w:vAlign w:val="center"/>
          </w:tcPr>
          <w:p w14:paraId="269005BD">
            <w:pPr>
              <w:keepNext w:val="0"/>
              <w:keepLines w:val="0"/>
              <w:pageBreakBefore w:val="0"/>
              <w:kinsoku/>
              <w:bidi w:val="0"/>
              <w:jc w:val="center"/>
              <w:rPr>
                <w:color w:val="auto"/>
                <w:spacing w:val="0"/>
                <w:w w:val="100"/>
                <w:position w:val="0"/>
                <w:highlight w:val="none"/>
              </w:rPr>
            </w:pPr>
          </w:p>
        </w:tc>
        <w:tc>
          <w:tcPr>
            <w:tcW w:w="776" w:type="dxa"/>
            <w:tcBorders>
              <w:top w:val="single" w:color="000000" w:sz="2" w:space="0"/>
              <w:right w:val="single" w:color="000000" w:sz="2" w:space="0"/>
            </w:tcBorders>
            <w:vAlign w:val="center"/>
          </w:tcPr>
          <w:p w14:paraId="7E38E2E5">
            <w:pPr>
              <w:keepNext w:val="0"/>
              <w:keepLines w:val="0"/>
              <w:pageBreakBefore w:val="0"/>
              <w:kinsoku/>
              <w:bidi w:val="0"/>
              <w:jc w:val="center"/>
              <w:rPr>
                <w:color w:val="auto"/>
                <w:spacing w:val="0"/>
                <w:w w:val="100"/>
                <w:position w:val="0"/>
                <w:highlight w:val="none"/>
              </w:rPr>
            </w:pPr>
          </w:p>
        </w:tc>
      </w:tr>
      <w:tr w14:paraId="10DA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21" w:type="dxa"/>
            <w:tcBorders>
              <w:left w:val="single" w:color="000000" w:sz="2" w:space="0"/>
            </w:tcBorders>
            <w:vAlign w:val="center"/>
          </w:tcPr>
          <w:p w14:paraId="0EEC1711">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1</w:t>
            </w:r>
          </w:p>
        </w:tc>
        <w:tc>
          <w:tcPr>
            <w:tcW w:w="9110" w:type="dxa"/>
            <w:vAlign w:val="center"/>
          </w:tcPr>
          <w:p w14:paraId="123DB16F">
            <w:pPr>
              <w:pStyle w:val="20"/>
              <w:keepNext w:val="0"/>
              <w:keepLines w:val="0"/>
              <w:pageBreakBefore w:val="0"/>
              <w:widowControl/>
              <w:kinsoku/>
              <w:wordWrap/>
              <w:overflowPunct/>
              <w:topLinePunct w:val="0"/>
              <w:autoSpaceDE w:val="0"/>
              <w:autoSpaceDN w:val="0"/>
              <w:bidi w:val="0"/>
              <w:adjustRightInd w:val="0"/>
              <w:snapToGrid w:val="0"/>
              <w:spacing w:line="240" w:lineRule="auto"/>
              <w:ind w:left="110"/>
              <w:jc w:val="both"/>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对同一招标项目出现两个或以上的投标报价，且没有申明哪个有效；</w:t>
            </w:r>
          </w:p>
        </w:tc>
        <w:tc>
          <w:tcPr>
            <w:tcW w:w="513" w:type="dxa"/>
            <w:vAlign w:val="center"/>
          </w:tcPr>
          <w:p w14:paraId="63CCA306">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3C9703C2">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0877F682">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7D388235">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7BE8392A">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16E601A9">
            <w:pPr>
              <w:keepNext w:val="0"/>
              <w:keepLines w:val="0"/>
              <w:pageBreakBefore w:val="0"/>
              <w:kinsoku/>
              <w:bidi w:val="0"/>
              <w:jc w:val="center"/>
              <w:rPr>
                <w:color w:val="auto"/>
                <w:spacing w:val="0"/>
                <w:w w:val="100"/>
                <w:position w:val="0"/>
                <w:highlight w:val="none"/>
                <w:lang w:eastAsia="zh-CN"/>
              </w:rPr>
            </w:pPr>
          </w:p>
        </w:tc>
      </w:tr>
      <w:tr w14:paraId="4A8A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21" w:type="dxa"/>
            <w:tcBorders>
              <w:left w:val="single" w:color="000000" w:sz="2" w:space="0"/>
            </w:tcBorders>
            <w:vAlign w:val="center"/>
          </w:tcPr>
          <w:p w14:paraId="293585A5">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2</w:t>
            </w:r>
          </w:p>
        </w:tc>
        <w:tc>
          <w:tcPr>
            <w:tcW w:w="9110" w:type="dxa"/>
            <w:vAlign w:val="center"/>
          </w:tcPr>
          <w:p w14:paraId="0554DB0B">
            <w:pPr>
              <w:pStyle w:val="20"/>
              <w:keepNext w:val="0"/>
              <w:keepLines w:val="0"/>
              <w:pageBreakBefore w:val="0"/>
              <w:widowControl/>
              <w:kinsoku/>
              <w:wordWrap/>
              <w:overflowPunct/>
              <w:topLinePunct w:val="0"/>
              <w:autoSpaceDE w:val="0"/>
              <w:autoSpaceDN w:val="0"/>
              <w:bidi w:val="0"/>
              <w:adjustRightInd w:val="0"/>
              <w:snapToGrid w:val="0"/>
              <w:spacing w:line="240" w:lineRule="auto"/>
              <w:ind w:left="110"/>
              <w:jc w:val="both"/>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投标总报价高于最高投标限价的，或各分项的投标报价高于相应分项的最高投标限价的；</w:t>
            </w:r>
          </w:p>
        </w:tc>
        <w:tc>
          <w:tcPr>
            <w:tcW w:w="513" w:type="dxa"/>
            <w:vAlign w:val="center"/>
          </w:tcPr>
          <w:p w14:paraId="2363EF24">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4BDA101E">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07A93927">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02023004">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28F8A853">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665E4BB3">
            <w:pPr>
              <w:keepNext w:val="0"/>
              <w:keepLines w:val="0"/>
              <w:pageBreakBefore w:val="0"/>
              <w:kinsoku/>
              <w:bidi w:val="0"/>
              <w:jc w:val="center"/>
              <w:rPr>
                <w:color w:val="auto"/>
                <w:spacing w:val="0"/>
                <w:w w:val="100"/>
                <w:position w:val="0"/>
                <w:highlight w:val="none"/>
                <w:lang w:eastAsia="zh-CN"/>
              </w:rPr>
            </w:pPr>
          </w:p>
        </w:tc>
      </w:tr>
      <w:tr w14:paraId="70AE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821" w:type="dxa"/>
            <w:tcBorders>
              <w:left w:val="single" w:color="000000" w:sz="2" w:space="0"/>
            </w:tcBorders>
            <w:vAlign w:val="center"/>
          </w:tcPr>
          <w:p w14:paraId="2BD3F0F7">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3</w:t>
            </w:r>
          </w:p>
        </w:tc>
        <w:tc>
          <w:tcPr>
            <w:tcW w:w="9110" w:type="dxa"/>
            <w:vAlign w:val="center"/>
          </w:tcPr>
          <w:p w14:paraId="7CCFF451">
            <w:pPr>
              <w:pStyle w:val="20"/>
              <w:keepNext w:val="0"/>
              <w:keepLines w:val="0"/>
              <w:pageBreakBefore w:val="0"/>
              <w:widowControl/>
              <w:kinsoku/>
              <w:wordWrap/>
              <w:overflowPunct/>
              <w:topLinePunct w:val="0"/>
              <w:autoSpaceDE w:val="0"/>
              <w:autoSpaceDN w:val="0"/>
              <w:bidi w:val="0"/>
              <w:adjustRightInd w:val="0"/>
              <w:snapToGrid w:val="0"/>
              <w:spacing w:line="240" w:lineRule="auto"/>
              <w:ind w:left="110"/>
              <w:jc w:val="both"/>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投标报价低于企业成本的（</w:t>
            </w:r>
            <w:r>
              <w:rPr>
                <w:rFonts w:hint="eastAsia"/>
                <w:color w:val="auto"/>
                <w:spacing w:val="0"/>
                <w:w w:val="100"/>
                <w:position w:val="0"/>
                <w:sz w:val="20"/>
                <w:szCs w:val="20"/>
                <w:highlight w:val="none"/>
                <w:lang w:eastAsia="zh-CN"/>
              </w:rPr>
              <w:t>投标人的报价明显低于其他投标报价或者低于成本警戒价</w:t>
            </w:r>
            <w:r>
              <w:rPr>
                <w:color w:val="auto"/>
                <w:spacing w:val="0"/>
                <w:w w:val="100"/>
                <w:position w:val="0"/>
                <w:sz w:val="20"/>
                <w:szCs w:val="20"/>
                <w:highlight w:val="none"/>
                <w:lang w:eastAsia="zh-CN"/>
              </w:rPr>
              <w:t>，使得其投标报价可能低于其个别成本，</w:t>
            </w:r>
            <w:r>
              <w:rPr>
                <w:rFonts w:hint="eastAsia"/>
                <w:color w:val="auto"/>
                <w:spacing w:val="0"/>
                <w:w w:val="100"/>
                <w:position w:val="0"/>
                <w:sz w:val="20"/>
                <w:szCs w:val="20"/>
                <w:highlight w:val="none"/>
                <w:lang w:eastAsia="zh-CN"/>
              </w:rPr>
              <w:t>并且投标人不能合理说明或者不能提供相关证明材料的，由评标委员会认定该投标人以低于成本报价竞标</w:t>
            </w:r>
            <w:r>
              <w:rPr>
                <w:color w:val="auto"/>
                <w:spacing w:val="0"/>
                <w:w w:val="100"/>
                <w:position w:val="0"/>
                <w:sz w:val="20"/>
                <w:szCs w:val="20"/>
                <w:highlight w:val="none"/>
                <w:lang w:eastAsia="zh-CN"/>
              </w:rPr>
              <w:t>）；</w:t>
            </w:r>
          </w:p>
        </w:tc>
        <w:tc>
          <w:tcPr>
            <w:tcW w:w="513" w:type="dxa"/>
            <w:vAlign w:val="center"/>
          </w:tcPr>
          <w:p w14:paraId="50DCB74B">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3E70996E">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00BADAFF">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1B70076F">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33D9F9E7">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4C54EA52">
            <w:pPr>
              <w:keepNext w:val="0"/>
              <w:keepLines w:val="0"/>
              <w:pageBreakBefore w:val="0"/>
              <w:kinsoku/>
              <w:bidi w:val="0"/>
              <w:jc w:val="center"/>
              <w:rPr>
                <w:color w:val="auto"/>
                <w:spacing w:val="0"/>
                <w:w w:val="100"/>
                <w:position w:val="0"/>
                <w:highlight w:val="none"/>
                <w:lang w:eastAsia="zh-CN"/>
              </w:rPr>
            </w:pPr>
          </w:p>
        </w:tc>
      </w:tr>
      <w:tr w14:paraId="0331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21" w:type="dxa"/>
            <w:tcBorders>
              <w:left w:val="single" w:color="000000" w:sz="2" w:space="0"/>
            </w:tcBorders>
            <w:vAlign w:val="center"/>
          </w:tcPr>
          <w:p w14:paraId="661B39B5">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4</w:t>
            </w:r>
          </w:p>
        </w:tc>
        <w:tc>
          <w:tcPr>
            <w:tcW w:w="9110" w:type="dxa"/>
            <w:vAlign w:val="center"/>
          </w:tcPr>
          <w:p w14:paraId="3D81CCDD">
            <w:pPr>
              <w:pStyle w:val="20"/>
              <w:keepNext w:val="0"/>
              <w:keepLines w:val="0"/>
              <w:pageBreakBefore w:val="0"/>
              <w:widowControl/>
              <w:kinsoku/>
              <w:wordWrap/>
              <w:overflowPunct/>
              <w:topLinePunct w:val="0"/>
              <w:autoSpaceDE w:val="0"/>
              <w:autoSpaceDN w:val="0"/>
              <w:bidi w:val="0"/>
              <w:adjustRightInd w:val="0"/>
              <w:snapToGrid w:val="0"/>
              <w:spacing w:line="240" w:lineRule="auto"/>
              <w:ind w:left="110"/>
              <w:jc w:val="both"/>
              <w:textAlignment w:val="baseline"/>
              <w:rPr>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投标文件</w:t>
            </w:r>
            <w:r>
              <w:rPr>
                <w:color w:val="auto"/>
                <w:spacing w:val="0"/>
                <w:w w:val="100"/>
                <w:position w:val="0"/>
                <w:sz w:val="20"/>
                <w:szCs w:val="20"/>
                <w:highlight w:val="none"/>
                <w:lang w:eastAsia="zh-CN"/>
              </w:rPr>
              <w:t>未</w:t>
            </w:r>
            <w:r>
              <w:rPr>
                <w:rFonts w:hint="eastAsia" w:asciiTheme="minorEastAsia" w:hAnsiTheme="minorEastAsia" w:eastAsiaTheme="minorEastAsia" w:cstheme="minorEastAsia"/>
                <w:color w:val="auto"/>
                <w:spacing w:val="0"/>
                <w:w w:val="100"/>
                <w:position w:val="0"/>
                <w:sz w:val="20"/>
                <w:szCs w:val="20"/>
                <w:highlight w:val="none"/>
                <w:lang w:eastAsia="zh-CN"/>
              </w:rPr>
              <w:t>按相应的格式</w:t>
            </w:r>
            <w:r>
              <w:rPr>
                <w:rFonts w:hint="eastAsia" w:asciiTheme="minorEastAsia" w:hAnsiTheme="minorEastAsia" w:eastAsiaTheme="minorEastAsia" w:cstheme="minorEastAsia"/>
                <w:color w:val="auto"/>
                <w:spacing w:val="0"/>
                <w:w w:val="100"/>
                <w:position w:val="0"/>
                <w:sz w:val="20"/>
                <w:szCs w:val="20"/>
                <w:highlight w:val="none"/>
                <w:lang w:val="en-US" w:eastAsia="zh-CN"/>
              </w:rPr>
              <w:t>1</w:t>
            </w:r>
            <w:r>
              <w:rPr>
                <w:rFonts w:hint="eastAsia" w:asciiTheme="minorEastAsia" w:hAnsiTheme="minorEastAsia" w:eastAsiaTheme="minorEastAsia" w:cstheme="minorEastAsia"/>
                <w:color w:val="auto"/>
                <w:spacing w:val="0"/>
                <w:w w:val="100"/>
                <w:position w:val="0"/>
                <w:sz w:val="20"/>
                <w:szCs w:val="20"/>
                <w:highlight w:val="none"/>
                <w:lang w:eastAsia="zh-CN"/>
              </w:rPr>
              <w:t>、格式</w:t>
            </w:r>
            <w:r>
              <w:rPr>
                <w:rFonts w:hint="eastAsia" w:asciiTheme="minorEastAsia" w:hAnsiTheme="minorEastAsia" w:eastAsiaTheme="minorEastAsia" w:cstheme="minorEastAsia"/>
                <w:color w:val="auto"/>
                <w:spacing w:val="0"/>
                <w:w w:val="100"/>
                <w:position w:val="0"/>
                <w:sz w:val="20"/>
                <w:szCs w:val="20"/>
                <w:highlight w:val="none"/>
                <w:lang w:val="en-US" w:eastAsia="zh-CN"/>
              </w:rPr>
              <w:t>7</w:t>
            </w:r>
            <w:r>
              <w:rPr>
                <w:rFonts w:hint="eastAsia" w:asciiTheme="minorEastAsia" w:hAnsiTheme="minorEastAsia" w:eastAsiaTheme="minorEastAsia" w:cstheme="minorEastAsia"/>
                <w:color w:val="auto"/>
                <w:spacing w:val="0"/>
                <w:w w:val="100"/>
                <w:position w:val="0"/>
                <w:sz w:val="20"/>
                <w:szCs w:val="20"/>
                <w:highlight w:val="none"/>
                <w:lang w:eastAsia="zh-CN"/>
              </w:rPr>
              <w:t>填写</w:t>
            </w:r>
            <w:r>
              <w:rPr>
                <w:color w:val="auto"/>
                <w:spacing w:val="0"/>
                <w:w w:val="100"/>
                <w:position w:val="0"/>
                <w:sz w:val="20"/>
                <w:szCs w:val="20"/>
                <w:highlight w:val="none"/>
                <w:lang w:eastAsia="zh-CN"/>
              </w:rPr>
              <w:t>，或主要内容不全，或关键字迹模糊、无法辨认的；</w:t>
            </w:r>
          </w:p>
        </w:tc>
        <w:tc>
          <w:tcPr>
            <w:tcW w:w="513" w:type="dxa"/>
            <w:vAlign w:val="center"/>
          </w:tcPr>
          <w:p w14:paraId="379D1AA5">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2113F60C">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15D2F67D">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5946E1DD">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0F53CDEE">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1D0FD37E">
            <w:pPr>
              <w:keepNext w:val="0"/>
              <w:keepLines w:val="0"/>
              <w:pageBreakBefore w:val="0"/>
              <w:kinsoku/>
              <w:bidi w:val="0"/>
              <w:jc w:val="center"/>
              <w:rPr>
                <w:color w:val="auto"/>
                <w:spacing w:val="0"/>
                <w:w w:val="100"/>
                <w:position w:val="0"/>
                <w:highlight w:val="none"/>
                <w:lang w:eastAsia="zh-CN"/>
              </w:rPr>
            </w:pPr>
          </w:p>
        </w:tc>
      </w:tr>
      <w:tr w14:paraId="0332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21" w:type="dxa"/>
            <w:tcBorders>
              <w:left w:val="single" w:color="000000" w:sz="2" w:space="0"/>
            </w:tcBorders>
            <w:vAlign w:val="center"/>
          </w:tcPr>
          <w:p w14:paraId="155C7858">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5</w:t>
            </w:r>
          </w:p>
        </w:tc>
        <w:tc>
          <w:tcPr>
            <w:tcW w:w="9110" w:type="dxa"/>
            <w:vAlign w:val="center"/>
          </w:tcPr>
          <w:p w14:paraId="178184F7">
            <w:pPr>
              <w:pStyle w:val="20"/>
              <w:keepNext w:val="0"/>
              <w:keepLines w:val="0"/>
              <w:pageBreakBefore w:val="0"/>
              <w:widowControl/>
              <w:kinsoku/>
              <w:wordWrap/>
              <w:overflowPunct/>
              <w:topLinePunct w:val="0"/>
              <w:autoSpaceDE w:val="0"/>
              <w:autoSpaceDN w:val="0"/>
              <w:bidi w:val="0"/>
              <w:adjustRightInd w:val="0"/>
              <w:snapToGrid w:val="0"/>
              <w:spacing w:line="240" w:lineRule="auto"/>
              <w:ind w:left="110"/>
              <w:jc w:val="both"/>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存在串通投标情形（串通投标情形以《中华人民共和国招标投标法实施条例》第四十条为准）；</w:t>
            </w:r>
          </w:p>
        </w:tc>
        <w:tc>
          <w:tcPr>
            <w:tcW w:w="513" w:type="dxa"/>
            <w:vAlign w:val="center"/>
          </w:tcPr>
          <w:p w14:paraId="5ED6BCAA">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6F10A3CA">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6C687B02">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7F43FB07">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6E022CC2">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647BF9FF">
            <w:pPr>
              <w:keepNext w:val="0"/>
              <w:keepLines w:val="0"/>
              <w:pageBreakBefore w:val="0"/>
              <w:kinsoku/>
              <w:bidi w:val="0"/>
              <w:jc w:val="center"/>
              <w:rPr>
                <w:color w:val="auto"/>
                <w:spacing w:val="0"/>
                <w:w w:val="100"/>
                <w:position w:val="0"/>
                <w:highlight w:val="none"/>
                <w:lang w:eastAsia="zh-CN"/>
              </w:rPr>
            </w:pPr>
          </w:p>
        </w:tc>
      </w:tr>
      <w:tr w14:paraId="7668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21" w:type="dxa"/>
            <w:tcBorders>
              <w:left w:val="single" w:color="000000" w:sz="2" w:space="0"/>
            </w:tcBorders>
            <w:vAlign w:val="center"/>
          </w:tcPr>
          <w:p w14:paraId="47FD3F8A">
            <w:pPr>
              <w:pStyle w:val="20"/>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pacing w:val="0"/>
                <w:w w:val="100"/>
                <w:position w:val="0"/>
                <w:sz w:val="20"/>
                <w:szCs w:val="20"/>
                <w:highlight w:val="none"/>
                <w:lang w:eastAsia="zh-CN"/>
              </w:rPr>
            </w:pPr>
            <w:r>
              <w:rPr>
                <w:rFonts w:hint="eastAsia"/>
                <w:color w:val="auto"/>
                <w:spacing w:val="0"/>
                <w:w w:val="100"/>
                <w:position w:val="0"/>
                <w:sz w:val="20"/>
                <w:szCs w:val="20"/>
                <w:highlight w:val="none"/>
                <w:lang w:val="en-US" w:eastAsia="zh-CN"/>
              </w:rPr>
              <w:t>6</w:t>
            </w:r>
          </w:p>
        </w:tc>
        <w:tc>
          <w:tcPr>
            <w:tcW w:w="9110" w:type="dxa"/>
            <w:vAlign w:val="center"/>
          </w:tcPr>
          <w:p w14:paraId="597B66ED">
            <w:pPr>
              <w:pStyle w:val="20"/>
              <w:keepNext w:val="0"/>
              <w:keepLines w:val="0"/>
              <w:pageBreakBefore w:val="0"/>
              <w:widowControl/>
              <w:kinsoku/>
              <w:wordWrap/>
              <w:overflowPunct/>
              <w:topLinePunct w:val="0"/>
              <w:autoSpaceDE w:val="0"/>
              <w:autoSpaceDN w:val="0"/>
              <w:bidi w:val="0"/>
              <w:adjustRightInd w:val="0"/>
              <w:snapToGrid w:val="0"/>
              <w:spacing w:line="240" w:lineRule="auto"/>
              <w:ind w:left="110"/>
              <w:jc w:val="both"/>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无《参与编制经济标投标文件人员名单》的。</w:t>
            </w:r>
          </w:p>
        </w:tc>
        <w:tc>
          <w:tcPr>
            <w:tcW w:w="513" w:type="dxa"/>
            <w:vAlign w:val="center"/>
          </w:tcPr>
          <w:p w14:paraId="6E28821D">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23148195">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64BBEC18">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185D530D">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4F47D6A4">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12021EE8">
            <w:pPr>
              <w:keepNext w:val="0"/>
              <w:keepLines w:val="0"/>
              <w:pageBreakBefore w:val="0"/>
              <w:kinsoku/>
              <w:bidi w:val="0"/>
              <w:jc w:val="center"/>
              <w:rPr>
                <w:color w:val="auto"/>
                <w:spacing w:val="0"/>
                <w:w w:val="100"/>
                <w:position w:val="0"/>
                <w:highlight w:val="none"/>
                <w:lang w:eastAsia="zh-CN"/>
              </w:rPr>
            </w:pPr>
          </w:p>
        </w:tc>
      </w:tr>
      <w:tr w14:paraId="16EB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21" w:type="dxa"/>
            <w:tcBorders>
              <w:left w:val="single" w:color="000000" w:sz="2" w:space="0"/>
            </w:tcBorders>
          </w:tcPr>
          <w:p w14:paraId="1F7C8F26">
            <w:pPr>
              <w:pStyle w:val="20"/>
              <w:keepNext w:val="0"/>
              <w:keepLines w:val="0"/>
              <w:pageBreakBefore w:val="0"/>
              <w:widowControl/>
              <w:kinsoku/>
              <w:wordWrap/>
              <w:overflowPunct/>
              <w:topLinePunct w:val="0"/>
              <w:autoSpaceDE w:val="0"/>
              <w:autoSpaceDN w:val="0"/>
              <w:bidi w:val="0"/>
              <w:adjustRightInd w:val="0"/>
              <w:snapToGrid w:val="0"/>
              <w:spacing w:line="240" w:lineRule="auto"/>
              <w:ind w:left="211"/>
              <w:textAlignment w:val="baseline"/>
              <w:rPr>
                <w:color w:val="auto"/>
                <w:spacing w:val="0"/>
                <w:w w:val="100"/>
                <w:position w:val="0"/>
                <w:sz w:val="20"/>
                <w:szCs w:val="20"/>
                <w:highlight w:val="none"/>
              </w:rPr>
            </w:pPr>
            <w:r>
              <w:rPr>
                <w:color w:val="auto"/>
                <w:spacing w:val="0"/>
                <w:w w:val="100"/>
                <w:position w:val="0"/>
                <w:sz w:val="20"/>
                <w:szCs w:val="20"/>
                <w:highlight w:val="none"/>
              </w:rPr>
              <w:t>结论</w:t>
            </w:r>
          </w:p>
        </w:tc>
        <w:tc>
          <w:tcPr>
            <w:tcW w:w="9110" w:type="dxa"/>
          </w:tcPr>
          <w:p w14:paraId="088C5AFB">
            <w:pPr>
              <w:pStyle w:val="20"/>
              <w:keepNext w:val="0"/>
              <w:keepLines w:val="0"/>
              <w:pageBreakBefore w:val="0"/>
              <w:widowControl/>
              <w:kinsoku/>
              <w:wordWrap/>
              <w:overflowPunct/>
              <w:topLinePunct w:val="0"/>
              <w:autoSpaceDE w:val="0"/>
              <w:autoSpaceDN w:val="0"/>
              <w:bidi w:val="0"/>
              <w:adjustRightInd w:val="0"/>
              <w:snapToGrid w:val="0"/>
              <w:spacing w:line="240" w:lineRule="auto"/>
              <w:ind w:left="111"/>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是否通过并进入下一阶段（通过/不通过）</w:t>
            </w:r>
          </w:p>
        </w:tc>
        <w:tc>
          <w:tcPr>
            <w:tcW w:w="513" w:type="dxa"/>
            <w:vAlign w:val="center"/>
          </w:tcPr>
          <w:p w14:paraId="0B8B0F2D">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70D1E977">
            <w:pPr>
              <w:keepNext w:val="0"/>
              <w:keepLines w:val="0"/>
              <w:pageBreakBefore w:val="0"/>
              <w:kinsoku/>
              <w:bidi w:val="0"/>
              <w:jc w:val="center"/>
              <w:rPr>
                <w:color w:val="auto"/>
                <w:spacing w:val="0"/>
                <w:w w:val="100"/>
                <w:position w:val="0"/>
                <w:highlight w:val="none"/>
                <w:lang w:eastAsia="zh-CN"/>
              </w:rPr>
            </w:pPr>
          </w:p>
        </w:tc>
        <w:tc>
          <w:tcPr>
            <w:tcW w:w="776" w:type="dxa"/>
            <w:vAlign w:val="center"/>
          </w:tcPr>
          <w:p w14:paraId="3FF67C4E">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6E0BA2C3">
            <w:pPr>
              <w:keepNext w:val="0"/>
              <w:keepLines w:val="0"/>
              <w:pageBreakBefore w:val="0"/>
              <w:kinsoku/>
              <w:bidi w:val="0"/>
              <w:jc w:val="center"/>
              <w:rPr>
                <w:color w:val="auto"/>
                <w:spacing w:val="0"/>
                <w:w w:val="100"/>
                <w:position w:val="0"/>
                <w:highlight w:val="none"/>
                <w:lang w:eastAsia="zh-CN"/>
              </w:rPr>
            </w:pPr>
          </w:p>
        </w:tc>
        <w:tc>
          <w:tcPr>
            <w:tcW w:w="774" w:type="dxa"/>
            <w:vAlign w:val="center"/>
          </w:tcPr>
          <w:p w14:paraId="4F6FF84B">
            <w:pPr>
              <w:keepNext w:val="0"/>
              <w:keepLines w:val="0"/>
              <w:pageBreakBefore w:val="0"/>
              <w:kinsoku/>
              <w:bidi w:val="0"/>
              <w:jc w:val="center"/>
              <w:rPr>
                <w:color w:val="auto"/>
                <w:spacing w:val="0"/>
                <w:w w:val="100"/>
                <w:position w:val="0"/>
                <w:highlight w:val="none"/>
                <w:lang w:eastAsia="zh-CN"/>
              </w:rPr>
            </w:pPr>
          </w:p>
        </w:tc>
        <w:tc>
          <w:tcPr>
            <w:tcW w:w="776" w:type="dxa"/>
            <w:tcBorders>
              <w:right w:val="single" w:color="000000" w:sz="2" w:space="0"/>
            </w:tcBorders>
            <w:vAlign w:val="center"/>
          </w:tcPr>
          <w:p w14:paraId="15952CFD">
            <w:pPr>
              <w:keepNext w:val="0"/>
              <w:keepLines w:val="0"/>
              <w:pageBreakBefore w:val="0"/>
              <w:kinsoku/>
              <w:bidi w:val="0"/>
              <w:jc w:val="center"/>
              <w:rPr>
                <w:color w:val="auto"/>
                <w:spacing w:val="0"/>
                <w:w w:val="100"/>
                <w:position w:val="0"/>
                <w:highlight w:val="none"/>
                <w:lang w:eastAsia="zh-CN"/>
              </w:rPr>
            </w:pPr>
          </w:p>
        </w:tc>
      </w:tr>
    </w:tbl>
    <w:p w14:paraId="6B702E35">
      <w:pPr>
        <w:keepNext w:val="0"/>
        <w:keepLines w:val="0"/>
        <w:pageBreakBefore w:val="0"/>
        <w:kinsoku/>
        <w:bidi w:val="0"/>
        <w:spacing w:before="68" w:line="219" w:lineRule="auto"/>
        <w:ind w:left="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备注：1.凡出现以上任何一项情形，均为无效，否则为有效。</w:t>
      </w:r>
    </w:p>
    <w:p w14:paraId="49A9915A">
      <w:pPr>
        <w:keepNext w:val="0"/>
        <w:keepLines w:val="0"/>
        <w:pageBreakBefore w:val="0"/>
        <w:kinsoku/>
        <w:bidi w:val="0"/>
        <w:spacing w:before="106" w:line="216" w:lineRule="auto"/>
        <w:ind w:left="548"/>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2.本表评审项目全部为“√”,投标人的评审结论为“通过”，即该投标人进入下一阶段评审。</w:t>
      </w:r>
    </w:p>
    <w:p w14:paraId="093A0B55">
      <w:pPr>
        <w:keepNext w:val="0"/>
        <w:keepLines w:val="0"/>
        <w:pageBreakBefore w:val="0"/>
        <w:kinsoku/>
        <w:bidi w:val="0"/>
        <w:spacing w:before="109" w:line="216" w:lineRule="auto"/>
        <w:ind w:left="550"/>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3.本表中出现一个（或以上）“×”,投标人的评审结论为“不通过”，即该投标人不进入下一阶段评审。</w:t>
      </w:r>
    </w:p>
    <w:p w14:paraId="12D162FF">
      <w:pPr>
        <w:keepNext w:val="0"/>
        <w:keepLines w:val="0"/>
        <w:pageBreakBefore w:val="0"/>
        <w:kinsoku/>
        <w:bidi w:val="0"/>
        <w:spacing w:before="107" w:line="219" w:lineRule="auto"/>
        <w:ind w:left="546"/>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4.如对本表中某种情形的评审意见不一致时，以评审组过半数成员的意见作为评审组对该情形的认定结论。</w:t>
      </w:r>
    </w:p>
    <w:p w14:paraId="2FBA3769">
      <w:pPr>
        <w:keepNext w:val="0"/>
        <w:keepLines w:val="0"/>
        <w:pageBreakBefore w:val="0"/>
        <w:kinsoku/>
        <w:bidi w:val="0"/>
        <w:spacing w:before="107" w:line="273" w:lineRule="auto"/>
        <w:ind w:left="15" w:right="369" w:firstLine="534"/>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5.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A111D76">
      <w:pPr>
        <w:keepNext w:val="0"/>
        <w:keepLines w:val="0"/>
        <w:pageBreakBefore w:val="0"/>
        <w:kinsoku/>
        <w:bidi w:val="0"/>
        <w:spacing w:before="107" w:line="273" w:lineRule="auto"/>
        <w:ind w:left="15" w:right="369" w:firstLine="534"/>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评委签名：                                   日期：</w:t>
      </w:r>
    </w:p>
    <w:p w14:paraId="7D0B46BE">
      <w:pPr>
        <w:keepNext w:val="0"/>
        <w:keepLines w:val="0"/>
        <w:pageBreakBefore w:val="0"/>
        <w:kinsoku/>
        <w:bidi w:val="0"/>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br w:type="page"/>
      </w:r>
    </w:p>
    <w:p w14:paraId="63F263A5">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286" w:name="_Toc13559"/>
      <w:bookmarkStart w:id="287" w:name="_Toc16570"/>
      <w:bookmarkStart w:id="288" w:name="_Toc32121"/>
      <w:bookmarkStart w:id="289" w:name="_Toc19310"/>
      <w:bookmarkStart w:id="290" w:name="_Toc3796"/>
      <w:r>
        <w:rPr>
          <w:rFonts w:hint="eastAsia" w:ascii="宋体" w:hAnsi="宋体" w:eastAsia="宋体" w:cs="宋体"/>
          <w:b/>
          <w:bCs/>
          <w:color w:val="auto"/>
          <w:spacing w:val="0"/>
          <w:w w:val="100"/>
          <w:position w:val="0"/>
          <w:sz w:val="30"/>
          <w:szCs w:val="30"/>
          <w:highlight w:val="none"/>
          <w:lang w:eastAsia="zh-CN"/>
        </w:rPr>
        <w:t>附表5：评标阶段设计方案投标文件详细审查评分表</w:t>
      </w:r>
      <w:bookmarkEnd w:id="286"/>
      <w:bookmarkEnd w:id="287"/>
      <w:bookmarkEnd w:id="288"/>
      <w:bookmarkEnd w:id="289"/>
      <w:bookmarkEnd w:id="290"/>
    </w:p>
    <w:p w14:paraId="3E6CCA50">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hint="eastAsia" w:ascii="宋体" w:hAnsi="宋体" w:eastAsia="宋体" w:cs="宋体"/>
          <w:b/>
          <w:bCs/>
          <w:color w:val="auto"/>
          <w:spacing w:val="0"/>
          <w:w w:val="100"/>
          <w:position w:val="0"/>
          <w:sz w:val="30"/>
          <w:szCs w:val="30"/>
          <w:highlight w:val="none"/>
          <w:lang w:val="en-US" w:eastAsia="zh-CN"/>
        </w:rPr>
      </w:pPr>
      <w:r>
        <w:rPr>
          <w:rFonts w:hint="eastAsia" w:ascii="宋体" w:hAnsi="宋体" w:eastAsia="宋体" w:cs="宋体"/>
          <w:b/>
          <w:bCs/>
          <w:color w:val="auto"/>
          <w:spacing w:val="0"/>
          <w:w w:val="100"/>
          <w:position w:val="0"/>
          <w:sz w:val="30"/>
          <w:szCs w:val="30"/>
          <w:highlight w:val="none"/>
          <w:lang w:eastAsia="zh-CN"/>
        </w:rPr>
        <w:t>评标阶段设计方案投标文件详细审查评分表</w:t>
      </w:r>
    </w:p>
    <w:tbl>
      <w:tblPr>
        <w:tblStyle w:val="25"/>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464"/>
        <w:gridCol w:w="9531"/>
        <w:gridCol w:w="1051"/>
        <w:gridCol w:w="1068"/>
      </w:tblGrid>
      <w:tr w14:paraId="3782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295" w:type="pct"/>
            <w:noWrap w:val="0"/>
            <w:vAlign w:val="center"/>
          </w:tcPr>
          <w:p w14:paraId="74800DB4">
            <w:pPr>
              <w:pStyle w:val="24"/>
              <w:keepNext w:val="0"/>
              <w:keepLines w:val="0"/>
              <w:pageBreakBefore w:val="0"/>
              <w:kinsoku/>
              <w:bidi w:val="0"/>
              <w:ind w:firstLine="0" w:firstLineChars="0"/>
              <w:jc w:val="center"/>
              <w:rPr>
                <w:rFonts w:hint="eastAsia" w:asciiTheme="minorEastAsia" w:hAnsiTheme="minorEastAsia" w:eastAsiaTheme="minorEastAsia" w:cstheme="minorEastAsia"/>
                <w:b/>
                <w:bCs/>
                <w:color w:val="auto"/>
                <w:spacing w:val="0"/>
                <w:w w:val="100"/>
                <w:position w:val="0"/>
                <w:sz w:val="21"/>
                <w:szCs w:val="21"/>
                <w:highlight w:val="none"/>
              </w:rPr>
            </w:pPr>
            <w:r>
              <w:rPr>
                <w:rFonts w:hint="eastAsia" w:asciiTheme="minorEastAsia" w:hAnsiTheme="minorEastAsia" w:eastAsiaTheme="minorEastAsia" w:cstheme="minorEastAsia"/>
                <w:b/>
                <w:bCs/>
                <w:color w:val="auto"/>
                <w:spacing w:val="0"/>
                <w:w w:val="100"/>
                <w:position w:val="0"/>
                <w:sz w:val="21"/>
                <w:szCs w:val="21"/>
                <w:highlight w:val="none"/>
              </w:rPr>
              <w:t>序号</w:t>
            </w:r>
          </w:p>
        </w:tc>
        <w:tc>
          <w:tcPr>
            <w:tcW w:w="525" w:type="pct"/>
            <w:noWrap w:val="0"/>
            <w:vAlign w:val="center"/>
          </w:tcPr>
          <w:p w14:paraId="37D63D57">
            <w:pPr>
              <w:pStyle w:val="24"/>
              <w:keepNext w:val="0"/>
              <w:keepLines w:val="0"/>
              <w:pageBreakBefore w:val="0"/>
              <w:kinsoku/>
              <w:bidi w:val="0"/>
              <w:ind w:firstLine="0" w:firstLineChars="0"/>
              <w:jc w:val="center"/>
              <w:rPr>
                <w:rFonts w:hint="eastAsia" w:asciiTheme="minorEastAsia" w:hAnsiTheme="minorEastAsia" w:eastAsiaTheme="minorEastAsia" w:cstheme="minorEastAsia"/>
                <w:b/>
                <w:bCs/>
                <w:color w:val="auto"/>
                <w:spacing w:val="0"/>
                <w:w w:val="100"/>
                <w:position w:val="0"/>
                <w:sz w:val="21"/>
                <w:szCs w:val="21"/>
                <w:highlight w:val="none"/>
              </w:rPr>
            </w:pPr>
            <w:r>
              <w:rPr>
                <w:rFonts w:hint="eastAsia" w:asciiTheme="minorEastAsia" w:hAnsiTheme="minorEastAsia" w:eastAsiaTheme="minorEastAsia" w:cstheme="minorEastAsia"/>
                <w:b/>
                <w:bCs/>
                <w:color w:val="auto"/>
                <w:spacing w:val="0"/>
                <w:w w:val="100"/>
                <w:position w:val="0"/>
                <w:sz w:val="21"/>
                <w:szCs w:val="21"/>
                <w:highlight w:val="none"/>
              </w:rPr>
              <w:t>评审内容</w:t>
            </w:r>
          </w:p>
        </w:tc>
        <w:tc>
          <w:tcPr>
            <w:tcW w:w="3418" w:type="pct"/>
            <w:noWrap w:val="0"/>
            <w:vAlign w:val="center"/>
          </w:tcPr>
          <w:p w14:paraId="358D10BB">
            <w:pPr>
              <w:pStyle w:val="24"/>
              <w:keepNext w:val="0"/>
              <w:keepLines w:val="0"/>
              <w:pageBreakBefore w:val="0"/>
              <w:kinsoku/>
              <w:bidi w:val="0"/>
              <w:ind w:firstLine="0" w:firstLineChars="0"/>
              <w:jc w:val="center"/>
              <w:rPr>
                <w:rFonts w:hint="eastAsia" w:asciiTheme="minorEastAsia" w:hAnsiTheme="minorEastAsia" w:eastAsiaTheme="minorEastAsia" w:cstheme="minorEastAsia"/>
                <w:b/>
                <w:bCs/>
                <w:color w:val="auto"/>
                <w:spacing w:val="0"/>
                <w:w w:val="100"/>
                <w:position w:val="0"/>
                <w:sz w:val="21"/>
                <w:szCs w:val="21"/>
                <w:highlight w:val="none"/>
              </w:rPr>
            </w:pPr>
            <w:r>
              <w:rPr>
                <w:rFonts w:hint="eastAsia" w:asciiTheme="minorEastAsia" w:hAnsiTheme="minorEastAsia" w:eastAsiaTheme="minorEastAsia" w:cstheme="minorEastAsia"/>
                <w:b/>
                <w:bCs/>
                <w:color w:val="auto"/>
                <w:spacing w:val="0"/>
                <w:w w:val="100"/>
                <w:position w:val="0"/>
                <w:sz w:val="21"/>
                <w:szCs w:val="21"/>
                <w:highlight w:val="none"/>
              </w:rPr>
              <w:t>评分标准</w:t>
            </w:r>
          </w:p>
        </w:tc>
        <w:tc>
          <w:tcPr>
            <w:tcW w:w="377" w:type="pct"/>
            <w:noWrap w:val="0"/>
            <w:vAlign w:val="center"/>
          </w:tcPr>
          <w:p w14:paraId="4623835A">
            <w:pPr>
              <w:pStyle w:val="24"/>
              <w:keepNext w:val="0"/>
              <w:keepLines w:val="0"/>
              <w:pageBreakBefore w:val="0"/>
              <w:kinsoku/>
              <w:bidi w:val="0"/>
              <w:ind w:firstLine="0" w:firstLineChars="0"/>
              <w:jc w:val="center"/>
              <w:rPr>
                <w:rFonts w:hint="eastAsia" w:asciiTheme="minorEastAsia" w:hAnsiTheme="minorEastAsia" w:eastAsiaTheme="minorEastAsia" w:cstheme="minorEastAsia"/>
                <w:b/>
                <w:bCs/>
                <w:color w:val="auto"/>
                <w:spacing w:val="0"/>
                <w:w w:val="100"/>
                <w:position w:val="0"/>
                <w:sz w:val="21"/>
                <w:szCs w:val="21"/>
                <w:highlight w:val="none"/>
              </w:rPr>
            </w:pPr>
            <w:r>
              <w:rPr>
                <w:rFonts w:hint="eastAsia" w:asciiTheme="minorEastAsia" w:hAnsiTheme="minorEastAsia" w:eastAsiaTheme="minorEastAsia" w:cstheme="minorEastAsia"/>
                <w:b/>
                <w:bCs/>
                <w:color w:val="auto"/>
                <w:spacing w:val="0"/>
                <w:w w:val="100"/>
                <w:position w:val="0"/>
                <w:sz w:val="21"/>
                <w:szCs w:val="21"/>
                <w:highlight w:val="none"/>
              </w:rPr>
              <w:t>分数</w:t>
            </w:r>
          </w:p>
        </w:tc>
        <w:tc>
          <w:tcPr>
            <w:tcW w:w="383" w:type="pct"/>
            <w:noWrap w:val="0"/>
            <w:vAlign w:val="center"/>
          </w:tcPr>
          <w:p w14:paraId="240FC6A3">
            <w:pPr>
              <w:pStyle w:val="24"/>
              <w:keepNext w:val="0"/>
              <w:keepLines w:val="0"/>
              <w:pageBreakBefore w:val="0"/>
              <w:kinsoku/>
              <w:bidi w:val="0"/>
              <w:ind w:firstLine="0" w:firstLineChars="0"/>
              <w:jc w:val="center"/>
              <w:rPr>
                <w:rFonts w:hint="eastAsia" w:asciiTheme="minorEastAsia" w:hAnsiTheme="minorEastAsia" w:eastAsiaTheme="minorEastAsia" w:cstheme="minorEastAsia"/>
                <w:b/>
                <w:bCs/>
                <w:color w:val="auto"/>
                <w:spacing w:val="0"/>
                <w:w w:val="100"/>
                <w:position w:val="0"/>
                <w:sz w:val="21"/>
                <w:szCs w:val="21"/>
                <w:highlight w:val="none"/>
              </w:rPr>
            </w:pPr>
            <w:r>
              <w:rPr>
                <w:rFonts w:hint="eastAsia" w:asciiTheme="minorEastAsia" w:hAnsiTheme="minorEastAsia" w:eastAsiaTheme="minorEastAsia" w:cstheme="minorEastAsia"/>
                <w:b/>
                <w:bCs/>
                <w:color w:val="auto"/>
                <w:spacing w:val="0"/>
                <w:w w:val="100"/>
                <w:position w:val="0"/>
                <w:sz w:val="21"/>
                <w:szCs w:val="21"/>
                <w:highlight w:val="none"/>
              </w:rPr>
              <w:t>评价结果</w:t>
            </w:r>
          </w:p>
        </w:tc>
      </w:tr>
      <w:tr w14:paraId="4123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 w:type="pct"/>
            <w:noWrap w:val="0"/>
            <w:vAlign w:val="center"/>
          </w:tcPr>
          <w:p w14:paraId="1A0151C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1</w:t>
            </w:r>
          </w:p>
        </w:tc>
        <w:tc>
          <w:tcPr>
            <w:tcW w:w="525" w:type="pct"/>
            <w:noWrap w:val="0"/>
            <w:vAlign w:val="center"/>
          </w:tcPr>
          <w:p w14:paraId="5456F9E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设计概念</w:t>
            </w:r>
          </w:p>
        </w:tc>
        <w:tc>
          <w:tcPr>
            <w:tcW w:w="3418" w:type="pct"/>
            <w:noWrap w:val="0"/>
            <w:vAlign w:val="center"/>
          </w:tcPr>
          <w:p w14:paraId="444C29C5">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设计立意明确，设计理念符合招标人要求，符合适用、实用和美观原则，具有创新的风格和意识，富有特色和吸引力。设计方向明确合理，符合招标需求的设计理念</w:t>
            </w:r>
            <w:r>
              <w:rPr>
                <w:rFonts w:hint="eastAsia" w:asciiTheme="minorEastAsia" w:hAnsiTheme="minorEastAsia" w:eastAsiaTheme="minorEastAsia" w:cstheme="minorEastAsia"/>
                <w:color w:val="auto"/>
                <w:spacing w:val="0"/>
                <w:w w:val="100"/>
                <w:position w:val="0"/>
                <w:sz w:val="21"/>
                <w:szCs w:val="21"/>
                <w:highlight w:val="none"/>
                <w:lang w:eastAsia="zh-CN"/>
              </w:rPr>
              <w:t>；</w:t>
            </w:r>
            <w:r>
              <w:rPr>
                <w:rFonts w:hint="eastAsia" w:asciiTheme="minorEastAsia" w:hAnsiTheme="minorEastAsia" w:eastAsiaTheme="minorEastAsia" w:cstheme="minorEastAsia"/>
                <w:color w:val="auto"/>
                <w:spacing w:val="0"/>
                <w:w w:val="100"/>
                <w:position w:val="0"/>
                <w:sz w:val="21"/>
                <w:szCs w:val="21"/>
                <w:highlight w:val="none"/>
              </w:rPr>
              <w:t>思路清晰并</w:t>
            </w:r>
            <w:r>
              <w:rPr>
                <w:rFonts w:hint="eastAsia" w:asciiTheme="minorEastAsia" w:hAnsiTheme="minorEastAsia" w:eastAsiaTheme="minorEastAsia" w:cstheme="minorEastAsia"/>
                <w:color w:val="auto"/>
                <w:spacing w:val="0"/>
                <w:w w:val="100"/>
                <w:position w:val="0"/>
                <w:sz w:val="21"/>
                <w:szCs w:val="21"/>
                <w:highlight w:val="none"/>
                <w:lang w:val="en-US" w:eastAsia="zh-CN"/>
              </w:rPr>
              <w:t>突出</w:t>
            </w:r>
            <w:r>
              <w:rPr>
                <w:rFonts w:hint="eastAsia" w:asciiTheme="minorEastAsia" w:hAnsiTheme="minorEastAsia" w:eastAsiaTheme="minorEastAsia" w:cstheme="minorEastAsia"/>
                <w:color w:val="auto"/>
                <w:spacing w:val="0"/>
                <w:w w:val="100"/>
                <w:position w:val="0"/>
                <w:sz w:val="21"/>
                <w:szCs w:val="21"/>
                <w:highlight w:val="none"/>
              </w:rPr>
              <w:t>项目重点和难点。优[1</w:t>
            </w:r>
            <w:r>
              <w:rPr>
                <w:rFonts w:hint="eastAsia" w:asciiTheme="minorEastAsia" w:hAnsiTheme="minorEastAsia" w:eastAsiaTheme="minorEastAsia" w:cstheme="minorEastAsia"/>
                <w:color w:val="auto"/>
                <w:spacing w:val="0"/>
                <w:w w:val="100"/>
                <w:position w:val="0"/>
                <w:sz w:val="21"/>
                <w:szCs w:val="21"/>
                <w:highlight w:val="none"/>
                <w:lang w:val="en-US" w:eastAsia="zh-CN"/>
              </w:rPr>
              <w:t>5</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12</w:t>
            </w:r>
            <w:r>
              <w:rPr>
                <w:rFonts w:hint="eastAsia" w:asciiTheme="minorEastAsia" w:hAnsiTheme="minorEastAsia" w:eastAsiaTheme="minorEastAsia" w:cstheme="minorEastAsia"/>
                <w:color w:val="auto"/>
                <w:spacing w:val="0"/>
                <w:w w:val="100"/>
                <w:position w:val="0"/>
                <w:sz w:val="21"/>
                <w:szCs w:val="21"/>
                <w:highlight w:val="none"/>
              </w:rPr>
              <w:t>)分；良[</w:t>
            </w:r>
            <w:r>
              <w:rPr>
                <w:rFonts w:hint="eastAsia" w:asciiTheme="minorEastAsia" w:hAnsiTheme="minorEastAsia" w:eastAsiaTheme="minorEastAsia" w:cstheme="minorEastAsia"/>
                <w:color w:val="auto"/>
                <w:spacing w:val="0"/>
                <w:w w:val="100"/>
                <w:position w:val="0"/>
                <w:sz w:val="21"/>
                <w:szCs w:val="21"/>
                <w:highlight w:val="none"/>
                <w:lang w:val="en-US" w:eastAsia="zh-CN"/>
              </w:rPr>
              <w:t>12</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8</w:t>
            </w:r>
            <w:r>
              <w:rPr>
                <w:rFonts w:hint="eastAsia" w:asciiTheme="minorEastAsia" w:hAnsiTheme="minorEastAsia" w:eastAsiaTheme="minorEastAsia" w:cstheme="minorEastAsia"/>
                <w:color w:val="auto"/>
                <w:spacing w:val="0"/>
                <w:w w:val="100"/>
                <w:position w:val="0"/>
                <w:sz w:val="21"/>
                <w:szCs w:val="21"/>
                <w:highlight w:val="none"/>
              </w:rPr>
              <w:t>）分；中[</w:t>
            </w:r>
            <w:r>
              <w:rPr>
                <w:rFonts w:hint="eastAsia" w:asciiTheme="minorEastAsia" w:hAnsiTheme="minorEastAsia" w:eastAsiaTheme="minorEastAsia" w:cstheme="minorEastAsia"/>
                <w:color w:val="auto"/>
                <w:spacing w:val="0"/>
                <w:w w:val="100"/>
                <w:position w:val="0"/>
                <w:sz w:val="21"/>
                <w:szCs w:val="21"/>
                <w:highlight w:val="none"/>
                <w:lang w:val="en-US" w:eastAsia="zh-CN"/>
              </w:rPr>
              <w:t>8</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5</w:t>
            </w:r>
            <w:r>
              <w:rPr>
                <w:rFonts w:hint="eastAsia" w:asciiTheme="minorEastAsia" w:hAnsiTheme="minorEastAsia" w:eastAsiaTheme="minorEastAsia" w:cstheme="minorEastAsia"/>
                <w:color w:val="auto"/>
                <w:spacing w:val="0"/>
                <w:w w:val="100"/>
                <w:position w:val="0"/>
                <w:sz w:val="21"/>
                <w:szCs w:val="21"/>
                <w:highlight w:val="none"/>
              </w:rPr>
              <w:t>）分；差[</w:t>
            </w:r>
            <w:r>
              <w:rPr>
                <w:rFonts w:hint="eastAsia" w:asciiTheme="minorEastAsia" w:hAnsiTheme="minorEastAsia" w:eastAsiaTheme="minorEastAsia" w:cstheme="minorEastAsia"/>
                <w:color w:val="auto"/>
                <w:spacing w:val="0"/>
                <w:w w:val="100"/>
                <w:position w:val="0"/>
                <w:sz w:val="21"/>
                <w:szCs w:val="21"/>
                <w:highlight w:val="none"/>
                <w:lang w:val="en-US" w:eastAsia="zh-CN"/>
              </w:rPr>
              <w:t>5</w:t>
            </w:r>
            <w:r>
              <w:rPr>
                <w:rFonts w:hint="eastAsia" w:asciiTheme="minorEastAsia" w:hAnsiTheme="minorEastAsia" w:eastAsiaTheme="minorEastAsia" w:cstheme="minorEastAsia"/>
                <w:color w:val="auto"/>
                <w:spacing w:val="0"/>
                <w:w w:val="100"/>
                <w:position w:val="0"/>
                <w:sz w:val="21"/>
                <w:szCs w:val="21"/>
                <w:highlight w:val="none"/>
              </w:rPr>
              <w:t>-0]分。</w:t>
            </w:r>
          </w:p>
        </w:tc>
        <w:tc>
          <w:tcPr>
            <w:tcW w:w="377" w:type="pct"/>
            <w:noWrap w:val="0"/>
            <w:vAlign w:val="center"/>
          </w:tcPr>
          <w:p w14:paraId="105AEB80">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lang w:val="en-US" w:eastAsia="zh-CN"/>
              </w:rPr>
            </w:pPr>
            <w:r>
              <w:rPr>
                <w:rFonts w:hint="eastAsia" w:asciiTheme="minorEastAsia" w:hAnsiTheme="minorEastAsia" w:eastAsiaTheme="minorEastAsia" w:cstheme="minorEastAsia"/>
                <w:color w:val="auto"/>
                <w:spacing w:val="0"/>
                <w:w w:val="100"/>
                <w:position w:val="0"/>
                <w:sz w:val="21"/>
                <w:szCs w:val="21"/>
                <w:highlight w:val="none"/>
                <w:lang w:val="en-US" w:eastAsia="zh-CN"/>
              </w:rPr>
              <w:t>15</w:t>
            </w:r>
          </w:p>
        </w:tc>
        <w:tc>
          <w:tcPr>
            <w:tcW w:w="383" w:type="pct"/>
            <w:noWrap w:val="0"/>
            <w:vAlign w:val="center"/>
          </w:tcPr>
          <w:p w14:paraId="18445346">
            <w:pPr>
              <w:pStyle w:val="24"/>
              <w:keepNext w:val="0"/>
              <w:keepLines w:val="0"/>
              <w:pageBreakBefore w:val="0"/>
              <w:widowControl/>
              <w:kinsoku/>
              <w:wordWrap/>
              <w:overflowPunct/>
              <w:topLinePunct w:val="0"/>
              <w:autoSpaceDE w:val="0"/>
              <w:autoSpaceDN w:val="0"/>
              <w:bidi w:val="0"/>
              <w:adjustRightInd w:val="0"/>
              <w:snapToGrid w:val="0"/>
              <w:spacing w:before="0" w:after="0" w:line="360" w:lineRule="auto"/>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p>
        </w:tc>
      </w:tr>
      <w:tr w14:paraId="4C13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 w:type="pct"/>
            <w:noWrap w:val="0"/>
            <w:vAlign w:val="center"/>
          </w:tcPr>
          <w:p w14:paraId="147840C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2</w:t>
            </w:r>
          </w:p>
        </w:tc>
        <w:tc>
          <w:tcPr>
            <w:tcW w:w="525" w:type="pct"/>
            <w:noWrap w:val="0"/>
            <w:vAlign w:val="center"/>
          </w:tcPr>
          <w:p w14:paraId="4BD596F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功能布局</w:t>
            </w:r>
          </w:p>
        </w:tc>
        <w:tc>
          <w:tcPr>
            <w:tcW w:w="3418" w:type="pct"/>
            <w:noWrap w:val="0"/>
            <w:vAlign w:val="center"/>
          </w:tcPr>
          <w:p w14:paraId="7F72103C">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根据</w:t>
            </w:r>
            <w:r>
              <w:rPr>
                <w:rFonts w:hint="eastAsia" w:asciiTheme="minorEastAsia" w:hAnsiTheme="minorEastAsia" w:eastAsiaTheme="minorEastAsia" w:cstheme="minorEastAsia"/>
                <w:color w:val="auto"/>
                <w:spacing w:val="0"/>
                <w:w w:val="100"/>
                <w:position w:val="0"/>
                <w:sz w:val="21"/>
                <w:szCs w:val="21"/>
                <w:highlight w:val="none"/>
                <w:lang w:val="en-US" w:eastAsia="zh-CN"/>
              </w:rPr>
              <w:t>设计</w:t>
            </w:r>
            <w:r>
              <w:rPr>
                <w:rFonts w:hint="eastAsia" w:asciiTheme="minorEastAsia" w:hAnsiTheme="minorEastAsia" w:eastAsiaTheme="minorEastAsia" w:cstheme="minorEastAsia"/>
                <w:color w:val="auto"/>
                <w:spacing w:val="0"/>
                <w:w w:val="100"/>
                <w:position w:val="0"/>
                <w:sz w:val="21"/>
                <w:szCs w:val="21"/>
                <w:highlight w:val="none"/>
              </w:rPr>
              <w:t>任务书的要求合理充分地安排功能布局，符合室内设计原理，空间形态的多样化，并具有预见性和灵活性</w:t>
            </w:r>
            <w:r>
              <w:rPr>
                <w:rFonts w:hint="eastAsia" w:asciiTheme="minorEastAsia" w:hAnsiTheme="minorEastAsia" w:eastAsiaTheme="minorEastAsia" w:cstheme="minorEastAsia"/>
                <w:color w:val="auto"/>
                <w:spacing w:val="0"/>
                <w:w w:val="100"/>
                <w:position w:val="0"/>
                <w:sz w:val="21"/>
                <w:szCs w:val="21"/>
                <w:highlight w:val="none"/>
                <w:lang w:eastAsia="zh-CN"/>
              </w:rPr>
              <w:t>；</w:t>
            </w:r>
            <w:r>
              <w:rPr>
                <w:rFonts w:hint="eastAsia" w:asciiTheme="minorEastAsia" w:hAnsiTheme="minorEastAsia" w:eastAsiaTheme="minorEastAsia" w:cstheme="minorEastAsia"/>
                <w:color w:val="auto"/>
                <w:spacing w:val="0"/>
                <w:w w:val="100"/>
                <w:position w:val="0"/>
                <w:sz w:val="21"/>
                <w:szCs w:val="21"/>
                <w:highlight w:val="none"/>
              </w:rPr>
              <w:t>功能布局合理，符合规范要求，功能分区科学合理，满足办公需求，各功能分区清晰明确</w:t>
            </w:r>
            <w:r>
              <w:rPr>
                <w:rFonts w:hint="eastAsia" w:asciiTheme="minorEastAsia" w:hAnsiTheme="minorEastAsia" w:eastAsiaTheme="minorEastAsia" w:cstheme="minorEastAsia"/>
                <w:color w:val="auto"/>
                <w:spacing w:val="0"/>
                <w:w w:val="100"/>
                <w:position w:val="0"/>
                <w:sz w:val="21"/>
                <w:szCs w:val="21"/>
                <w:highlight w:val="none"/>
                <w:lang w:eastAsia="zh-CN"/>
              </w:rPr>
              <w:t>；</w:t>
            </w:r>
            <w:r>
              <w:rPr>
                <w:rFonts w:hint="eastAsia" w:asciiTheme="minorEastAsia" w:hAnsiTheme="minorEastAsia" w:eastAsiaTheme="minorEastAsia" w:cstheme="minorEastAsia"/>
                <w:color w:val="auto"/>
                <w:spacing w:val="0"/>
                <w:w w:val="100"/>
                <w:position w:val="0"/>
                <w:sz w:val="21"/>
                <w:szCs w:val="21"/>
                <w:highlight w:val="none"/>
              </w:rPr>
              <w:t>交通流线合理。优[</w:t>
            </w:r>
            <w:r>
              <w:rPr>
                <w:rFonts w:hint="eastAsia" w:asciiTheme="minorEastAsia" w:hAnsiTheme="minorEastAsia" w:eastAsiaTheme="minorEastAsia" w:cstheme="minorEastAsia"/>
                <w:color w:val="auto"/>
                <w:spacing w:val="0"/>
                <w:w w:val="100"/>
                <w:position w:val="0"/>
                <w:sz w:val="21"/>
                <w:szCs w:val="21"/>
                <w:highlight w:val="none"/>
                <w:lang w:val="en-US" w:eastAsia="zh-CN"/>
              </w:rPr>
              <w:t>20</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15</w:t>
            </w:r>
            <w:r>
              <w:rPr>
                <w:rFonts w:hint="eastAsia" w:asciiTheme="minorEastAsia" w:hAnsiTheme="minorEastAsia" w:eastAsiaTheme="minorEastAsia" w:cstheme="minorEastAsia"/>
                <w:color w:val="auto"/>
                <w:spacing w:val="0"/>
                <w:w w:val="100"/>
                <w:position w:val="0"/>
                <w:sz w:val="21"/>
                <w:szCs w:val="21"/>
                <w:highlight w:val="none"/>
              </w:rPr>
              <w:t>)分；良[</w:t>
            </w:r>
            <w:r>
              <w:rPr>
                <w:rFonts w:hint="eastAsia" w:asciiTheme="minorEastAsia" w:hAnsiTheme="minorEastAsia" w:eastAsiaTheme="minorEastAsia" w:cstheme="minorEastAsia"/>
                <w:color w:val="auto"/>
                <w:spacing w:val="0"/>
                <w:w w:val="100"/>
                <w:position w:val="0"/>
                <w:sz w:val="21"/>
                <w:szCs w:val="21"/>
                <w:highlight w:val="none"/>
                <w:lang w:val="en-US" w:eastAsia="zh-CN"/>
              </w:rPr>
              <w:t>15</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10</w:t>
            </w:r>
            <w:r>
              <w:rPr>
                <w:rFonts w:hint="eastAsia" w:asciiTheme="minorEastAsia" w:hAnsiTheme="minorEastAsia" w:eastAsiaTheme="minorEastAsia" w:cstheme="minorEastAsia"/>
                <w:color w:val="auto"/>
                <w:spacing w:val="0"/>
                <w:w w:val="100"/>
                <w:position w:val="0"/>
                <w:sz w:val="21"/>
                <w:szCs w:val="21"/>
                <w:highlight w:val="none"/>
              </w:rPr>
              <w:t>）分；中[</w:t>
            </w:r>
            <w:r>
              <w:rPr>
                <w:rFonts w:hint="eastAsia" w:asciiTheme="minorEastAsia" w:hAnsiTheme="minorEastAsia" w:eastAsiaTheme="minorEastAsia" w:cstheme="minorEastAsia"/>
                <w:color w:val="auto"/>
                <w:spacing w:val="0"/>
                <w:w w:val="100"/>
                <w:position w:val="0"/>
                <w:sz w:val="21"/>
                <w:szCs w:val="21"/>
                <w:highlight w:val="none"/>
                <w:lang w:val="en-US" w:eastAsia="zh-CN"/>
              </w:rPr>
              <w:t>10</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5</w:t>
            </w:r>
            <w:r>
              <w:rPr>
                <w:rFonts w:hint="eastAsia" w:asciiTheme="minorEastAsia" w:hAnsiTheme="minorEastAsia" w:eastAsiaTheme="minorEastAsia" w:cstheme="minorEastAsia"/>
                <w:color w:val="auto"/>
                <w:spacing w:val="0"/>
                <w:w w:val="100"/>
                <w:position w:val="0"/>
                <w:sz w:val="21"/>
                <w:szCs w:val="21"/>
                <w:highlight w:val="none"/>
              </w:rPr>
              <w:t>）分；差[</w:t>
            </w:r>
            <w:r>
              <w:rPr>
                <w:rFonts w:hint="eastAsia" w:asciiTheme="minorEastAsia" w:hAnsiTheme="minorEastAsia" w:eastAsiaTheme="minorEastAsia" w:cstheme="minorEastAsia"/>
                <w:color w:val="auto"/>
                <w:spacing w:val="0"/>
                <w:w w:val="100"/>
                <w:position w:val="0"/>
                <w:sz w:val="21"/>
                <w:szCs w:val="21"/>
                <w:highlight w:val="none"/>
                <w:lang w:val="en-US" w:eastAsia="zh-CN"/>
              </w:rPr>
              <w:t>5</w:t>
            </w:r>
            <w:r>
              <w:rPr>
                <w:rFonts w:hint="eastAsia" w:asciiTheme="minorEastAsia" w:hAnsiTheme="minorEastAsia" w:eastAsiaTheme="minorEastAsia" w:cstheme="minorEastAsia"/>
                <w:color w:val="auto"/>
                <w:spacing w:val="0"/>
                <w:w w:val="100"/>
                <w:position w:val="0"/>
                <w:sz w:val="21"/>
                <w:szCs w:val="21"/>
                <w:highlight w:val="none"/>
              </w:rPr>
              <w:t>-0]分。</w:t>
            </w:r>
          </w:p>
        </w:tc>
        <w:tc>
          <w:tcPr>
            <w:tcW w:w="377" w:type="pct"/>
            <w:noWrap w:val="0"/>
            <w:vAlign w:val="center"/>
          </w:tcPr>
          <w:p w14:paraId="7F3AA71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lang w:val="en-US" w:eastAsia="zh-CN"/>
              </w:rPr>
            </w:pPr>
            <w:r>
              <w:rPr>
                <w:rFonts w:hint="eastAsia" w:asciiTheme="minorEastAsia" w:hAnsiTheme="minorEastAsia" w:eastAsiaTheme="minorEastAsia" w:cstheme="minorEastAsia"/>
                <w:color w:val="auto"/>
                <w:spacing w:val="0"/>
                <w:w w:val="100"/>
                <w:position w:val="0"/>
                <w:sz w:val="21"/>
                <w:szCs w:val="21"/>
                <w:highlight w:val="none"/>
                <w:lang w:val="en-US" w:eastAsia="zh-CN"/>
              </w:rPr>
              <w:t>20</w:t>
            </w:r>
          </w:p>
        </w:tc>
        <w:tc>
          <w:tcPr>
            <w:tcW w:w="383" w:type="pct"/>
            <w:noWrap w:val="0"/>
            <w:vAlign w:val="center"/>
          </w:tcPr>
          <w:p w14:paraId="09D9BF5E">
            <w:pPr>
              <w:pStyle w:val="24"/>
              <w:keepNext w:val="0"/>
              <w:keepLines w:val="0"/>
              <w:pageBreakBefore w:val="0"/>
              <w:widowControl/>
              <w:kinsoku/>
              <w:wordWrap/>
              <w:overflowPunct/>
              <w:topLinePunct w:val="0"/>
              <w:autoSpaceDE w:val="0"/>
              <w:autoSpaceDN w:val="0"/>
              <w:bidi w:val="0"/>
              <w:adjustRightInd w:val="0"/>
              <w:snapToGrid w:val="0"/>
              <w:spacing w:before="0" w:after="0" w:line="360" w:lineRule="auto"/>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p>
        </w:tc>
      </w:tr>
      <w:tr w14:paraId="0DA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 w:type="pct"/>
            <w:noWrap w:val="0"/>
            <w:vAlign w:val="center"/>
          </w:tcPr>
          <w:p w14:paraId="7338C304">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3</w:t>
            </w:r>
          </w:p>
        </w:tc>
        <w:tc>
          <w:tcPr>
            <w:tcW w:w="525" w:type="pct"/>
            <w:noWrap w:val="0"/>
            <w:vAlign w:val="center"/>
          </w:tcPr>
          <w:p w14:paraId="5C62C85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设计效果</w:t>
            </w:r>
          </w:p>
        </w:tc>
        <w:tc>
          <w:tcPr>
            <w:tcW w:w="3418" w:type="pct"/>
            <w:noWrap w:val="0"/>
            <w:vAlign w:val="center"/>
          </w:tcPr>
          <w:p w14:paraId="51752F15">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空间效果明朗大方、格调高雅、简洁，</w:t>
            </w:r>
            <w:r>
              <w:rPr>
                <w:rFonts w:hint="eastAsia" w:asciiTheme="minorEastAsia" w:hAnsiTheme="minorEastAsia" w:eastAsiaTheme="minorEastAsia" w:cstheme="minorEastAsia"/>
                <w:color w:val="auto"/>
                <w:spacing w:val="0"/>
                <w:w w:val="100"/>
                <w:position w:val="0"/>
                <w:sz w:val="21"/>
                <w:szCs w:val="21"/>
                <w:highlight w:val="none"/>
                <w:lang w:val="en-US" w:eastAsia="zh-CN"/>
              </w:rPr>
              <w:t>视觉</w:t>
            </w:r>
            <w:r>
              <w:rPr>
                <w:rFonts w:hint="eastAsia" w:asciiTheme="minorEastAsia" w:hAnsiTheme="minorEastAsia" w:eastAsiaTheme="minorEastAsia" w:cstheme="minorEastAsia"/>
                <w:color w:val="auto"/>
                <w:spacing w:val="0"/>
                <w:w w:val="100"/>
                <w:position w:val="0"/>
                <w:sz w:val="21"/>
                <w:szCs w:val="21"/>
                <w:highlight w:val="none"/>
              </w:rPr>
              <w:t>效果良好，能清晰</w:t>
            </w:r>
            <w:r>
              <w:rPr>
                <w:rFonts w:hint="eastAsia" w:asciiTheme="minorEastAsia" w:hAnsiTheme="minorEastAsia" w:eastAsiaTheme="minorEastAsia" w:cstheme="minorEastAsia"/>
                <w:color w:val="auto"/>
                <w:spacing w:val="0"/>
                <w:w w:val="100"/>
                <w:position w:val="0"/>
                <w:sz w:val="21"/>
                <w:szCs w:val="21"/>
                <w:highlight w:val="none"/>
                <w:lang w:val="en-US" w:eastAsia="zh-CN"/>
              </w:rPr>
              <w:t>体现</w:t>
            </w:r>
            <w:r>
              <w:rPr>
                <w:rFonts w:hint="eastAsia" w:asciiTheme="minorEastAsia" w:hAnsiTheme="minorEastAsia" w:eastAsiaTheme="minorEastAsia" w:cstheme="minorEastAsia"/>
                <w:color w:val="auto"/>
                <w:spacing w:val="0"/>
                <w:w w:val="100"/>
                <w:position w:val="0"/>
                <w:sz w:val="21"/>
                <w:szCs w:val="21"/>
                <w:highlight w:val="none"/>
              </w:rPr>
              <w:t>时代性，具有良好的整体设计效果以及良好的空间氛围，注意色彩和谐。优[</w:t>
            </w:r>
            <w:r>
              <w:rPr>
                <w:rFonts w:hint="eastAsia" w:asciiTheme="minorEastAsia" w:hAnsiTheme="minorEastAsia" w:eastAsiaTheme="minorEastAsia" w:cstheme="minorEastAsia"/>
                <w:color w:val="auto"/>
                <w:spacing w:val="0"/>
                <w:w w:val="100"/>
                <w:position w:val="0"/>
                <w:sz w:val="21"/>
                <w:szCs w:val="21"/>
                <w:highlight w:val="none"/>
                <w:lang w:val="en-US" w:eastAsia="zh-CN"/>
              </w:rPr>
              <w:t>30</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25</w:t>
            </w:r>
            <w:r>
              <w:rPr>
                <w:rFonts w:hint="eastAsia" w:asciiTheme="minorEastAsia" w:hAnsiTheme="minorEastAsia" w:eastAsiaTheme="minorEastAsia" w:cstheme="minorEastAsia"/>
                <w:color w:val="auto"/>
                <w:spacing w:val="0"/>
                <w:w w:val="100"/>
                <w:position w:val="0"/>
                <w:sz w:val="21"/>
                <w:szCs w:val="21"/>
                <w:highlight w:val="none"/>
              </w:rPr>
              <w:t>)分；良[</w:t>
            </w:r>
            <w:r>
              <w:rPr>
                <w:rFonts w:hint="eastAsia" w:asciiTheme="minorEastAsia" w:hAnsiTheme="minorEastAsia" w:eastAsiaTheme="minorEastAsia" w:cstheme="minorEastAsia"/>
                <w:color w:val="auto"/>
                <w:spacing w:val="0"/>
                <w:w w:val="100"/>
                <w:position w:val="0"/>
                <w:sz w:val="21"/>
                <w:szCs w:val="21"/>
                <w:highlight w:val="none"/>
                <w:lang w:val="en-US" w:eastAsia="zh-CN"/>
              </w:rPr>
              <w:t>25</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20</w:t>
            </w:r>
            <w:r>
              <w:rPr>
                <w:rFonts w:hint="eastAsia" w:asciiTheme="minorEastAsia" w:hAnsiTheme="minorEastAsia" w:eastAsiaTheme="minorEastAsia" w:cstheme="minorEastAsia"/>
                <w:color w:val="auto"/>
                <w:spacing w:val="0"/>
                <w:w w:val="100"/>
                <w:position w:val="0"/>
                <w:sz w:val="21"/>
                <w:szCs w:val="21"/>
                <w:highlight w:val="none"/>
              </w:rPr>
              <w:t>）分；中[</w:t>
            </w:r>
            <w:r>
              <w:rPr>
                <w:rFonts w:hint="eastAsia" w:asciiTheme="minorEastAsia" w:hAnsiTheme="minorEastAsia" w:eastAsiaTheme="minorEastAsia" w:cstheme="minorEastAsia"/>
                <w:color w:val="auto"/>
                <w:spacing w:val="0"/>
                <w:w w:val="100"/>
                <w:position w:val="0"/>
                <w:sz w:val="21"/>
                <w:szCs w:val="21"/>
                <w:highlight w:val="none"/>
                <w:lang w:val="en-US" w:eastAsia="zh-CN"/>
              </w:rPr>
              <w:t>20</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10</w:t>
            </w:r>
            <w:r>
              <w:rPr>
                <w:rFonts w:hint="eastAsia" w:asciiTheme="minorEastAsia" w:hAnsiTheme="minorEastAsia" w:eastAsiaTheme="minorEastAsia" w:cstheme="minorEastAsia"/>
                <w:color w:val="auto"/>
                <w:spacing w:val="0"/>
                <w:w w:val="100"/>
                <w:position w:val="0"/>
                <w:sz w:val="21"/>
                <w:szCs w:val="21"/>
                <w:highlight w:val="none"/>
              </w:rPr>
              <w:t>）分；差[</w:t>
            </w:r>
            <w:r>
              <w:rPr>
                <w:rFonts w:hint="eastAsia" w:asciiTheme="minorEastAsia" w:hAnsiTheme="minorEastAsia" w:eastAsiaTheme="minorEastAsia" w:cstheme="minorEastAsia"/>
                <w:color w:val="auto"/>
                <w:spacing w:val="0"/>
                <w:w w:val="100"/>
                <w:position w:val="0"/>
                <w:sz w:val="21"/>
                <w:szCs w:val="21"/>
                <w:highlight w:val="none"/>
                <w:lang w:val="en-US" w:eastAsia="zh-CN"/>
              </w:rPr>
              <w:t>10</w:t>
            </w:r>
            <w:r>
              <w:rPr>
                <w:rFonts w:hint="eastAsia" w:asciiTheme="minorEastAsia" w:hAnsiTheme="minorEastAsia" w:eastAsiaTheme="minorEastAsia" w:cstheme="minorEastAsia"/>
                <w:color w:val="auto"/>
                <w:spacing w:val="0"/>
                <w:w w:val="100"/>
                <w:position w:val="0"/>
                <w:sz w:val="21"/>
                <w:szCs w:val="21"/>
                <w:highlight w:val="none"/>
              </w:rPr>
              <w:t>-0]分。</w:t>
            </w:r>
          </w:p>
        </w:tc>
        <w:tc>
          <w:tcPr>
            <w:tcW w:w="377" w:type="pct"/>
            <w:noWrap w:val="0"/>
            <w:vAlign w:val="center"/>
          </w:tcPr>
          <w:p w14:paraId="2D5F45E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lang w:val="en-US" w:eastAsia="zh-CN"/>
              </w:rPr>
            </w:pPr>
            <w:r>
              <w:rPr>
                <w:rFonts w:hint="eastAsia" w:asciiTheme="minorEastAsia" w:hAnsiTheme="minorEastAsia" w:eastAsiaTheme="minorEastAsia" w:cstheme="minorEastAsia"/>
                <w:color w:val="auto"/>
                <w:spacing w:val="0"/>
                <w:w w:val="100"/>
                <w:position w:val="0"/>
                <w:sz w:val="21"/>
                <w:szCs w:val="21"/>
                <w:highlight w:val="none"/>
                <w:lang w:val="en-US" w:eastAsia="zh-CN"/>
              </w:rPr>
              <w:t>30</w:t>
            </w:r>
          </w:p>
        </w:tc>
        <w:tc>
          <w:tcPr>
            <w:tcW w:w="383" w:type="pct"/>
            <w:noWrap w:val="0"/>
            <w:vAlign w:val="center"/>
          </w:tcPr>
          <w:p w14:paraId="32F6A854">
            <w:pPr>
              <w:pStyle w:val="24"/>
              <w:keepNext w:val="0"/>
              <w:keepLines w:val="0"/>
              <w:pageBreakBefore w:val="0"/>
              <w:widowControl/>
              <w:kinsoku/>
              <w:wordWrap/>
              <w:overflowPunct/>
              <w:topLinePunct w:val="0"/>
              <w:autoSpaceDE w:val="0"/>
              <w:autoSpaceDN w:val="0"/>
              <w:bidi w:val="0"/>
              <w:adjustRightInd w:val="0"/>
              <w:snapToGrid w:val="0"/>
              <w:spacing w:before="0" w:after="0" w:line="360" w:lineRule="auto"/>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p>
        </w:tc>
      </w:tr>
      <w:tr w14:paraId="373D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 w:type="pct"/>
            <w:noWrap w:val="0"/>
            <w:vAlign w:val="center"/>
          </w:tcPr>
          <w:p w14:paraId="0210A3D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4</w:t>
            </w:r>
          </w:p>
        </w:tc>
        <w:tc>
          <w:tcPr>
            <w:tcW w:w="525" w:type="pct"/>
            <w:noWrap w:val="0"/>
            <w:vAlign w:val="center"/>
          </w:tcPr>
          <w:p w14:paraId="26743F86">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设计方案可行性</w:t>
            </w:r>
          </w:p>
        </w:tc>
        <w:tc>
          <w:tcPr>
            <w:tcW w:w="3418" w:type="pct"/>
            <w:noWrap w:val="0"/>
            <w:vAlign w:val="center"/>
          </w:tcPr>
          <w:p w14:paraId="094E47D4">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空间效果图、平面布局、立面、剖面等图纸表达完整清晰，并考虑到实施的可行性与经济性</w:t>
            </w:r>
            <w:r>
              <w:rPr>
                <w:rFonts w:hint="eastAsia" w:asciiTheme="minorEastAsia" w:hAnsiTheme="minorEastAsia" w:eastAsiaTheme="minorEastAsia" w:cstheme="minorEastAsia"/>
                <w:color w:val="auto"/>
                <w:spacing w:val="0"/>
                <w:w w:val="100"/>
                <w:position w:val="0"/>
                <w:sz w:val="21"/>
                <w:szCs w:val="21"/>
                <w:highlight w:val="none"/>
                <w:lang w:eastAsia="zh-CN"/>
              </w:rPr>
              <w:t>；</w:t>
            </w:r>
            <w:r>
              <w:rPr>
                <w:rFonts w:hint="eastAsia" w:asciiTheme="minorEastAsia" w:hAnsiTheme="minorEastAsia" w:eastAsiaTheme="minorEastAsia" w:cstheme="minorEastAsia"/>
                <w:color w:val="auto"/>
                <w:spacing w:val="0"/>
                <w:w w:val="100"/>
                <w:position w:val="0"/>
                <w:sz w:val="21"/>
                <w:szCs w:val="21"/>
                <w:highlight w:val="none"/>
              </w:rPr>
              <w:t>充分考虑除装修专业以外其他专业</w:t>
            </w:r>
            <w:r>
              <w:rPr>
                <w:rFonts w:hint="eastAsia" w:asciiTheme="minorEastAsia" w:hAnsiTheme="minorEastAsia" w:eastAsiaTheme="minorEastAsia" w:cstheme="minorEastAsia"/>
                <w:color w:val="auto"/>
                <w:spacing w:val="0"/>
                <w:w w:val="100"/>
                <w:position w:val="0"/>
                <w:sz w:val="21"/>
                <w:szCs w:val="21"/>
                <w:highlight w:val="none"/>
                <w:lang w:eastAsia="zh-CN"/>
              </w:rPr>
              <w:t>（电气、给排水、暖通、消防及智能化</w:t>
            </w:r>
            <w:r>
              <w:rPr>
                <w:rFonts w:hint="eastAsia" w:asciiTheme="minorEastAsia" w:hAnsiTheme="minorEastAsia" w:eastAsiaTheme="minorEastAsia" w:cstheme="minorEastAsia"/>
                <w:color w:val="auto"/>
                <w:spacing w:val="0"/>
                <w:w w:val="100"/>
                <w:position w:val="0"/>
                <w:sz w:val="21"/>
                <w:szCs w:val="21"/>
                <w:highlight w:val="none"/>
                <w:lang w:val="en-US" w:eastAsia="zh-CN"/>
              </w:rPr>
              <w:t>专业</w:t>
            </w:r>
            <w:r>
              <w:rPr>
                <w:rFonts w:hint="eastAsia" w:asciiTheme="minorEastAsia" w:hAnsiTheme="minorEastAsia" w:eastAsiaTheme="minorEastAsia" w:cstheme="minorEastAsia"/>
                <w:color w:val="auto"/>
                <w:spacing w:val="0"/>
                <w:w w:val="100"/>
                <w:position w:val="0"/>
                <w:sz w:val="21"/>
                <w:szCs w:val="21"/>
                <w:highlight w:val="none"/>
              </w:rPr>
              <w:t>以及配套</w:t>
            </w:r>
            <w:r>
              <w:rPr>
                <w:rFonts w:hint="eastAsia" w:asciiTheme="minorEastAsia" w:hAnsiTheme="minorEastAsia" w:eastAsiaTheme="minorEastAsia" w:cstheme="minorEastAsia"/>
                <w:color w:val="auto"/>
                <w:spacing w:val="0"/>
                <w:w w:val="100"/>
                <w:position w:val="0"/>
                <w:sz w:val="21"/>
                <w:szCs w:val="21"/>
                <w:highlight w:val="none"/>
                <w:lang w:val="en-US" w:eastAsia="zh-CN"/>
              </w:rPr>
              <w:t>等</w:t>
            </w:r>
            <w:r>
              <w:rPr>
                <w:rFonts w:hint="eastAsia" w:asciiTheme="minorEastAsia" w:hAnsiTheme="minorEastAsia" w:eastAsiaTheme="minorEastAsia" w:cstheme="minorEastAsia"/>
                <w:color w:val="auto"/>
                <w:spacing w:val="0"/>
                <w:w w:val="100"/>
                <w:position w:val="0"/>
                <w:sz w:val="21"/>
                <w:szCs w:val="21"/>
                <w:highlight w:val="none"/>
                <w:lang w:eastAsia="zh-CN"/>
              </w:rPr>
              <w:t>）</w:t>
            </w:r>
            <w:r>
              <w:rPr>
                <w:rFonts w:hint="eastAsia" w:asciiTheme="minorEastAsia" w:hAnsiTheme="minorEastAsia" w:eastAsiaTheme="minorEastAsia" w:cstheme="minorEastAsia"/>
                <w:color w:val="auto"/>
                <w:spacing w:val="0"/>
                <w:w w:val="100"/>
                <w:position w:val="0"/>
                <w:sz w:val="21"/>
                <w:szCs w:val="21"/>
                <w:highlight w:val="none"/>
              </w:rPr>
              <w:t>的方案，并考虑与装修效果图的协调，对设计任务书内的设计要求响应充分。</w:t>
            </w:r>
          </w:p>
          <w:p w14:paraId="3DECEFC0">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优[</w:t>
            </w:r>
            <w:r>
              <w:rPr>
                <w:rFonts w:hint="eastAsia" w:asciiTheme="minorEastAsia" w:hAnsiTheme="minorEastAsia" w:eastAsiaTheme="minorEastAsia" w:cstheme="minorEastAsia"/>
                <w:color w:val="auto"/>
                <w:spacing w:val="0"/>
                <w:w w:val="100"/>
                <w:position w:val="0"/>
                <w:sz w:val="21"/>
                <w:szCs w:val="21"/>
                <w:highlight w:val="none"/>
                <w:lang w:val="en-US" w:eastAsia="zh-CN"/>
              </w:rPr>
              <w:t>30</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20</w:t>
            </w:r>
            <w:r>
              <w:rPr>
                <w:rFonts w:hint="eastAsia" w:asciiTheme="minorEastAsia" w:hAnsiTheme="minorEastAsia" w:eastAsiaTheme="minorEastAsia" w:cstheme="minorEastAsia"/>
                <w:color w:val="auto"/>
                <w:spacing w:val="0"/>
                <w:w w:val="100"/>
                <w:position w:val="0"/>
                <w:sz w:val="21"/>
                <w:szCs w:val="21"/>
                <w:highlight w:val="none"/>
              </w:rPr>
              <w:t>)分；良[</w:t>
            </w:r>
            <w:r>
              <w:rPr>
                <w:rFonts w:hint="eastAsia" w:asciiTheme="minorEastAsia" w:hAnsiTheme="minorEastAsia" w:eastAsiaTheme="minorEastAsia" w:cstheme="minorEastAsia"/>
                <w:color w:val="auto"/>
                <w:spacing w:val="0"/>
                <w:w w:val="100"/>
                <w:position w:val="0"/>
                <w:sz w:val="21"/>
                <w:szCs w:val="21"/>
                <w:highlight w:val="none"/>
                <w:lang w:val="en-US" w:eastAsia="zh-CN"/>
              </w:rPr>
              <w:t>20</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15</w:t>
            </w:r>
            <w:r>
              <w:rPr>
                <w:rFonts w:hint="eastAsia" w:asciiTheme="minorEastAsia" w:hAnsiTheme="minorEastAsia" w:eastAsiaTheme="minorEastAsia" w:cstheme="minorEastAsia"/>
                <w:color w:val="auto"/>
                <w:spacing w:val="0"/>
                <w:w w:val="100"/>
                <w:position w:val="0"/>
                <w:sz w:val="21"/>
                <w:szCs w:val="21"/>
                <w:highlight w:val="none"/>
              </w:rPr>
              <w:t>）分；中[</w:t>
            </w:r>
            <w:r>
              <w:rPr>
                <w:rFonts w:hint="eastAsia" w:asciiTheme="minorEastAsia" w:hAnsiTheme="minorEastAsia" w:eastAsiaTheme="minorEastAsia" w:cstheme="minorEastAsia"/>
                <w:color w:val="auto"/>
                <w:spacing w:val="0"/>
                <w:w w:val="100"/>
                <w:position w:val="0"/>
                <w:sz w:val="21"/>
                <w:szCs w:val="21"/>
                <w:highlight w:val="none"/>
                <w:lang w:val="en-US" w:eastAsia="zh-CN"/>
              </w:rPr>
              <w:t>15</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10</w:t>
            </w:r>
            <w:r>
              <w:rPr>
                <w:rFonts w:hint="eastAsia" w:asciiTheme="minorEastAsia" w:hAnsiTheme="minorEastAsia" w:eastAsiaTheme="minorEastAsia" w:cstheme="minorEastAsia"/>
                <w:color w:val="auto"/>
                <w:spacing w:val="0"/>
                <w:w w:val="100"/>
                <w:position w:val="0"/>
                <w:sz w:val="21"/>
                <w:szCs w:val="21"/>
                <w:highlight w:val="none"/>
              </w:rPr>
              <w:t>）分；差[</w:t>
            </w:r>
            <w:r>
              <w:rPr>
                <w:rFonts w:hint="eastAsia" w:asciiTheme="minorEastAsia" w:hAnsiTheme="minorEastAsia" w:eastAsiaTheme="minorEastAsia" w:cstheme="minorEastAsia"/>
                <w:color w:val="auto"/>
                <w:spacing w:val="0"/>
                <w:w w:val="100"/>
                <w:position w:val="0"/>
                <w:sz w:val="21"/>
                <w:szCs w:val="21"/>
                <w:highlight w:val="none"/>
                <w:lang w:val="en-US" w:eastAsia="zh-CN"/>
              </w:rPr>
              <w:t>10</w:t>
            </w:r>
            <w:r>
              <w:rPr>
                <w:rFonts w:hint="eastAsia" w:asciiTheme="minorEastAsia" w:hAnsiTheme="minorEastAsia" w:eastAsiaTheme="minorEastAsia" w:cstheme="minorEastAsia"/>
                <w:color w:val="auto"/>
                <w:spacing w:val="0"/>
                <w:w w:val="100"/>
                <w:position w:val="0"/>
                <w:sz w:val="21"/>
                <w:szCs w:val="21"/>
                <w:highlight w:val="none"/>
              </w:rPr>
              <w:t>-0]分。</w:t>
            </w:r>
          </w:p>
        </w:tc>
        <w:tc>
          <w:tcPr>
            <w:tcW w:w="377" w:type="pct"/>
            <w:noWrap w:val="0"/>
            <w:vAlign w:val="center"/>
          </w:tcPr>
          <w:p w14:paraId="41A2827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lang w:val="en-US" w:eastAsia="zh-CN"/>
              </w:rPr>
            </w:pPr>
            <w:r>
              <w:rPr>
                <w:rFonts w:hint="eastAsia" w:asciiTheme="minorEastAsia" w:hAnsiTheme="minorEastAsia" w:eastAsiaTheme="minorEastAsia" w:cstheme="minorEastAsia"/>
                <w:color w:val="auto"/>
                <w:spacing w:val="0"/>
                <w:w w:val="100"/>
                <w:position w:val="0"/>
                <w:sz w:val="21"/>
                <w:szCs w:val="21"/>
                <w:highlight w:val="none"/>
                <w:lang w:val="en-US" w:eastAsia="zh-CN"/>
              </w:rPr>
              <w:t>30</w:t>
            </w:r>
          </w:p>
        </w:tc>
        <w:tc>
          <w:tcPr>
            <w:tcW w:w="383" w:type="pct"/>
            <w:noWrap w:val="0"/>
            <w:vAlign w:val="center"/>
          </w:tcPr>
          <w:p w14:paraId="6F6E6DBA">
            <w:pPr>
              <w:pStyle w:val="24"/>
              <w:keepNext w:val="0"/>
              <w:keepLines w:val="0"/>
              <w:pageBreakBefore w:val="0"/>
              <w:widowControl/>
              <w:kinsoku/>
              <w:wordWrap/>
              <w:overflowPunct/>
              <w:topLinePunct w:val="0"/>
              <w:autoSpaceDE w:val="0"/>
              <w:autoSpaceDN w:val="0"/>
              <w:bidi w:val="0"/>
              <w:adjustRightInd w:val="0"/>
              <w:snapToGrid w:val="0"/>
              <w:spacing w:before="0" w:after="0" w:line="360" w:lineRule="auto"/>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p>
        </w:tc>
      </w:tr>
      <w:tr w14:paraId="0657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 w:type="pct"/>
            <w:noWrap w:val="0"/>
            <w:vAlign w:val="center"/>
          </w:tcPr>
          <w:p w14:paraId="33B3FE4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lang w:val="en-US" w:eastAsia="zh-CN"/>
              </w:rPr>
            </w:pPr>
            <w:r>
              <w:rPr>
                <w:rFonts w:hint="eastAsia" w:asciiTheme="minorEastAsia" w:hAnsiTheme="minorEastAsia" w:eastAsiaTheme="minorEastAsia" w:cstheme="minorEastAsia"/>
                <w:color w:val="auto"/>
                <w:spacing w:val="0"/>
                <w:w w:val="100"/>
                <w:position w:val="0"/>
                <w:sz w:val="21"/>
                <w:szCs w:val="21"/>
                <w:highlight w:val="none"/>
                <w:lang w:val="en-US" w:eastAsia="zh-CN"/>
              </w:rPr>
              <w:t>5</w:t>
            </w:r>
          </w:p>
        </w:tc>
        <w:tc>
          <w:tcPr>
            <w:tcW w:w="525" w:type="pct"/>
            <w:noWrap w:val="0"/>
            <w:vAlign w:val="center"/>
          </w:tcPr>
          <w:p w14:paraId="4B60FFF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b w:val="0"/>
                <w:color w:val="auto"/>
                <w:spacing w:val="0"/>
                <w:w w:val="100"/>
                <w:position w:val="0"/>
                <w:sz w:val="21"/>
                <w:szCs w:val="21"/>
                <w:highlight w:val="none"/>
                <w:lang w:bidi="ar"/>
              </w:rPr>
              <w:t>绿色节能</w:t>
            </w:r>
          </w:p>
        </w:tc>
        <w:tc>
          <w:tcPr>
            <w:tcW w:w="3418" w:type="pct"/>
            <w:noWrap w:val="0"/>
            <w:vAlign w:val="center"/>
          </w:tcPr>
          <w:p w14:paraId="59E4F2D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both"/>
              <w:textAlignment w:val="baseline"/>
              <w:rPr>
                <w:rFonts w:hint="eastAsia" w:asciiTheme="minorEastAsia" w:hAnsiTheme="minorEastAsia" w:eastAsiaTheme="minorEastAsia" w:cstheme="minorEastAsia"/>
                <w:color w:val="auto"/>
                <w:spacing w:val="0"/>
                <w:w w:val="100"/>
                <w:position w:val="0"/>
                <w:sz w:val="21"/>
                <w:szCs w:val="21"/>
                <w:highlight w:val="none"/>
                <w:lang w:bidi="ar"/>
              </w:rPr>
            </w:pPr>
            <w:r>
              <w:rPr>
                <w:rFonts w:hint="eastAsia" w:asciiTheme="minorEastAsia" w:hAnsiTheme="minorEastAsia" w:eastAsiaTheme="minorEastAsia" w:cstheme="minorEastAsia"/>
                <w:color w:val="auto"/>
                <w:spacing w:val="0"/>
                <w:w w:val="100"/>
                <w:position w:val="0"/>
                <w:sz w:val="21"/>
                <w:szCs w:val="21"/>
                <w:highlight w:val="none"/>
                <w:lang w:bidi="ar"/>
              </w:rPr>
              <w:t>采取的绿色技术措施考虑地区的气候特点，节约资源、减少污染，提供健康</w:t>
            </w:r>
            <w:r>
              <w:rPr>
                <w:rFonts w:hint="eastAsia" w:asciiTheme="minorEastAsia" w:hAnsiTheme="minorEastAsia" w:eastAsiaTheme="minorEastAsia" w:cstheme="minorEastAsia"/>
                <w:color w:val="auto"/>
                <w:spacing w:val="0"/>
                <w:w w:val="100"/>
                <w:position w:val="0"/>
                <w:sz w:val="21"/>
                <w:szCs w:val="21"/>
                <w:highlight w:val="none"/>
                <w:lang w:val="en-US" w:eastAsia="zh-CN" w:bidi="ar"/>
              </w:rPr>
              <w:t>舒适</w:t>
            </w:r>
            <w:r>
              <w:rPr>
                <w:rFonts w:hint="eastAsia" w:asciiTheme="minorEastAsia" w:hAnsiTheme="minorEastAsia" w:eastAsiaTheme="minorEastAsia" w:cstheme="minorEastAsia"/>
                <w:color w:val="auto"/>
                <w:spacing w:val="0"/>
                <w:w w:val="100"/>
                <w:position w:val="0"/>
                <w:sz w:val="21"/>
                <w:szCs w:val="21"/>
                <w:highlight w:val="none"/>
                <w:lang w:bidi="ar"/>
              </w:rPr>
              <w:t>和高效的使用空间。</w:t>
            </w:r>
          </w:p>
          <w:p w14:paraId="2BD8040E">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both"/>
              <w:textAlignment w:val="baseline"/>
              <w:rPr>
                <w:rFonts w:hint="eastAsia" w:asciiTheme="minorEastAsia" w:hAnsiTheme="minorEastAsia" w:eastAsiaTheme="minorEastAsia" w:cstheme="minorEastAsia"/>
                <w:color w:val="auto"/>
                <w:spacing w:val="0"/>
                <w:w w:val="100"/>
                <w:position w:val="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优[</w:t>
            </w:r>
            <w:r>
              <w:rPr>
                <w:rFonts w:hint="eastAsia" w:asciiTheme="minorEastAsia" w:hAnsiTheme="minorEastAsia" w:eastAsiaTheme="minorEastAsia" w:cstheme="minorEastAsia"/>
                <w:color w:val="auto"/>
                <w:spacing w:val="0"/>
                <w:w w:val="100"/>
                <w:position w:val="0"/>
                <w:sz w:val="21"/>
                <w:szCs w:val="21"/>
                <w:highlight w:val="none"/>
                <w:lang w:val="en-US" w:eastAsia="zh-CN"/>
              </w:rPr>
              <w:t>5</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3</w:t>
            </w:r>
            <w:r>
              <w:rPr>
                <w:rFonts w:hint="eastAsia" w:asciiTheme="minorEastAsia" w:hAnsiTheme="minorEastAsia" w:eastAsiaTheme="minorEastAsia" w:cstheme="minorEastAsia"/>
                <w:color w:val="auto"/>
                <w:spacing w:val="0"/>
                <w:w w:val="100"/>
                <w:position w:val="0"/>
                <w:sz w:val="21"/>
                <w:szCs w:val="21"/>
                <w:highlight w:val="none"/>
              </w:rPr>
              <w:t>)分；良[</w:t>
            </w:r>
            <w:r>
              <w:rPr>
                <w:rFonts w:hint="eastAsia" w:asciiTheme="minorEastAsia" w:hAnsiTheme="minorEastAsia" w:eastAsiaTheme="minorEastAsia" w:cstheme="minorEastAsia"/>
                <w:color w:val="auto"/>
                <w:spacing w:val="0"/>
                <w:w w:val="100"/>
                <w:position w:val="0"/>
                <w:sz w:val="21"/>
                <w:szCs w:val="21"/>
                <w:highlight w:val="none"/>
                <w:lang w:val="en-US" w:eastAsia="zh-CN"/>
              </w:rPr>
              <w:t>3</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2</w:t>
            </w:r>
            <w:r>
              <w:rPr>
                <w:rFonts w:hint="eastAsia" w:asciiTheme="minorEastAsia" w:hAnsiTheme="minorEastAsia" w:eastAsiaTheme="minorEastAsia" w:cstheme="minorEastAsia"/>
                <w:color w:val="auto"/>
                <w:spacing w:val="0"/>
                <w:w w:val="100"/>
                <w:position w:val="0"/>
                <w:sz w:val="21"/>
                <w:szCs w:val="21"/>
                <w:highlight w:val="none"/>
              </w:rPr>
              <w:t>）分；中[</w:t>
            </w:r>
            <w:r>
              <w:rPr>
                <w:rFonts w:hint="eastAsia" w:asciiTheme="minorEastAsia" w:hAnsiTheme="minorEastAsia" w:eastAsiaTheme="minorEastAsia" w:cstheme="minorEastAsia"/>
                <w:color w:val="auto"/>
                <w:spacing w:val="0"/>
                <w:w w:val="100"/>
                <w:position w:val="0"/>
                <w:sz w:val="21"/>
                <w:szCs w:val="21"/>
                <w:highlight w:val="none"/>
                <w:lang w:val="en-US" w:eastAsia="zh-CN"/>
              </w:rPr>
              <w:t>2</w:t>
            </w:r>
            <w:r>
              <w:rPr>
                <w:rFonts w:hint="eastAsia" w:asciiTheme="minorEastAsia" w:hAnsiTheme="minorEastAsia" w:eastAsiaTheme="minorEastAsia" w:cstheme="minorEastAsia"/>
                <w:color w:val="auto"/>
                <w:spacing w:val="0"/>
                <w:w w:val="100"/>
                <w:position w:val="0"/>
                <w:sz w:val="21"/>
                <w:szCs w:val="21"/>
                <w:highlight w:val="none"/>
              </w:rPr>
              <w:t>-</w:t>
            </w:r>
            <w:r>
              <w:rPr>
                <w:rFonts w:hint="eastAsia" w:asciiTheme="minorEastAsia" w:hAnsiTheme="minorEastAsia" w:eastAsiaTheme="minorEastAsia" w:cstheme="minorEastAsia"/>
                <w:color w:val="auto"/>
                <w:spacing w:val="0"/>
                <w:w w:val="100"/>
                <w:position w:val="0"/>
                <w:sz w:val="21"/>
                <w:szCs w:val="21"/>
                <w:highlight w:val="none"/>
                <w:lang w:val="en-US" w:eastAsia="zh-CN"/>
              </w:rPr>
              <w:t>1</w:t>
            </w:r>
            <w:r>
              <w:rPr>
                <w:rFonts w:hint="eastAsia" w:asciiTheme="minorEastAsia" w:hAnsiTheme="minorEastAsia" w:eastAsiaTheme="minorEastAsia" w:cstheme="minorEastAsia"/>
                <w:color w:val="auto"/>
                <w:spacing w:val="0"/>
                <w:w w:val="100"/>
                <w:position w:val="0"/>
                <w:sz w:val="21"/>
                <w:szCs w:val="21"/>
                <w:highlight w:val="none"/>
              </w:rPr>
              <w:t>）分；差[</w:t>
            </w:r>
            <w:r>
              <w:rPr>
                <w:rFonts w:hint="eastAsia" w:asciiTheme="minorEastAsia" w:hAnsiTheme="minorEastAsia" w:eastAsiaTheme="minorEastAsia" w:cstheme="minorEastAsia"/>
                <w:color w:val="auto"/>
                <w:spacing w:val="0"/>
                <w:w w:val="100"/>
                <w:position w:val="0"/>
                <w:sz w:val="21"/>
                <w:szCs w:val="21"/>
                <w:highlight w:val="none"/>
                <w:lang w:val="en-US" w:eastAsia="zh-CN"/>
              </w:rPr>
              <w:t>1</w:t>
            </w:r>
            <w:r>
              <w:rPr>
                <w:rFonts w:hint="eastAsia" w:asciiTheme="minorEastAsia" w:hAnsiTheme="minorEastAsia" w:eastAsiaTheme="minorEastAsia" w:cstheme="minorEastAsia"/>
                <w:color w:val="auto"/>
                <w:spacing w:val="0"/>
                <w:w w:val="100"/>
                <w:position w:val="0"/>
                <w:sz w:val="21"/>
                <w:szCs w:val="21"/>
                <w:highlight w:val="none"/>
              </w:rPr>
              <w:t>-0]分。</w:t>
            </w:r>
          </w:p>
        </w:tc>
        <w:tc>
          <w:tcPr>
            <w:tcW w:w="377" w:type="pct"/>
            <w:noWrap w:val="0"/>
            <w:vAlign w:val="center"/>
          </w:tcPr>
          <w:p w14:paraId="6BAB8D3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heme="minorEastAsia" w:hAnsiTheme="minorEastAsia" w:eastAsiaTheme="minorEastAsia" w:cstheme="minorEastAsia"/>
                <w:color w:val="auto"/>
                <w:spacing w:val="0"/>
                <w:w w:val="100"/>
                <w:position w:val="0"/>
                <w:sz w:val="21"/>
                <w:szCs w:val="21"/>
                <w:highlight w:val="none"/>
                <w:lang w:val="en-US" w:eastAsia="zh-CN"/>
              </w:rPr>
            </w:pPr>
            <w:r>
              <w:rPr>
                <w:rFonts w:hint="eastAsia" w:asciiTheme="minorEastAsia" w:hAnsiTheme="minorEastAsia" w:eastAsiaTheme="minorEastAsia" w:cstheme="minorEastAsia"/>
                <w:b w:val="0"/>
                <w:color w:val="auto"/>
                <w:spacing w:val="0"/>
                <w:w w:val="100"/>
                <w:position w:val="0"/>
                <w:sz w:val="21"/>
                <w:szCs w:val="21"/>
                <w:highlight w:val="none"/>
                <w:lang w:val="en-US" w:eastAsia="zh-CN" w:bidi="ar"/>
              </w:rPr>
              <w:t>5</w:t>
            </w:r>
          </w:p>
        </w:tc>
        <w:tc>
          <w:tcPr>
            <w:tcW w:w="383" w:type="pct"/>
            <w:noWrap w:val="0"/>
            <w:vAlign w:val="center"/>
          </w:tcPr>
          <w:p w14:paraId="102CA9E9">
            <w:pPr>
              <w:pStyle w:val="24"/>
              <w:keepNext w:val="0"/>
              <w:keepLines w:val="0"/>
              <w:pageBreakBefore w:val="0"/>
              <w:widowControl/>
              <w:kinsoku/>
              <w:wordWrap/>
              <w:overflowPunct/>
              <w:topLinePunct w:val="0"/>
              <w:autoSpaceDE w:val="0"/>
              <w:autoSpaceDN w:val="0"/>
              <w:bidi w:val="0"/>
              <w:adjustRightInd w:val="0"/>
              <w:snapToGrid w:val="0"/>
              <w:spacing w:before="0" w:after="0" w:line="360" w:lineRule="auto"/>
              <w:jc w:val="center"/>
              <w:textAlignment w:val="baseline"/>
              <w:rPr>
                <w:rFonts w:hint="eastAsia" w:asciiTheme="minorEastAsia" w:hAnsiTheme="minorEastAsia" w:eastAsiaTheme="minorEastAsia" w:cstheme="minorEastAsia"/>
                <w:color w:val="auto"/>
                <w:spacing w:val="0"/>
                <w:w w:val="100"/>
                <w:position w:val="0"/>
                <w:sz w:val="21"/>
                <w:szCs w:val="21"/>
                <w:highlight w:val="none"/>
              </w:rPr>
            </w:pPr>
          </w:p>
        </w:tc>
      </w:tr>
    </w:tbl>
    <w:p w14:paraId="0B9E48EB">
      <w:pPr>
        <w:keepNext w:val="0"/>
        <w:keepLines w:val="0"/>
        <w:pageBreakBefore w:val="0"/>
        <w:kinsoku/>
        <w:bidi w:val="0"/>
        <w:spacing w:before="107" w:line="273" w:lineRule="auto"/>
        <w:ind w:left="15" w:right="369" w:firstLine="534"/>
        <w:rPr>
          <w:rFonts w:hint="eastAsia" w:hAnsi="Times New Roman"/>
          <w:color w:val="auto"/>
          <w:spacing w:val="0"/>
          <w:w w:val="100"/>
          <w:position w:val="0"/>
          <w:sz w:val="21"/>
          <w:highlight w:val="none"/>
        </w:rPr>
      </w:pPr>
    </w:p>
    <w:p w14:paraId="4F17DDA8">
      <w:pPr>
        <w:keepNext w:val="0"/>
        <w:keepLines w:val="0"/>
        <w:pageBreakBefore w:val="0"/>
        <w:kinsoku/>
        <w:bidi w:val="0"/>
        <w:spacing w:before="107" w:line="273" w:lineRule="auto"/>
        <w:ind w:left="15" w:right="369" w:firstLine="534"/>
        <w:rPr>
          <w:rFonts w:hint="eastAsia" w:asciiTheme="minorEastAsia" w:hAnsiTheme="minorEastAsia" w:eastAsiaTheme="minorEastAsia" w:cstheme="minorEastAsia"/>
          <w:color w:val="auto"/>
          <w:spacing w:val="0"/>
          <w:w w:val="100"/>
          <w:position w:val="0"/>
          <w:sz w:val="20"/>
          <w:szCs w:val="20"/>
          <w:highlight w:val="none"/>
          <w:lang w:eastAsia="zh-CN"/>
        </w:rPr>
      </w:pPr>
      <w:r>
        <w:rPr>
          <w:rFonts w:hint="eastAsia" w:asciiTheme="minorEastAsia" w:hAnsiTheme="minorEastAsia" w:eastAsiaTheme="minorEastAsia" w:cstheme="minorEastAsia"/>
          <w:color w:val="auto"/>
          <w:spacing w:val="0"/>
          <w:w w:val="100"/>
          <w:position w:val="0"/>
          <w:sz w:val="20"/>
          <w:szCs w:val="20"/>
          <w:highlight w:val="none"/>
          <w:lang w:eastAsia="zh-CN"/>
        </w:rPr>
        <w:t>评委签名：                                        日期：</w:t>
      </w:r>
    </w:p>
    <w:p w14:paraId="452D9B38">
      <w:pPr>
        <w:keepNext w:val="0"/>
        <w:keepLines w:val="0"/>
        <w:pageBreakBefore w:val="0"/>
        <w:kinsoku/>
        <w:bidi w:val="0"/>
        <w:spacing w:before="107" w:line="273" w:lineRule="auto"/>
        <w:ind w:left="15" w:right="369" w:firstLine="534"/>
        <w:rPr>
          <w:rFonts w:ascii="宋体" w:hAnsi="宋体" w:eastAsia="宋体" w:cs="宋体"/>
          <w:b/>
          <w:bCs/>
          <w:color w:val="auto"/>
          <w:spacing w:val="0"/>
          <w:w w:val="100"/>
          <w:position w:val="0"/>
          <w:sz w:val="30"/>
          <w:szCs w:val="30"/>
          <w:highlight w:val="none"/>
          <w:lang w:eastAsia="zh-CN"/>
        </w:rPr>
      </w:pPr>
    </w:p>
    <w:p w14:paraId="58B8BA05">
      <w:pPr>
        <w:keepNext w:val="0"/>
        <w:keepLines w:val="0"/>
        <w:pageBreakBefore w:val="0"/>
        <w:kinsoku/>
        <w:bidi w:val="0"/>
        <w:rPr>
          <w:rFonts w:ascii="宋体" w:hAnsi="宋体" w:eastAsia="宋体" w:cs="宋体"/>
          <w:b/>
          <w:bCs/>
          <w:color w:val="auto"/>
          <w:spacing w:val="0"/>
          <w:w w:val="100"/>
          <w:position w:val="0"/>
          <w:sz w:val="30"/>
          <w:szCs w:val="30"/>
          <w:highlight w:val="none"/>
          <w:lang w:eastAsia="zh-CN"/>
        </w:rPr>
      </w:pPr>
      <w:r>
        <w:rPr>
          <w:rFonts w:ascii="宋体" w:hAnsi="宋体" w:eastAsia="宋体" w:cs="宋体"/>
          <w:b/>
          <w:bCs/>
          <w:color w:val="auto"/>
          <w:spacing w:val="0"/>
          <w:w w:val="100"/>
          <w:position w:val="0"/>
          <w:sz w:val="30"/>
          <w:szCs w:val="30"/>
          <w:highlight w:val="none"/>
          <w:lang w:eastAsia="zh-CN"/>
        </w:rPr>
        <w:br w:type="page"/>
      </w:r>
    </w:p>
    <w:p w14:paraId="1F82E407">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291" w:name="_Toc4959"/>
      <w:bookmarkStart w:id="292" w:name="_Toc31685"/>
      <w:bookmarkStart w:id="293" w:name="_Toc17350"/>
      <w:bookmarkStart w:id="294" w:name="_Toc24688"/>
      <w:bookmarkStart w:id="295" w:name="_Toc17389"/>
      <w:r>
        <w:rPr>
          <w:rFonts w:hint="eastAsia" w:ascii="宋体" w:hAnsi="宋体" w:eastAsia="宋体" w:cs="宋体"/>
          <w:b/>
          <w:bCs/>
          <w:color w:val="auto"/>
          <w:spacing w:val="0"/>
          <w:w w:val="100"/>
          <w:position w:val="0"/>
          <w:sz w:val="30"/>
          <w:szCs w:val="30"/>
          <w:highlight w:val="none"/>
          <w:lang w:eastAsia="zh-CN"/>
        </w:rPr>
        <w:t>附表6：评标阶段经济标详细审查评分标准</w:t>
      </w:r>
      <w:bookmarkEnd w:id="291"/>
      <w:bookmarkEnd w:id="292"/>
      <w:bookmarkEnd w:id="293"/>
      <w:bookmarkEnd w:id="294"/>
      <w:bookmarkEnd w:id="295"/>
    </w:p>
    <w:p w14:paraId="37F7C0B0">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ascii="宋体" w:hAnsi="宋体" w:eastAsia="宋体" w:cs="宋体"/>
          <w:b/>
          <w:bCs/>
          <w:color w:val="auto"/>
          <w:spacing w:val="0"/>
          <w:w w:val="100"/>
          <w:position w:val="0"/>
          <w:sz w:val="30"/>
          <w:szCs w:val="30"/>
          <w:highlight w:val="none"/>
          <w:lang w:eastAsia="zh-CN"/>
        </w:rPr>
      </w:pPr>
      <w:r>
        <w:rPr>
          <w:rFonts w:ascii="宋体" w:hAnsi="宋体" w:eastAsia="宋体" w:cs="宋体"/>
          <w:b/>
          <w:bCs/>
          <w:color w:val="auto"/>
          <w:spacing w:val="0"/>
          <w:w w:val="100"/>
          <w:position w:val="0"/>
          <w:sz w:val="30"/>
          <w:szCs w:val="30"/>
          <w:highlight w:val="none"/>
          <w:lang w:eastAsia="zh-CN"/>
        </w:rPr>
        <w:t>评标阶段经济标详细审查评分标准</w:t>
      </w:r>
    </w:p>
    <w:tbl>
      <w:tblPr>
        <w:tblStyle w:val="19"/>
        <w:tblW w:w="143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9"/>
        <w:gridCol w:w="1010"/>
        <w:gridCol w:w="1007"/>
        <w:gridCol w:w="1008"/>
        <w:gridCol w:w="1007"/>
        <w:gridCol w:w="1006"/>
        <w:gridCol w:w="1007"/>
        <w:gridCol w:w="1007"/>
        <w:gridCol w:w="1007"/>
        <w:gridCol w:w="1007"/>
        <w:gridCol w:w="1007"/>
        <w:gridCol w:w="1007"/>
        <w:gridCol w:w="1037"/>
      </w:tblGrid>
      <w:tr w14:paraId="2E5D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279" w:type="dxa"/>
            <w:vAlign w:val="center"/>
          </w:tcPr>
          <w:p w14:paraId="2BFDF1AB">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r>
              <w:rPr>
                <w:color w:val="auto"/>
                <w:spacing w:val="0"/>
                <w:w w:val="100"/>
                <w:position w:val="0"/>
                <w:sz w:val="20"/>
                <w:szCs w:val="20"/>
                <w:highlight w:val="none"/>
              </w:rPr>
              <w:t>投标人名称</w:t>
            </w:r>
          </w:p>
        </w:tc>
        <w:tc>
          <w:tcPr>
            <w:tcW w:w="1010" w:type="dxa"/>
            <w:vAlign w:val="center"/>
          </w:tcPr>
          <w:p w14:paraId="482CFA26">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00855EA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8" w:type="dxa"/>
            <w:vAlign w:val="center"/>
          </w:tcPr>
          <w:p w14:paraId="178D22E8">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1C80E9E3">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6" w:type="dxa"/>
            <w:vAlign w:val="center"/>
          </w:tcPr>
          <w:p w14:paraId="1899730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51DDE523">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48AC43E6">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13B597FD">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389478B0">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32E6BF1F">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07" w:type="dxa"/>
            <w:vAlign w:val="center"/>
          </w:tcPr>
          <w:p w14:paraId="593ED12A">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c>
          <w:tcPr>
            <w:tcW w:w="1037" w:type="dxa"/>
            <w:vAlign w:val="center"/>
          </w:tcPr>
          <w:p w14:paraId="59EB2E58">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p>
        </w:tc>
      </w:tr>
      <w:tr w14:paraId="552D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279" w:type="dxa"/>
            <w:vAlign w:val="center"/>
          </w:tcPr>
          <w:p w14:paraId="5F1B2848">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right="109" w:firstLine="5"/>
              <w:jc w:val="center"/>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工程施工费投标报价PT（元）</w:t>
            </w:r>
          </w:p>
        </w:tc>
        <w:tc>
          <w:tcPr>
            <w:tcW w:w="1010" w:type="dxa"/>
            <w:vAlign w:val="center"/>
          </w:tcPr>
          <w:p w14:paraId="2FE53A88">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8034E3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8" w:type="dxa"/>
            <w:vAlign w:val="center"/>
          </w:tcPr>
          <w:p w14:paraId="01DC99E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70816EC">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6" w:type="dxa"/>
            <w:vAlign w:val="center"/>
          </w:tcPr>
          <w:p w14:paraId="5C640878">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4A5BEED">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659A3E6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6958A0A6">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817F918">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1ABBB9B4">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2ECFF9C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37" w:type="dxa"/>
            <w:vAlign w:val="center"/>
          </w:tcPr>
          <w:p w14:paraId="7BADCA10">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r>
      <w:tr w14:paraId="78007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279" w:type="dxa"/>
            <w:vAlign w:val="center"/>
          </w:tcPr>
          <w:p w14:paraId="56C4059E">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r>
              <w:rPr>
                <w:color w:val="auto"/>
                <w:spacing w:val="0"/>
                <w:w w:val="100"/>
                <w:position w:val="0"/>
                <w:sz w:val="20"/>
                <w:szCs w:val="20"/>
                <w:highlight w:val="none"/>
              </w:rPr>
              <w:t>计算参考数据</w:t>
            </w:r>
          </w:p>
        </w:tc>
        <w:tc>
          <w:tcPr>
            <w:tcW w:w="12117" w:type="dxa"/>
            <w:gridSpan w:val="12"/>
            <w:vAlign w:val="center"/>
          </w:tcPr>
          <w:p w14:paraId="391865A6">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jc w:val="both"/>
              <w:textAlignment w:val="baseline"/>
              <w:rPr>
                <w:color w:val="auto"/>
                <w:spacing w:val="0"/>
                <w:w w:val="100"/>
                <w:position w:val="0"/>
                <w:sz w:val="20"/>
                <w:szCs w:val="20"/>
                <w:highlight w:val="none"/>
                <w:lang w:eastAsia="zh-CN"/>
              </w:rPr>
            </w:pPr>
            <w:r>
              <w:rPr>
                <w:color w:val="auto"/>
                <w:spacing w:val="0"/>
                <w:w w:val="100"/>
                <w:position w:val="0"/>
                <w:sz w:val="20"/>
                <w:szCs w:val="20"/>
                <w:highlight w:val="none"/>
                <w:lang w:eastAsia="zh-CN"/>
              </w:rPr>
              <w:t>评标参考价（PC）：</w:t>
            </w:r>
          </w:p>
        </w:tc>
      </w:tr>
      <w:tr w14:paraId="79D0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279" w:type="dxa"/>
            <w:vAlign w:val="center"/>
          </w:tcPr>
          <w:p w14:paraId="44D5E832">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r>
              <w:rPr>
                <w:color w:val="auto"/>
                <w:spacing w:val="0"/>
                <w:w w:val="100"/>
                <w:position w:val="0"/>
                <w:sz w:val="20"/>
                <w:szCs w:val="20"/>
                <w:highlight w:val="none"/>
              </w:rPr>
              <w:t>偏差（（PT-PC）/PC）（%）</w:t>
            </w:r>
          </w:p>
        </w:tc>
        <w:tc>
          <w:tcPr>
            <w:tcW w:w="1010" w:type="dxa"/>
            <w:vAlign w:val="center"/>
          </w:tcPr>
          <w:p w14:paraId="5D39B116">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94B7A8D">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8" w:type="dxa"/>
            <w:vAlign w:val="center"/>
          </w:tcPr>
          <w:p w14:paraId="2FA939B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A1891D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6" w:type="dxa"/>
            <w:vAlign w:val="center"/>
          </w:tcPr>
          <w:p w14:paraId="6BA026A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79F7689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23749BB6">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4B865EC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7CEE9A9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68AE33DA">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7E0822A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37" w:type="dxa"/>
            <w:vAlign w:val="center"/>
          </w:tcPr>
          <w:p w14:paraId="19269FE3">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r>
      <w:tr w14:paraId="6589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279" w:type="dxa"/>
            <w:vAlign w:val="center"/>
          </w:tcPr>
          <w:p w14:paraId="512E1D03">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r>
              <w:rPr>
                <w:color w:val="auto"/>
                <w:spacing w:val="0"/>
                <w:w w:val="100"/>
                <w:position w:val="0"/>
                <w:sz w:val="20"/>
                <w:szCs w:val="20"/>
                <w:highlight w:val="none"/>
              </w:rPr>
              <w:t>减分（A）</w:t>
            </w:r>
          </w:p>
        </w:tc>
        <w:tc>
          <w:tcPr>
            <w:tcW w:w="1010" w:type="dxa"/>
            <w:vAlign w:val="center"/>
          </w:tcPr>
          <w:p w14:paraId="711BD2A1">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536C62D3">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8" w:type="dxa"/>
            <w:vAlign w:val="center"/>
          </w:tcPr>
          <w:p w14:paraId="001807B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34EC501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6" w:type="dxa"/>
            <w:vAlign w:val="center"/>
          </w:tcPr>
          <w:p w14:paraId="68C8878C">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7004F87F">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9BE1CE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5D67414D">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5D41051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226CD5DD">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445553F4">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37" w:type="dxa"/>
            <w:vAlign w:val="center"/>
          </w:tcPr>
          <w:p w14:paraId="18829B3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r>
      <w:tr w14:paraId="66423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279" w:type="dxa"/>
            <w:vAlign w:val="center"/>
          </w:tcPr>
          <w:p w14:paraId="6B475B3B">
            <w:pPr>
              <w:pStyle w:val="20"/>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rPr>
            </w:pPr>
            <w:r>
              <w:rPr>
                <w:color w:val="auto"/>
                <w:spacing w:val="0"/>
                <w:w w:val="100"/>
                <w:position w:val="0"/>
                <w:sz w:val="20"/>
                <w:szCs w:val="20"/>
                <w:highlight w:val="none"/>
              </w:rPr>
              <w:t>得分(I=100-A)</w:t>
            </w:r>
          </w:p>
        </w:tc>
        <w:tc>
          <w:tcPr>
            <w:tcW w:w="1010" w:type="dxa"/>
            <w:vAlign w:val="center"/>
          </w:tcPr>
          <w:p w14:paraId="2B83E55D">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7E02EF3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8" w:type="dxa"/>
            <w:vAlign w:val="center"/>
          </w:tcPr>
          <w:p w14:paraId="51A0B174">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1CC4954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6" w:type="dxa"/>
            <w:vAlign w:val="center"/>
          </w:tcPr>
          <w:p w14:paraId="3C9F41A6">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44A63F04">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38CC61C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13CF192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0B03F60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32027217">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07" w:type="dxa"/>
            <w:vAlign w:val="center"/>
          </w:tcPr>
          <w:p w14:paraId="22DFA663">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c>
          <w:tcPr>
            <w:tcW w:w="1037" w:type="dxa"/>
            <w:vAlign w:val="center"/>
          </w:tcPr>
          <w:p w14:paraId="78FEE91F">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color w:val="auto"/>
                <w:spacing w:val="0"/>
                <w:w w:val="100"/>
                <w:position w:val="0"/>
                <w:sz w:val="20"/>
                <w:szCs w:val="20"/>
                <w:highlight w:val="none"/>
                <w:lang w:eastAsia="zh-CN"/>
              </w:rPr>
            </w:pPr>
          </w:p>
        </w:tc>
      </w:tr>
    </w:tbl>
    <w:p w14:paraId="54F61C5D">
      <w:pPr>
        <w:keepNext w:val="0"/>
        <w:keepLines w:val="0"/>
        <w:pageBreakBefore w:val="0"/>
        <w:widowControl/>
        <w:kinsoku/>
        <w:wordWrap/>
        <w:overflowPunct/>
        <w:topLinePunct w:val="0"/>
        <w:autoSpaceDE w:val="0"/>
        <w:autoSpaceDN w:val="0"/>
        <w:bidi w:val="0"/>
        <w:adjustRightInd w:val="0"/>
        <w:snapToGrid w:val="0"/>
        <w:spacing w:line="312" w:lineRule="auto"/>
        <w:ind w:left="0" w:right="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b/>
          <w:bCs/>
          <w:color w:val="auto"/>
          <w:spacing w:val="0"/>
          <w:w w:val="100"/>
          <w:position w:val="0"/>
          <w:sz w:val="20"/>
          <w:szCs w:val="20"/>
          <w:highlight w:val="none"/>
          <w:lang w:val="en-US" w:eastAsia="zh-CN"/>
        </w:rPr>
        <w:t>注：</w:t>
      </w:r>
      <w:r>
        <w:rPr>
          <w:rFonts w:hint="eastAsia" w:ascii="宋体" w:hAnsi="宋体" w:eastAsia="宋体" w:cs="宋体"/>
          <w:color w:val="auto"/>
          <w:spacing w:val="0"/>
          <w:w w:val="100"/>
          <w:position w:val="0"/>
          <w:sz w:val="20"/>
          <w:szCs w:val="20"/>
          <w:highlight w:val="none"/>
          <w:lang w:eastAsia="zh-CN"/>
        </w:rPr>
        <w:t>（1）经评审的工程施工费投标报价低于成本警戒价的投标文件，不参加投标报价评分，其投标报价得分为0分。</w:t>
      </w:r>
    </w:p>
    <w:p w14:paraId="3719DDCD">
      <w:pPr>
        <w:keepNext w:val="0"/>
        <w:keepLines w:val="0"/>
        <w:pageBreakBefore w:val="0"/>
        <w:widowControl/>
        <w:kinsoku/>
        <w:wordWrap/>
        <w:overflowPunct/>
        <w:topLinePunct w:val="0"/>
        <w:autoSpaceDE w:val="0"/>
        <w:autoSpaceDN w:val="0"/>
        <w:bidi w:val="0"/>
        <w:adjustRightInd w:val="0"/>
        <w:snapToGrid w:val="0"/>
        <w:spacing w:line="312" w:lineRule="auto"/>
        <w:ind w:left="0" w:righ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确定评标参考价：以通过初步评审并经算术校核的投标人的工程施工费投标报价中，设在[成本警戒价，工程施工费最高投标限价×95%]区间的工程施工费投标报价数量为G,上述G个投标人的设计方案、工程总承包实施方案</w:t>
      </w:r>
      <w:r>
        <w:rPr>
          <w:rFonts w:hint="eastAsia" w:ascii="宋体" w:hAnsi="宋体" w:eastAsia="宋体" w:cs="宋体"/>
          <w:color w:val="auto"/>
          <w:spacing w:val="0"/>
          <w:w w:val="100"/>
          <w:position w:val="0"/>
          <w:sz w:val="20"/>
          <w:szCs w:val="20"/>
          <w:highlight w:val="none"/>
          <w:lang w:val="en-US" w:eastAsia="zh-CN"/>
        </w:rPr>
        <w:t>详细</w:t>
      </w:r>
      <w:r>
        <w:rPr>
          <w:rFonts w:hint="eastAsia" w:ascii="宋体" w:hAnsi="宋体" w:eastAsia="宋体" w:cs="宋体"/>
          <w:color w:val="auto"/>
          <w:spacing w:val="0"/>
          <w:w w:val="100"/>
          <w:position w:val="0"/>
          <w:sz w:val="20"/>
          <w:szCs w:val="20"/>
          <w:highlight w:val="none"/>
          <w:lang w:eastAsia="zh-CN"/>
        </w:rPr>
        <w:t>评审的</w:t>
      </w:r>
      <w:r>
        <w:rPr>
          <w:rFonts w:hint="eastAsia" w:ascii="宋体" w:hAnsi="宋体" w:eastAsia="宋体" w:cs="宋体"/>
          <w:color w:val="auto"/>
          <w:spacing w:val="0"/>
          <w:w w:val="100"/>
          <w:position w:val="0"/>
          <w:sz w:val="20"/>
          <w:szCs w:val="20"/>
          <w:highlight w:val="none"/>
          <w:lang w:val="en-US" w:eastAsia="zh-CN"/>
        </w:rPr>
        <w:t>汇总</w:t>
      </w:r>
      <w:r>
        <w:rPr>
          <w:rFonts w:hint="eastAsia" w:ascii="宋体" w:hAnsi="宋体" w:eastAsia="宋体" w:cs="宋体"/>
          <w:color w:val="auto"/>
          <w:spacing w:val="0"/>
          <w:w w:val="100"/>
          <w:position w:val="0"/>
          <w:sz w:val="20"/>
          <w:szCs w:val="20"/>
          <w:highlight w:val="none"/>
          <w:lang w:eastAsia="zh-CN"/>
        </w:rPr>
        <w:t>得分由高至低排序（总分相等时，以工程总承包实施方案部分得分高的排前；如仍存在相同情况，则以设计方案部分得分高的排前。工程总承包实施方案部分得分和设计方案部分得分均相同的投标文件，以投标总报价较低的排前；如仍存在相同情况，则对具有相同情况的投标人，由评标委员会采用记名投票方式确定排序），将设计方案、工程总承包实施方案</w:t>
      </w:r>
      <w:r>
        <w:rPr>
          <w:rFonts w:hint="eastAsia" w:ascii="宋体" w:hAnsi="宋体" w:eastAsia="宋体" w:cs="宋体"/>
          <w:color w:val="auto"/>
          <w:spacing w:val="0"/>
          <w:w w:val="100"/>
          <w:position w:val="0"/>
          <w:sz w:val="20"/>
          <w:szCs w:val="20"/>
          <w:highlight w:val="none"/>
          <w:lang w:val="en-US" w:eastAsia="zh-CN"/>
        </w:rPr>
        <w:t>详细</w:t>
      </w:r>
      <w:r>
        <w:rPr>
          <w:rFonts w:hint="eastAsia" w:ascii="宋体" w:hAnsi="宋体" w:eastAsia="宋体" w:cs="宋体"/>
          <w:color w:val="auto"/>
          <w:spacing w:val="0"/>
          <w:w w:val="100"/>
          <w:position w:val="0"/>
          <w:sz w:val="20"/>
          <w:szCs w:val="20"/>
          <w:highlight w:val="none"/>
          <w:lang w:eastAsia="zh-CN"/>
        </w:rPr>
        <w:t>评审的</w:t>
      </w:r>
      <w:r>
        <w:rPr>
          <w:rFonts w:hint="eastAsia" w:ascii="宋体" w:hAnsi="宋体" w:eastAsia="宋体" w:cs="宋体"/>
          <w:color w:val="auto"/>
          <w:spacing w:val="0"/>
          <w:w w:val="100"/>
          <w:position w:val="0"/>
          <w:sz w:val="20"/>
          <w:szCs w:val="20"/>
          <w:highlight w:val="none"/>
          <w:lang w:val="en-US" w:eastAsia="zh-CN"/>
        </w:rPr>
        <w:t>汇总</w:t>
      </w:r>
      <w:r>
        <w:rPr>
          <w:rFonts w:hint="eastAsia" w:ascii="宋体" w:hAnsi="宋体" w:eastAsia="宋体" w:cs="宋体"/>
          <w:color w:val="auto"/>
          <w:spacing w:val="0"/>
          <w:w w:val="100"/>
          <w:position w:val="0"/>
          <w:sz w:val="20"/>
          <w:szCs w:val="20"/>
          <w:highlight w:val="none"/>
          <w:lang w:eastAsia="zh-CN"/>
        </w:rPr>
        <w:t>得分前H名的工程施工费投标报价的算术平均值作为评标参考价(如G≥10，则H=10；如1≤G&lt;10，则H=G)；若G=0的,则采用成本警戒价与“工程施工费最高投标限价×95%”的算术平均值为评标参考价。</w:t>
      </w:r>
    </w:p>
    <w:p w14:paraId="21184DFD">
      <w:pPr>
        <w:keepNext w:val="0"/>
        <w:keepLines w:val="0"/>
        <w:pageBreakBefore w:val="0"/>
        <w:widowControl/>
        <w:kinsoku/>
        <w:wordWrap/>
        <w:overflowPunct/>
        <w:topLinePunct w:val="0"/>
        <w:autoSpaceDE w:val="0"/>
        <w:autoSpaceDN w:val="0"/>
        <w:bidi w:val="0"/>
        <w:adjustRightInd w:val="0"/>
        <w:snapToGrid w:val="0"/>
        <w:spacing w:line="312" w:lineRule="auto"/>
        <w:ind w:left="0" w:right="0" w:firstLine="400"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3）计算工程施工费投标报价得分：当工程施工费投标报价等于评标参考价时得100分，工程施工费投标报价每高于评标参考价1%，扣1.5分，每低于评标参考价1%，扣1分，最多扣100分，得出的工程施工费投标报价得分作为投标报价得分，精确到小数点后两位。</w:t>
      </w:r>
    </w:p>
    <w:p w14:paraId="1632BFF2">
      <w:pPr>
        <w:keepNext w:val="0"/>
        <w:keepLines w:val="0"/>
        <w:pageBreakBefore w:val="0"/>
        <w:widowControl/>
        <w:kinsoku/>
        <w:wordWrap/>
        <w:overflowPunct/>
        <w:topLinePunct w:val="0"/>
        <w:autoSpaceDE w:val="0"/>
        <w:autoSpaceDN w:val="0"/>
        <w:bidi w:val="0"/>
        <w:adjustRightInd w:val="0"/>
        <w:snapToGrid w:val="0"/>
        <w:spacing w:line="312" w:lineRule="auto"/>
        <w:ind w:left="0" w:right="0" w:firstLine="402" w:firstLineChars="200"/>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b/>
          <w:bCs/>
          <w:color w:val="auto"/>
          <w:spacing w:val="0"/>
          <w:w w:val="100"/>
          <w:position w:val="0"/>
          <w:sz w:val="20"/>
          <w:szCs w:val="20"/>
          <w:highlight w:val="none"/>
        </w:rPr>
        <w:t>评委签名：</w:t>
      </w:r>
      <w:r>
        <w:rPr>
          <w:rFonts w:hint="eastAsia" w:ascii="宋体" w:hAnsi="宋体" w:eastAsia="宋体" w:cs="宋体"/>
          <w:color w:val="auto"/>
          <w:spacing w:val="0"/>
          <w:w w:val="100"/>
          <w:position w:val="0"/>
          <w:sz w:val="20"/>
          <w:szCs w:val="20"/>
          <w:highlight w:val="none"/>
        </w:rPr>
        <w:t xml:space="preserve">                                          </w:t>
      </w:r>
      <w:r>
        <w:rPr>
          <w:rFonts w:hint="eastAsia" w:ascii="宋体" w:hAnsi="宋体" w:eastAsia="宋体" w:cs="宋体"/>
          <w:b/>
          <w:bCs/>
          <w:color w:val="auto"/>
          <w:spacing w:val="0"/>
          <w:w w:val="100"/>
          <w:position w:val="0"/>
          <w:sz w:val="20"/>
          <w:szCs w:val="20"/>
          <w:highlight w:val="none"/>
        </w:rPr>
        <w:t>日期</w:t>
      </w:r>
      <w:r>
        <w:rPr>
          <w:rFonts w:hint="eastAsia" w:ascii="宋体" w:hAnsi="宋体" w:eastAsia="宋体" w:cs="宋体"/>
          <w:b/>
          <w:bCs/>
          <w:color w:val="auto"/>
          <w:spacing w:val="0"/>
          <w:w w:val="100"/>
          <w:position w:val="0"/>
          <w:sz w:val="20"/>
          <w:szCs w:val="20"/>
          <w:highlight w:val="none"/>
          <w:lang w:eastAsia="zh-CN"/>
        </w:rPr>
        <w:t>：</w:t>
      </w:r>
    </w:p>
    <w:p w14:paraId="24F39499">
      <w:pPr>
        <w:keepNext w:val="0"/>
        <w:keepLines w:val="0"/>
        <w:pageBreakBefore w:val="0"/>
        <w:kinsoku/>
        <w:bidi w:val="0"/>
        <w:rPr>
          <w:rFonts w:ascii="宋体" w:hAnsi="宋体" w:eastAsia="宋体" w:cs="宋体"/>
          <w:b/>
          <w:bCs/>
          <w:color w:val="auto"/>
          <w:spacing w:val="0"/>
          <w:w w:val="100"/>
          <w:position w:val="0"/>
          <w:sz w:val="24"/>
          <w:szCs w:val="24"/>
          <w:highlight w:val="none"/>
        </w:rPr>
      </w:pPr>
      <w:r>
        <w:rPr>
          <w:rFonts w:ascii="宋体" w:hAnsi="宋体" w:eastAsia="宋体" w:cs="宋体"/>
          <w:b/>
          <w:bCs/>
          <w:color w:val="auto"/>
          <w:spacing w:val="0"/>
          <w:w w:val="100"/>
          <w:position w:val="0"/>
          <w:sz w:val="24"/>
          <w:szCs w:val="24"/>
          <w:highlight w:val="none"/>
        </w:rPr>
        <w:br w:type="page"/>
      </w:r>
    </w:p>
    <w:p w14:paraId="03772175">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296" w:name="_Toc10747"/>
      <w:bookmarkStart w:id="297" w:name="_Toc30189"/>
      <w:bookmarkStart w:id="298" w:name="_Toc21996"/>
      <w:bookmarkStart w:id="299" w:name="_Toc27518"/>
      <w:bookmarkStart w:id="300" w:name="_Toc698"/>
      <w:r>
        <w:rPr>
          <w:rFonts w:hint="eastAsia" w:ascii="宋体" w:hAnsi="宋体" w:eastAsia="宋体" w:cs="宋体"/>
          <w:b/>
          <w:bCs/>
          <w:color w:val="auto"/>
          <w:spacing w:val="0"/>
          <w:w w:val="100"/>
          <w:position w:val="0"/>
          <w:sz w:val="30"/>
          <w:szCs w:val="30"/>
          <w:highlight w:val="none"/>
          <w:lang w:eastAsia="zh-CN"/>
        </w:rPr>
        <w:t>附表7：评标阶段工程总承包实施方案详细审查评分表</w:t>
      </w:r>
      <w:bookmarkEnd w:id="296"/>
      <w:bookmarkEnd w:id="297"/>
      <w:bookmarkEnd w:id="298"/>
      <w:bookmarkEnd w:id="299"/>
      <w:bookmarkEnd w:id="300"/>
    </w:p>
    <w:p w14:paraId="0D2F06CB">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left="0"/>
        <w:jc w:val="center"/>
        <w:textAlignment w:val="baseline"/>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一、资信部分</w:t>
      </w:r>
    </w:p>
    <w:p w14:paraId="340F053F">
      <w:pPr>
        <w:keepNext w:val="0"/>
        <w:keepLines w:val="0"/>
        <w:pageBreakBefore w:val="0"/>
        <w:widowControl/>
        <w:kinsoku/>
        <w:wordWrap/>
        <w:overflowPunct/>
        <w:topLinePunct w:val="0"/>
        <w:autoSpaceDE w:val="0"/>
        <w:autoSpaceDN w:val="0"/>
        <w:bidi w:val="0"/>
        <w:adjustRightInd w:val="0"/>
        <w:snapToGrid w:val="0"/>
        <w:spacing w:line="240" w:lineRule="auto"/>
        <w:ind w:left="0"/>
        <w:textAlignment w:val="baseline"/>
        <w:rPr>
          <w:rFonts w:ascii="宋体" w:hAnsi="宋体" w:eastAsia="宋体" w:cs="宋体"/>
          <w:color w:val="auto"/>
          <w:sz w:val="20"/>
          <w:szCs w:val="20"/>
          <w:highlight w:val="none"/>
          <w:lang w:eastAsia="zh-CN"/>
        </w:rPr>
      </w:pPr>
      <w:r>
        <w:rPr>
          <w:rFonts w:ascii="宋体" w:hAnsi="宋体" w:eastAsia="宋体" w:cs="宋体"/>
          <w:b/>
          <w:bCs/>
          <w:color w:val="auto"/>
          <w:spacing w:val="4"/>
          <w:sz w:val="20"/>
          <w:szCs w:val="20"/>
          <w:highlight w:val="none"/>
          <w:lang w:eastAsia="zh-CN"/>
        </w:rPr>
        <w:t>项目名称：</w:t>
      </w:r>
    </w:p>
    <w:p w14:paraId="6133ED68">
      <w:pPr>
        <w:keepNext w:val="0"/>
        <w:keepLines w:val="0"/>
        <w:pageBreakBefore w:val="0"/>
        <w:kinsoku/>
        <w:bidi w:val="0"/>
        <w:spacing w:line="18" w:lineRule="exact"/>
        <w:rPr>
          <w:color w:val="auto"/>
          <w:highlight w:val="none"/>
          <w:lang w:eastAsia="zh-CN"/>
        </w:rPr>
      </w:pPr>
    </w:p>
    <w:tbl>
      <w:tblPr>
        <w:tblStyle w:val="19"/>
        <w:tblW w:w="141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922"/>
        <w:gridCol w:w="11314"/>
      </w:tblGrid>
      <w:tr w14:paraId="7BDE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903" w:type="dxa"/>
            <w:tcBorders>
              <w:top w:val="single" w:color="000000" w:sz="6" w:space="0"/>
            </w:tcBorders>
            <w:vAlign w:val="center"/>
          </w:tcPr>
          <w:p w14:paraId="1E28B2D7">
            <w:pPr>
              <w:pStyle w:val="20"/>
              <w:keepNext w:val="0"/>
              <w:keepLines w:val="0"/>
              <w:pageBreakBefore w:val="0"/>
              <w:kinsoku/>
              <w:wordWrap/>
              <w:overflowPunct/>
              <w:topLinePunct w:val="0"/>
              <w:bidi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评分内容</w:t>
            </w:r>
          </w:p>
        </w:tc>
        <w:tc>
          <w:tcPr>
            <w:tcW w:w="922" w:type="dxa"/>
            <w:tcBorders>
              <w:top w:val="single" w:color="000000" w:sz="6" w:space="0"/>
            </w:tcBorders>
            <w:vAlign w:val="center"/>
          </w:tcPr>
          <w:p w14:paraId="7F137557">
            <w:pPr>
              <w:pStyle w:val="20"/>
              <w:keepNext w:val="0"/>
              <w:keepLines w:val="0"/>
              <w:pageBreakBefore w:val="0"/>
              <w:kinsoku/>
              <w:wordWrap/>
              <w:overflowPunct/>
              <w:topLinePunct w:val="0"/>
              <w:bidi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分值</w:t>
            </w:r>
          </w:p>
        </w:tc>
        <w:tc>
          <w:tcPr>
            <w:tcW w:w="11314" w:type="dxa"/>
            <w:tcBorders>
              <w:top w:val="single" w:color="000000" w:sz="6" w:space="0"/>
            </w:tcBorders>
            <w:vAlign w:val="center"/>
          </w:tcPr>
          <w:p w14:paraId="7614EFBA">
            <w:pPr>
              <w:pStyle w:val="20"/>
              <w:keepNext w:val="0"/>
              <w:keepLines w:val="0"/>
              <w:pageBreakBefore w:val="0"/>
              <w:kinsoku/>
              <w:wordWrap/>
              <w:overflowPunct/>
              <w:topLinePunct w:val="0"/>
              <w:bidi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评审标准</w:t>
            </w:r>
          </w:p>
        </w:tc>
      </w:tr>
      <w:tr w14:paraId="69AD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jc w:val="center"/>
        </w:trPr>
        <w:tc>
          <w:tcPr>
            <w:tcW w:w="1903" w:type="dxa"/>
            <w:vAlign w:val="center"/>
          </w:tcPr>
          <w:p w14:paraId="116AE380">
            <w:pPr>
              <w:pStyle w:val="20"/>
              <w:keepNext w:val="0"/>
              <w:keepLines w:val="0"/>
              <w:pageBreakBefore w:val="0"/>
              <w:kinsoku/>
              <w:wordWrap/>
              <w:overflowPunct/>
              <w:topLinePunct w:val="0"/>
              <w:bidi w:val="0"/>
              <w:spacing w:line="240" w:lineRule="auto"/>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类似业绩</w:t>
            </w:r>
          </w:p>
        </w:tc>
        <w:tc>
          <w:tcPr>
            <w:tcW w:w="922" w:type="dxa"/>
            <w:vAlign w:val="center"/>
          </w:tcPr>
          <w:p w14:paraId="4C287D76">
            <w:pPr>
              <w:pStyle w:val="20"/>
              <w:keepNext w:val="0"/>
              <w:keepLines w:val="0"/>
              <w:pageBreakBefore w:val="0"/>
              <w:widowControl/>
              <w:kinsoku/>
              <w:wordWrap/>
              <w:overflowPunct/>
              <w:topLinePunct/>
              <w:bidi w:val="0"/>
              <w:spacing w:line="240" w:lineRule="auto"/>
              <w:ind w:lef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position w:val="1"/>
                <w:sz w:val="20"/>
                <w:szCs w:val="20"/>
                <w:highlight w:val="none"/>
                <w:lang w:val="en-US" w:eastAsia="zh-CN"/>
              </w:rPr>
              <w:t>1</w:t>
            </w:r>
            <w:r>
              <w:rPr>
                <w:rFonts w:hint="eastAsia" w:cs="宋体"/>
                <w:color w:val="auto"/>
                <w:position w:val="1"/>
                <w:sz w:val="20"/>
                <w:szCs w:val="20"/>
                <w:highlight w:val="none"/>
                <w:lang w:val="en-US" w:eastAsia="zh-CN"/>
              </w:rPr>
              <w:t>6</w:t>
            </w:r>
          </w:p>
        </w:tc>
        <w:tc>
          <w:tcPr>
            <w:tcW w:w="11314" w:type="dxa"/>
            <w:vAlign w:val="center"/>
          </w:tcPr>
          <w:p w14:paraId="44602D39">
            <w:pPr>
              <w:pStyle w:val="20"/>
              <w:keepNext w:val="0"/>
              <w:keepLines w:val="0"/>
              <w:pageBreakBefore w:val="0"/>
              <w:widowControl/>
              <w:kinsoku/>
              <w:wordWrap/>
              <w:overflowPunct/>
              <w:topLinePunct/>
              <w:autoSpaceDE w:val="0"/>
              <w:autoSpaceDN w:val="0"/>
              <w:bidi w:val="0"/>
              <w:adjustRightInd w:val="0"/>
              <w:snapToGrid w:val="0"/>
              <w:spacing w:line="240" w:lineRule="auto"/>
              <w:ind w:left="42" w:leftChars="20" w:right="0"/>
              <w:jc w:val="both"/>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1、投标人（若为联合体投标，指联合体主办方）</w:t>
            </w:r>
            <w:r>
              <w:rPr>
                <w:rFonts w:hint="eastAsia" w:ascii="宋体" w:hAnsi="宋体" w:eastAsia="宋体" w:cs="宋体"/>
                <w:snapToGrid w:val="0"/>
                <w:color w:val="auto"/>
                <w:spacing w:val="7"/>
                <w:sz w:val="20"/>
                <w:szCs w:val="20"/>
                <w:highlight w:val="none"/>
                <w:lang w:val="zh-TW" w:eastAsia="zh-CN" w:bidi="ar-SA"/>
              </w:rPr>
              <w:t>：</w:t>
            </w:r>
            <w:r>
              <w:rPr>
                <w:rFonts w:hint="eastAsia" w:ascii="宋体" w:hAnsi="宋体" w:eastAsia="宋体" w:cs="宋体"/>
                <w:color w:val="auto"/>
                <w:spacing w:val="7"/>
                <w:sz w:val="20"/>
                <w:szCs w:val="20"/>
                <w:highlight w:val="none"/>
                <w:lang w:eastAsia="zh-CN"/>
              </w:rPr>
              <w:t>自</w:t>
            </w:r>
            <w:r>
              <w:rPr>
                <w:rFonts w:hint="eastAsia" w:ascii="宋体" w:hAnsi="宋体" w:eastAsia="宋体" w:cs="宋体"/>
                <w:color w:val="auto"/>
                <w:spacing w:val="6"/>
                <w:sz w:val="20"/>
                <w:szCs w:val="20"/>
                <w:highlight w:val="none"/>
                <w:lang w:eastAsia="zh-CN"/>
              </w:rPr>
              <w:t>202</w:t>
            </w:r>
            <w:r>
              <w:rPr>
                <w:rFonts w:hint="eastAsia" w:ascii="宋体" w:hAnsi="宋体" w:eastAsia="宋体" w:cs="宋体"/>
                <w:color w:val="auto"/>
                <w:spacing w:val="6"/>
                <w:sz w:val="20"/>
                <w:szCs w:val="20"/>
                <w:highlight w:val="none"/>
                <w:lang w:val="en-US" w:eastAsia="zh-CN"/>
              </w:rPr>
              <w:t>2</w:t>
            </w:r>
            <w:r>
              <w:rPr>
                <w:rFonts w:hint="eastAsia" w:ascii="宋体" w:hAnsi="宋体" w:eastAsia="宋体" w:cs="宋体"/>
                <w:color w:val="auto"/>
                <w:spacing w:val="6"/>
                <w:sz w:val="20"/>
                <w:szCs w:val="20"/>
                <w:highlight w:val="none"/>
                <w:lang w:eastAsia="zh-CN"/>
              </w:rPr>
              <w:t>年1月1日至投标截止时间止，完成过</w:t>
            </w:r>
            <w:r>
              <w:rPr>
                <w:rFonts w:hint="eastAsia" w:cs="宋体"/>
                <w:color w:val="auto"/>
                <w:spacing w:val="6"/>
                <w:sz w:val="20"/>
                <w:szCs w:val="20"/>
                <w:highlight w:val="none"/>
                <w:lang w:val="en-US" w:eastAsia="zh-CN"/>
              </w:rPr>
              <w:t>单项合同金额为500万元或以上</w:t>
            </w:r>
            <w:r>
              <w:rPr>
                <w:rFonts w:hint="eastAsia" w:ascii="宋体" w:hAnsi="宋体" w:eastAsia="宋体" w:cs="宋体"/>
                <w:color w:val="auto"/>
                <w:kern w:val="0"/>
                <w:sz w:val="20"/>
                <w:szCs w:val="20"/>
                <w:highlight w:val="none"/>
                <w:lang w:val="zh-CN" w:bidi="zh-CN"/>
              </w:rPr>
              <w:t>的</w:t>
            </w:r>
            <w:r>
              <w:rPr>
                <w:rFonts w:hint="eastAsia" w:cs="宋体"/>
                <w:color w:val="auto"/>
                <w:kern w:val="0"/>
                <w:sz w:val="20"/>
                <w:szCs w:val="20"/>
                <w:highlight w:val="none"/>
                <w:lang w:val="en-US" w:bidi="zh-CN"/>
              </w:rPr>
              <w:t>建筑工程类施工业绩</w:t>
            </w:r>
            <w:r>
              <w:rPr>
                <w:rFonts w:hint="eastAsia" w:ascii="宋体" w:hAnsi="宋体" w:eastAsia="宋体" w:cs="宋体"/>
                <w:color w:val="auto"/>
                <w:spacing w:val="17"/>
                <w:sz w:val="20"/>
                <w:szCs w:val="20"/>
                <w:highlight w:val="none"/>
                <w:lang w:eastAsia="zh-CN"/>
              </w:rPr>
              <w:t>，</w:t>
            </w:r>
            <w:r>
              <w:rPr>
                <w:rFonts w:hint="eastAsia" w:ascii="宋体" w:hAnsi="宋体" w:eastAsia="宋体" w:cs="宋体"/>
                <w:color w:val="auto"/>
                <w:spacing w:val="7"/>
                <w:sz w:val="20"/>
                <w:szCs w:val="20"/>
                <w:highlight w:val="none"/>
                <w:lang w:eastAsia="zh-CN"/>
              </w:rPr>
              <w:t>每项得</w:t>
            </w:r>
            <w:r>
              <w:rPr>
                <w:rFonts w:hint="eastAsia" w:cs="宋体"/>
                <w:color w:val="auto"/>
                <w:spacing w:val="7"/>
                <w:sz w:val="20"/>
                <w:szCs w:val="20"/>
                <w:highlight w:val="none"/>
                <w:lang w:val="en-US" w:eastAsia="zh-CN"/>
              </w:rPr>
              <w:t>2</w:t>
            </w:r>
            <w:r>
              <w:rPr>
                <w:rFonts w:hint="eastAsia" w:ascii="宋体" w:hAnsi="宋体" w:eastAsia="宋体" w:cs="宋体"/>
                <w:color w:val="auto"/>
                <w:spacing w:val="7"/>
                <w:sz w:val="20"/>
                <w:szCs w:val="20"/>
                <w:highlight w:val="none"/>
                <w:lang w:eastAsia="zh-CN"/>
              </w:rPr>
              <w:t>分。本小项合计最高得</w:t>
            </w:r>
            <w:r>
              <w:rPr>
                <w:rFonts w:hint="eastAsia" w:cs="宋体"/>
                <w:color w:val="auto"/>
                <w:spacing w:val="7"/>
                <w:sz w:val="20"/>
                <w:szCs w:val="20"/>
                <w:highlight w:val="none"/>
                <w:lang w:val="en-US" w:eastAsia="zh-CN"/>
              </w:rPr>
              <w:t>10</w:t>
            </w:r>
            <w:r>
              <w:rPr>
                <w:rFonts w:hint="eastAsia" w:ascii="宋体" w:hAnsi="宋体" w:eastAsia="宋体" w:cs="宋体"/>
                <w:color w:val="auto"/>
                <w:spacing w:val="7"/>
                <w:sz w:val="20"/>
                <w:szCs w:val="20"/>
                <w:highlight w:val="none"/>
                <w:lang w:eastAsia="zh-CN"/>
              </w:rPr>
              <w:t>分。</w:t>
            </w:r>
          </w:p>
          <w:p w14:paraId="681533C9">
            <w:pPr>
              <w:pStyle w:val="20"/>
              <w:keepNext w:val="0"/>
              <w:keepLines w:val="0"/>
              <w:pageBreakBefore w:val="0"/>
              <w:widowControl/>
              <w:kinsoku/>
              <w:wordWrap/>
              <w:overflowPunct/>
              <w:topLinePunct/>
              <w:autoSpaceDE w:val="0"/>
              <w:autoSpaceDN w:val="0"/>
              <w:bidi w:val="0"/>
              <w:adjustRightInd w:val="0"/>
              <w:snapToGrid w:val="0"/>
              <w:spacing w:line="240" w:lineRule="auto"/>
              <w:ind w:left="42" w:leftChars="20" w:right="0"/>
              <w:jc w:val="both"/>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0"/>
                <w:szCs w:val="20"/>
                <w:highlight w:val="none"/>
                <w:lang w:eastAsia="zh-CN"/>
              </w:rPr>
              <w:t>2、</w:t>
            </w:r>
            <w:r>
              <w:rPr>
                <w:rFonts w:hint="eastAsia" w:ascii="宋体" w:hAnsi="宋体" w:eastAsia="宋体" w:cs="宋体"/>
                <w:color w:val="auto"/>
                <w:spacing w:val="7"/>
                <w:sz w:val="20"/>
                <w:szCs w:val="20"/>
                <w:highlight w:val="none"/>
                <w:lang w:eastAsia="zh-CN"/>
              </w:rPr>
              <w:t>投标</w:t>
            </w:r>
            <w:r>
              <w:rPr>
                <w:rFonts w:hint="eastAsia" w:ascii="宋体" w:hAnsi="宋体" w:eastAsia="宋体" w:cs="宋体"/>
                <w:color w:val="auto"/>
                <w:spacing w:val="4"/>
                <w:sz w:val="20"/>
                <w:szCs w:val="20"/>
                <w:highlight w:val="none"/>
                <w:lang w:eastAsia="zh-CN"/>
              </w:rPr>
              <w:t>人（若为联合体投标，指联合体设计方）</w:t>
            </w:r>
            <w:r>
              <w:rPr>
                <w:rFonts w:hint="eastAsia" w:ascii="宋体" w:hAnsi="宋体" w:eastAsia="宋体" w:cs="宋体"/>
                <w:snapToGrid w:val="0"/>
                <w:color w:val="auto"/>
                <w:spacing w:val="7"/>
                <w:sz w:val="20"/>
                <w:szCs w:val="20"/>
                <w:highlight w:val="none"/>
                <w:lang w:val="zh-TW" w:eastAsia="zh-CN" w:bidi="ar-SA"/>
              </w:rPr>
              <w:t>：</w:t>
            </w:r>
            <w:r>
              <w:rPr>
                <w:rFonts w:hint="eastAsia" w:ascii="宋体" w:hAnsi="宋体" w:eastAsia="宋体" w:cs="宋体"/>
                <w:color w:val="auto"/>
                <w:spacing w:val="4"/>
                <w:sz w:val="20"/>
                <w:szCs w:val="20"/>
                <w:highlight w:val="none"/>
                <w:lang w:eastAsia="zh-CN"/>
              </w:rPr>
              <w:t>自202</w:t>
            </w:r>
            <w:r>
              <w:rPr>
                <w:rFonts w:hint="eastAsia" w:ascii="宋体" w:hAnsi="宋体" w:eastAsia="宋体" w:cs="宋体"/>
                <w:color w:val="auto"/>
                <w:spacing w:val="4"/>
                <w:sz w:val="20"/>
                <w:szCs w:val="20"/>
                <w:highlight w:val="none"/>
                <w:lang w:val="en-US" w:eastAsia="zh-CN"/>
              </w:rPr>
              <w:t>2</w:t>
            </w:r>
            <w:r>
              <w:rPr>
                <w:rFonts w:hint="eastAsia" w:ascii="宋体" w:hAnsi="宋体" w:eastAsia="宋体" w:cs="宋体"/>
                <w:color w:val="auto"/>
                <w:spacing w:val="4"/>
                <w:sz w:val="20"/>
                <w:szCs w:val="20"/>
                <w:highlight w:val="none"/>
                <w:lang w:eastAsia="zh-CN"/>
              </w:rPr>
              <w:t>年1月1日至投标截止时间为止，</w:t>
            </w:r>
            <w:r>
              <w:rPr>
                <w:rFonts w:hint="eastAsia" w:ascii="宋体" w:hAnsi="宋体" w:eastAsia="宋体" w:cs="宋体"/>
                <w:color w:val="auto"/>
                <w:spacing w:val="4"/>
                <w:sz w:val="20"/>
                <w:szCs w:val="20"/>
                <w:highlight w:val="none"/>
                <w:lang w:val="en-US" w:eastAsia="zh-CN"/>
              </w:rPr>
              <w:t>完成</w:t>
            </w:r>
            <w:r>
              <w:rPr>
                <w:rFonts w:hint="eastAsia" w:ascii="宋体" w:hAnsi="宋体" w:eastAsia="宋体" w:cs="宋体"/>
                <w:color w:val="auto"/>
                <w:spacing w:val="4"/>
                <w:sz w:val="20"/>
                <w:szCs w:val="20"/>
                <w:highlight w:val="none"/>
                <w:lang w:eastAsia="zh-CN"/>
              </w:rPr>
              <w:t>过建安工程费500万元或以上的</w:t>
            </w:r>
            <w:r>
              <w:rPr>
                <w:rFonts w:hint="eastAsia" w:cs="宋体"/>
                <w:color w:val="auto"/>
                <w:sz w:val="20"/>
                <w:szCs w:val="20"/>
                <w:highlight w:val="none"/>
                <w:lang w:val="en-US" w:eastAsia="zh-CN"/>
              </w:rPr>
              <w:t>建筑工程</w:t>
            </w:r>
            <w:r>
              <w:rPr>
                <w:rFonts w:hint="default" w:ascii="宋体" w:hAnsi="宋体" w:eastAsia="宋体" w:cs="宋体"/>
                <w:color w:val="auto"/>
                <w:sz w:val="20"/>
                <w:szCs w:val="20"/>
                <w:highlight w:val="none"/>
                <w:lang w:val="en-US" w:eastAsia="zh-CN"/>
              </w:rPr>
              <w:t>类</w:t>
            </w:r>
            <w:r>
              <w:rPr>
                <w:rFonts w:hint="eastAsia" w:ascii="宋体" w:hAnsi="宋体" w:eastAsia="宋体" w:cs="宋体"/>
                <w:color w:val="auto"/>
                <w:sz w:val="20"/>
                <w:szCs w:val="20"/>
                <w:highlight w:val="none"/>
                <w:lang w:val="en-US" w:eastAsia="zh-CN"/>
              </w:rPr>
              <w:t>设计业绩</w:t>
            </w:r>
            <w:r>
              <w:rPr>
                <w:rFonts w:hint="eastAsia" w:ascii="宋体" w:hAnsi="宋体" w:eastAsia="宋体" w:cs="宋体"/>
                <w:color w:val="auto"/>
                <w:spacing w:val="19"/>
                <w:sz w:val="20"/>
                <w:szCs w:val="20"/>
                <w:highlight w:val="none"/>
                <w:lang w:eastAsia="zh-CN"/>
              </w:rPr>
              <w:t>，</w:t>
            </w:r>
            <w:r>
              <w:rPr>
                <w:rFonts w:hint="eastAsia" w:ascii="宋体" w:hAnsi="宋体" w:eastAsia="宋体" w:cs="宋体"/>
                <w:color w:val="auto"/>
                <w:spacing w:val="7"/>
                <w:sz w:val="20"/>
                <w:szCs w:val="20"/>
                <w:highlight w:val="none"/>
                <w:lang w:eastAsia="zh-CN"/>
              </w:rPr>
              <w:t>每项得</w:t>
            </w:r>
            <w:r>
              <w:rPr>
                <w:rFonts w:hint="eastAsia" w:cs="宋体"/>
                <w:color w:val="auto"/>
                <w:spacing w:val="7"/>
                <w:sz w:val="20"/>
                <w:szCs w:val="20"/>
                <w:highlight w:val="none"/>
                <w:lang w:val="en-US" w:eastAsia="zh-CN"/>
              </w:rPr>
              <w:t>2</w:t>
            </w:r>
            <w:r>
              <w:rPr>
                <w:rFonts w:hint="eastAsia" w:ascii="宋体" w:hAnsi="宋体" w:eastAsia="宋体" w:cs="宋体"/>
                <w:color w:val="auto"/>
                <w:spacing w:val="7"/>
                <w:sz w:val="20"/>
                <w:szCs w:val="20"/>
                <w:highlight w:val="none"/>
                <w:lang w:eastAsia="zh-CN"/>
              </w:rPr>
              <w:t>分，最高得</w:t>
            </w:r>
            <w:r>
              <w:rPr>
                <w:rFonts w:hint="eastAsia" w:cs="宋体"/>
                <w:color w:val="auto"/>
                <w:spacing w:val="7"/>
                <w:sz w:val="20"/>
                <w:szCs w:val="20"/>
                <w:highlight w:val="none"/>
                <w:lang w:val="en-US" w:eastAsia="zh-CN"/>
              </w:rPr>
              <w:t>6</w:t>
            </w:r>
            <w:r>
              <w:rPr>
                <w:rFonts w:hint="eastAsia" w:ascii="宋体" w:hAnsi="宋体" w:eastAsia="宋体" w:cs="宋体"/>
                <w:color w:val="auto"/>
                <w:spacing w:val="7"/>
                <w:sz w:val="20"/>
                <w:szCs w:val="20"/>
                <w:highlight w:val="none"/>
                <w:lang w:eastAsia="zh-CN"/>
              </w:rPr>
              <w:t>分。</w:t>
            </w:r>
          </w:p>
        </w:tc>
      </w:tr>
      <w:tr w14:paraId="07BB2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jc w:val="center"/>
        </w:trPr>
        <w:tc>
          <w:tcPr>
            <w:tcW w:w="1903" w:type="dxa"/>
            <w:vAlign w:val="center"/>
          </w:tcPr>
          <w:p w14:paraId="5E406604">
            <w:pPr>
              <w:pStyle w:val="20"/>
              <w:keepNext w:val="0"/>
              <w:keepLines w:val="0"/>
              <w:pageBreakBefore w:val="0"/>
              <w:kinsoku/>
              <w:wordWrap/>
              <w:overflowPunct/>
              <w:topLinePunct w:val="0"/>
              <w:bidi w:val="0"/>
              <w:spacing w:line="240" w:lineRule="auto"/>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第三方评价</w:t>
            </w:r>
          </w:p>
        </w:tc>
        <w:tc>
          <w:tcPr>
            <w:tcW w:w="922" w:type="dxa"/>
            <w:vAlign w:val="center"/>
          </w:tcPr>
          <w:p w14:paraId="4E0B7E56">
            <w:pPr>
              <w:pStyle w:val="20"/>
              <w:keepNext w:val="0"/>
              <w:keepLines w:val="0"/>
              <w:pageBreakBefore w:val="0"/>
              <w:widowControl/>
              <w:kinsoku/>
              <w:wordWrap/>
              <w:overflowPunct/>
              <w:topLinePunct/>
              <w:bidi w:val="0"/>
              <w:spacing w:line="240" w:lineRule="auto"/>
              <w:ind w:left="0"/>
              <w:jc w:val="center"/>
              <w:rPr>
                <w:rFonts w:hint="default" w:ascii="宋体" w:hAnsi="宋体" w:eastAsia="宋体" w:cs="宋体"/>
                <w:color w:val="auto"/>
                <w:sz w:val="20"/>
                <w:szCs w:val="20"/>
                <w:highlight w:val="none"/>
                <w:lang w:val="en-US" w:eastAsia="zh-CN"/>
              </w:rPr>
            </w:pPr>
            <w:r>
              <w:rPr>
                <w:rFonts w:hint="eastAsia" w:cs="宋体"/>
                <w:color w:val="auto"/>
                <w:position w:val="1"/>
                <w:sz w:val="20"/>
                <w:szCs w:val="20"/>
                <w:highlight w:val="none"/>
                <w:lang w:val="en-US" w:eastAsia="zh-CN"/>
              </w:rPr>
              <w:t>4</w:t>
            </w:r>
          </w:p>
        </w:tc>
        <w:tc>
          <w:tcPr>
            <w:tcW w:w="11314" w:type="dxa"/>
            <w:vAlign w:val="center"/>
          </w:tcPr>
          <w:p w14:paraId="417EED57">
            <w:pPr>
              <w:pStyle w:val="20"/>
              <w:keepNext w:val="0"/>
              <w:keepLines w:val="0"/>
              <w:pageBreakBefore w:val="0"/>
              <w:numPr>
                <w:ilvl w:val="0"/>
                <w:numId w:val="3"/>
              </w:numPr>
              <w:kinsoku/>
              <w:topLinePunct/>
              <w:bidi w:val="0"/>
              <w:ind w:left="42" w:leftChars="20"/>
              <w:jc w:val="both"/>
              <w:rPr>
                <w:rFonts w:hint="eastAsia" w:ascii="宋体" w:hAnsi="宋体" w:eastAsia="宋体" w:cs="宋体"/>
                <w:color w:val="auto"/>
                <w:sz w:val="20"/>
                <w:szCs w:val="20"/>
                <w:highlight w:val="none"/>
              </w:rPr>
            </w:pPr>
            <w:r>
              <w:rPr>
                <w:rFonts w:hint="eastAsia" w:ascii="宋体" w:hAnsi="宋体" w:eastAsia="宋体" w:cs="宋体"/>
                <w:snapToGrid w:val="0"/>
                <w:color w:val="auto"/>
                <w:spacing w:val="7"/>
                <w:sz w:val="20"/>
                <w:szCs w:val="20"/>
                <w:highlight w:val="none"/>
                <w:lang w:val="en-US" w:eastAsia="zh-CN" w:bidi="ar-SA"/>
              </w:rPr>
              <w:t>投标</w:t>
            </w:r>
            <w:r>
              <w:rPr>
                <w:rFonts w:hint="eastAsia" w:ascii="宋体" w:hAnsi="宋体" w:eastAsia="宋体" w:cs="宋体"/>
                <w:snapToGrid w:val="0"/>
                <w:color w:val="auto"/>
                <w:spacing w:val="7"/>
                <w:sz w:val="20"/>
                <w:szCs w:val="20"/>
                <w:highlight w:val="none"/>
                <w:lang w:val="zh-TW" w:eastAsia="zh-CN" w:bidi="ar-SA"/>
              </w:rPr>
              <w:t>人</w:t>
            </w:r>
            <w:r>
              <w:rPr>
                <w:rFonts w:hint="eastAsia" w:ascii="宋体" w:hAnsi="宋体" w:eastAsia="宋体" w:cs="宋体"/>
                <w:color w:val="auto"/>
                <w:spacing w:val="7"/>
                <w:sz w:val="20"/>
                <w:szCs w:val="20"/>
                <w:highlight w:val="none"/>
                <w:lang w:eastAsia="zh-CN"/>
              </w:rPr>
              <w:t>（若为联合体投标，指联合体主办方）</w:t>
            </w:r>
            <w:r>
              <w:rPr>
                <w:rFonts w:hint="eastAsia" w:ascii="宋体" w:hAnsi="宋体" w:eastAsia="宋体" w:cs="宋体"/>
                <w:snapToGrid w:val="0"/>
                <w:color w:val="auto"/>
                <w:spacing w:val="7"/>
                <w:sz w:val="20"/>
                <w:szCs w:val="20"/>
                <w:highlight w:val="none"/>
                <w:lang w:val="zh-TW" w:eastAsia="zh-CN" w:bidi="ar-SA"/>
              </w:rPr>
              <w:t>：</w:t>
            </w:r>
            <w:r>
              <w:rPr>
                <w:rFonts w:hint="eastAsia" w:ascii="宋体" w:hAnsi="宋体" w:eastAsia="宋体" w:cs="宋体"/>
                <w:color w:val="auto"/>
                <w:spacing w:val="7"/>
                <w:sz w:val="20"/>
                <w:szCs w:val="20"/>
                <w:highlight w:val="none"/>
                <w:lang w:eastAsia="zh-CN"/>
              </w:rPr>
              <w:t>自</w:t>
            </w:r>
            <w:r>
              <w:rPr>
                <w:rFonts w:hint="eastAsia" w:ascii="宋体" w:hAnsi="宋体" w:eastAsia="宋体" w:cs="宋体"/>
                <w:color w:val="auto"/>
                <w:spacing w:val="6"/>
                <w:sz w:val="20"/>
                <w:szCs w:val="20"/>
                <w:highlight w:val="none"/>
                <w:lang w:eastAsia="zh-CN"/>
              </w:rPr>
              <w:t>202</w:t>
            </w:r>
            <w:r>
              <w:rPr>
                <w:rFonts w:hint="eastAsia" w:ascii="宋体" w:hAnsi="宋体" w:eastAsia="宋体" w:cs="宋体"/>
                <w:color w:val="auto"/>
                <w:spacing w:val="6"/>
                <w:sz w:val="20"/>
                <w:szCs w:val="20"/>
                <w:highlight w:val="none"/>
                <w:lang w:val="en-US" w:eastAsia="zh-CN"/>
              </w:rPr>
              <w:t>2</w:t>
            </w:r>
            <w:r>
              <w:rPr>
                <w:rFonts w:hint="eastAsia" w:ascii="宋体" w:hAnsi="宋体" w:eastAsia="宋体" w:cs="宋体"/>
                <w:color w:val="auto"/>
                <w:spacing w:val="6"/>
                <w:sz w:val="20"/>
                <w:szCs w:val="20"/>
                <w:highlight w:val="none"/>
                <w:lang w:eastAsia="zh-CN"/>
              </w:rPr>
              <w:t>年1月1日至投标截止时间止</w:t>
            </w:r>
            <w:r>
              <w:rPr>
                <w:rFonts w:hint="eastAsia" w:ascii="宋体" w:hAnsi="宋体" w:eastAsia="宋体" w:cs="宋体"/>
                <w:snapToGrid w:val="0"/>
                <w:color w:val="auto"/>
                <w:spacing w:val="7"/>
                <w:sz w:val="20"/>
                <w:szCs w:val="20"/>
                <w:highlight w:val="none"/>
                <w:lang w:val="en-US" w:eastAsia="zh-CN" w:bidi="ar-SA"/>
              </w:rPr>
              <w:t>，</w:t>
            </w:r>
            <w:r>
              <w:rPr>
                <w:rFonts w:hint="eastAsia" w:ascii="宋体" w:hAnsi="宋体" w:eastAsia="宋体" w:cs="宋体"/>
                <w:color w:val="auto"/>
                <w:sz w:val="20"/>
                <w:szCs w:val="20"/>
                <w:highlight w:val="none"/>
              </w:rPr>
              <w:t>获得</w:t>
            </w:r>
            <w:r>
              <w:rPr>
                <w:rFonts w:hint="eastAsia" w:ascii="宋体" w:hAnsi="宋体" w:eastAsia="宋体" w:cs="宋体"/>
                <w:color w:val="auto"/>
                <w:sz w:val="20"/>
                <w:szCs w:val="20"/>
                <w:highlight w:val="none"/>
                <w:lang w:val="en-US" w:eastAsia="zh-CN"/>
              </w:rPr>
              <w:t>市级或以上</w:t>
            </w:r>
            <w:r>
              <w:rPr>
                <w:rFonts w:hint="eastAsia" w:ascii="宋体" w:hAnsi="宋体" w:eastAsia="宋体" w:cs="宋体"/>
                <w:snapToGrid w:val="0"/>
                <w:color w:val="auto"/>
                <w:spacing w:val="7"/>
                <w:sz w:val="20"/>
                <w:szCs w:val="20"/>
                <w:highlight w:val="none"/>
                <w:lang w:val="en-US" w:eastAsia="zh-CN" w:bidi="ar-SA"/>
              </w:rPr>
              <w:t>诚信类企业</w:t>
            </w:r>
            <w:r>
              <w:rPr>
                <w:rFonts w:hint="eastAsia" w:ascii="宋体" w:hAnsi="宋体" w:eastAsia="宋体" w:cs="宋体"/>
                <w:color w:val="auto"/>
                <w:sz w:val="20"/>
                <w:szCs w:val="20"/>
                <w:highlight w:val="none"/>
              </w:rPr>
              <w:t>称号的，得</w:t>
            </w:r>
            <w:r>
              <w:rPr>
                <w:rFonts w:hint="eastAsia" w:cs="宋体"/>
                <w:color w:val="auto"/>
                <w:sz w:val="20"/>
                <w:szCs w:val="20"/>
                <w:highlight w:val="none"/>
                <w:lang w:val="en-US" w:eastAsia="zh-CN"/>
              </w:rPr>
              <w:t>4</w:t>
            </w:r>
            <w:r>
              <w:rPr>
                <w:rFonts w:hint="eastAsia" w:ascii="宋体" w:hAnsi="宋体" w:eastAsia="宋体" w:cs="宋体"/>
                <w:color w:val="auto"/>
                <w:sz w:val="20"/>
                <w:szCs w:val="20"/>
                <w:highlight w:val="none"/>
              </w:rPr>
              <w:t>分。</w:t>
            </w:r>
          </w:p>
          <w:p w14:paraId="0C6D32B7">
            <w:pPr>
              <w:pStyle w:val="20"/>
              <w:keepNext w:val="0"/>
              <w:keepLines w:val="0"/>
              <w:pageBreakBefore w:val="0"/>
              <w:widowControl/>
              <w:kinsoku/>
              <w:wordWrap/>
              <w:overflowPunct/>
              <w:topLinePunct/>
              <w:autoSpaceDE w:val="0"/>
              <w:autoSpaceDN w:val="0"/>
              <w:bidi w:val="0"/>
              <w:adjustRightInd w:val="0"/>
              <w:snapToGrid w:val="0"/>
              <w:spacing w:line="240" w:lineRule="auto"/>
              <w:ind w:left="42" w:leftChars="20" w:right="0"/>
              <w:jc w:val="both"/>
              <w:textAlignment w:val="baseline"/>
              <w:rPr>
                <w:rFonts w:hint="eastAsia" w:ascii="宋体" w:hAnsi="宋体" w:eastAsia="宋体" w:cs="宋体"/>
                <w:snapToGrid w:val="0"/>
                <w:color w:val="auto"/>
                <w:spacing w:val="7"/>
                <w:sz w:val="20"/>
                <w:szCs w:val="20"/>
                <w:highlight w:val="none"/>
                <w:lang w:val="en-US" w:eastAsia="zh-CN" w:bidi="ar-SA"/>
              </w:rPr>
            </w:pPr>
            <w:r>
              <w:rPr>
                <w:rFonts w:hint="eastAsia" w:ascii="宋体" w:hAnsi="宋体" w:eastAsia="宋体" w:cs="宋体"/>
                <w:snapToGrid w:val="0"/>
                <w:color w:val="auto"/>
                <w:spacing w:val="7"/>
                <w:sz w:val="20"/>
                <w:szCs w:val="20"/>
                <w:highlight w:val="none"/>
                <w:lang w:val="en-US" w:eastAsia="zh-CN" w:bidi="ar-SA"/>
              </w:rPr>
              <w:t>注：须提供证书扫描件。不符合上述条件或未提供相关证明材料的不得分。</w:t>
            </w:r>
          </w:p>
        </w:tc>
      </w:tr>
      <w:tr w14:paraId="36FD9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1903" w:type="dxa"/>
            <w:vAlign w:val="center"/>
          </w:tcPr>
          <w:p w14:paraId="1B2912F0">
            <w:pPr>
              <w:pStyle w:val="20"/>
              <w:keepNext w:val="0"/>
              <w:keepLines w:val="0"/>
              <w:pageBreakBefore w:val="0"/>
              <w:kinsoku/>
              <w:wordWrap/>
              <w:overflowPunct/>
              <w:topLinePunct w:val="0"/>
              <w:bidi w:val="0"/>
              <w:spacing w:line="240" w:lineRule="auto"/>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得分</w:t>
            </w:r>
          </w:p>
        </w:tc>
        <w:tc>
          <w:tcPr>
            <w:tcW w:w="12236" w:type="dxa"/>
            <w:gridSpan w:val="2"/>
            <w:vAlign w:val="center"/>
          </w:tcPr>
          <w:p w14:paraId="624B7D68">
            <w:pPr>
              <w:pStyle w:val="20"/>
              <w:keepNext w:val="0"/>
              <w:keepLines w:val="0"/>
              <w:pageBreakBefore w:val="0"/>
              <w:kinsoku/>
              <w:wordWrap/>
              <w:overflowPunct/>
              <w:topLinePunct w:val="0"/>
              <w:bidi w:val="0"/>
              <w:spacing w:line="240" w:lineRule="auto"/>
              <w:jc w:val="center"/>
              <w:rPr>
                <w:rFonts w:hint="eastAsia" w:ascii="宋体" w:hAnsi="宋体" w:eastAsia="宋体" w:cs="宋体"/>
                <w:color w:val="auto"/>
                <w:sz w:val="20"/>
                <w:szCs w:val="20"/>
                <w:highlight w:val="none"/>
              </w:rPr>
            </w:pPr>
            <w:r>
              <w:rPr>
                <w:rFonts w:hint="eastAsia" w:cs="宋体"/>
                <w:color w:val="auto"/>
                <w:spacing w:val="4"/>
                <w:sz w:val="20"/>
                <w:szCs w:val="20"/>
                <w:highlight w:val="none"/>
                <w:lang w:val="en-US" w:eastAsia="zh-CN"/>
              </w:rPr>
              <w:t>20</w:t>
            </w:r>
            <w:r>
              <w:rPr>
                <w:rFonts w:hint="eastAsia" w:ascii="宋体" w:hAnsi="宋体" w:eastAsia="宋体" w:cs="宋体"/>
                <w:color w:val="auto"/>
                <w:spacing w:val="4"/>
                <w:sz w:val="20"/>
                <w:szCs w:val="20"/>
                <w:highlight w:val="none"/>
              </w:rPr>
              <w:t>分</w:t>
            </w:r>
          </w:p>
        </w:tc>
      </w:tr>
    </w:tbl>
    <w:p w14:paraId="31C7F72B">
      <w:pPr>
        <w:pStyle w:val="7"/>
        <w:keepNext w:val="0"/>
        <w:keepLines w:val="0"/>
        <w:pageBreakBefore w:val="0"/>
        <w:kinsoku/>
        <w:bidi w:val="0"/>
        <w:rPr>
          <w:color w:val="auto"/>
          <w:highlight w:val="none"/>
        </w:rPr>
      </w:pPr>
    </w:p>
    <w:p w14:paraId="5E5E68AC">
      <w:pPr>
        <w:keepNext w:val="0"/>
        <w:keepLines w:val="0"/>
        <w:pageBreakBefore w:val="0"/>
        <w:kinsoku/>
        <w:bidi w:val="0"/>
        <w:spacing w:before="65" w:line="232" w:lineRule="auto"/>
        <w:ind w:left="6"/>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注：</w:t>
      </w:r>
    </w:p>
    <w:p w14:paraId="6E0C9C42">
      <w:pPr>
        <w:keepNext w:val="0"/>
        <w:keepLines w:val="0"/>
        <w:pageBreakBefore w:val="0"/>
        <w:kinsoku/>
        <w:bidi w:val="0"/>
        <w:spacing w:before="43" w:line="228" w:lineRule="auto"/>
        <w:ind w:left="441"/>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5"/>
          <w:sz w:val="20"/>
          <w:szCs w:val="20"/>
          <w:highlight w:val="none"/>
          <w:lang w:eastAsia="zh-CN"/>
        </w:rPr>
        <w:t>1、类似业绩</w:t>
      </w:r>
      <w:r>
        <w:rPr>
          <w:rFonts w:hint="eastAsia" w:ascii="宋体" w:hAnsi="宋体" w:eastAsia="宋体" w:cs="宋体"/>
          <w:b/>
          <w:bCs/>
          <w:color w:val="auto"/>
          <w:spacing w:val="-2"/>
          <w:sz w:val="20"/>
          <w:szCs w:val="20"/>
          <w:highlight w:val="none"/>
          <w:lang w:eastAsia="zh-CN"/>
        </w:rPr>
        <w:t>：</w:t>
      </w:r>
    </w:p>
    <w:p w14:paraId="1CC7B85F">
      <w:pPr>
        <w:keepNext w:val="0"/>
        <w:keepLines w:val="0"/>
        <w:pageBreakBefore w:val="0"/>
        <w:kinsoku/>
        <w:bidi w:val="0"/>
        <w:spacing w:before="73" w:line="294" w:lineRule="auto"/>
        <w:ind w:left="5" w:right="70"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施工</w:t>
      </w:r>
      <w:r>
        <w:rPr>
          <w:rFonts w:hint="eastAsia" w:ascii="宋体" w:hAnsi="宋体" w:eastAsia="宋体" w:cs="宋体"/>
          <w:color w:val="auto"/>
          <w:spacing w:val="-2"/>
          <w:sz w:val="20"/>
          <w:szCs w:val="20"/>
          <w:highlight w:val="none"/>
          <w:lang w:eastAsia="zh-CN"/>
        </w:rPr>
        <w:t>：（</w:t>
      </w:r>
      <w:r>
        <w:rPr>
          <w:rFonts w:hint="eastAsia" w:ascii="宋体" w:hAnsi="宋体" w:eastAsia="宋体" w:cs="宋体"/>
          <w:color w:val="auto"/>
          <w:spacing w:val="10"/>
          <w:sz w:val="20"/>
          <w:szCs w:val="20"/>
          <w:highlight w:val="none"/>
          <w:lang w:eastAsia="zh-CN"/>
        </w:rPr>
        <w:t>1）建筑工程类施工业绩是指：建筑工程施工总承包业绩或工程总承包（包括勘察设计施工总承包或设计施工总承包或设计采购施工总承包或勘察设计采购施工总承包或采购施工总承包等）项目中的施工部分业绩。（2）投标人须同时提供</w:t>
      </w:r>
      <w:r>
        <w:rPr>
          <w:rFonts w:hint="eastAsia" w:ascii="宋体" w:hAnsi="宋体" w:eastAsia="宋体" w:cs="宋体"/>
          <w:color w:val="auto"/>
          <w:spacing w:val="10"/>
          <w:sz w:val="20"/>
          <w:szCs w:val="20"/>
          <w:highlight w:val="none"/>
          <w:lang w:val="en-US" w:eastAsia="zh-CN"/>
        </w:rPr>
        <w:t>中标通知书或免招标证明、合同关键页</w:t>
      </w:r>
      <w:r>
        <w:rPr>
          <w:rFonts w:hint="eastAsia" w:ascii="宋体" w:hAnsi="宋体" w:eastAsia="宋体" w:cs="宋体"/>
          <w:color w:val="auto"/>
          <w:spacing w:val="9"/>
          <w:sz w:val="20"/>
          <w:szCs w:val="20"/>
          <w:highlight w:val="none"/>
          <w:lang w:eastAsia="zh-CN"/>
        </w:rPr>
        <w:t>、竣工验收报告或竣工验收证明或竣工验</w:t>
      </w:r>
      <w:r>
        <w:rPr>
          <w:rFonts w:hint="eastAsia" w:ascii="宋体" w:hAnsi="宋体" w:eastAsia="宋体" w:cs="宋体"/>
          <w:color w:val="auto"/>
          <w:spacing w:val="11"/>
          <w:sz w:val="20"/>
          <w:szCs w:val="20"/>
          <w:highlight w:val="none"/>
          <w:lang w:eastAsia="zh-CN"/>
        </w:rPr>
        <w:t>收备案表等证明材料。（</w:t>
      </w:r>
      <w:r>
        <w:rPr>
          <w:rFonts w:hint="eastAsia" w:ascii="宋体" w:hAnsi="宋体" w:eastAsia="宋体" w:cs="宋体"/>
          <w:color w:val="auto"/>
          <w:spacing w:val="11"/>
          <w:sz w:val="20"/>
          <w:szCs w:val="20"/>
          <w:highlight w:val="none"/>
          <w:lang w:val="en-US" w:eastAsia="zh-CN"/>
        </w:rPr>
        <w:t>3</w:t>
      </w:r>
      <w:r>
        <w:rPr>
          <w:rFonts w:hint="eastAsia" w:ascii="宋体" w:hAnsi="宋体" w:eastAsia="宋体" w:cs="宋体"/>
          <w:color w:val="auto"/>
          <w:spacing w:val="11"/>
          <w:sz w:val="20"/>
          <w:szCs w:val="20"/>
          <w:highlight w:val="none"/>
          <w:lang w:eastAsia="zh-CN"/>
        </w:rPr>
        <w:t>）单项合同金额</w:t>
      </w:r>
      <w:r>
        <w:rPr>
          <w:rFonts w:hint="eastAsia" w:ascii="宋体" w:hAnsi="宋体" w:eastAsia="宋体" w:cs="宋体"/>
          <w:color w:val="auto"/>
          <w:sz w:val="20"/>
          <w:szCs w:val="20"/>
          <w:highlight w:val="none"/>
        </w:rPr>
        <w:t>以中标通知书载明的施工费用为准，中标通知书上没有金额或免招标的，以施工合同（不含补充合同）为准</w:t>
      </w:r>
      <w:r>
        <w:rPr>
          <w:rFonts w:hint="eastAsia" w:ascii="宋体" w:hAnsi="宋体" w:eastAsia="宋体" w:cs="宋体"/>
          <w:color w:val="auto"/>
          <w:spacing w:val="12"/>
          <w:sz w:val="20"/>
          <w:szCs w:val="20"/>
          <w:highlight w:val="none"/>
          <w:lang w:eastAsia="zh-CN"/>
        </w:rPr>
        <w:t>。（</w:t>
      </w:r>
      <w:r>
        <w:rPr>
          <w:rFonts w:hint="eastAsia" w:ascii="宋体" w:hAnsi="宋体" w:eastAsia="宋体" w:cs="宋体"/>
          <w:color w:val="auto"/>
          <w:spacing w:val="12"/>
          <w:sz w:val="20"/>
          <w:szCs w:val="20"/>
          <w:highlight w:val="none"/>
          <w:lang w:val="en-US" w:eastAsia="zh-CN"/>
        </w:rPr>
        <w:t>4</w:t>
      </w:r>
      <w:r>
        <w:rPr>
          <w:rFonts w:hint="eastAsia" w:ascii="宋体" w:hAnsi="宋体" w:eastAsia="宋体" w:cs="宋体"/>
          <w:color w:val="auto"/>
          <w:spacing w:val="12"/>
          <w:sz w:val="20"/>
          <w:szCs w:val="20"/>
          <w:highlight w:val="none"/>
          <w:lang w:eastAsia="zh-CN"/>
        </w:rPr>
        <w:t>）完成时间以竣工验收报告或竣工验收证</w:t>
      </w:r>
      <w:r>
        <w:rPr>
          <w:rFonts w:hint="eastAsia" w:ascii="宋体" w:hAnsi="宋体" w:eastAsia="宋体" w:cs="宋体"/>
          <w:color w:val="auto"/>
          <w:spacing w:val="11"/>
          <w:sz w:val="20"/>
          <w:szCs w:val="20"/>
          <w:highlight w:val="none"/>
          <w:lang w:eastAsia="zh-CN"/>
        </w:rPr>
        <w:t>明或竣工验收备案表等证明材料为准。验收文件应当至少具有建设单位、设计、施工和监理单位盖章。</w:t>
      </w:r>
      <w:r>
        <w:rPr>
          <w:rFonts w:hint="eastAsia" w:ascii="宋体" w:hAnsi="宋体" w:eastAsia="宋体" w:cs="宋体"/>
          <w:color w:val="auto"/>
          <w:spacing w:val="9"/>
          <w:sz w:val="20"/>
          <w:szCs w:val="20"/>
          <w:highlight w:val="none"/>
          <w:lang w:eastAsia="zh-CN"/>
        </w:rPr>
        <w:t>不符合上述条件或未提供上述资料的不得分。</w:t>
      </w:r>
    </w:p>
    <w:p w14:paraId="67A583FF">
      <w:pPr>
        <w:keepNext w:val="0"/>
        <w:keepLines w:val="0"/>
        <w:pageBreakBefore w:val="0"/>
        <w:kinsoku/>
        <w:bidi w:val="0"/>
        <w:spacing w:before="2" w:line="294" w:lineRule="auto"/>
        <w:ind w:left="5" w:right="70" w:firstLine="42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设计</w:t>
      </w:r>
      <w:r>
        <w:rPr>
          <w:rFonts w:hint="eastAsia" w:ascii="宋体" w:hAnsi="宋体" w:eastAsia="宋体" w:cs="宋体"/>
          <w:color w:val="auto"/>
          <w:spacing w:val="-4"/>
          <w:sz w:val="20"/>
          <w:szCs w:val="20"/>
          <w:highlight w:val="none"/>
          <w:lang w:eastAsia="zh-CN"/>
        </w:rPr>
        <w:t>：（</w:t>
      </w:r>
      <w:r>
        <w:rPr>
          <w:rFonts w:hint="eastAsia" w:ascii="宋体" w:hAnsi="宋体" w:eastAsia="宋体" w:cs="宋体"/>
          <w:color w:val="auto"/>
          <w:spacing w:val="10"/>
          <w:sz w:val="20"/>
          <w:szCs w:val="20"/>
          <w:highlight w:val="none"/>
          <w:lang w:eastAsia="zh-CN"/>
        </w:rPr>
        <w:t>1）建筑工程类设计业绩是指：单独建筑工程设计业绩</w:t>
      </w:r>
      <w:r>
        <w:rPr>
          <w:rFonts w:hint="eastAsia" w:ascii="宋体" w:hAnsi="宋体" w:eastAsia="宋体" w:cs="宋体"/>
          <w:color w:val="auto"/>
          <w:spacing w:val="10"/>
          <w:sz w:val="20"/>
          <w:szCs w:val="20"/>
          <w:highlight w:val="none"/>
          <w:lang w:val="en-US" w:eastAsia="zh-CN"/>
        </w:rPr>
        <w:t>或建筑工程勘察设计业绩</w:t>
      </w:r>
      <w:r>
        <w:rPr>
          <w:rFonts w:hint="eastAsia" w:ascii="宋体" w:hAnsi="宋体" w:eastAsia="宋体" w:cs="宋体"/>
          <w:color w:val="auto"/>
          <w:spacing w:val="10"/>
          <w:sz w:val="20"/>
          <w:szCs w:val="20"/>
          <w:highlight w:val="none"/>
          <w:lang w:eastAsia="zh-CN"/>
        </w:rPr>
        <w:t>或工程总承包（包括勘察设计施工总承包或设计施工总承包或设计采购施工总承包或勘察设计采购施工总承包等）项目中的设计部分业绩。（2）投标人须同时提供</w:t>
      </w:r>
      <w:r>
        <w:rPr>
          <w:rFonts w:hint="eastAsia" w:ascii="宋体" w:hAnsi="宋体" w:eastAsia="宋体" w:cs="宋体"/>
          <w:color w:val="auto"/>
          <w:spacing w:val="10"/>
          <w:sz w:val="20"/>
          <w:szCs w:val="20"/>
          <w:highlight w:val="none"/>
          <w:lang w:val="en-US" w:eastAsia="zh-CN"/>
        </w:rPr>
        <w:t>中标通知书（如有）、</w:t>
      </w:r>
      <w:r>
        <w:rPr>
          <w:rFonts w:hint="eastAsia" w:ascii="宋体" w:hAnsi="宋体" w:eastAsia="宋体" w:cs="宋体"/>
          <w:color w:val="auto"/>
          <w:spacing w:val="10"/>
          <w:sz w:val="20"/>
          <w:szCs w:val="20"/>
          <w:highlight w:val="none"/>
          <w:lang w:eastAsia="zh-CN"/>
        </w:rPr>
        <w:t>合同关键页及成果证明文件（初步设计批复或初步设计复函或工程规划许可证或施工图审查合格证明文件或经该项目业主盖章确认的设计履行的证明）等证明文件的扫描件，</w:t>
      </w:r>
      <w:r>
        <w:rPr>
          <w:rFonts w:hint="eastAsia" w:ascii="宋体" w:hAnsi="宋体" w:eastAsia="宋体" w:cs="宋体"/>
          <w:color w:val="auto"/>
          <w:spacing w:val="10"/>
          <w:sz w:val="20"/>
          <w:szCs w:val="20"/>
          <w:highlight w:val="none"/>
          <w:lang w:val="en-US" w:eastAsia="zh-CN"/>
        </w:rPr>
        <w:t>金额以中标通知书或合同或成果证明文件载明的建安工程费为准</w:t>
      </w:r>
      <w:r>
        <w:rPr>
          <w:rFonts w:hint="eastAsia" w:ascii="宋体" w:hAnsi="宋体" w:eastAsia="宋体" w:cs="宋体"/>
          <w:color w:val="auto"/>
          <w:spacing w:val="11"/>
          <w:sz w:val="20"/>
          <w:szCs w:val="20"/>
          <w:highlight w:val="none"/>
          <w:lang w:eastAsia="zh-CN"/>
        </w:rPr>
        <w:t>。（</w:t>
      </w:r>
      <w:r>
        <w:rPr>
          <w:rFonts w:hint="eastAsia" w:ascii="宋体" w:hAnsi="宋体" w:eastAsia="宋体" w:cs="宋体"/>
          <w:color w:val="auto"/>
          <w:spacing w:val="11"/>
          <w:sz w:val="20"/>
          <w:szCs w:val="20"/>
          <w:highlight w:val="none"/>
          <w:lang w:val="en-US" w:eastAsia="zh-CN"/>
        </w:rPr>
        <w:t>3</w:t>
      </w:r>
      <w:r>
        <w:rPr>
          <w:rFonts w:hint="eastAsia" w:ascii="宋体" w:hAnsi="宋体" w:eastAsia="宋体" w:cs="宋体"/>
          <w:color w:val="auto"/>
          <w:spacing w:val="11"/>
          <w:sz w:val="20"/>
          <w:szCs w:val="20"/>
          <w:highlight w:val="none"/>
          <w:lang w:eastAsia="zh-CN"/>
        </w:rPr>
        <w:t>）时间以成果证明文件（初步设计批复或初步设计复函或工程规划许可证或施工图审查合格证明文件或经该项目业主盖章确认的设计履行的证明）等证明文件上的时间</w:t>
      </w:r>
      <w:r>
        <w:rPr>
          <w:rFonts w:hint="eastAsia" w:ascii="宋体" w:hAnsi="宋体" w:eastAsia="宋体" w:cs="宋体"/>
          <w:color w:val="auto"/>
          <w:spacing w:val="8"/>
          <w:sz w:val="20"/>
          <w:szCs w:val="20"/>
          <w:highlight w:val="none"/>
          <w:lang w:eastAsia="zh-CN"/>
        </w:rPr>
        <w:t>为准。</w:t>
      </w:r>
    </w:p>
    <w:p w14:paraId="3CEFD5B6">
      <w:pPr>
        <w:keepNext w:val="0"/>
        <w:keepLines w:val="0"/>
        <w:pageBreakBefore w:val="0"/>
        <w:kinsoku/>
        <w:bidi w:val="0"/>
        <w:spacing w:before="73" w:line="226" w:lineRule="auto"/>
        <w:ind w:left="419"/>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5"/>
          <w:sz w:val="20"/>
          <w:szCs w:val="20"/>
          <w:highlight w:val="none"/>
          <w:lang w:val="en-US" w:eastAsia="zh-CN"/>
        </w:rPr>
        <w:t>2</w:t>
      </w:r>
      <w:r>
        <w:rPr>
          <w:rFonts w:hint="eastAsia" w:ascii="宋体" w:hAnsi="宋体" w:eastAsia="宋体" w:cs="宋体"/>
          <w:b/>
          <w:bCs/>
          <w:color w:val="auto"/>
          <w:spacing w:val="5"/>
          <w:sz w:val="20"/>
          <w:szCs w:val="20"/>
          <w:highlight w:val="none"/>
          <w:lang w:eastAsia="zh-CN"/>
        </w:rPr>
        <w:t>、第三方评价：</w:t>
      </w:r>
    </w:p>
    <w:p w14:paraId="593602AA">
      <w:pPr>
        <w:keepNext w:val="0"/>
        <w:keepLines w:val="0"/>
        <w:pageBreakBefore w:val="0"/>
        <w:kinsoku/>
        <w:bidi w:val="0"/>
        <w:spacing w:before="73" w:line="295" w:lineRule="auto"/>
        <w:ind w:left="1" w:right="3" w:firstLine="428"/>
        <w:rPr>
          <w:rFonts w:hint="eastAsia" w:ascii="宋体" w:hAnsi="宋体" w:eastAsia="宋体" w:cs="宋体"/>
          <w:color w:val="auto"/>
          <w:sz w:val="20"/>
          <w:szCs w:val="20"/>
          <w:highlight w:val="none"/>
          <w:lang w:eastAsia="zh-CN"/>
        </w:rPr>
      </w:pPr>
      <w:r>
        <w:rPr>
          <w:rFonts w:hint="eastAsia" w:ascii="宋体" w:hAnsi="宋体" w:eastAsia="宋体" w:cs="宋体"/>
          <w:snapToGrid w:val="0"/>
          <w:color w:val="auto"/>
          <w:spacing w:val="7"/>
          <w:kern w:val="0"/>
          <w:sz w:val="20"/>
          <w:szCs w:val="20"/>
          <w:highlight w:val="none"/>
          <w:lang w:val="en-US" w:eastAsia="zh-CN"/>
        </w:rPr>
        <w:t>诚信类企业</w:t>
      </w:r>
      <w:r>
        <w:rPr>
          <w:rFonts w:hint="eastAsia" w:ascii="宋体" w:hAnsi="宋体" w:eastAsia="宋体" w:cs="宋体"/>
          <w:color w:val="auto"/>
          <w:sz w:val="20"/>
          <w:szCs w:val="20"/>
          <w:highlight w:val="none"/>
          <w:lang w:val="en-US" w:eastAsia="zh-CN"/>
        </w:rPr>
        <w:t>称号</w:t>
      </w:r>
      <w:r>
        <w:rPr>
          <w:rFonts w:hint="eastAsia" w:ascii="宋体" w:hAnsi="宋体" w:eastAsia="宋体" w:cs="宋体"/>
          <w:color w:val="auto"/>
          <w:spacing w:val="10"/>
          <w:sz w:val="20"/>
          <w:szCs w:val="20"/>
          <w:highlight w:val="none"/>
          <w:lang w:eastAsia="zh-CN"/>
        </w:rPr>
        <w:t>时间以证书颁发时间为准，如证书上没有具体日期的，</w:t>
      </w:r>
      <w:r>
        <w:rPr>
          <w:rFonts w:hint="eastAsia" w:ascii="宋体" w:hAnsi="宋体" w:eastAsia="宋体" w:cs="宋体"/>
          <w:color w:val="auto"/>
          <w:spacing w:val="9"/>
          <w:sz w:val="20"/>
          <w:szCs w:val="20"/>
          <w:highlight w:val="none"/>
          <w:lang w:eastAsia="zh-CN"/>
        </w:rPr>
        <w:t>以公布评选结果的通知日期为准。投标人须提供</w:t>
      </w:r>
      <w:r>
        <w:rPr>
          <w:rFonts w:hint="eastAsia" w:ascii="宋体" w:hAnsi="宋体" w:eastAsia="宋体" w:cs="宋体"/>
          <w:color w:val="auto"/>
          <w:sz w:val="20"/>
          <w:szCs w:val="20"/>
          <w:highlight w:val="none"/>
        </w:rPr>
        <w:t>有效的证书</w:t>
      </w:r>
      <w:r>
        <w:rPr>
          <w:rFonts w:hint="eastAsia" w:ascii="宋体" w:hAnsi="宋体" w:eastAsia="宋体" w:cs="宋体"/>
          <w:color w:val="auto"/>
          <w:sz w:val="20"/>
          <w:szCs w:val="20"/>
          <w:highlight w:val="none"/>
          <w:lang w:val="en-US" w:eastAsia="zh-CN"/>
        </w:rPr>
        <w:t>证明文件扫描件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pacing w:val="10"/>
          <w:sz w:val="20"/>
          <w:szCs w:val="20"/>
          <w:highlight w:val="none"/>
          <w:lang w:eastAsia="zh-CN"/>
        </w:rPr>
        <w:t>若颁发单位是行业协会或学会，须同时提供其在“</w:t>
      </w:r>
      <w:r>
        <w:rPr>
          <w:rFonts w:hint="eastAsia" w:ascii="宋体" w:hAnsi="宋体" w:eastAsia="宋体" w:cs="宋体"/>
          <w:color w:val="auto"/>
          <w:spacing w:val="10"/>
          <w:sz w:val="20"/>
          <w:szCs w:val="20"/>
          <w:highlight w:val="none"/>
          <w:lang w:val="en-US" w:eastAsia="zh-CN"/>
        </w:rPr>
        <w:t>中国社会组织政务服务平台</w:t>
      </w:r>
      <w:r>
        <w:rPr>
          <w:rFonts w:hint="eastAsia" w:ascii="宋体" w:hAnsi="宋体" w:eastAsia="宋体" w:cs="宋体"/>
          <w:color w:val="auto"/>
          <w:spacing w:val="10"/>
          <w:sz w:val="20"/>
          <w:szCs w:val="20"/>
          <w:highlight w:val="none"/>
          <w:lang w:eastAsia="zh-CN"/>
        </w:rPr>
        <w:t>”网站（</w:t>
      </w: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lang w:eastAsia="zh-CN"/>
        </w:rPr>
        <w:instrText xml:space="preserve">HYPERLINK "https://xxgs.chinanpo.mca.gov.cn/gsxt/newList"</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lang w:eastAsia="zh-CN"/>
        </w:rPr>
        <w:t>https</w:t>
      </w:r>
      <w:r>
        <w:rPr>
          <w:rFonts w:hint="eastAsia" w:ascii="宋体" w:hAnsi="宋体" w:eastAsia="宋体" w:cs="宋体"/>
          <w:color w:val="auto"/>
          <w:spacing w:val="10"/>
          <w:sz w:val="20"/>
          <w:szCs w:val="20"/>
          <w:highlight w:val="none"/>
          <w:lang w:eastAsia="zh-CN"/>
        </w:rPr>
        <w:t>://</w:t>
      </w:r>
      <w:r>
        <w:rPr>
          <w:rFonts w:hint="eastAsia" w:ascii="宋体" w:hAnsi="宋体" w:eastAsia="宋体" w:cs="宋体"/>
          <w:color w:val="auto"/>
          <w:sz w:val="20"/>
          <w:szCs w:val="20"/>
          <w:highlight w:val="none"/>
          <w:lang w:eastAsia="zh-CN"/>
        </w:rPr>
        <w:t>xxgs</w:t>
      </w:r>
      <w:r>
        <w:rPr>
          <w:rFonts w:hint="eastAsia" w:ascii="宋体" w:hAnsi="宋体" w:eastAsia="宋体" w:cs="宋体"/>
          <w:color w:val="auto"/>
          <w:spacing w:val="10"/>
          <w:sz w:val="20"/>
          <w:szCs w:val="20"/>
          <w:highlight w:val="none"/>
          <w:lang w:eastAsia="zh-CN"/>
        </w:rPr>
        <w:t>.</w:t>
      </w:r>
      <w:r>
        <w:rPr>
          <w:rFonts w:hint="eastAsia" w:ascii="宋体" w:hAnsi="宋体" w:eastAsia="宋体" w:cs="宋体"/>
          <w:color w:val="auto"/>
          <w:sz w:val="20"/>
          <w:szCs w:val="20"/>
          <w:highlight w:val="none"/>
          <w:lang w:eastAsia="zh-CN"/>
        </w:rPr>
        <w:t>chinanpo</w:t>
      </w:r>
      <w:r>
        <w:rPr>
          <w:rFonts w:hint="eastAsia" w:ascii="宋体" w:hAnsi="宋体" w:eastAsia="宋体" w:cs="宋体"/>
          <w:color w:val="auto"/>
          <w:spacing w:val="10"/>
          <w:sz w:val="20"/>
          <w:szCs w:val="20"/>
          <w:highlight w:val="none"/>
          <w:lang w:eastAsia="zh-CN"/>
        </w:rPr>
        <w:t>.</w:t>
      </w:r>
      <w:r>
        <w:rPr>
          <w:rFonts w:hint="eastAsia" w:ascii="宋体" w:hAnsi="宋体" w:eastAsia="宋体" w:cs="宋体"/>
          <w:color w:val="auto"/>
          <w:sz w:val="20"/>
          <w:szCs w:val="20"/>
          <w:highlight w:val="none"/>
          <w:lang w:eastAsia="zh-CN"/>
        </w:rPr>
        <w:t>mca</w:t>
      </w:r>
      <w:r>
        <w:rPr>
          <w:rFonts w:hint="eastAsia" w:ascii="宋体" w:hAnsi="宋体" w:eastAsia="宋体" w:cs="宋体"/>
          <w:color w:val="auto"/>
          <w:spacing w:val="10"/>
          <w:sz w:val="20"/>
          <w:szCs w:val="20"/>
          <w:highlight w:val="none"/>
          <w:lang w:eastAsia="zh-CN"/>
        </w:rPr>
        <w:t>.g</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rPr>
        <w:instrText xml:space="preserve"> HYPERLINK "https://xxgs.chinanpo.mca.gov.cn/gsxt/newList" </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lang w:eastAsia="zh-CN"/>
        </w:rPr>
        <w:t>ov</w:t>
      </w:r>
      <w:r>
        <w:rPr>
          <w:rFonts w:hint="eastAsia" w:ascii="宋体" w:hAnsi="宋体" w:eastAsia="宋体" w:cs="宋体"/>
          <w:color w:val="auto"/>
          <w:spacing w:val="12"/>
          <w:sz w:val="20"/>
          <w:szCs w:val="20"/>
          <w:highlight w:val="none"/>
          <w:lang w:eastAsia="zh-CN"/>
        </w:rPr>
        <w:t>.</w:t>
      </w:r>
      <w:r>
        <w:rPr>
          <w:rFonts w:hint="eastAsia" w:ascii="宋体" w:hAnsi="宋体" w:eastAsia="宋体" w:cs="宋体"/>
          <w:color w:val="auto"/>
          <w:sz w:val="20"/>
          <w:szCs w:val="20"/>
          <w:highlight w:val="none"/>
          <w:lang w:eastAsia="zh-CN"/>
        </w:rPr>
        <w:t>cn</w:t>
      </w:r>
      <w:r>
        <w:rPr>
          <w:rFonts w:hint="eastAsia" w:ascii="宋体" w:hAnsi="宋体" w:eastAsia="宋体" w:cs="宋体"/>
          <w:color w:val="auto"/>
          <w:spacing w:val="12"/>
          <w:sz w:val="20"/>
          <w:szCs w:val="20"/>
          <w:highlight w:val="none"/>
          <w:lang w:eastAsia="zh-CN"/>
        </w:rPr>
        <w:t>/</w:t>
      </w:r>
      <w:r>
        <w:rPr>
          <w:rFonts w:hint="eastAsia" w:ascii="宋体" w:hAnsi="宋体" w:eastAsia="宋体" w:cs="宋体"/>
          <w:color w:val="auto"/>
          <w:sz w:val="20"/>
          <w:szCs w:val="20"/>
          <w:highlight w:val="none"/>
          <w:lang w:eastAsia="zh-CN"/>
        </w:rPr>
        <w:t>gsxt</w:t>
      </w:r>
      <w:r>
        <w:rPr>
          <w:rFonts w:hint="eastAsia" w:ascii="宋体" w:hAnsi="宋体" w:eastAsia="宋体" w:cs="宋体"/>
          <w:color w:val="auto"/>
          <w:spacing w:val="12"/>
          <w:sz w:val="20"/>
          <w:szCs w:val="20"/>
          <w:highlight w:val="none"/>
          <w:lang w:eastAsia="zh-CN"/>
        </w:rPr>
        <w:t>/</w:t>
      </w:r>
      <w:r>
        <w:rPr>
          <w:rFonts w:hint="eastAsia" w:ascii="宋体" w:hAnsi="宋体" w:eastAsia="宋体" w:cs="宋体"/>
          <w:color w:val="auto"/>
          <w:sz w:val="20"/>
          <w:szCs w:val="20"/>
          <w:highlight w:val="none"/>
          <w:lang w:eastAsia="zh-CN"/>
        </w:rPr>
        <w:t>newList</w:t>
      </w:r>
      <w:r>
        <w:rPr>
          <w:rFonts w:hint="eastAsia" w:ascii="宋体" w:hAnsi="宋体" w:eastAsia="宋体" w:cs="宋体"/>
          <w:color w:val="auto"/>
          <w:sz w:val="20"/>
          <w:szCs w:val="20"/>
          <w:highlight w:val="none"/>
          <w:lang w:eastAsia="zh-CN"/>
        </w:rPr>
        <w:fldChar w:fldCharType="end"/>
      </w:r>
      <w:r>
        <w:rPr>
          <w:rFonts w:hint="eastAsia" w:ascii="宋体" w:hAnsi="宋体" w:eastAsia="宋体" w:cs="宋体"/>
          <w:color w:val="auto"/>
          <w:spacing w:val="12"/>
          <w:sz w:val="20"/>
          <w:szCs w:val="20"/>
          <w:highlight w:val="none"/>
          <w:lang w:eastAsia="zh-CN"/>
        </w:rPr>
        <w:t>）查询截图或查询打印页，查询结果“状</w:t>
      </w:r>
      <w:r>
        <w:rPr>
          <w:rFonts w:hint="eastAsia" w:ascii="宋体" w:hAnsi="宋体" w:eastAsia="宋体" w:cs="宋体"/>
          <w:color w:val="auto"/>
          <w:spacing w:val="11"/>
          <w:sz w:val="20"/>
          <w:szCs w:val="20"/>
          <w:highlight w:val="none"/>
          <w:lang w:eastAsia="zh-CN"/>
        </w:rPr>
        <w:t>态”栏必须为“正常”，否则该获奖证书不予认定。不满足上述要求的或未提供相关证明</w:t>
      </w:r>
      <w:r>
        <w:rPr>
          <w:rFonts w:hint="eastAsia" w:ascii="宋体" w:hAnsi="宋体" w:eastAsia="宋体" w:cs="宋体"/>
          <w:color w:val="auto"/>
          <w:spacing w:val="7"/>
          <w:sz w:val="20"/>
          <w:szCs w:val="20"/>
          <w:highlight w:val="none"/>
          <w:lang w:eastAsia="zh-CN"/>
        </w:rPr>
        <w:t>材料的不计分。</w:t>
      </w:r>
    </w:p>
    <w:p w14:paraId="1CCEECF5">
      <w:pPr>
        <w:keepNext w:val="0"/>
        <w:keepLines w:val="0"/>
        <w:pageBreakBefore w:val="0"/>
        <w:kinsoku/>
        <w:bidi w:val="0"/>
        <w:spacing w:before="1" w:line="259" w:lineRule="auto"/>
        <w:ind w:right="3" w:firstLine="423"/>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9"/>
          <w:sz w:val="20"/>
          <w:szCs w:val="20"/>
          <w:highlight w:val="none"/>
          <w:lang w:val="en-US" w:eastAsia="zh-CN"/>
        </w:rPr>
        <w:t>3</w:t>
      </w:r>
      <w:r>
        <w:rPr>
          <w:rFonts w:hint="eastAsia" w:ascii="宋体" w:hAnsi="宋体" w:eastAsia="宋体" w:cs="宋体"/>
          <w:b/>
          <w:bCs/>
          <w:color w:val="auto"/>
          <w:spacing w:val="9"/>
          <w:sz w:val="20"/>
          <w:szCs w:val="20"/>
          <w:highlight w:val="none"/>
          <w:lang w:eastAsia="zh-CN"/>
        </w:rPr>
        <w:t>、</w:t>
      </w:r>
      <w:r>
        <w:rPr>
          <w:rFonts w:hint="eastAsia" w:ascii="宋体" w:hAnsi="宋体" w:eastAsia="宋体" w:cs="宋体"/>
          <w:color w:val="auto"/>
          <w:spacing w:val="10"/>
          <w:sz w:val="20"/>
          <w:szCs w:val="20"/>
          <w:highlight w:val="none"/>
          <w:lang w:eastAsia="zh-CN"/>
        </w:rPr>
        <w:t>所有证明文件均需加盖投标单位电子印章，不符合上述条件的或证书不在有效期</w:t>
      </w:r>
      <w:r>
        <w:rPr>
          <w:rFonts w:hint="eastAsia" w:ascii="宋体" w:hAnsi="宋体" w:eastAsia="宋体" w:cs="宋体"/>
          <w:color w:val="auto"/>
          <w:spacing w:val="9"/>
          <w:sz w:val="20"/>
          <w:szCs w:val="20"/>
          <w:highlight w:val="none"/>
          <w:lang w:eastAsia="zh-CN"/>
        </w:rPr>
        <w:t>内的或上述资料相关信息不一致的或提供的资料不齐全的或未加</w:t>
      </w:r>
      <w:r>
        <w:rPr>
          <w:rFonts w:hint="eastAsia" w:ascii="宋体" w:hAnsi="宋体" w:eastAsia="宋体" w:cs="宋体"/>
          <w:color w:val="auto"/>
          <w:spacing w:val="8"/>
          <w:sz w:val="20"/>
          <w:szCs w:val="20"/>
          <w:highlight w:val="none"/>
          <w:lang w:eastAsia="zh-CN"/>
        </w:rPr>
        <w:t>盖投标单位电子印章的不予计分。</w:t>
      </w:r>
    </w:p>
    <w:p w14:paraId="05F18EF0">
      <w:pPr>
        <w:keepNext w:val="0"/>
        <w:keepLines w:val="0"/>
        <w:pageBreakBefore w:val="0"/>
        <w:kinsoku/>
        <w:bidi w:val="0"/>
        <w:spacing w:before="72" w:line="261" w:lineRule="auto"/>
        <w:ind w:left="2" w:right="3" w:firstLine="419"/>
        <w:rPr>
          <w:rFonts w:hint="eastAsia" w:ascii="宋体" w:hAnsi="宋体" w:eastAsia="宋体" w:cs="宋体"/>
          <w:color w:val="auto"/>
          <w:sz w:val="20"/>
          <w:szCs w:val="20"/>
          <w:highlight w:val="none"/>
          <w:lang w:eastAsia="zh-CN"/>
        </w:rPr>
      </w:pPr>
      <w:r>
        <w:rPr>
          <w:rFonts w:hint="eastAsia" w:ascii="宋体" w:hAnsi="宋体" w:eastAsia="宋体" w:cs="宋体"/>
          <w:b/>
          <w:bCs/>
          <w:color w:val="auto"/>
          <w:spacing w:val="9"/>
          <w:sz w:val="20"/>
          <w:szCs w:val="20"/>
          <w:highlight w:val="none"/>
          <w:lang w:val="en-US" w:eastAsia="zh-CN"/>
        </w:rPr>
        <w:t>4</w:t>
      </w:r>
      <w:r>
        <w:rPr>
          <w:rFonts w:hint="eastAsia" w:ascii="宋体" w:hAnsi="宋体" w:eastAsia="宋体" w:cs="宋体"/>
          <w:b/>
          <w:bCs/>
          <w:color w:val="auto"/>
          <w:spacing w:val="9"/>
          <w:sz w:val="20"/>
          <w:szCs w:val="20"/>
          <w:highlight w:val="none"/>
          <w:lang w:eastAsia="zh-CN"/>
        </w:rPr>
        <w:t>、</w:t>
      </w:r>
      <w:r>
        <w:rPr>
          <w:rFonts w:hint="eastAsia" w:ascii="宋体" w:hAnsi="宋体" w:eastAsia="宋体" w:cs="宋体"/>
          <w:color w:val="auto"/>
          <w:spacing w:val="10"/>
          <w:sz w:val="20"/>
          <w:szCs w:val="20"/>
          <w:highlight w:val="none"/>
          <w:lang w:eastAsia="zh-CN"/>
        </w:rPr>
        <w:t>投标人提供的扫描件及网页信息打印页内容必须清晰可辨，并加盖公章，如因扫描件或</w:t>
      </w:r>
      <w:r>
        <w:rPr>
          <w:rFonts w:hint="eastAsia" w:ascii="宋体" w:hAnsi="宋体" w:eastAsia="宋体" w:cs="宋体"/>
          <w:color w:val="auto"/>
          <w:spacing w:val="9"/>
          <w:sz w:val="20"/>
          <w:szCs w:val="20"/>
          <w:highlight w:val="none"/>
          <w:lang w:eastAsia="zh-CN"/>
        </w:rPr>
        <w:t>网页信息打印页内容模糊导致评标时无法判断的，后果由投标人自负。上述证明资料不提供或提供不完整或提供不符合要求的不得分。</w:t>
      </w:r>
    </w:p>
    <w:p w14:paraId="1040E259">
      <w:pPr>
        <w:keepNext w:val="0"/>
        <w:keepLines w:val="0"/>
        <w:pageBreakBefore w:val="0"/>
        <w:kinsoku/>
        <w:bidi w:val="0"/>
        <w:spacing w:before="72" w:line="228" w:lineRule="auto"/>
        <w:ind w:left="419"/>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评委签名：                                日期：</w:t>
      </w:r>
    </w:p>
    <w:p w14:paraId="29458917">
      <w:pPr>
        <w:keepNext w:val="0"/>
        <w:keepLines w:val="0"/>
        <w:pageBreakBefore w:val="0"/>
        <w:kinsoku/>
        <w:bidi w:val="0"/>
        <w:spacing w:before="0" w:line="240" w:lineRule="auto"/>
        <w:ind w:left="0"/>
        <w:rPr>
          <w:rFonts w:ascii="宋体" w:hAnsi="宋体" w:eastAsia="宋体" w:cs="宋体"/>
          <w:color w:val="auto"/>
          <w:sz w:val="20"/>
          <w:szCs w:val="20"/>
          <w:highlight w:val="none"/>
          <w:lang w:eastAsia="zh-CN"/>
        </w:rPr>
      </w:pPr>
    </w:p>
    <w:p w14:paraId="00CA4120">
      <w:pPr>
        <w:keepNext w:val="0"/>
        <w:keepLines w:val="0"/>
        <w:pageBreakBefore w:val="0"/>
        <w:kinsoku/>
        <w:bidi w:val="0"/>
        <w:spacing w:before="0" w:line="240" w:lineRule="auto"/>
        <w:ind w:left="0"/>
        <w:rPr>
          <w:rFonts w:ascii="宋体" w:hAnsi="宋体" w:eastAsia="宋体" w:cs="宋体"/>
          <w:color w:val="auto"/>
          <w:sz w:val="20"/>
          <w:szCs w:val="20"/>
          <w:highlight w:val="none"/>
          <w:lang w:eastAsia="zh-CN"/>
        </w:rPr>
      </w:pPr>
    </w:p>
    <w:p w14:paraId="4DCA4F10">
      <w:pPr>
        <w:keepNext w:val="0"/>
        <w:keepLines w:val="0"/>
        <w:pageBreakBefore w:val="0"/>
        <w:kinsoku/>
        <w:bidi w:val="0"/>
        <w:spacing w:before="0" w:line="240" w:lineRule="auto"/>
        <w:ind w:left="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br w:type="page"/>
      </w:r>
    </w:p>
    <w:p w14:paraId="6F952ABF">
      <w:pPr>
        <w:keepNext w:val="0"/>
        <w:keepLines w:val="0"/>
        <w:pageBreakBefore w:val="0"/>
        <w:kinsoku/>
        <w:bidi w:val="0"/>
        <w:spacing w:before="91" w:line="220" w:lineRule="auto"/>
        <w:ind w:left="5410"/>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二、项目实施组织方案部分</w:t>
      </w:r>
    </w:p>
    <w:p w14:paraId="6A61DF22">
      <w:pPr>
        <w:keepNext w:val="0"/>
        <w:keepLines w:val="0"/>
        <w:pageBreakBefore w:val="0"/>
        <w:kinsoku/>
        <w:bidi w:val="0"/>
        <w:spacing w:before="179" w:line="228" w:lineRule="auto"/>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项目名称：</w:t>
      </w:r>
    </w:p>
    <w:p w14:paraId="00DA215A">
      <w:pPr>
        <w:keepNext w:val="0"/>
        <w:keepLines w:val="0"/>
        <w:pageBreakBefore w:val="0"/>
        <w:kinsoku/>
        <w:bidi w:val="0"/>
        <w:spacing w:line="17" w:lineRule="exact"/>
        <w:rPr>
          <w:rFonts w:hint="eastAsia" w:ascii="宋体" w:hAnsi="宋体" w:eastAsia="宋体" w:cs="宋体"/>
          <w:color w:val="auto"/>
          <w:sz w:val="20"/>
          <w:szCs w:val="20"/>
          <w:highlight w:val="none"/>
        </w:rPr>
      </w:pPr>
    </w:p>
    <w:tbl>
      <w:tblPr>
        <w:tblStyle w:val="19"/>
        <w:tblW w:w="141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3"/>
        <w:gridCol w:w="667"/>
        <w:gridCol w:w="12276"/>
      </w:tblGrid>
      <w:tr w14:paraId="5BFC4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213" w:type="dxa"/>
            <w:tcBorders>
              <w:top w:val="single" w:color="000000" w:sz="6" w:space="0"/>
            </w:tcBorders>
          </w:tcPr>
          <w:p w14:paraId="2F123FBA">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评分内容</w:t>
            </w:r>
          </w:p>
        </w:tc>
        <w:tc>
          <w:tcPr>
            <w:tcW w:w="667" w:type="dxa"/>
            <w:tcBorders>
              <w:top w:val="single" w:color="000000" w:sz="6" w:space="0"/>
            </w:tcBorders>
          </w:tcPr>
          <w:p w14:paraId="57F4466C">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分值</w:t>
            </w:r>
          </w:p>
        </w:tc>
        <w:tc>
          <w:tcPr>
            <w:tcW w:w="12276" w:type="dxa"/>
            <w:tcBorders>
              <w:top w:val="single" w:color="000000" w:sz="6" w:space="0"/>
            </w:tcBorders>
          </w:tcPr>
          <w:p w14:paraId="3EC5FE64">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评审标准</w:t>
            </w:r>
          </w:p>
        </w:tc>
      </w:tr>
      <w:tr w14:paraId="43639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13" w:type="dxa"/>
            <w:vAlign w:val="center"/>
          </w:tcPr>
          <w:p w14:paraId="414B13D6">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设计和施工的融合措施</w:t>
            </w:r>
          </w:p>
        </w:tc>
        <w:tc>
          <w:tcPr>
            <w:tcW w:w="667" w:type="dxa"/>
            <w:vAlign w:val="center"/>
          </w:tcPr>
          <w:p w14:paraId="2AD696C1">
            <w:pPr>
              <w:keepNext w:val="0"/>
              <w:keepLines w:val="0"/>
              <w:pageBreakBefore w:val="0"/>
              <w:widowControl/>
              <w:kinsoku/>
              <w:wordWrap/>
              <w:overflowPunct/>
              <w:topLinePunct w:val="0"/>
              <w:bidi w:val="0"/>
              <w:spacing w:line="300" w:lineRule="exact"/>
              <w:ind w:left="0"/>
              <w:contextualSpacing/>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42</w:t>
            </w:r>
          </w:p>
        </w:tc>
        <w:tc>
          <w:tcPr>
            <w:tcW w:w="12276" w:type="dxa"/>
          </w:tcPr>
          <w:p w14:paraId="7ECC28E9">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10"/>
                <w:sz w:val="20"/>
                <w:szCs w:val="20"/>
                <w:highlight w:val="none"/>
                <w:lang w:eastAsia="zh-CN"/>
              </w:rPr>
            </w:pPr>
            <w:r>
              <w:rPr>
                <w:rFonts w:hint="eastAsia" w:ascii="宋体" w:hAnsi="宋体" w:eastAsia="宋体" w:cs="宋体"/>
                <w:color w:val="auto"/>
                <w:spacing w:val="10"/>
                <w:sz w:val="20"/>
                <w:szCs w:val="20"/>
                <w:highlight w:val="none"/>
                <w:lang w:val="en-US" w:eastAsia="zh-CN"/>
              </w:rPr>
              <w:t>一</w:t>
            </w:r>
            <w:r>
              <w:rPr>
                <w:rFonts w:hint="eastAsia" w:ascii="宋体" w:hAnsi="宋体" w:eastAsia="宋体" w:cs="宋体"/>
                <w:color w:val="auto"/>
                <w:spacing w:val="10"/>
                <w:sz w:val="20"/>
                <w:szCs w:val="20"/>
                <w:highlight w:val="none"/>
                <w:lang w:eastAsia="zh-CN"/>
              </w:rPr>
              <w:t>、投标人拟投入本项目的项目管理机构人员全部满足附件《人员最低要求》要求的，得</w:t>
            </w:r>
            <w:r>
              <w:rPr>
                <w:rFonts w:hint="eastAsia" w:ascii="宋体" w:hAnsi="宋体" w:eastAsia="宋体" w:cs="宋体"/>
                <w:color w:val="auto"/>
                <w:spacing w:val="10"/>
                <w:sz w:val="20"/>
                <w:szCs w:val="20"/>
                <w:highlight w:val="none"/>
                <w:lang w:val="en-US" w:eastAsia="zh-CN"/>
              </w:rPr>
              <w:t>6</w:t>
            </w:r>
            <w:r>
              <w:rPr>
                <w:rFonts w:hint="eastAsia" w:ascii="宋体" w:hAnsi="宋体" w:eastAsia="宋体" w:cs="宋体"/>
                <w:color w:val="auto"/>
                <w:spacing w:val="10"/>
                <w:sz w:val="20"/>
                <w:szCs w:val="20"/>
                <w:highlight w:val="none"/>
                <w:lang w:eastAsia="zh-CN"/>
              </w:rPr>
              <w:t>分；不满足要求的得0分。</w:t>
            </w:r>
          </w:p>
          <w:p w14:paraId="21627F13">
            <w:pPr>
              <w:keepNext w:val="0"/>
              <w:keepLines w:val="0"/>
              <w:pageBreakBefore w:val="0"/>
              <w:widowControl/>
              <w:kinsoku/>
              <w:wordWrap/>
              <w:overflowPunct/>
              <w:topLinePunct w:val="0"/>
              <w:autoSpaceDE/>
              <w:autoSpaceDN/>
              <w:bidi w:val="0"/>
              <w:adjustRightInd/>
              <w:snapToGrid/>
              <w:spacing w:before="73" w:line="240" w:lineRule="auto"/>
              <w:ind w:left="6" w:leftChars="0" w:right="68" w:firstLine="420"/>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pacing w:val="10"/>
                <w:sz w:val="20"/>
                <w:szCs w:val="20"/>
                <w:highlight w:val="none"/>
                <w:lang w:val="en-US" w:eastAsia="zh-CN"/>
              </w:rPr>
              <w:t>二</w:t>
            </w:r>
            <w:r>
              <w:rPr>
                <w:rFonts w:hint="eastAsia" w:ascii="宋体" w:hAnsi="宋体" w:eastAsia="宋体" w:cs="宋体"/>
                <w:b/>
                <w:bCs/>
                <w:color w:val="auto"/>
                <w:spacing w:val="10"/>
                <w:sz w:val="20"/>
                <w:szCs w:val="20"/>
                <w:highlight w:val="none"/>
                <w:lang w:eastAsia="zh-CN"/>
              </w:rPr>
              <w:t>、</w:t>
            </w:r>
            <w:r>
              <w:rPr>
                <w:rFonts w:hint="eastAsia" w:ascii="宋体" w:hAnsi="宋体" w:eastAsia="宋体" w:cs="宋体"/>
                <w:b/>
                <w:bCs/>
                <w:color w:val="auto"/>
                <w:sz w:val="20"/>
                <w:szCs w:val="20"/>
                <w:highlight w:val="none"/>
                <w:lang w:val="zh-TW" w:bidi="zh-TW"/>
              </w:rPr>
              <w:t>投标人（若为联合体投标，指联合体主办方）</w:t>
            </w:r>
            <w:r>
              <w:rPr>
                <w:rFonts w:hint="eastAsia" w:ascii="宋体" w:hAnsi="宋体" w:eastAsia="宋体" w:cs="宋体"/>
                <w:b/>
                <w:bCs/>
                <w:color w:val="auto"/>
                <w:sz w:val="20"/>
                <w:szCs w:val="20"/>
                <w:highlight w:val="none"/>
              </w:rPr>
              <w:t>拟委派人员如下计算得分：</w:t>
            </w:r>
          </w:p>
          <w:p w14:paraId="2032DDA6">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bCs/>
                <w:color w:val="auto"/>
                <w:spacing w:val="8"/>
                <w:sz w:val="20"/>
                <w:szCs w:val="20"/>
                <w:highlight w:val="none"/>
                <w:lang w:val="en-US" w:eastAsia="zh-CN"/>
              </w:rPr>
            </w:pPr>
            <w:r>
              <w:rPr>
                <w:rFonts w:hint="eastAsia" w:ascii="宋体" w:hAnsi="宋体" w:eastAsia="宋体" w:cs="宋体"/>
                <w:b/>
                <w:bCs/>
                <w:color w:val="auto"/>
                <w:spacing w:val="8"/>
                <w:sz w:val="20"/>
                <w:szCs w:val="20"/>
                <w:highlight w:val="none"/>
                <w:lang w:val="en-US" w:eastAsia="zh-CN"/>
              </w:rPr>
              <w:t>1、项目负责人：</w:t>
            </w:r>
          </w:p>
          <w:p w14:paraId="43055D0A">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①</w:t>
            </w:r>
            <w:r>
              <w:rPr>
                <w:rFonts w:hint="eastAsia" w:ascii="宋体" w:hAnsi="宋体" w:eastAsia="宋体" w:cs="宋体"/>
                <w:color w:val="auto"/>
                <w:spacing w:val="8"/>
                <w:sz w:val="20"/>
                <w:szCs w:val="20"/>
                <w:highlight w:val="none"/>
                <w:lang w:eastAsia="zh-CN"/>
              </w:rPr>
              <w:t>取得</w:t>
            </w:r>
            <w:r>
              <w:rPr>
                <w:rFonts w:hint="eastAsia" w:ascii="宋体" w:hAnsi="宋体" w:eastAsia="宋体" w:cs="宋体"/>
                <w:color w:val="auto"/>
                <w:spacing w:val="8"/>
                <w:sz w:val="20"/>
                <w:szCs w:val="20"/>
                <w:highlight w:val="none"/>
                <w:lang w:val="en-US" w:eastAsia="zh-CN"/>
              </w:rPr>
              <w:t>装饰装修类施工相关</w:t>
            </w:r>
            <w:r>
              <w:rPr>
                <w:rFonts w:hint="eastAsia" w:ascii="宋体" w:hAnsi="宋体" w:eastAsia="宋体" w:cs="宋体"/>
                <w:color w:val="auto"/>
                <w:spacing w:val="8"/>
                <w:sz w:val="20"/>
                <w:szCs w:val="20"/>
                <w:highlight w:val="none"/>
                <w:lang w:eastAsia="zh-CN"/>
              </w:rPr>
              <w:t>专业高级（或以上）技术职称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分；取得</w:t>
            </w:r>
            <w:r>
              <w:rPr>
                <w:rFonts w:hint="eastAsia" w:ascii="宋体" w:hAnsi="宋体" w:eastAsia="宋体" w:cs="宋体"/>
                <w:color w:val="auto"/>
                <w:spacing w:val="8"/>
                <w:sz w:val="20"/>
                <w:szCs w:val="20"/>
                <w:highlight w:val="none"/>
                <w:lang w:val="en-US" w:eastAsia="zh-CN"/>
              </w:rPr>
              <w:t>装饰装修类</w:t>
            </w:r>
            <w:r>
              <w:rPr>
                <w:rFonts w:hint="eastAsia" w:ascii="宋体" w:hAnsi="宋体" w:eastAsia="宋体" w:cs="宋体"/>
                <w:color w:val="auto"/>
                <w:spacing w:val="8"/>
                <w:sz w:val="20"/>
                <w:szCs w:val="20"/>
                <w:highlight w:val="none"/>
                <w:lang w:eastAsia="zh-CN"/>
              </w:rPr>
              <w:t>专业</w:t>
            </w:r>
            <w:r>
              <w:rPr>
                <w:rFonts w:hint="eastAsia" w:ascii="宋体" w:hAnsi="宋体" w:eastAsia="宋体" w:cs="宋体"/>
                <w:color w:val="auto"/>
                <w:spacing w:val="8"/>
                <w:sz w:val="20"/>
                <w:szCs w:val="20"/>
                <w:highlight w:val="none"/>
                <w:lang w:val="en-US" w:eastAsia="zh-CN"/>
              </w:rPr>
              <w:t>中级</w:t>
            </w:r>
            <w:r>
              <w:rPr>
                <w:rFonts w:hint="eastAsia" w:ascii="宋体" w:hAnsi="宋体" w:eastAsia="宋体" w:cs="宋体"/>
                <w:color w:val="auto"/>
                <w:spacing w:val="8"/>
                <w:sz w:val="20"/>
                <w:szCs w:val="20"/>
                <w:highlight w:val="none"/>
                <w:lang w:eastAsia="zh-CN"/>
              </w:rPr>
              <w:t>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1</w:t>
            </w:r>
            <w:r>
              <w:rPr>
                <w:rFonts w:hint="eastAsia" w:ascii="宋体" w:hAnsi="宋体" w:eastAsia="宋体" w:cs="宋体"/>
                <w:color w:val="auto"/>
                <w:spacing w:val="8"/>
                <w:sz w:val="20"/>
                <w:szCs w:val="20"/>
                <w:highlight w:val="none"/>
                <w:lang w:eastAsia="zh-CN"/>
              </w:rPr>
              <w:t>分</w:t>
            </w:r>
            <w:r>
              <w:rPr>
                <w:rFonts w:hint="eastAsia" w:ascii="宋体" w:hAnsi="宋体" w:eastAsia="宋体" w:cs="宋体"/>
                <w:color w:val="auto"/>
                <w:spacing w:val="8"/>
                <w:sz w:val="20"/>
                <w:szCs w:val="20"/>
                <w:highlight w:val="none"/>
                <w:lang w:val="en-US" w:eastAsia="zh-CN"/>
              </w:rPr>
              <w:t>。</w:t>
            </w:r>
          </w:p>
          <w:p w14:paraId="7338F558">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eastAsia="zh-CN"/>
              </w:rPr>
              <w:t>②</w:t>
            </w:r>
            <w:r>
              <w:rPr>
                <w:rFonts w:hint="eastAsia" w:ascii="宋体" w:hAnsi="宋体" w:eastAsia="宋体" w:cs="宋体"/>
                <w:color w:val="auto"/>
                <w:spacing w:val="8"/>
                <w:sz w:val="20"/>
                <w:szCs w:val="20"/>
                <w:highlight w:val="none"/>
                <w:lang w:val="en-US" w:eastAsia="zh-CN"/>
              </w:rPr>
              <w:t>自2022</w:t>
            </w:r>
            <w:r>
              <w:rPr>
                <w:rFonts w:hint="eastAsia" w:ascii="宋体" w:hAnsi="宋体" w:eastAsia="宋体" w:cs="宋体"/>
                <w:color w:val="auto"/>
                <w:spacing w:val="8"/>
                <w:sz w:val="20"/>
                <w:szCs w:val="20"/>
                <w:highlight w:val="none"/>
                <w:lang w:eastAsia="zh-CN"/>
              </w:rPr>
              <w:t>年1月1日至今，担任</w:t>
            </w:r>
            <w:r>
              <w:rPr>
                <w:rFonts w:hint="eastAsia" w:ascii="宋体" w:hAnsi="宋体" w:eastAsia="宋体" w:cs="宋体"/>
                <w:color w:val="auto"/>
                <w:spacing w:val="8"/>
                <w:sz w:val="20"/>
                <w:szCs w:val="20"/>
                <w:highlight w:val="none"/>
                <w:lang w:val="en-US" w:eastAsia="zh-CN"/>
              </w:rPr>
              <w:t>项目负责人</w:t>
            </w:r>
            <w:r>
              <w:rPr>
                <w:rFonts w:hint="eastAsia" w:ascii="宋体" w:hAnsi="宋体" w:eastAsia="宋体" w:cs="宋体"/>
                <w:color w:val="auto"/>
                <w:spacing w:val="8"/>
                <w:sz w:val="20"/>
                <w:szCs w:val="20"/>
                <w:highlight w:val="none"/>
                <w:lang w:eastAsia="zh-CN"/>
              </w:rPr>
              <w:t>职务完成过质量合格且</w:t>
            </w:r>
            <w:r>
              <w:rPr>
                <w:rFonts w:hint="eastAsia" w:ascii="宋体" w:hAnsi="宋体" w:eastAsia="宋体" w:cs="宋体"/>
                <w:color w:val="auto"/>
                <w:spacing w:val="8"/>
                <w:sz w:val="20"/>
                <w:szCs w:val="20"/>
                <w:highlight w:val="none"/>
                <w:lang w:val="en-US" w:eastAsia="zh-CN"/>
              </w:rPr>
              <w:t>单项合同</w:t>
            </w:r>
            <w:r>
              <w:rPr>
                <w:rFonts w:hint="eastAsia" w:ascii="宋体" w:hAnsi="宋体" w:eastAsia="宋体" w:cs="宋体"/>
                <w:color w:val="auto"/>
                <w:spacing w:val="8"/>
                <w:sz w:val="20"/>
                <w:szCs w:val="20"/>
                <w:highlight w:val="none"/>
                <w:lang w:eastAsia="zh-CN"/>
              </w:rPr>
              <w:t>金额</w:t>
            </w: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lang w:eastAsia="zh-CN"/>
              </w:rPr>
              <w:t>00万元或以上的建筑工程施工总承包业绩的，每提供一项得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分，本项最</w:t>
            </w:r>
            <w:r>
              <w:rPr>
                <w:rFonts w:hint="eastAsia" w:ascii="宋体" w:hAnsi="宋体" w:eastAsia="宋体" w:cs="宋体"/>
                <w:color w:val="auto"/>
                <w:spacing w:val="8"/>
                <w:sz w:val="20"/>
                <w:szCs w:val="20"/>
                <w:highlight w:val="none"/>
                <w:lang w:val="en-US" w:eastAsia="zh-CN"/>
              </w:rPr>
              <w:t>高</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w:t>
            </w:r>
          </w:p>
          <w:p w14:paraId="42B5CC81">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val="en-US" w:eastAsia="zh-CN"/>
              </w:rPr>
              <w:t>2、</w:t>
            </w:r>
            <w:r>
              <w:rPr>
                <w:rFonts w:hint="eastAsia" w:ascii="宋体" w:hAnsi="宋体" w:eastAsia="宋体" w:cs="宋体"/>
                <w:b/>
                <w:bCs/>
                <w:color w:val="auto"/>
                <w:spacing w:val="8"/>
                <w:sz w:val="20"/>
                <w:szCs w:val="20"/>
                <w:highlight w:val="none"/>
                <w:lang w:eastAsia="zh-CN"/>
              </w:rPr>
              <w:t>技术负责人：</w:t>
            </w:r>
          </w:p>
          <w:p w14:paraId="1C611588">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①</w:t>
            </w:r>
            <w:r>
              <w:rPr>
                <w:rFonts w:hint="eastAsia" w:ascii="宋体" w:hAnsi="宋体" w:eastAsia="宋体" w:cs="宋体"/>
                <w:color w:val="auto"/>
                <w:spacing w:val="8"/>
                <w:sz w:val="20"/>
                <w:szCs w:val="20"/>
                <w:highlight w:val="none"/>
                <w:lang w:eastAsia="zh-CN"/>
              </w:rPr>
              <w:t>取得建筑</w:t>
            </w:r>
            <w:r>
              <w:rPr>
                <w:rFonts w:hint="eastAsia" w:ascii="宋体" w:hAnsi="宋体" w:eastAsia="宋体" w:cs="宋体"/>
                <w:color w:val="auto"/>
                <w:spacing w:val="8"/>
                <w:sz w:val="20"/>
                <w:szCs w:val="20"/>
                <w:highlight w:val="none"/>
                <w:lang w:val="en-US" w:eastAsia="zh-CN"/>
              </w:rPr>
              <w:t>施工相关</w:t>
            </w:r>
            <w:r>
              <w:rPr>
                <w:rFonts w:hint="eastAsia" w:ascii="宋体" w:hAnsi="宋体" w:eastAsia="宋体" w:cs="宋体"/>
                <w:color w:val="auto"/>
                <w:spacing w:val="8"/>
                <w:sz w:val="20"/>
                <w:szCs w:val="20"/>
                <w:highlight w:val="none"/>
                <w:lang w:eastAsia="zh-CN"/>
              </w:rPr>
              <w:t>专业高级（或以上）技术职称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分；取得建筑</w:t>
            </w:r>
            <w:r>
              <w:rPr>
                <w:rFonts w:hint="eastAsia" w:ascii="宋体" w:hAnsi="宋体" w:eastAsia="宋体" w:cs="宋体"/>
                <w:color w:val="auto"/>
                <w:spacing w:val="8"/>
                <w:sz w:val="20"/>
                <w:szCs w:val="20"/>
                <w:highlight w:val="none"/>
                <w:lang w:val="en-US" w:eastAsia="zh-CN"/>
              </w:rPr>
              <w:t>施工相关</w:t>
            </w:r>
            <w:r>
              <w:rPr>
                <w:rFonts w:hint="eastAsia" w:ascii="宋体" w:hAnsi="宋体" w:eastAsia="宋体" w:cs="宋体"/>
                <w:color w:val="auto"/>
                <w:spacing w:val="8"/>
                <w:sz w:val="20"/>
                <w:szCs w:val="20"/>
                <w:highlight w:val="none"/>
                <w:lang w:eastAsia="zh-CN"/>
              </w:rPr>
              <w:t>专业</w:t>
            </w:r>
            <w:r>
              <w:rPr>
                <w:rFonts w:hint="eastAsia" w:ascii="宋体" w:hAnsi="宋体" w:eastAsia="宋体" w:cs="宋体"/>
                <w:color w:val="auto"/>
                <w:spacing w:val="8"/>
                <w:sz w:val="20"/>
                <w:szCs w:val="20"/>
                <w:highlight w:val="none"/>
                <w:lang w:val="en-US" w:eastAsia="zh-CN"/>
              </w:rPr>
              <w:t>中级</w:t>
            </w:r>
            <w:r>
              <w:rPr>
                <w:rFonts w:hint="eastAsia" w:ascii="宋体" w:hAnsi="宋体" w:eastAsia="宋体" w:cs="宋体"/>
                <w:color w:val="auto"/>
                <w:spacing w:val="8"/>
                <w:sz w:val="20"/>
                <w:szCs w:val="20"/>
                <w:highlight w:val="none"/>
                <w:lang w:eastAsia="zh-CN"/>
              </w:rPr>
              <w:t>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1</w:t>
            </w:r>
            <w:r>
              <w:rPr>
                <w:rFonts w:hint="eastAsia" w:ascii="宋体" w:hAnsi="宋体" w:eastAsia="宋体" w:cs="宋体"/>
                <w:color w:val="auto"/>
                <w:spacing w:val="8"/>
                <w:sz w:val="20"/>
                <w:szCs w:val="20"/>
                <w:highlight w:val="none"/>
                <w:lang w:eastAsia="zh-CN"/>
              </w:rPr>
              <w:t>分</w:t>
            </w:r>
            <w:r>
              <w:rPr>
                <w:rFonts w:hint="eastAsia" w:ascii="宋体" w:hAnsi="宋体" w:eastAsia="宋体" w:cs="宋体"/>
                <w:color w:val="auto"/>
                <w:spacing w:val="8"/>
                <w:sz w:val="20"/>
                <w:szCs w:val="20"/>
                <w:highlight w:val="none"/>
                <w:lang w:val="en-US" w:eastAsia="zh-CN"/>
              </w:rPr>
              <w:t>。</w:t>
            </w:r>
          </w:p>
          <w:p w14:paraId="4B9193C9">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②</w:t>
            </w:r>
            <w:r>
              <w:rPr>
                <w:rFonts w:hint="eastAsia" w:ascii="宋体" w:hAnsi="宋体" w:eastAsia="宋体" w:cs="宋体"/>
                <w:color w:val="auto"/>
                <w:spacing w:val="8"/>
                <w:sz w:val="20"/>
                <w:szCs w:val="20"/>
                <w:highlight w:val="none"/>
                <w:lang w:val="en-US" w:eastAsia="zh-CN"/>
              </w:rPr>
              <w:t>自2022</w:t>
            </w:r>
            <w:r>
              <w:rPr>
                <w:rFonts w:hint="eastAsia" w:ascii="宋体" w:hAnsi="宋体" w:eastAsia="宋体" w:cs="宋体"/>
                <w:color w:val="auto"/>
                <w:spacing w:val="8"/>
                <w:sz w:val="20"/>
                <w:szCs w:val="20"/>
                <w:highlight w:val="none"/>
                <w:lang w:eastAsia="zh-CN"/>
              </w:rPr>
              <w:t>年1月1日至今，完成过质量合格且</w:t>
            </w:r>
            <w:r>
              <w:rPr>
                <w:rFonts w:hint="eastAsia" w:ascii="宋体" w:hAnsi="宋体" w:eastAsia="宋体" w:cs="宋体"/>
                <w:color w:val="auto"/>
                <w:spacing w:val="8"/>
                <w:sz w:val="20"/>
                <w:szCs w:val="20"/>
                <w:highlight w:val="none"/>
                <w:lang w:val="en-US" w:eastAsia="zh-CN"/>
              </w:rPr>
              <w:t>单项合同</w:t>
            </w:r>
            <w:r>
              <w:rPr>
                <w:rFonts w:hint="eastAsia" w:ascii="宋体" w:hAnsi="宋体" w:eastAsia="宋体" w:cs="宋体"/>
                <w:color w:val="auto"/>
                <w:spacing w:val="8"/>
                <w:sz w:val="20"/>
                <w:szCs w:val="20"/>
                <w:highlight w:val="none"/>
                <w:lang w:eastAsia="zh-CN"/>
              </w:rPr>
              <w:t>金额</w:t>
            </w: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lang w:eastAsia="zh-CN"/>
              </w:rPr>
              <w:t>00万元或以上的建筑工程施工总承包业绩的，每提供一项得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分，本项最</w:t>
            </w:r>
            <w:r>
              <w:rPr>
                <w:rFonts w:hint="eastAsia" w:ascii="宋体" w:hAnsi="宋体" w:eastAsia="宋体" w:cs="宋体"/>
                <w:color w:val="auto"/>
                <w:spacing w:val="8"/>
                <w:sz w:val="20"/>
                <w:szCs w:val="20"/>
                <w:highlight w:val="none"/>
                <w:lang w:val="en-US" w:eastAsia="zh-CN"/>
              </w:rPr>
              <w:t>高</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w:t>
            </w:r>
          </w:p>
          <w:p w14:paraId="55939038">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val="en-US" w:eastAsia="zh-CN"/>
              </w:rPr>
              <w:t>3、</w:t>
            </w:r>
            <w:r>
              <w:rPr>
                <w:rFonts w:hint="eastAsia" w:ascii="宋体" w:hAnsi="宋体" w:eastAsia="宋体" w:cs="宋体"/>
                <w:b/>
                <w:bCs/>
                <w:color w:val="auto"/>
                <w:spacing w:val="8"/>
                <w:sz w:val="20"/>
                <w:szCs w:val="20"/>
                <w:highlight w:val="none"/>
                <w:lang w:eastAsia="zh-CN"/>
              </w:rPr>
              <w:t>质量负责人：</w:t>
            </w:r>
          </w:p>
          <w:p w14:paraId="54D01028">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①</w:t>
            </w:r>
            <w:r>
              <w:rPr>
                <w:rFonts w:hint="eastAsia" w:ascii="宋体" w:hAnsi="宋体" w:eastAsia="宋体" w:cs="宋体"/>
                <w:color w:val="auto"/>
                <w:spacing w:val="8"/>
                <w:sz w:val="20"/>
                <w:szCs w:val="20"/>
                <w:highlight w:val="none"/>
                <w:lang w:eastAsia="zh-CN"/>
              </w:rPr>
              <w:t>取得建筑施工相关专业高级（或以上）技术职称，得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分；取得建筑</w:t>
            </w:r>
            <w:r>
              <w:rPr>
                <w:rFonts w:hint="eastAsia" w:ascii="宋体" w:hAnsi="宋体" w:eastAsia="宋体" w:cs="宋体"/>
                <w:color w:val="auto"/>
                <w:spacing w:val="8"/>
                <w:sz w:val="20"/>
                <w:szCs w:val="20"/>
                <w:highlight w:val="none"/>
                <w:lang w:val="en-US" w:eastAsia="zh-CN"/>
              </w:rPr>
              <w:t>施工相关</w:t>
            </w:r>
            <w:r>
              <w:rPr>
                <w:rFonts w:hint="eastAsia" w:ascii="宋体" w:hAnsi="宋体" w:eastAsia="宋体" w:cs="宋体"/>
                <w:color w:val="auto"/>
                <w:spacing w:val="8"/>
                <w:sz w:val="20"/>
                <w:szCs w:val="20"/>
                <w:highlight w:val="none"/>
                <w:lang w:eastAsia="zh-CN"/>
              </w:rPr>
              <w:t>专业</w:t>
            </w:r>
            <w:r>
              <w:rPr>
                <w:rFonts w:hint="eastAsia" w:ascii="宋体" w:hAnsi="宋体" w:eastAsia="宋体" w:cs="宋体"/>
                <w:color w:val="auto"/>
                <w:spacing w:val="8"/>
                <w:sz w:val="20"/>
                <w:szCs w:val="20"/>
                <w:highlight w:val="none"/>
                <w:lang w:val="en-US" w:eastAsia="zh-CN"/>
              </w:rPr>
              <w:t>中级</w:t>
            </w:r>
            <w:r>
              <w:rPr>
                <w:rFonts w:hint="eastAsia" w:ascii="宋体" w:hAnsi="宋体" w:eastAsia="宋体" w:cs="宋体"/>
                <w:color w:val="auto"/>
                <w:spacing w:val="8"/>
                <w:sz w:val="20"/>
                <w:szCs w:val="20"/>
                <w:highlight w:val="none"/>
                <w:lang w:eastAsia="zh-CN"/>
              </w:rPr>
              <w:t>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1</w:t>
            </w:r>
            <w:r>
              <w:rPr>
                <w:rFonts w:hint="eastAsia" w:ascii="宋体" w:hAnsi="宋体" w:eastAsia="宋体" w:cs="宋体"/>
                <w:color w:val="auto"/>
                <w:spacing w:val="8"/>
                <w:sz w:val="20"/>
                <w:szCs w:val="20"/>
                <w:highlight w:val="none"/>
                <w:lang w:eastAsia="zh-CN"/>
              </w:rPr>
              <w:t>分。</w:t>
            </w:r>
          </w:p>
          <w:p w14:paraId="4E250E13">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eastAsia="zh-CN"/>
              </w:rPr>
              <w:t>②</w:t>
            </w:r>
            <w:r>
              <w:rPr>
                <w:rFonts w:hint="eastAsia" w:ascii="宋体" w:hAnsi="宋体" w:eastAsia="宋体" w:cs="宋体"/>
                <w:color w:val="auto"/>
                <w:spacing w:val="8"/>
                <w:sz w:val="20"/>
                <w:szCs w:val="20"/>
                <w:highlight w:val="none"/>
                <w:lang w:val="en-US" w:eastAsia="zh-CN"/>
              </w:rPr>
              <w:t>自2022</w:t>
            </w:r>
            <w:r>
              <w:rPr>
                <w:rFonts w:hint="eastAsia" w:ascii="宋体" w:hAnsi="宋体" w:eastAsia="宋体" w:cs="宋体"/>
                <w:color w:val="auto"/>
                <w:spacing w:val="8"/>
                <w:sz w:val="20"/>
                <w:szCs w:val="20"/>
                <w:highlight w:val="none"/>
                <w:lang w:eastAsia="zh-CN"/>
              </w:rPr>
              <w:t>年1月1日至今，完成过质量合格且</w:t>
            </w:r>
            <w:r>
              <w:rPr>
                <w:rFonts w:hint="eastAsia" w:ascii="宋体" w:hAnsi="宋体" w:eastAsia="宋体" w:cs="宋体"/>
                <w:color w:val="auto"/>
                <w:spacing w:val="8"/>
                <w:sz w:val="20"/>
                <w:szCs w:val="20"/>
                <w:highlight w:val="none"/>
                <w:lang w:val="en-US" w:eastAsia="zh-CN"/>
              </w:rPr>
              <w:t>单项合同</w:t>
            </w:r>
            <w:r>
              <w:rPr>
                <w:rFonts w:hint="eastAsia" w:ascii="宋体" w:hAnsi="宋体" w:eastAsia="宋体" w:cs="宋体"/>
                <w:color w:val="auto"/>
                <w:spacing w:val="8"/>
                <w:sz w:val="20"/>
                <w:szCs w:val="20"/>
                <w:highlight w:val="none"/>
                <w:lang w:eastAsia="zh-CN"/>
              </w:rPr>
              <w:t>金额</w:t>
            </w: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lang w:eastAsia="zh-CN"/>
              </w:rPr>
              <w:t>00万元或以上的建筑工程施工总承包业绩的，每提供一项得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分，本项最</w:t>
            </w:r>
            <w:r>
              <w:rPr>
                <w:rFonts w:hint="eastAsia" w:ascii="宋体" w:hAnsi="宋体" w:eastAsia="宋体" w:cs="宋体"/>
                <w:color w:val="auto"/>
                <w:spacing w:val="8"/>
                <w:sz w:val="20"/>
                <w:szCs w:val="20"/>
                <w:highlight w:val="none"/>
                <w:lang w:val="en-US" w:eastAsia="zh-CN"/>
              </w:rPr>
              <w:t>高</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w:t>
            </w:r>
            <w:r>
              <w:rPr>
                <w:rFonts w:hint="eastAsia" w:ascii="宋体" w:hAnsi="宋体" w:eastAsia="宋体" w:cs="宋体"/>
                <w:color w:val="auto"/>
                <w:spacing w:val="8"/>
                <w:sz w:val="20"/>
                <w:szCs w:val="20"/>
                <w:highlight w:val="none"/>
                <w:lang w:val="en-US" w:eastAsia="zh-CN"/>
              </w:rPr>
              <w:t>。</w:t>
            </w:r>
          </w:p>
          <w:p w14:paraId="141BB3B4">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val="en-US" w:eastAsia="zh-CN"/>
              </w:rPr>
              <w:t>4、</w:t>
            </w:r>
            <w:r>
              <w:rPr>
                <w:rFonts w:hint="eastAsia" w:ascii="宋体" w:hAnsi="宋体" w:eastAsia="宋体" w:cs="宋体"/>
                <w:b/>
                <w:bCs/>
                <w:color w:val="auto"/>
                <w:spacing w:val="8"/>
                <w:sz w:val="20"/>
                <w:szCs w:val="20"/>
                <w:highlight w:val="none"/>
                <w:lang w:eastAsia="zh-CN"/>
              </w:rPr>
              <w:t>造价负责人：</w:t>
            </w:r>
          </w:p>
          <w:p w14:paraId="6BF65EEE">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①</w:t>
            </w:r>
            <w:r>
              <w:rPr>
                <w:rFonts w:hint="eastAsia" w:ascii="宋体" w:hAnsi="宋体" w:eastAsia="宋体" w:cs="宋体"/>
                <w:color w:val="auto"/>
                <w:spacing w:val="8"/>
                <w:sz w:val="20"/>
                <w:szCs w:val="20"/>
                <w:highlight w:val="none"/>
                <w:lang w:eastAsia="zh-CN"/>
              </w:rPr>
              <w:t>取得</w:t>
            </w:r>
            <w:r>
              <w:rPr>
                <w:rFonts w:hint="eastAsia" w:ascii="宋体" w:hAnsi="宋体" w:eastAsia="宋体" w:cs="宋体"/>
                <w:color w:val="auto"/>
                <w:spacing w:val="8"/>
                <w:sz w:val="20"/>
                <w:szCs w:val="20"/>
                <w:highlight w:val="none"/>
                <w:lang w:val="en-US" w:eastAsia="zh-CN"/>
              </w:rPr>
              <w:t>工程造价类相关</w:t>
            </w:r>
            <w:r>
              <w:rPr>
                <w:rFonts w:hint="eastAsia" w:ascii="宋体" w:hAnsi="宋体" w:eastAsia="宋体" w:cs="宋体"/>
                <w:color w:val="auto"/>
                <w:spacing w:val="8"/>
                <w:sz w:val="20"/>
                <w:szCs w:val="20"/>
                <w:highlight w:val="none"/>
                <w:lang w:eastAsia="zh-CN"/>
              </w:rPr>
              <w:t>专业高级（或以上）技术职称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分；取得</w:t>
            </w:r>
            <w:r>
              <w:rPr>
                <w:rFonts w:hint="eastAsia" w:ascii="宋体" w:hAnsi="宋体" w:eastAsia="宋体" w:cs="宋体"/>
                <w:color w:val="auto"/>
                <w:spacing w:val="8"/>
                <w:sz w:val="20"/>
                <w:szCs w:val="20"/>
                <w:highlight w:val="none"/>
                <w:lang w:val="en-US" w:eastAsia="zh-CN"/>
              </w:rPr>
              <w:t>工程造价类相关</w:t>
            </w:r>
            <w:r>
              <w:rPr>
                <w:rFonts w:hint="eastAsia" w:ascii="宋体" w:hAnsi="宋体" w:eastAsia="宋体" w:cs="宋体"/>
                <w:color w:val="auto"/>
                <w:spacing w:val="8"/>
                <w:sz w:val="20"/>
                <w:szCs w:val="20"/>
                <w:highlight w:val="none"/>
                <w:lang w:eastAsia="zh-CN"/>
              </w:rPr>
              <w:t>专业</w:t>
            </w:r>
            <w:r>
              <w:rPr>
                <w:rFonts w:hint="eastAsia" w:ascii="宋体" w:hAnsi="宋体" w:eastAsia="宋体" w:cs="宋体"/>
                <w:color w:val="auto"/>
                <w:spacing w:val="8"/>
                <w:sz w:val="20"/>
                <w:szCs w:val="20"/>
                <w:highlight w:val="none"/>
                <w:lang w:val="en-US" w:eastAsia="zh-CN"/>
              </w:rPr>
              <w:t>中级</w:t>
            </w:r>
            <w:r>
              <w:rPr>
                <w:rFonts w:hint="eastAsia" w:ascii="宋体" w:hAnsi="宋体" w:eastAsia="宋体" w:cs="宋体"/>
                <w:color w:val="auto"/>
                <w:spacing w:val="8"/>
                <w:sz w:val="20"/>
                <w:szCs w:val="20"/>
                <w:highlight w:val="none"/>
                <w:lang w:eastAsia="zh-CN"/>
              </w:rPr>
              <w:t>职称</w:t>
            </w:r>
            <w:r>
              <w:rPr>
                <w:rFonts w:hint="eastAsia" w:ascii="宋体" w:hAnsi="宋体" w:eastAsia="宋体" w:cs="宋体"/>
                <w:color w:val="auto"/>
                <w:spacing w:val="8"/>
                <w:sz w:val="20"/>
                <w:szCs w:val="20"/>
                <w:highlight w:val="none"/>
                <w:lang w:val="en-US" w:eastAsia="zh-CN"/>
              </w:rPr>
              <w:t>的</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1</w:t>
            </w:r>
            <w:r>
              <w:rPr>
                <w:rFonts w:hint="eastAsia" w:ascii="宋体" w:hAnsi="宋体" w:eastAsia="宋体" w:cs="宋体"/>
                <w:color w:val="auto"/>
                <w:spacing w:val="8"/>
                <w:sz w:val="20"/>
                <w:szCs w:val="20"/>
                <w:highlight w:val="none"/>
                <w:lang w:eastAsia="zh-CN"/>
              </w:rPr>
              <w:t>分。</w:t>
            </w:r>
          </w:p>
          <w:p w14:paraId="4A94D738">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val="en-US" w:eastAsia="zh-CN"/>
              </w:rPr>
              <w:t>②自2022</w:t>
            </w:r>
            <w:r>
              <w:rPr>
                <w:rFonts w:hint="eastAsia" w:ascii="宋体" w:hAnsi="宋体" w:eastAsia="宋体" w:cs="宋体"/>
                <w:color w:val="auto"/>
                <w:spacing w:val="8"/>
                <w:sz w:val="20"/>
                <w:szCs w:val="20"/>
                <w:highlight w:val="none"/>
                <w:lang w:eastAsia="zh-CN"/>
              </w:rPr>
              <w:t>年1月1日至今，完成过质量合格且</w:t>
            </w:r>
            <w:r>
              <w:rPr>
                <w:rFonts w:hint="eastAsia" w:ascii="宋体" w:hAnsi="宋体" w:eastAsia="宋体" w:cs="宋体"/>
                <w:color w:val="auto"/>
                <w:spacing w:val="8"/>
                <w:sz w:val="20"/>
                <w:szCs w:val="20"/>
                <w:highlight w:val="none"/>
                <w:lang w:val="en-US" w:eastAsia="zh-CN"/>
              </w:rPr>
              <w:t>单项合同</w:t>
            </w:r>
            <w:r>
              <w:rPr>
                <w:rFonts w:hint="eastAsia" w:ascii="宋体" w:hAnsi="宋体" w:eastAsia="宋体" w:cs="宋体"/>
                <w:color w:val="auto"/>
                <w:spacing w:val="8"/>
                <w:sz w:val="20"/>
                <w:szCs w:val="20"/>
                <w:highlight w:val="none"/>
                <w:lang w:eastAsia="zh-CN"/>
              </w:rPr>
              <w:t>金额</w:t>
            </w: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lang w:eastAsia="zh-CN"/>
              </w:rPr>
              <w:t>00万元或以上的建筑工程施工总承包业绩的，每提供一项得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分，本项最</w:t>
            </w:r>
            <w:r>
              <w:rPr>
                <w:rFonts w:hint="eastAsia" w:ascii="宋体" w:hAnsi="宋体" w:eastAsia="宋体" w:cs="宋体"/>
                <w:color w:val="auto"/>
                <w:spacing w:val="8"/>
                <w:sz w:val="20"/>
                <w:szCs w:val="20"/>
                <w:highlight w:val="none"/>
                <w:lang w:val="en-US" w:eastAsia="zh-CN"/>
              </w:rPr>
              <w:t>高</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w:t>
            </w:r>
          </w:p>
          <w:p w14:paraId="5DF2E566">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bCs/>
                <w:color w:val="auto"/>
                <w:spacing w:val="8"/>
                <w:sz w:val="20"/>
                <w:szCs w:val="20"/>
                <w:highlight w:val="none"/>
                <w:lang w:eastAsia="zh-CN"/>
              </w:rPr>
            </w:pPr>
            <w:r>
              <w:rPr>
                <w:rFonts w:hint="eastAsia" w:ascii="宋体" w:hAnsi="宋体" w:eastAsia="宋体" w:cs="宋体"/>
                <w:b/>
                <w:bCs/>
                <w:color w:val="auto"/>
                <w:spacing w:val="8"/>
                <w:sz w:val="20"/>
                <w:szCs w:val="20"/>
                <w:highlight w:val="none"/>
                <w:lang w:val="en-US" w:eastAsia="zh-CN"/>
              </w:rPr>
              <w:t>5、</w:t>
            </w:r>
            <w:r>
              <w:rPr>
                <w:rFonts w:hint="eastAsia" w:ascii="宋体" w:hAnsi="宋体" w:eastAsia="宋体" w:cs="宋体"/>
                <w:b/>
                <w:bCs/>
                <w:color w:val="auto"/>
                <w:spacing w:val="8"/>
                <w:sz w:val="20"/>
                <w:szCs w:val="20"/>
                <w:highlight w:val="none"/>
                <w:lang w:eastAsia="zh-CN"/>
              </w:rPr>
              <w:t>安全负责人：</w:t>
            </w:r>
          </w:p>
          <w:p w14:paraId="47B70DE0">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val="en-US" w:eastAsia="zh-CN"/>
              </w:rPr>
              <w:t>①</w:t>
            </w:r>
            <w:r>
              <w:rPr>
                <w:rFonts w:hint="eastAsia" w:ascii="宋体" w:hAnsi="宋体" w:eastAsia="宋体" w:cs="宋体"/>
                <w:color w:val="auto"/>
                <w:spacing w:val="8"/>
                <w:sz w:val="20"/>
                <w:szCs w:val="20"/>
                <w:highlight w:val="none"/>
                <w:lang w:eastAsia="zh-CN"/>
              </w:rPr>
              <w:t>取得“建筑施工安全”类别的注册安全工程师执业资格</w:t>
            </w:r>
            <w:r>
              <w:rPr>
                <w:rFonts w:hint="eastAsia" w:ascii="宋体" w:hAnsi="宋体" w:eastAsia="宋体" w:cs="宋体"/>
                <w:color w:val="auto"/>
                <w:spacing w:val="8"/>
                <w:sz w:val="20"/>
                <w:szCs w:val="20"/>
                <w:highlight w:val="none"/>
                <w:lang w:val="en-US" w:eastAsia="zh-CN"/>
              </w:rPr>
              <w:t>得2分。</w:t>
            </w:r>
          </w:p>
          <w:p w14:paraId="699CD3B6">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val="0"/>
                <w:color w:val="auto"/>
                <w:spacing w:val="8"/>
                <w:kern w:val="0"/>
                <w:sz w:val="20"/>
                <w:szCs w:val="20"/>
                <w:highlight w:val="none"/>
                <w:lang w:val="en-US" w:eastAsia="zh-CN" w:bidi="ar-SA"/>
              </w:rPr>
            </w:pPr>
            <w:r>
              <w:rPr>
                <w:rFonts w:hint="eastAsia" w:ascii="宋体" w:hAnsi="宋体" w:eastAsia="宋体" w:cs="宋体"/>
                <w:b w:val="0"/>
                <w:color w:val="auto"/>
                <w:spacing w:val="8"/>
                <w:kern w:val="0"/>
                <w:sz w:val="20"/>
                <w:szCs w:val="20"/>
                <w:highlight w:val="none"/>
                <w:lang w:val="en-US" w:eastAsia="zh-CN" w:bidi="ar-SA"/>
              </w:rPr>
              <w:t>②</w:t>
            </w:r>
            <w:r>
              <w:rPr>
                <w:rFonts w:hint="eastAsia" w:ascii="宋体" w:hAnsi="宋体" w:eastAsia="宋体" w:cs="宋体"/>
                <w:color w:val="auto"/>
                <w:spacing w:val="8"/>
                <w:sz w:val="20"/>
                <w:szCs w:val="20"/>
                <w:highlight w:val="none"/>
                <w:lang w:val="en-US" w:eastAsia="zh-CN"/>
              </w:rPr>
              <w:t>自2022</w:t>
            </w:r>
            <w:r>
              <w:rPr>
                <w:rFonts w:hint="eastAsia" w:ascii="宋体" w:hAnsi="宋体" w:eastAsia="宋体" w:cs="宋体"/>
                <w:color w:val="auto"/>
                <w:spacing w:val="8"/>
                <w:sz w:val="20"/>
                <w:szCs w:val="20"/>
                <w:highlight w:val="none"/>
                <w:lang w:eastAsia="zh-CN"/>
              </w:rPr>
              <w:t>年1月1日至今，完成过质量合格且</w:t>
            </w:r>
            <w:r>
              <w:rPr>
                <w:rFonts w:hint="eastAsia" w:ascii="宋体" w:hAnsi="宋体" w:eastAsia="宋体" w:cs="宋体"/>
                <w:color w:val="auto"/>
                <w:spacing w:val="8"/>
                <w:sz w:val="20"/>
                <w:szCs w:val="20"/>
                <w:highlight w:val="none"/>
                <w:lang w:val="en-US" w:eastAsia="zh-CN"/>
              </w:rPr>
              <w:t>单项合同</w:t>
            </w:r>
            <w:r>
              <w:rPr>
                <w:rFonts w:hint="eastAsia" w:ascii="宋体" w:hAnsi="宋体" w:eastAsia="宋体" w:cs="宋体"/>
                <w:color w:val="auto"/>
                <w:spacing w:val="8"/>
                <w:sz w:val="20"/>
                <w:szCs w:val="20"/>
                <w:highlight w:val="none"/>
                <w:lang w:eastAsia="zh-CN"/>
              </w:rPr>
              <w:t>金额</w:t>
            </w: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lang w:eastAsia="zh-CN"/>
              </w:rPr>
              <w:t>00万元或以上的建筑工程施工总承包业绩的，每提供一项得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分，本项最</w:t>
            </w:r>
            <w:r>
              <w:rPr>
                <w:rFonts w:hint="eastAsia" w:ascii="宋体" w:hAnsi="宋体" w:eastAsia="宋体" w:cs="宋体"/>
                <w:color w:val="auto"/>
                <w:spacing w:val="8"/>
                <w:sz w:val="20"/>
                <w:szCs w:val="20"/>
                <w:highlight w:val="none"/>
                <w:lang w:val="en-US" w:eastAsia="zh-CN"/>
              </w:rPr>
              <w:t>高</w:t>
            </w:r>
            <w:r>
              <w:rPr>
                <w:rFonts w:hint="eastAsia" w:ascii="宋体" w:hAnsi="宋体" w:eastAsia="宋体" w:cs="宋体"/>
                <w:color w:val="auto"/>
                <w:spacing w:val="8"/>
                <w:sz w:val="20"/>
                <w:szCs w:val="20"/>
                <w:highlight w:val="none"/>
                <w:lang w:eastAsia="zh-CN"/>
              </w:rPr>
              <w:t>得</w:t>
            </w:r>
            <w:r>
              <w:rPr>
                <w:rFonts w:hint="eastAsia" w:ascii="宋体" w:hAnsi="宋体" w:eastAsia="宋体" w:cs="宋体"/>
                <w:color w:val="auto"/>
                <w:spacing w:val="8"/>
                <w:sz w:val="20"/>
                <w:szCs w:val="20"/>
                <w:highlight w:val="none"/>
                <w:lang w:val="en-US" w:eastAsia="zh-CN"/>
              </w:rPr>
              <w:t>2</w:t>
            </w:r>
            <w:r>
              <w:rPr>
                <w:rFonts w:hint="eastAsia" w:ascii="宋体" w:hAnsi="宋体" w:eastAsia="宋体" w:cs="宋体"/>
                <w:color w:val="auto"/>
                <w:spacing w:val="8"/>
                <w:sz w:val="20"/>
                <w:szCs w:val="20"/>
                <w:highlight w:val="none"/>
                <w:lang w:eastAsia="zh-CN"/>
              </w:rPr>
              <w:t>分</w:t>
            </w:r>
            <w:r>
              <w:rPr>
                <w:rFonts w:hint="eastAsia" w:ascii="宋体" w:hAnsi="宋体" w:eastAsia="宋体" w:cs="宋体"/>
                <w:b w:val="0"/>
                <w:color w:val="auto"/>
                <w:spacing w:val="8"/>
                <w:kern w:val="0"/>
                <w:sz w:val="20"/>
                <w:szCs w:val="20"/>
                <w:highlight w:val="none"/>
                <w:lang w:val="en-US" w:eastAsia="zh-CN" w:bidi="ar-SA"/>
              </w:rPr>
              <w:t>。</w:t>
            </w:r>
          </w:p>
          <w:p w14:paraId="19EB1C56">
            <w:pPr>
              <w:keepNext w:val="0"/>
              <w:keepLines w:val="0"/>
              <w:pageBreakBefore w:val="0"/>
              <w:widowControl/>
              <w:kinsoku/>
              <w:wordWrap/>
              <w:overflowPunct/>
              <w:topLinePunct w:val="0"/>
              <w:bidi w:val="0"/>
              <w:spacing w:before="73" w:line="240" w:lineRule="auto"/>
              <w:ind w:left="6" w:right="68" w:firstLine="420"/>
              <w:rPr>
                <w:rFonts w:hint="eastAsia" w:ascii="宋体" w:hAnsi="宋体" w:eastAsia="宋体" w:cs="宋体"/>
                <w:b w:val="0"/>
                <w:color w:val="auto"/>
                <w:spacing w:val="8"/>
                <w:kern w:val="0"/>
                <w:sz w:val="20"/>
                <w:szCs w:val="20"/>
                <w:highlight w:val="none"/>
                <w:lang w:val="en-US" w:eastAsia="zh-CN" w:bidi="ar-SA"/>
              </w:rPr>
            </w:pPr>
            <w:r>
              <w:rPr>
                <w:rFonts w:hint="eastAsia" w:ascii="宋体" w:hAnsi="宋体" w:eastAsia="宋体" w:cs="宋体"/>
                <w:b w:val="0"/>
                <w:color w:val="auto"/>
                <w:spacing w:val="8"/>
                <w:kern w:val="0"/>
                <w:sz w:val="20"/>
                <w:szCs w:val="20"/>
                <w:highlight w:val="none"/>
                <w:lang w:val="en-US" w:eastAsia="zh-CN" w:bidi="ar-SA"/>
              </w:rPr>
              <w:t>6、除上述专业负责人之外，拟投入本项目的其他专业人员：配备的装修专业工程师具有装饰装修类施工</w:t>
            </w:r>
            <w:r>
              <w:rPr>
                <w:rFonts w:hint="eastAsia" w:ascii="宋体" w:hAnsi="宋体" w:eastAsia="宋体" w:cs="宋体"/>
                <w:color w:val="auto"/>
                <w:spacing w:val="8"/>
                <w:sz w:val="20"/>
                <w:szCs w:val="20"/>
                <w:highlight w:val="none"/>
                <w:lang w:eastAsia="zh-CN"/>
              </w:rPr>
              <w:t>高级（或以上）技术职称</w:t>
            </w:r>
            <w:r>
              <w:rPr>
                <w:rFonts w:hint="eastAsia" w:ascii="宋体" w:hAnsi="宋体" w:eastAsia="宋体" w:cs="宋体"/>
                <w:color w:val="auto"/>
                <w:spacing w:val="8"/>
                <w:sz w:val="20"/>
                <w:szCs w:val="20"/>
                <w:highlight w:val="none"/>
                <w:lang w:val="en-US" w:eastAsia="zh-CN"/>
              </w:rPr>
              <w:t>的加</w:t>
            </w:r>
            <w:r>
              <w:rPr>
                <w:rFonts w:hint="eastAsia" w:ascii="宋体" w:hAnsi="宋体" w:eastAsia="宋体" w:cs="宋体"/>
                <w:b w:val="0"/>
                <w:color w:val="auto"/>
                <w:spacing w:val="8"/>
                <w:kern w:val="0"/>
                <w:sz w:val="20"/>
                <w:szCs w:val="20"/>
                <w:highlight w:val="none"/>
                <w:lang w:val="en-US" w:eastAsia="zh-CN" w:bidi="ar-SA"/>
              </w:rPr>
              <w:t>2分；配备的安全工程师具有</w:t>
            </w:r>
            <w:r>
              <w:rPr>
                <w:rFonts w:hint="eastAsia" w:ascii="宋体" w:hAnsi="宋体" w:eastAsia="宋体" w:cs="宋体"/>
                <w:color w:val="auto"/>
                <w:kern w:val="0"/>
                <w:sz w:val="20"/>
                <w:szCs w:val="20"/>
                <w:highlight w:val="none"/>
                <w:lang w:val="en-US" w:eastAsia="zh-CN"/>
              </w:rPr>
              <w:t>安全工程或工程安全</w:t>
            </w:r>
            <w:r>
              <w:rPr>
                <w:rFonts w:hint="eastAsia" w:ascii="宋体" w:hAnsi="宋体" w:eastAsia="宋体" w:cs="宋体"/>
                <w:color w:val="auto"/>
                <w:kern w:val="0"/>
                <w:sz w:val="20"/>
                <w:szCs w:val="20"/>
                <w:highlight w:val="none"/>
              </w:rPr>
              <w:t>类相关专业</w:t>
            </w:r>
            <w:r>
              <w:rPr>
                <w:rFonts w:hint="eastAsia" w:ascii="宋体" w:hAnsi="宋体" w:eastAsia="宋体" w:cs="宋体"/>
                <w:color w:val="auto"/>
                <w:spacing w:val="8"/>
                <w:sz w:val="20"/>
                <w:szCs w:val="20"/>
                <w:highlight w:val="none"/>
                <w:lang w:eastAsia="zh-CN"/>
              </w:rPr>
              <w:t>高级（或以上）技术职称</w:t>
            </w:r>
            <w:r>
              <w:rPr>
                <w:rFonts w:hint="eastAsia" w:ascii="宋体" w:hAnsi="宋体" w:eastAsia="宋体" w:cs="宋体"/>
                <w:color w:val="auto"/>
                <w:spacing w:val="8"/>
                <w:sz w:val="20"/>
                <w:szCs w:val="20"/>
                <w:highlight w:val="none"/>
                <w:lang w:val="en-US" w:eastAsia="zh-CN"/>
              </w:rPr>
              <w:t>的加</w:t>
            </w:r>
            <w:r>
              <w:rPr>
                <w:rFonts w:hint="eastAsia" w:ascii="宋体" w:hAnsi="宋体" w:eastAsia="宋体" w:cs="宋体"/>
                <w:b w:val="0"/>
                <w:color w:val="auto"/>
                <w:spacing w:val="8"/>
                <w:kern w:val="0"/>
                <w:sz w:val="20"/>
                <w:szCs w:val="20"/>
                <w:highlight w:val="none"/>
                <w:lang w:val="en-US" w:eastAsia="zh-CN" w:bidi="ar-SA"/>
              </w:rPr>
              <w:t>2分、具有建筑施工企业专职安全生产管理人员安全生产考核合格证书（C）类的加2分。</w:t>
            </w:r>
          </w:p>
          <w:p w14:paraId="3C465297">
            <w:pPr>
              <w:keepNext w:val="0"/>
              <w:keepLines w:val="0"/>
              <w:pageBreakBefore w:val="0"/>
              <w:widowControl/>
              <w:kinsoku/>
              <w:wordWrap/>
              <w:overflowPunct/>
              <w:topLinePunct w:val="0"/>
              <w:bidi w:val="0"/>
              <w:spacing w:before="73" w:line="294" w:lineRule="auto"/>
              <w:ind w:left="5" w:right="70" w:firstLine="420"/>
              <w:rPr>
                <w:rFonts w:hint="eastAsia" w:ascii="宋体" w:hAnsi="宋体" w:eastAsia="宋体" w:cs="宋体"/>
                <w:color w:val="auto"/>
                <w:spacing w:val="10"/>
                <w:sz w:val="20"/>
                <w:szCs w:val="20"/>
                <w:highlight w:val="none"/>
                <w:lang w:eastAsia="zh-CN"/>
              </w:rPr>
            </w:pPr>
            <w:r>
              <w:rPr>
                <w:rFonts w:hint="eastAsia" w:ascii="宋体" w:hAnsi="宋体" w:eastAsia="宋体" w:cs="宋体"/>
                <w:b/>
                <w:bCs w:val="0"/>
                <w:color w:val="auto"/>
                <w:sz w:val="20"/>
                <w:szCs w:val="20"/>
                <w:highlight w:val="none"/>
                <w:lang w:val="en-US" w:eastAsia="zh-CN" w:bidi="zh-TW"/>
              </w:rPr>
              <w:t>三、</w:t>
            </w:r>
            <w:r>
              <w:rPr>
                <w:rFonts w:hint="eastAsia" w:ascii="宋体" w:hAnsi="宋体" w:eastAsia="宋体" w:cs="宋体"/>
                <w:b/>
                <w:bCs w:val="0"/>
                <w:color w:val="auto"/>
                <w:sz w:val="20"/>
                <w:szCs w:val="20"/>
                <w:highlight w:val="none"/>
                <w:lang w:val="zh-TW" w:bidi="zh-TW"/>
              </w:rPr>
              <w:t>投标人（若为联合体投标，指联合体设计方）</w:t>
            </w:r>
            <w:r>
              <w:rPr>
                <w:rFonts w:hint="eastAsia" w:ascii="宋体" w:hAnsi="宋体" w:eastAsia="宋体" w:cs="宋体"/>
                <w:b/>
                <w:bCs w:val="0"/>
                <w:color w:val="auto"/>
                <w:sz w:val="20"/>
                <w:szCs w:val="20"/>
                <w:highlight w:val="none"/>
              </w:rPr>
              <w:t>拟委派人员如下计算得分：</w:t>
            </w:r>
          </w:p>
          <w:p w14:paraId="392C7B1F">
            <w:pPr>
              <w:keepNext w:val="0"/>
              <w:keepLines w:val="0"/>
              <w:pageBreakBefore w:val="0"/>
              <w:widowControl/>
              <w:kinsoku/>
              <w:wordWrap/>
              <w:overflowPunct/>
              <w:topLinePunct w:val="0"/>
              <w:bidi w:val="0"/>
              <w:spacing w:before="73" w:line="294" w:lineRule="auto"/>
              <w:ind w:left="5" w:right="70"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设计各专业负责人【建筑、结构、给排水、电气、暖通】技术实力及</w:t>
            </w:r>
            <w:r>
              <w:rPr>
                <w:rFonts w:hint="eastAsia" w:ascii="宋体" w:hAnsi="宋体" w:eastAsia="宋体" w:cs="宋体"/>
                <w:color w:val="auto"/>
                <w:spacing w:val="9"/>
                <w:sz w:val="20"/>
                <w:szCs w:val="20"/>
                <w:highlight w:val="none"/>
                <w:lang w:eastAsia="zh-CN"/>
              </w:rPr>
              <w:t>业务能力（若为联合体，指联合体设计方</w:t>
            </w:r>
            <w:r>
              <w:rPr>
                <w:rFonts w:hint="eastAsia" w:ascii="宋体" w:hAnsi="宋体" w:eastAsia="宋体" w:cs="宋体"/>
                <w:color w:val="auto"/>
                <w:sz w:val="20"/>
                <w:szCs w:val="20"/>
                <w:highlight w:val="none"/>
                <w:lang w:eastAsia="zh-CN"/>
              </w:rPr>
              <w:t>）：</w:t>
            </w:r>
          </w:p>
          <w:p w14:paraId="1EF0FD3F">
            <w:pPr>
              <w:keepNext w:val="0"/>
              <w:keepLines w:val="0"/>
              <w:pageBreakBefore w:val="0"/>
              <w:widowControl/>
              <w:numPr>
                <w:ilvl w:val="-1"/>
                <w:numId w:val="0"/>
              </w:numPr>
              <w:kinsoku/>
              <w:wordWrap/>
              <w:overflowPunct/>
              <w:topLinePunct w:val="0"/>
              <w:autoSpaceDE/>
              <w:autoSpaceDN/>
              <w:bidi w:val="0"/>
              <w:adjustRightInd/>
              <w:snapToGrid/>
              <w:spacing w:before="73" w:line="294" w:lineRule="auto"/>
              <w:ind w:left="5" w:leftChars="0" w:right="70" w:firstLine="42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pacing w:val="8"/>
                <w:sz w:val="20"/>
                <w:szCs w:val="20"/>
                <w:highlight w:val="none"/>
                <w:lang w:val="en-US" w:eastAsia="zh-CN"/>
              </w:rPr>
              <w:t>1、设计</w:t>
            </w:r>
            <w:r>
              <w:rPr>
                <w:rFonts w:hint="eastAsia" w:ascii="宋体" w:hAnsi="宋体" w:eastAsia="宋体" w:cs="宋体"/>
                <w:b/>
                <w:bCs w:val="0"/>
                <w:color w:val="auto"/>
                <w:sz w:val="20"/>
                <w:szCs w:val="20"/>
                <w:highlight w:val="none"/>
                <w:lang w:val="en-US" w:eastAsia="zh-CN"/>
              </w:rPr>
              <w:t>负责人：具有一级注册建筑师的得</w:t>
            </w:r>
            <w:r>
              <w:rPr>
                <w:rFonts w:hint="eastAsia" w:ascii="宋体" w:hAnsi="宋体" w:eastAsia="宋体" w:cs="宋体"/>
                <w:color w:val="auto"/>
                <w:sz w:val="20"/>
                <w:szCs w:val="20"/>
                <w:highlight w:val="none"/>
                <w:lang w:val="en-US" w:eastAsia="zh-CN"/>
              </w:rPr>
              <w:t>1</w:t>
            </w:r>
            <w:r>
              <w:rPr>
                <w:rFonts w:hint="eastAsia" w:ascii="宋体" w:hAnsi="宋体" w:eastAsia="宋体" w:cs="宋体"/>
                <w:b/>
                <w:bCs w:val="0"/>
                <w:color w:val="auto"/>
                <w:sz w:val="20"/>
                <w:szCs w:val="20"/>
                <w:highlight w:val="none"/>
                <w:lang w:val="en-US" w:eastAsia="zh-CN"/>
              </w:rPr>
              <w:t>分，具有</w:t>
            </w:r>
            <w:r>
              <w:rPr>
                <w:rFonts w:hint="eastAsia" w:ascii="宋体" w:hAnsi="宋体" w:eastAsia="宋体" w:cs="宋体"/>
                <w:color w:val="auto"/>
                <w:sz w:val="20"/>
                <w:szCs w:val="20"/>
                <w:highlight w:val="none"/>
              </w:rPr>
              <w:t>高级（或以上）技术职称</w:t>
            </w:r>
            <w:r>
              <w:rPr>
                <w:rFonts w:hint="eastAsia" w:ascii="宋体" w:hAnsi="宋体" w:eastAsia="宋体" w:cs="宋体"/>
                <w:color w:val="auto"/>
                <w:sz w:val="20"/>
                <w:szCs w:val="20"/>
                <w:highlight w:val="none"/>
                <w:lang w:val="en-US" w:eastAsia="zh-CN"/>
              </w:rPr>
              <w:t>的得1分。</w:t>
            </w:r>
          </w:p>
          <w:p w14:paraId="5436A676">
            <w:pPr>
              <w:keepNext w:val="0"/>
              <w:keepLines w:val="0"/>
              <w:pageBreakBefore w:val="0"/>
              <w:widowControl/>
              <w:numPr>
                <w:ilvl w:val="-1"/>
                <w:numId w:val="0"/>
              </w:numPr>
              <w:kinsoku/>
              <w:wordWrap/>
              <w:overflowPunct/>
              <w:topLinePunct w:val="0"/>
              <w:autoSpaceDE/>
              <w:autoSpaceDN/>
              <w:bidi w:val="0"/>
              <w:adjustRightInd/>
              <w:snapToGrid/>
              <w:spacing w:before="73" w:line="294" w:lineRule="auto"/>
              <w:ind w:left="5" w:leftChars="0" w:right="70" w:firstLine="42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pacing w:val="8"/>
                <w:sz w:val="20"/>
                <w:szCs w:val="20"/>
                <w:highlight w:val="none"/>
                <w:lang w:val="en-US" w:eastAsia="zh-CN"/>
              </w:rPr>
              <w:t>2、</w:t>
            </w:r>
            <w:r>
              <w:rPr>
                <w:rFonts w:hint="eastAsia" w:ascii="宋体" w:hAnsi="宋体" w:eastAsia="宋体" w:cs="宋体"/>
                <w:color w:val="auto"/>
                <w:sz w:val="20"/>
                <w:szCs w:val="20"/>
                <w:highlight w:val="none"/>
                <w:lang w:val="en-US" w:eastAsia="zh-CN"/>
              </w:rPr>
              <w:t>结构负责人：</w:t>
            </w:r>
            <w:r>
              <w:rPr>
                <w:rFonts w:hint="eastAsia" w:ascii="宋体" w:hAnsi="宋体" w:eastAsia="宋体" w:cs="宋体"/>
                <w:b/>
                <w:bCs w:val="0"/>
                <w:color w:val="auto"/>
                <w:sz w:val="20"/>
                <w:szCs w:val="20"/>
                <w:highlight w:val="none"/>
                <w:lang w:val="en-US" w:eastAsia="zh-CN"/>
              </w:rPr>
              <w:t>具有一级注册结构师的得</w:t>
            </w:r>
            <w:r>
              <w:rPr>
                <w:rFonts w:hint="eastAsia" w:ascii="宋体" w:hAnsi="宋体" w:eastAsia="宋体" w:cs="宋体"/>
                <w:color w:val="auto"/>
                <w:sz w:val="20"/>
                <w:szCs w:val="20"/>
                <w:highlight w:val="none"/>
                <w:lang w:val="en-US" w:eastAsia="zh-CN"/>
              </w:rPr>
              <w:t>1</w:t>
            </w:r>
            <w:r>
              <w:rPr>
                <w:rFonts w:hint="eastAsia" w:ascii="宋体" w:hAnsi="宋体" w:eastAsia="宋体" w:cs="宋体"/>
                <w:b/>
                <w:bCs w:val="0"/>
                <w:color w:val="auto"/>
                <w:sz w:val="20"/>
                <w:szCs w:val="20"/>
                <w:highlight w:val="none"/>
                <w:lang w:val="en-US" w:eastAsia="zh-CN"/>
              </w:rPr>
              <w:t>分，具有</w:t>
            </w:r>
            <w:r>
              <w:rPr>
                <w:rFonts w:hint="eastAsia" w:ascii="宋体" w:hAnsi="宋体" w:eastAsia="宋体" w:cs="宋体"/>
                <w:color w:val="auto"/>
                <w:sz w:val="20"/>
                <w:szCs w:val="20"/>
                <w:highlight w:val="none"/>
              </w:rPr>
              <w:t>高级（或以上）技术职称</w:t>
            </w:r>
            <w:r>
              <w:rPr>
                <w:rFonts w:hint="eastAsia" w:ascii="宋体" w:hAnsi="宋体" w:eastAsia="宋体" w:cs="宋体"/>
                <w:color w:val="auto"/>
                <w:sz w:val="20"/>
                <w:szCs w:val="20"/>
                <w:highlight w:val="none"/>
                <w:lang w:val="en-US" w:eastAsia="zh-CN"/>
              </w:rPr>
              <w:t>的得1分。</w:t>
            </w:r>
          </w:p>
          <w:p w14:paraId="00967EE1">
            <w:pPr>
              <w:keepNext w:val="0"/>
              <w:keepLines w:val="0"/>
              <w:pageBreakBefore w:val="0"/>
              <w:widowControl/>
              <w:numPr>
                <w:ilvl w:val="-1"/>
                <w:numId w:val="0"/>
              </w:numPr>
              <w:kinsoku/>
              <w:wordWrap/>
              <w:overflowPunct/>
              <w:topLinePunct w:val="0"/>
              <w:autoSpaceDE/>
              <w:autoSpaceDN/>
              <w:bidi w:val="0"/>
              <w:adjustRightInd/>
              <w:snapToGrid/>
              <w:spacing w:before="73" w:line="294" w:lineRule="auto"/>
              <w:ind w:left="5" w:leftChars="0" w:right="70" w:firstLine="42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b/>
                <w:bCs/>
                <w:color w:val="auto"/>
                <w:spacing w:val="8"/>
                <w:sz w:val="20"/>
                <w:szCs w:val="20"/>
                <w:highlight w:val="none"/>
                <w:lang w:val="en-US" w:eastAsia="zh-CN"/>
              </w:rPr>
              <w:t>3、</w:t>
            </w:r>
            <w:r>
              <w:rPr>
                <w:rFonts w:hint="eastAsia" w:ascii="宋体" w:hAnsi="宋体" w:eastAsia="宋体" w:cs="宋体"/>
                <w:color w:val="auto"/>
                <w:sz w:val="20"/>
                <w:szCs w:val="20"/>
                <w:highlight w:val="none"/>
                <w:lang w:val="en-US" w:eastAsia="zh-CN"/>
              </w:rPr>
              <w:t>电气负责人：</w:t>
            </w:r>
            <w:r>
              <w:rPr>
                <w:rFonts w:hint="eastAsia" w:ascii="宋体" w:hAnsi="宋体" w:eastAsia="宋体" w:cs="宋体"/>
                <w:b/>
                <w:bCs w:val="0"/>
                <w:color w:val="auto"/>
                <w:sz w:val="20"/>
                <w:szCs w:val="20"/>
                <w:highlight w:val="none"/>
                <w:lang w:val="en-US" w:eastAsia="zh-CN"/>
              </w:rPr>
              <w:t>具有注册电气工程师（供配电）的得</w:t>
            </w:r>
            <w:r>
              <w:rPr>
                <w:rFonts w:hint="eastAsia" w:ascii="宋体" w:hAnsi="宋体" w:eastAsia="宋体" w:cs="宋体"/>
                <w:color w:val="auto"/>
                <w:sz w:val="20"/>
                <w:szCs w:val="20"/>
                <w:highlight w:val="none"/>
                <w:lang w:val="en-US" w:eastAsia="zh-CN"/>
              </w:rPr>
              <w:t>1</w:t>
            </w:r>
            <w:r>
              <w:rPr>
                <w:rFonts w:hint="eastAsia" w:ascii="宋体" w:hAnsi="宋体" w:eastAsia="宋体" w:cs="宋体"/>
                <w:b/>
                <w:bCs w:val="0"/>
                <w:color w:val="auto"/>
                <w:sz w:val="20"/>
                <w:szCs w:val="20"/>
                <w:highlight w:val="none"/>
                <w:lang w:val="en-US" w:eastAsia="zh-CN"/>
              </w:rPr>
              <w:t>分，具有</w:t>
            </w:r>
            <w:r>
              <w:rPr>
                <w:rFonts w:hint="eastAsia" w:ascii="宋体" w:hAnsi="宋体" w:eastAsia="宋体" w:cs="宋体"/>
                <w:color w:val="auto"/>
                <w:sz w:val="20"/>
                <w:szCs w:val="20"/>
                <w:highlight w:val="none"/>
              </w:rPr>
              <w:t>高级（或以上）技术职称</w:t>
            </w:r>
            <w:r>
              <w:rPr>
                <w:rFonts w:hint="eastAsia" w:ascii="宋体" w:hAnsi="宋体" w:eastAsia="宋体" w:cs="宋体"/>
                <w:color w:val="auto"/>
                <w:sz w:val="20"/>
                <w:szCs w:val="20"/>
                <w:highlight w:val="none"/>
                <w:lang w:val="en-US" w:eastAsia="zh-CN"/>
              </w:rPr>
              <w:t>的得1分。</w:t>
            </w:r>
          </w:p>
          <w:p w14:paraId="5CAC1E57">
            <w:pPr>
              <w:keepNext w:val="0"/>
              <w:keepLines w:val="0"/>
              <w:pageBreakBefore w:val="0"/>
              <w:widowControl/>
              <w:numPr>
                <w:ilvl w:val="-1"/>
                <w:numId w:val="0"/>
              </w:numPr>
              <w:kinsoku/>
              <w:wordWrap/>
              <w:overflowPunct/>
              <w:topLinePunct w:val="0"/>
              <w:autoSpaceDE/>
              <w:autoSpaceDN/>
              <w:bidi w:val="0"/>
              <w:adjustRightInd/>
              <w:snapToGrid/>
              <w:spacing w:before="73" w:line="294" w:lineRule="auto"/>
              <w:ind w:left="5" w:leftChars="0" w:right="70" w:firstLine="420"/>
              <w:textAlignment w:val="auto"/>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lang w:val="en-US" w:eastAsia="zh-CN"/>
              </w:rPr>
              <w:t>4、</w:t>
            </w:r>
            <w:r>
              <w:rPr>
                <w:rFonts w:hint="eastAsia" w:ascii="宋体" w:hAnsi="宋体" w:eastAsia="宋体" w:cs="宋体"/>
                <w:color w:val="auto"/>
                <w:sz w:val="20"/>
                <w:szCs w:val="20"/>
                <w:highlight w:val="none"/>
                <w:lang w:val="en-US" w:eastAsia="zh-CN"/>
              </w:rPr>
              <w:t>给排水负责人：</w:t>
            </w:r>
            <w:r>
              <w:rPr>
                <w:rFonts w:hint="eastAsia" w:ascii="宋体" w:hAnsi="宋体" w:eastAsia="宋体" w:cs="宋体"/>
                <w:b/>
                <w:bCs w:val="0"/>
                <w:color w:val="auto"/>
                <w:sz w:val="20"/>
                <w:szCs w:val="20"/>
                <w:highlight w:val="none"/>
                <w:lang w:val="en-US" w:eastAsia="zh-CN"/>
              </w:rPr>
              <w:t>具有注册公用设备工程师（给水排水）得</w:t>
            </w:r>
            <w:r>
              <w:rPr>
                <w:rFonts w:hint="eastAsia" w:ascii="宋体" w:hAnsi="宋体" w:eastAsia="宋体" w:cs="宋体"/>
                <w:color w:val="auto"/>
                <w:sz w:val="20"/>
                <w:szCs w:val="20"/>
                <w:highlight w:val="none"/>
                <w:lang w:val="en-US" w:eastAsia="zh-CN"/>
              </w:rPr>
              <w:t>1</w:t>
            </w:r>
            <w:r>
              <w:rPr>
                <w:rFonts w:hint="eastAsia" w:ascii="宋体" w:hAnsi="宋体" w:eastAsia="宋体" w:cs="宋体"/>
                <w:b/>
                <w:bCs w:val="0"/>
                <w:color w:val="auto"/>
                <w:sz w:val="20"/>
                <w:szCs w:val="20"/>
                <w:highlight w:val="none"/>
                <w:lang w:val="en-US" w:eastAsia="zh-CN"/>
              </w:rPr>
              <w:t>分，具有</w:t>
            </w:r>
            <w:r>
              <w:rPr>
                <w:rFonts w:hint="eastAsia" w:ascii="宋体" w:hAnsi="宋体" w:eastAsia="宋体" w:cs="宋体"/>
                <w:color w:val="auto"/>
                <w:sz w:val="20"/>
                <w:szCs w:val="20"/>
                <w:highlight w:val="none"/>
              </w:rPr>
              <w:t>高级（或以上）技术职称</w:t>
            </w:r>
            <w:r>
              <w:rPr>
                <w:rFonts w:hint="eastAsia" w:ascii="宋体" w:hAnsi="宋体" w:eastAsia="宋体" w:cs="宋体"/>
                <w:color w:val="auto"/>
                <w:sz w:val="20"/>
                <w:szCs w:val="20"/>
                <w:highlight w:val="none"/>
                <w:lang w:val="en-US" w:eastAsia="zh-CN"/>
              </w:rPr>
              <w:t>的得1分。</w:t>
            </w:r>
          </w:p>
          <w:p w14:paraId="3D8DB773">
            <w:pPr>
              <w:keepNext w:val="0"/>
              <w:keepLines w:val="0"/>
              <w:pageBreakBefore w:val="0"/>
              <w:widowControl/>
              <w:numPr>
                <w:ilvl w:val="-1"/>
                <w:numId w:val="0"/>
              </w:numPr>
              <w:kinsoku/>
              <w:wordWrap/>
              <w:overflowPunct/>
              <w:topLinePunct w:val="0"/>
              <w:autoSpaceDE/>
              <w:autoSpaceDN/>
              <w:bidi w:val="0"/>
              <w:adjustRightInd/>
              <w:snapToGrid/>
              <w:spacing w:before="73" w:line="294" w:lineRule="auto"/>
              <w:ind w:left="5" w:leftChars="0" w:right="70" w:firstLine="420"/>
              <w:textAlignment w:val="auto"/>
              <w:rPr>
                <w:rFonts w:hint="eastAsia" w:ascii="宋体" w:hAnsi="宋体" w:eastAsia="宋体" w:cs="宋体"/>
                <w:color w:val="auto"/>
                <w:spacing w:val="8"/>
                <w:sz w:val="20"/>
                <w:szCs w:val="20"/>
                <w:highlight w:val="none"/>
                <w:lang w:eastAsia="zh-CN"/>
              </w:rPr>
            </w:pPr>
            <w:r>
              <w:rPr>
                <w:rFonts w:hint="eastAsia" w:ascii="宋体" w:hAnsi="宋体" w:eastAsia="宋体" w:cs="宋体"/>
                <w:b/>
                <w:bCs/>
                <w:color w:val="auto"/>
                <w:spacing w:val="8"/>
                <w:sz w:val="20"/>
                <w:szCs w:val="20"/>
                <w:highlight w:val="none"/>
                <w:lang w:val="en-US" w:eastAsia="zh-CN"/>
              </w:rPr>
              <w:t>5、</w:t>
            </w:r>
            <w:r>
              <w:rPr>
                <w:rFonts w:hint="eastAsia" w:ascii="宋体" w:hAnsi="宋体" w:eastAsia="宋体" w:cs="宋体"/>
                <w:color w:val="auto"/>
                <w:sz w:val="20"/>
                <w:szCs w:val="20"/>
                <w:highlight w:val="none"/>
                <w:lang w:val="en-US" w:eastAsia="zh-CN"/>
              </w:rPr>
              <w:t>暖通负责人：</w:t>
            </w:r>
            <w:r>
              <w:rPr>
                <w:rFonts w:hint="eastAsia" w:ascii="宋体" w:hAnsi="宋体" w:eastAsia="宋体" w:cs="宋体"/>
                <w:b/>
                <w:bCs w:val="0"/>
                <w:color w:val="auto"/>
                <w:sz w:val="20"/>
                <w:szCs w:val="20"/>
                <w:highlight w:val="none"/>
                <w:lang w:val="en-US" w:eastAsia="zh-CN"/>
              </w:rPr>
              <w:t>具有注册公用设备工程师（暖通空调）的得</w:t>
            </w:r>
            <w:r>
              <w:rPr>
                <w:rFonts w:hint="eastAsia" w:ascii="宋体" w:hAnsi="宋体" w:eastAsia="宋体" w:cs="宋体"/>
                <w:color w:val="auto"/>
                <w:sz w:val="20"/>
                <w:szCs w:val="20"/>
                <w:highlight w:val="none"/>
                <w:lang w:val="en-US" w:eastAsia="zh-CN"/>
              </w:rPr>
              <w:t>1</w:t>
            </w:r>
            <w:r>
              <w:rPr>
                <w:rFonts w:hint="eastAsia" w:ascii="宋体" w:hAnsi="宋体" w:eastAsia="宋体" w:cs="宋体"/>
                <w:b/>
                <w:bCs w:val="0"/>
                <w:color w:val="auto"/>
                <w:sz w:val="20"/>
                <w:szCs w:val="20"/>
                <w:highlight w:val="none"/>
                <w:lang w:val="en-US" w:eastAsia="zh-CN"/>
              </w:rPr>
              <w:t>分，具有</w:t>
            </w:r>
            <w:r>
              <w:rPr>
                <w:rFonts w:hint="eastAsia" w:ascii="宋体" w:hAnsi="宋体" w:eastAsia="宋体" w:cs="宋体"/>
                <w:color w:val="auto"/>
                <w:sz w:val="20"/>
                <w:szCs w:val="20"/>
                <w:highlight w:val="none"/>
              </w:rPr>
              <w:t>高级（或以上）技术职称</w:t>
            </w:r>
            <w:r>
              <w:rPr>
                <w:rFonts w:hint="eastAsia" w:ascii="宋体" w:hAnsi="宋体" w:eastAsia="宋体" w:cs="宋体"/>
                <w:color w:val="auto"/>
                <w:sz w:val="20"/>
                <w:szCs w:val="20"/>
                <w:highlight w:val="none"/>
                <w:lang w:val="en-US" w:eastAsia="zh-CN"/>
              </w:rPr>
              <w:t>的得1分。</w:t>
            </w:r>
          </w:p>
          <w:p w14:paraId="049C7018">
            <w:pPr>
              <w:keepNext w:val="0"/>
              <w:keepLines w:val="0"/>
              <w:pageBreakBefore w:val="0"/>
              <w:widowControl/>
              <w:kinsoku/>
              <w:wordWrap/>
              <w:overflowPunct/>
              <w:topLinePunct w:val="0"/>
              <w:bidi w:val="0"/>
              <w:spacing w:before="73" w:line="294" w:lineRule="auto"/>
              <w:ind w:left="5" w:right="70" w:firstLine="420"/>
              <w:rPr>
                <w:rFonts w:hint="eastAsia" w:ascii="宋体" w:hAnsi="宋体" w:eastAsia="宋体" w:cs="宋体"/>
                <w:color w:val="auto"/>
                <w:spacing w:val="8"/>
                <w:sz w:val="20"/>
                <w:szCs w:val="20"/>
                <w:highlight w:val="none"/>
                <w:lang w:eastAsia="zh-CN"/>
              </w:rPr>
            </w:pPr>
            <w:r>
              <w:rPr>
                <w:rFonts w:hint="eastAsia" w:ascii="宋体" w:hAnsi="宋体" w:eastAsia="宋体" w:cs="宋体"/>
                <w:color w:val="auto"/>
                <w:spacing w:val="8"/>
                <w:sz w:val="20"/>
                <w:szCs w:val="20"/>
                <w:highlight w:val="none"/>
                <w:lang w:eastAsia="zh-CN"/>
              </w:rPr>
              <w:t>本小项最高得</w:t>
            </w:r>
            <w:r>
              <w:rPr>
                <w:rFonts w:hint="eastAsia" w:ascii="宋体" w:hAnsi="宋体" w:eastAsia="宋体" w:cs="宋体"/>
                <w:color w:val="auto"/>
                <w:spacing w:val="8"/>
                <w:sz w:val="20"/>
                <w:szCs w:val="20"/>
                <w:highlight w:val="none"/>
                <w:lang w:val="en-US" w:eastAsia="zh-CN"/>
              </w:rPr>
              <w:t>42</w:t>
            </w:r>
            <w:r>
              <w:rPr>
                <w:rFonts w:hint="eastAsia" w:ascii="宋体" w:hAnsi="宋体" w:eastAsia="宋体" w:cs="宋体"/>
                <w:color w:val="auto"/>
                <w:spacing w:val="8"/>
                <w:sz w:val="20"/>
                <w:szCs w:val="20"/>
                <w:highlight w:val="none"/>
                <w:lang w:eastAsia="zh-CN"/>
              </w:rPr>
              <w:t>分。</w:t>
            </w:r>
          </w:p>
          <w:p w14:paraId="39E56A36">
            <w:pPr>
              <w:keepNext w:val="0"/>
              <w:keepLines w:val="0"/>
              <w:pageBreakBefore w:val="0"/>
              <w:widowControl/>
              <w:kinsoku/>
              <w:wordWrap/>
              <w:overflowPunct/>
              <w:topLinePunct w:val="0"/>
              <w:bidi w:val="0"/>
              <w:spacing w:before="73" w:line="294" w:lineRule="auto"/>
              <w:ind w:left="5" w:right="70" w:firstLine="4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注：（</w:t>
            </w:r>
            <w:r>
              <w:rPr>
                <w:rFonts w:hint="eastAsia" w:ascii="宋体" w:hAnsi="宋体" w:eastAsia="宋体" w:cs="宋体"/>
                <w:color w:val="auto"/>
                <w:spacing w:val="7"/>
                <w:sz w:val="20"/>
                <w:szCs w:val="20"/>
                <w:highlight w:val="none"/>
                <w:lang w:val="en-US" w:eastAsia="zh-CN"/>
              </w:rPr>
              <w:t>1</w:t>
            </w:r>
            <w:r>
              <w:rPr>
                <w:rFonts w:hint="eastAsia" w:ascii="宋体" w:hAnsi="宋体" w:eastAsia="宋体" w:cs="宋体"/>
                <w:color w:val="auto"/>
                <w:spacing w:val="7"/>
                <w:sz w:val="20"/>
                <w:szCs w:val="20"/>
                <w:highlight w:val="none"/>
                <w:lang w:eastAsia="zh-CN"/>
              </w:rPr>
              <w:t>）同</w:t>
            </w:r>
            <w:r>
              <w:rPr>
                <w:rFonts w:hint="eastAsia" w:ascii="宋体" w:hAnsi="宋体" w:eastAsia="宋体" w:cs="宋体"/>
                <w:color w:val="auto"/>
                <w:spacing w:val="7"/>
                <w:sz w:val="20"/>
                <w:szCs w:val="20"/>
                <w:highlight w:val="none"/>
                <w:lang w:val="en-US" w:eastAsia="zh-CN"/>
              </w:rPr>
              <w:t>一</w:t>
            </w:r>
            <w:r>
              <w:rPr>
                <w:rFonts w:hint="eastAsia" w:ascii="宋体" w:hAnsi="宋体" w:eastAsia="宋体" w:cs="宋体"/>
                <w:color w:val="auto"/>
                <w:spacing w:val="7"/>
                <w:sz w:val="20"/>
                <w:szCs w:val="20"/>
                <w:highlight w:val="none"/>
                <w:lang w:eastAsia="zh-CN"/>
              </w:rPr>
              <w:t>职称按最高等级计算。（</w:t>
            </w:r>
            <w:r>
              <w:rPr>
                <w:rFonts w:hint="eastAsia" w:ascii="宋体" w:hAnsi="宋体" w:eastAsia="宋体" w:cs="宋体"/>
                <w:color w:val="auto"/>
                <w:spacing w:val="7"/>
                <w:sz w:val="20"/>
                <w:szCs w:val="20"/>
                <w:highlight w:val="none"/>
                <w:lang w:val="en-US" w:eastAsia="zh-CN"/>
              </w:rPr>
              <w:t>2</w:t>
            </w:r>
            <w:r>
              <w:rPr>
                <w:rFonts w:hint="eastAsia" w:ascii="宋体" w:hAnsi="宋体" w:eastAsia="宋体" w:cs="宋体"/>
                <w:color w:val="auto"/>
                <w:spacing w:val="7"/>
                <w:sz w:val="20"/>
                <w:szCs w:val="20"/>
                <w:highlight w:val="none"/>
                <w:lang w:eastAsia="zh-CN"/>
              </w:rPr>
              <w:t>）须提供注册证（如</w:t>
            </w:r>
            <w:r>
              <w:rPr>
                <w:rFonts w:hint="eastAsia" w:ascii="宋体" w:hAnsi="宋体" w:eastAsia="宋体" w:cs="宋体"/>
                <w:color w:val="auto"/>
                <w:spacing w:val="7"/>
                <w:sz w:val="20"/>
                <w:szCs w:val="20"/>
                <w:highlight w:val="none"/>
                <w:lang w:val="en-US" w:eastAsia="zh-CN"/>
              </w:rPr>
              <w:t>有</w:t>
            </w:r>
            <w:r>
              <w:rPr>
                <w:rFonts w:hint="eastAsia" w:ascii="宋体" w:hAnsi="宋体" w:eastAsia="宋体" w:cs="宋体"/>
                <w:color w:val="auto"/>
                <w:spacing w:val="7"/>
                <w:sz w:val="20"/>
                <w:szCs w:val="20"/>
                <w:highlight w:val="none"/>
                <w:lang w:eastAsia="zh-CN"/>
              </w:rPr>
              <w:t>）、职称证（如</w:t>
            </w:r>
            <w:r>
              <w:rPr>
                <w:rFonts w:hint="eastAsia" w:ascii="宋体" w:hAnsi="宋体" w:eastAsia="宋体" w:cs="宋体"/>
                <w:color w:val="auto"/>
                <w:spacing w:val="7"/>
                <w:sz w:val="20"/>
                <w:szCs w:val="20"/>
                <w:highlight w:val="none"/>
                <w:lang w:val="en-US" w:eastAsia="zh-CN"/>
              </w:rPr>
              <w:t>有</w:t>
            </w:r>
            <w:r>
              <w:rPr>
                <w:rFonts w:hint="eastAsia" w:ascii="宋体" w:hAnsi="宋体" w:eastAsia="宋体" w:cs="宋体"/>
                <w:color w:val="auto"/>
                <w:spacing w:val="7"/>
                <w:sz w:val="20"/>
                <w:szCs w:val="20"/>
                <w:highlight w:val="none"/>
                <w:lang w:eastAsia="zh-CN"/>
              </w:rPr>
              <w:t>）等、提供自2025年</w:t>
            </w:r>
            <w:r>
              <w:rPr>
                <w:rFonts w:hint="eastAsia" w:ascii="宋体" w:hAnsi="宋体" w:eastAsia="宋体" w:cs="宋体"/>
                <w:color w:val="auto"/>
                <w:spacing w:val="7"/>
                <w:sz w:val="20"/>
                <w:szCs w:val="20"/>
                <w:highlight w:val="none"/>
                <w:lang w:val="en-US" w:eastAsia="zh-CN"/>
              </w:rPr>
              <w:t>6</w:t>
            </w:r>
            <w:r>
              <w:rPr>
                <w:rFonts w:hint="eastAsia" w:ascii="宋体" w:hAnsi="宋体" w:eastAsia="宋体" w:cs="宋体"/>
                <w:color w:val="auto"/>
                <w:spacing w:val="7"/>
                <w:sz w:val="20"/>
                <w:szCs w:val="20"/>
                <w:highlight w:val="none"/>
                <w:lang w:eastAsia="zh-CN"/>
              </w:rPr>
              <w:t>月份（含</w:t>
            </w:r>
            <w:r>
              <w:rPr>
                <w:rFonts w:hint="eastAsia" w:ascii="宋体" w:hAnsi="宋体" w:eastAsia="宋体" w:cs="宋体"/>
                <w:color w:val="auto"/>
                <w:spacing w:val="7"/>
                <w:sz w:val="20"/>
                <w:szCs w:val="20"/>
                <w:highlight w:val="none"/>
                <w:lang w:val="en-US" w:eastAsia="zh-CN"/>
              </w:rPr>
              <w:t>6</w:t>
            </w:r>
            <w:r>
              <w:rPr>
                <w:rFonts w:hint="eastAsia" w:ascii="宋体" w:hAnsi="宋体" w:eastAsia="宋体" w:cs="宋体"/>
                <w:color w:val="auto"/>
                <w:spacing w:val="7"/>
                <w:sz w:val="20"/>
                <w:szCs w:val="20"/>
                <w:highlight w:val="none"/>
                <w:lang w:eastAsia="zh-CN"/>
              </w:rPr>
              <w:t>月份）以来任意一个月份在本单位（不含投标人的子公司，含分公司或</w:t>
            </w:r>
            <w:r>
              <w:rPr>
                <w:rFonts w:hint="eastAsia" w:ascii="宋体" w:hAnsi="宋体" w:eastAsia="宋体" w:cs="宋体"/>
                <w:color w:val="auto"/>
                <w:spacing w:val="10"/>
                <w:sz w:val="20"/>
                <w:szCs w:val="20"/>
                <w:highlight w:val="none"/>
                <w:lang w:eastAsia="zh-CN"/>
              </w:rPr>
              <w:t>分支机构）购买的社保证明（包括社会保险个人缴费证明或社会保险个人参保证明或电子税务局申报缴款个人明细查询等）扫描件；因改制或重组的企业或事业单位人员社保由上级主管部门缴纳的，除提</w:t>
            </w:r>
            <w:r>
              <w:rPr>
                <w:rFonts w:hint="eastAsia" w:ascii="宋体" w:hAnsi="宋体" w:eastAsia="宋体" w:cs="宋体"/>
                <w:color w:val="auto"/>
                <w:spacing w:val="9"/>
                <w:sz w:val="20"/>
                <w:szCs w:val="20"/>
                <w:highlight w:val="none"/>
                <w:lang w:eastAsia="zh-CN"/>
              </w:rPr>
              <w:t>供上级主管部门缴纳社保证明扫描件外，需由上级主管部门出具证明说明。</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lang w:val="en-US" w:eastAsia="zh-CN"/>
              </w:rPr>
              <w:t>3</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10"/>
                <w:sz w:val="20"/>
                <w:szCs w:val="20"/>
                <w:highlight w:val="none"/>
                <w:lang w:eastAsia="zh-CN"/>
              </w:rPr>
              <w:t>建筑工程类施工业绩是指：建筑工程施工总承包业绩或工程总承包（包括勘察设计施工总承包或设计施工总承包或设计采购施工总承包或勘察设计采购施工总承包或采购施工总承包等）项目中的施工部分业绩。（</w:t>
            </w:r>
            <w:r>
              <w:rPr>
                <w:rFonts w:hint="eastAsia" w:ascii="宋体" w:hAnsi="宋体" w:eastAsia="宋体" w:cs="宋体"/>
                <w:color w:val="auto"/>
                <w:spacing w:val="10"/>
                <w:sz w:val="20"/>
                <w:szCs w:val="20"/>
                <w:highlight w:val="none"/>
                <w:lang w:val="en-US" w:eastAsia="zh-CN"/>
              </w:rPr>
              <w:t>4</w:t>
            </w:r>
            <w:r>
              <w:rPr>
                <w:rFonts w:hint="eastAsia" w:ascii="宋体" w:hAnsi="宋体" w:eastAsia="宋体" w:cs="宋体"/>
                <w:color w:val="auto"/>
                <w:spacing w:val="10"/>
                <w:sz w:val="20"/>
                <w:szCs w:val="20"/>
                <w:highlight w:val="none"/>
                <w:lang w:eastAsia="zh-CN"/>
              </w:rPr>
              <w:t>）投标人须同时提供</w:t>
            </w:r>
            <w:r>
              <w:rPr>
                <w:rFonts w:hint="eastAsia" w:ascii="宋体" w:hAnsi="宋体" w:eastAsia="宋体" w:cs="宋体"/>
                <w:color w:val="auto"/>
                <w:spacing w:val="10"/>
                <w:sz w:val="20"/>
                <w:szCs w:val="20"/>
                <w:highlight w:val="none"/>
                <w:lang w:val="en-US" w:eastAsia="zh-CN"/>
              </w:rPr>
              <w:t>中标通知书或免招标证明、</w:t>
            </w:r>
            <w:r>
              <w:rPr>
                <w:rFonts w:hint="eastAsia" w:ascii="宋体" w:hAnsi="宋体" w:eastAsia="宋体" w:cs="宋体"/>
                <w:color w:val="auto"/>
                <w:spacing w:val="9"/>
                <w:sz w:val="20"/>
                <w:szCs w:val="20"/>
                <w:highlight w:val="none"/>
                <w:lang w:eastAsia="zh-CN"/>
              </w:rPr>
              <w:t>合同关键页、竣工验收报告或竣工验收证明或竣工验</w:t>
            </w:r>
            <w:r>
              <w:rPr>
                <w:rFonts w:hint="eastAsia" w:ascii="宋体" w:hAnsi="宋体" w:eastAsia="宋体" w:cs="宋体"/>
                <w:color w:val="auto"/>
                <w:spacing w:val="11"/>
                <w:sz w:val="20"/>
                <w:szCs w:val="20"/>
                <w:highlight w:val="none"/>
                <w:lang w:eastAsia="zh-CN"/>
              </w:rPr>
              <w:t>收备案表等证明材料。（</w:t>
            </w:r>
            <w:r>
              <w:rPr>
                <w:rFonts w:hint="eastAsia" w:ascii="宋体" w:hAnsi="宋体" w:eastAsia="宋体" w:cs="宋体"/>
                <w:color w:val="auto"/>
                <w:spacing w:val="11"/>
                <w:sz w:val="20"/>
                <w:szCs w:val="20"/>
                <w:highlight w:val="none"/>
                <w:lang w:val="en-US" w:eastAsia="zh-CN"/>
              </w:rPr>
              <w:t>5</w:t>
            </w:r>
            <w:r>
              <w:rPr>
                <w:rFonts w:hint="eastAsia" w:ascii="宋体" w:hAnsi="宋体" w:eastAsia="宋体" w:cs="宋体"/>
                <w:color w:val="auto"/>
                <w:spacing w:val="11"/>
                <w:sz w:val="20"/>
                <w:szCs w:val="20"/>
                <w:highlight w:val="none"/>
                <w:lang w:eastAsia="zh-CN"/>
              </w:rPr>
              <w:t>）单项合同金额</w:t>
            </w:r>
            <w:r>
              <w:rPr>
                <w:rFonts w:hint="eastAsia" w:ascii="宋体" w:hAnsi="宋体" w:eastAsia="宋体" w:cs="宋体"/>
                <w:color w:val="auto"/>
                <w:sz w:val="20"/>
                <w:szCs w:val="20"/>
                <w:highlight w:val="none"/>
              </w:rPr>
              <w:t>以中标通知书载明的施工费用为准，中标通知书上没有金额或免招标的，以施工合同（不含补充合同）为准</w:t>
            </w:r>
            <w:r>
              <w:rPr>
                <w:rFonts w:hint="eastAsia" w:ascii="宋体" w:hAnsi="宋体" w:eastAsia="宋体" w:cs="宋体"/>
                <w:color w:val="auto"/>
                <w:spacing w:val="12"/>
                <w:sz w:val="20"/>
                <w:szCs w:val="20"/>
                <w:highlight w:val="none"/>
                <w:lang w:eastAsia="zh-CN"/>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pacing w:val="12"/>
                <w:sz w:val="20"/>
                <w:szCs w:val="20"/>
                <w:highlight w:val="none"/>
                <w:lang w:eastAsia="zh-CN"/>
              </w:rPr>
              <w:t>人员</w:t>
            </w:r>
            <w:r>
              <w:rPr>
                <w:rFonts w:hint="eastAsia" w:ascii="宋体" w:hAnsi="宋体" w:eastAsia="宋体" w:cs="宋体"/>
                <w:color w:val="auto"/>
                <w:spacing w:val="12"/>
                <w:sz w:val="20"/>
                <w:szCs w:val="20"/>
                <w:highlight w:val="none"/>
                <w:lang w:val="en-US" w:eastAsia="zh-CN"/>
              </w:rPr>
              <w:t>业绩、</w:t>
            </w:r>
            <w:r>
              <w:rPr>
                <w:rFonts w:hint="eastAsia" w:ascii="宋体" w:hAnsi="宋体" w:eastAsia="宋体" w:cs="宋体"/>
                <w:color w:val="auto"/>
                <w:spacing w:val="12"/>
                <w:sz w:val="20"/>
                <w:szCs w:val="20"/>
                <w:highlight w:val="none"/>
                <w:lang w:eastAsia="zh-CN"/>
              </w:rPr>
              <w:t>完成时间以竣工验收报告或竣工验收证</w:t>
            </w:r>
            <w:r>
              <w:rPr>
                <w:rFonts w:hint="eastAsia" w:ascii="宋体" w:hAnsi="宋体" w:eastAsia="宋体" w:cs="宋体"/>
                <w:color w:val="auto"/>
                <w:spacing w:val="11"/>
                <w:sz w:val="20"/>
                <w:szCs w:val="20"/>
                <w:highlight w:val="none"/>
                <w:lang w:eastAsia="zh-CN"/>
              </w:rPr>
              <w:t>明或竣工验收备案表等证明材料为准。验收文件应当至少具有建设单位、设计、施工和监理单位盖章。</w:t>
            </w:r>
            <w:r>
              <w:rPr>
                <w:rFonts w:hint="eastAsia" w:ascii="宋体" w:hAnsi="宋体" w:eastAsia="宋体" w:cs="宋体"/>
                <w:color w:val="auto"/>
                <w:spacing w:val="9"/>
                <w:sz w:val="20"/>
                <w:szCs w:val="20"/>
                <w:highlight w:val="none"/>
                <w:lang w:eastAsia="zh-CN"/>
              </w:rPr>
              <w:t>不符合上述条件或未提供上述资料的不得分。</w:t>
            </w:r>
          </w:p>
        </w:tc>
      </w:tr>
      <w:tr w14:paraId="7D3A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13" w:type="dxa"/>
            <w:vAlign w:val="center"/>
          </w:tcPr>
          <w:p w14:paraId="515F1C8C">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施工组织方案与技术</w:t>
            </w:r>
            <w:r>
              <w:rPr>
                <w:rFonts w:hint="eastAsia" w:ascii="宋体" w:hAnsi="宋体" w:eastAsia="宋体" w:cs="宋体"/>
                <w:color w:val="auto"/>
                <w:sz w:val="20"/>
                <w:szCs w:val="20"/>
                <w:highlight w:val="none"/>
                <w:lang w:val="en-US" w:eastAsia="zh-CN"/>
              </w:rPr>
              <w:t>措施</w:t>
            </w:r>
          </w:p>
        </w:tc>
        <w:tc>
          <w:tcPr>
            <w:tcW w:w="667" w:type="dxa"/>
            <w:vAlign w:val="center"/>
          </w:tcPr>
          <w:p w14:paraId="5A560322">
            <w:pPr>
              <w:pStyle w:val="20"/>
              <w:keepNext w:val="0"/>
              <w:keepLines w:val="0"/>
              <w:pageBreakBefore w:val="0"/>
              <w:widowControl/>
              <w:kinsoku/>
              <w:wordWrap/>
              <w:overflowPunct/>
              <w:topLinePunct w:val="0"/>
              <w:bidi w:val="0"/>
              <w:spacing w:before="65" w:line="269" w:lineRule="exact"/>
              <w:ind w:left="0"/>
              <w:jc w:val="center"/>
              <w:rPr>
                <w:rFonts w:hint="default" w:ascii="宋体" w:hAnsi="宋体" w:eastAsia="宋体" w:cs="宋体"/>
                <w:color w:val="auto"/>
                <w:sz w:val="20"/>
                <w:szCs w:val="20"/>
                <w:highlight w:val="none"/>
                <w:lang w:val="en-US" w:eastAsia="zh-CN"/>
              </w:rPr>
            </w:pPr>
            <w:r>
              <w:rPr>
                <w:rFonts w:hint="eastAsia" w:cs="宋体"/>
                <w:color w:val="auto"/>
                <w:position w:val="1"/>
                <w:sz w:val="20"/>
                <w:szCs w:val="20"/>
                <w:highlight w:val="none"/>
                <w:lang w:val="en-US" w:eastAsia="zh-CN"/>
              </w:rPr>
              <w:t>10</w:t>
            </w:r>
          </w:p>
        </w:tc>
        <w:tc>
          <w:tcPr>
            <w:tcW w:w="12276" w:type="dxa"/>
          </w:tcPr>
          <w:p w14:paraId="48C7D244">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优：</w:t>
            </w:r>
            <w:r>
              <w:rPr>
                <w:rFonts w:hint="eastAsia" w:ascii="宋体" w:hAnsi="宋体" w:eastAsia="宋体" w:cs="宋体"/>
                <w:color w:val="auto"/>
                <w:sz w:val="20"/>
                <w:szCs w:val="20"/>
                <w:highlight w:val="none"/>
              </w:rPr>
              <w:t>施工总体部署精细合理，从项目开启至竣工各阶段规划详尽，精准把控施工顺序、资源调配等关键环节。施工总平面布置充分考量场地、流程、安全环保等，功能区划分清晰，材料堆放、机械停放有序。施工组织方案与方法详细先进，针对各分部分项工程有切实可行策略，施工步骤明晰，高效保障质量进度。关键技术工艺经充分论证，契合工程，技术措施合理可行，能解决各类技术难题，保证工程品质，得（</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p w14:paraId="673CA3B1">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中</w:t>
            </w:r>
            <w:r>
              <w:rPr>
                <w:rFonts w:hint="eastAsia" w:ascii="宋体" w:hAnsi="宋体" w:eastAsia="宋体" w:cs="宋体"/>
                <w:b/>
                <w:bCs/>
                <w:color w:val="auto"/>
                <w:sz w:val="20"/>
                <w:szCs w:val="20"/>
                <w:highlight w:val="none"/>
              </w:rPr>
              <w:t>：</w:t>
            </w:r>
            <w:r>
              <w:rPr>
                <w:rFonts w:hint="eastAsia" w:ascii="宋体" w:hAnsi="宋体" w:eastAsia="宋体" w:cs="宋体"/>
                <w:color w:val="auto"/>
                <w:sz w:val="20"/>
                <w:szCs w:val="20"/>
                <w:highlight w:val="none"/>
              </w:rPr>
              <w:t>施工总体部署基本合理，能覆盖项目主要施工阶段，</w:t>
            </w:r>
            <w:r>
              <w:rPr>
                <w:rFonts w:hint="eastAsia" w:ascii="宋体" w:hAnsi="宋体" w:eastAsia="宋体" w:cs="宋体"/>
                <w:color w:val="auto"/>
                <w:sz w:val="20"/>
                <w:szCs w:val="20"/>
                <w:highlight w:val="none"/>
                <w:lang w:val="en-US" w:eastAsia="zh-CN"/>
              </w:rPr>
              <w:t>基本上能把控</w:t>
            </w:r>
            <w:r>
              <w:rPr>
                <w:rFonts w:hint="eastAsia" w:ascii="宋体" w:hAnsi="宋体" w:eastAsia="宋体" w:cs="宋体"/>
                <w:color w:val="auto"/>
                <w:sz w:val="20"/>
                <w:szCs w:val="20"/>
                <w:highlight w:val="none"/>
              </w:rPr>
              <w:t>施工顺序</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资源调配等关键环节。施工总平面布置满足基本考量场地、流程、安全环保等，功能区划分</w:t>
            </w:r>
            <w:r>
              <w:rPr>
                <w:rFonts w:hint="eastAsia" w:ascii="宋体" w:hAnsi="宋体" w:eastAsia="宋体" w:cs="宋体"/>
                <w:color w:val="auto"/>
                <w:sz w:val="20"/>
                <w:szCs w:val="20"/>
                <w:highlight w:val="none"/>
                <w:lang w:val="en-US" w:eastAsia="zh-CN"/>
              </w:rPr>
              <w:t>基本</w:t>
            </w:r>
            <w:r>
              <w:rPr>
                <w:rFonts w:hint="eastAsia" w:ascii="宋体" w:hAnsi="宋体" w:eastAsia="宋体" w:cs="宋体"/>
                <w:color w:val="auto"/>
                <w:sz w:val="20"/>
                <w:szCs w:val="20"/>
                <w:highlight w:val="none"/>
              </w:rPr>
              <w:t>清晰，材料堆放、机械停放符合常规要求。施工组织方案对主要分部分项工程有基本方法说明，</w:t>
            </w:r>
            <w:r>
              <w:rPr>
                <w:rFonts w:hint="eastAsia" w:ascii="宋体" w:hAnsi="宋体" w:eastAsia="宋体" w:cs="宋体"/>
                <w:color w:val="auto"/>
                <w:sz w:val="20"/>
                <w:szCs w:val="20"/>
                <w:highlight w:val="none"/>
                <w:lang w:val="en-US" w:eastAsia="zh-CN"/>
              </w:rPr>
              <w:t>基本上能保障质量进度</w:t>
            </w:r>
            <w:r>
              <w:rPr>
                <w:rFonts w:hint="eastAsia" w:ascii="宋体" w:hAnsi="宋体" w:eastAsia="宋体" w:cs="宋体"/>
                <w:color w:val="auto"/>
                <w:sz w:val="20"/>
                <w:szCs w:val="20"/>
                <w:highlight w:val="none"/>
              </w:rPr>
              <w:t>。关键技术工艺选择符合工程要求，技术论证相对简单，应对复杂技术问题的预案不足，可能需后期临时调整，得（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]分。</w:t>
            </w:r>
          </w:p>
          <w:p w14:paraId="21D93E3C">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差</w:t>
            </w:r>
            <w:r>
              <w:rPr>
                <w:rFonts w:hint="eastAsia" w:ascii="宋体" w:hAnsi="宋体" w:eastAsia="宋体" w:cs="宋体"/>
                <w:b/>
                <w:bCs/>
                <w:color w:val="auto"/>
                <w:sz w:val="20"/>
                <w:szCs w:val="20"/>
                <w:highlight w:val="none"/>
              </w:rPr>
              <w:t>：</w:t>
            </w:r>
            <w:r>
              <w:rPr>
                <w:rFonts w:hint="eastAsia" w:ascii="宋体" w:hAnsi="宋体" w:eastAsia="宋体" w:cs="宋体"/>
                <w:color w:val="auto"/>
                <w:sz w:val="20"/>
                <w:szCs w:val="20"/>
                <w:highlight w:val="none"/>
              </w:rPr>
              <w:t>施工总体部署较为粗放，阶段划分模糊，施工顺序和资源调配缺乏系统性规划，易导致工期延误或资源浪费。施工总平面布置混乱，功能区划分不合理，材料堆放与机械停放存在交叉干扰，安全环保隐患突出。施工组织方案简单套用模板，未针对工程特点制定专项措施，施工步骤描述不清，</w:t>
            </w:r>
            <w:r>
              <w:rPr>
                <w:rFonts w:hint="eastAsia" w:ascii="宋体" w:hAnsi="宋体" w:eastAsia="宋体" w:cs="宋体"/>
                <w:b/>
                <w:bCs/>
                <w:color w:val="auto"/>
                <w:sz w:val="20"/>
                <w:szCs w:val="20"/>
                <w:highlight w:val="none"/>
              </w:rPr>
              <w:t>难</w:t>
            </w:r>
            <w:r>
              <w:rPr>
                <w:rFonts w:hint="eastAsia" w:ascii="宋体" w:hAnsi="宋体" w:eastAsia="宋体" w:cs="宋体"/>
                <w:color w:val="auto"/>
                <w:sz w:val="20"/>
                <w:szCs w:val="20"/>
                <w:highlight w:val="none"/>
              </w:rPr>
              <w:t>以指导现场作业。关键技术工艺未充分论证，部分工艺与工程实际脱节，技术措施可行性低，</w:t>
            </w:r>
            <w:r>
              <w:rPr>
                <w:rFonts w:hint="eastAsia" w:ascii="宋体" w:hAnsi="宋体" w:eastAsia="宋体" w:cs="宋体"/>
                <w:color w:val="auto"/>
                <w:sz w:val="20"/>
                <w:szCs w:val="20"/>
                <w:highlight w:val="none"/>
                <w:lang w:val="en-US" w:eastAsia="zh-CN"/>
              </w:rPr>
              <w:t>或未提供则视为差</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p w14:paraId="540A4B8D">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lang w:val="zh-CN"/>
              </w:rPr>
              <w:t>未提供上述资料的不得分。</w:t>
            </w:r>
          </w:p>
        </w:tc>
      </w:tr>
      <w:tr w14:paraId="35EA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jc w:val="center"/>
        </w:trPr>
        <w:tc>
          <w:tcPr>
            <w:tcW w:w="1213" w:type="dxa"/>
            <w:vAlign w:val="center"/>
          </w:tcPr>
          <w:p w14:paraId="44B58B90">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施工总进度计划</w:t>
            </w:r>
          </w:p>
        </w:tc>
        <w:tc>
          <w:tcPr>
            <w:tcW w:w="667" w:type="dxa"/>
            <w:vAlign w:val="center"/>
          </w:tcPr>
          <w:p w14:paraId="38DE52A9">
            <w:pPr>
              <w:pStyle w:val="20"/>
              <w:keepNext w:val="0"/>
              <w:keepLines w:val="0"/>
              <w:pageBreakBefore w:val="0"/>
              <w:widowControl/>
              <w:kinsoku/>
              <w:wordWrap/>
              <w:overflowPunct/>
              <w:topLinePunct w:val="0"/>
              <w:bidi w:val="0"/>
              <w:spacing w:before="65" w:line="268" w:lineRule="exact"/>
              <w:ind w:left="0"/>
              <w:jc w:val="center"/>
              <w:rPr>
                <w:rFonts w:hint="default" w:ascii="宋体" w:hAnsi="宋体" w:eastAsia="宋体" w:cs="宋体"/>
                <w:color w:val="auto"/>
                <w:sz w:val="20"/>
                <w:szCs w:val="20"/>
                <w:highlight w:val="none"/>
                <w:lang w:val="en-US" w:eastAsia="zh-CN"/>
              </w:rPr>
            </w:pPr>
            <w:r>
              <w:rPr>
                <w:rFonts w:hint="eastAsia" w:cs="宋体"/>
                <w:color w:val="auto"/>
                <w:position w:val="1"/>
                <w:sz w:val="20"/>
                <w:szCs w:val="20"/>
                <w:highlight w:val="none"/>
                <w:lang w:val="en-US" w:eastAsia="zh-CN"/>
              </w:rPr>
              <w:t>10</w:t>
            </w:r>
          </w:p>
        </w:tc>
        <w:tc>
          <w:tcPr>
            <w:tcW w:w="12276" w:type="dxa"/>
          </w:tcPr>
          <w:p w14:paraId="38E1A207">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优：</w:t>
            </w:r>
            <w:r>
              <w:rPr>
                <w:rFonts w:hint="eastAsia" w:ascii="宋体" w:hAnsi="宋体" w:eastAsia="宋体" w:cs="宋体"/>
                <w:color w:val="auto"/>
                <w:sz w:val="20"/>
                <w:szCs w:val="20"/>
                <w:highlight w:val="none"/>
              </w:rPr>
              <w:t>工期管理目标明确合理，贴合项目合同与实际，充分考量风险因素，各施工阶段关键节点精准设定并预留弹性时间。横道图绘制规范详尽，清晰展现各分部分项工程起止、持续时间及逻辑关系，关键线路醒目，标注里程碑与资源需求曲线，助力工程进度把控。工期保证措施涵盖资源、技术、组织管理等多方面，具体且可操作，能有效应对各类工期影响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p w14:paraId="18A09B02">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中</w:t>
            </w:r>
            <w:r>
              <w:rPr>
                <w:rFonts w:hint="eastAsia" w:ascii="宋体" w:hAnsi="宋体" w:eastAsia="宋体" w:cs="宋体"/>
                <w:b/>
                <w:bCs/>
                <w:color w:val="auto"/>
                <w:sz w:val="20"/>
                <w:szCs w:val="20"/>
                <w:highlight w:val="none"/>
              </w:rPr>
              <w:t>：</w:t>
            </w:r>
            <w:r>
              <w:rPr>
                <w:rFonts w:hint="eastAsia" w:ascii="宋体" w:hAnsi="宋体" w:eastAsia="宋体" w:cs="宋体"/>
                <w:color w:val="auto"/>
                <w:sz w:val="20"/>
                <w:szCs w:val="20"/>
                <w:highlight w:val="none"/>
              </w:rPr>
              <w:t>有明确工期管理目标，基本契合项目与合同要求，</w:t>
            </w:r>
            <w:r>
              <w:rPr>
                <w:rFonts w:hint="eastAsia" w:ascii="宋体" w:hAnsi="宋体" w:eastAsia="宋体" w:cs="宋体"/>
                <w:color w:val="auto"/>
                <w:sz w:val="20"/>
                <w:szCs w:val="20"/>
                <w:highlight w:val="none"/>
                <w:lang w:val="en-US" w:eastAsia="zh-CN"/>
              </w:rPr>
              <w:t>有</w:t>
            </w:r>
            <w:r>
              <w:rPr>
                <w:rFonts w:hint="eastAsia" w:ascii="宋体" w:hAnsi="宋体" w:eastAsia="宋体" w:cs="宋体"/>
                <w:color w:val="auto"/>
                <w:sz w:val="20"/>
                <w:szCs w:val="20"/>
                <w:highlight w:val="none"/>
              </w:rPr>
              <w:t>考量风险因素</w:t>
            </w:r>
            <w:r>
              <w:rPr>
                <w:rFonts w:hint="eastAsia" w:ascii="宋体" w:hAnsi="宋体" w:eastAsia="宋体" w:cs="宋体"/>
                <w:color w:val="auto"/>
                <w:sz w:val="20"/>
                <w:szCs w:val="20"/>
                <w:highlight w:val="none"/>
                <w:lang w:eastAsia="zh-CN"/>
              </w:rPr>
              <w:t>，</w:t>
            </w:r>
            <w:r>
              <w:rPr>
                <w:rFonts w:hint="eastAsia" w:ascii="宋体" w:hAnsi="宋体" w:eastAsia="宋体" w:cs="宋体"/>
                <w:i w:val="0"/>
                <w:iCs w:val="0"/>
                <w:caps w:val="0"/>
                <w:color w:val="auto"/>
                <w:spacing w:val="0"/>
                <w:sz w:val="20"/>
                <w:szCs w:val="20"/>
                <w:highlight w:val="none"/>
                <w:shd w:val="clear" w:fill="auto"/>
              </w:rPr>
              <w:t>弹性时间分配不均</w:t>
            </w:r>
            <w:r>
              <w:rPr>
                <w:rFonts w:hint="eastAsia" w:ascii="宋体" w:hAnsi="宋体" w:eastAsia="宋体" w:cs="宋体"/>
                <w:color w:val="auto"/>
                <w:sz w:val="20"/>
                <w:szCs w:val="20"/>
                <w:highlight w:val="none"/>
              </w:rPr>
              <w:t>。横道图较规范，能呈现工程大致进度与逻辑关系。工期保证措施涉及多方面，细化等方面有待完善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]分。</w:t>
            </w:r>
          </w:p>
          <w:p w14:paraId="3C2C97D6">
            <w:pPr>
              <w:keepNext w:val="0"/>
              <w:keepLines w:val="0"/>
              <w:pageBreakBefore w:val="0"/>
              <w:widowControl/>
              <w:kinsoku/>
              <w:wordWrap/>
              <w:overflowPunct/>
              <w:topLinePunct w:val="0"/>
              <w:autoSpaceDE w:val="0"/>
              <w:autoSpaceDN w:val="0"/>
              <w:bidi w:val="0"/>
              <w:adjustRightInd w:val="0"/>
              <w:snapToGrid w:val="0"/>
              <w:spacing w:line="240" w:lineRule="auto"/>
              <w:ind w:left="42" w:leftChars="20"/>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差</w:t>
            </w:r>
            <w:r>
              <w:rPr>
                <w:rFonts w:hint="eastAsia" w:ascii="宋体" w:hAnsi="宋体" w:eastAsia="宋体" w:cs="宋体"/>
                <w:b/>
                <w:bCs/>
                <w:color w:val="auto"/>
                <w:sz w:val="20"/>
                <w:szCs w:val="20"/>
                <w:highlight w:val="none"/>
              </w:rPr>
              <w:t>：</w:t>
            </w:r>
            <w:r>
              <w:rPr>
                <w:rFonts w:hint="eastAsia" w:ascii="宋体" w:hAnsi="宋体" w:eastAsia="宋体" w:cs="宋体"/>
                <w:color w:val="auto"/>
                <w:sz w:val="20"/>
                <w:szCs w:val="20"/>
                <w:highlight w:val="none"/>
              </w:rPr>
              <w:t>存在工期管理目标，但较笼统，缺乏阶段性划分与针对性。横道图能展示主要工程施工顺序和大致时间，然而图面不清晰规范，工程起止时间标注模糊，逻辑关系易产生误解。工期保证措施简单粗糙，资源保障、技术应用与管理协调机制方面均不完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p w14:paraId="7E689DBB">
            <w:pPr>
              <w:keepNext w:val="0"/>
              <w:keepLines w:val="0"/>
              <w:pageBreakBefore w:val="0"/>
              <w:widowControl/>
              <w:kinsoku/>
              <w:wordWrap/>
              <w:overflowPunct/>
              <w:topLinePunct w:val="0"/>
              <w:autoSpaceDE w:val="0"/>
              <w:autoSpaceDN w:val="0"/>
              <w:bidi w:val="0"/>
              <w:adjustRightInd w:val="0"/>
              <w:snapToGrid w:val="0"/>
              <w:spacing w:line="240" w:lineRule="auto"/>
              <w:ind w:left="42" w:leftChars="2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lang w:val="zh-CN"/>
              </w:rPr>
              <w:t>未提供上述资料的不得分。</w:t>
            </w:r>
          </w:p>
        </w:tc>
      </w:tr>
      <w:tr w14:paraId="66B01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jc w:val="center"/>
        </w:trPr>
        <w:tc>
          <w:tcPr>
            <w:tcW w:w="1213" w:type="dxa"/>
            <w:vAlign w:val="center"/>
          </w:tcPr>
          <w:p w14:paraId="5D8BC261">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z w:val="20"/>
                <w:szCs w:val="20"/>
                <w:highlight w:val="none"/>
                <w:lang w:val="en-US" w:eastAsia="zh-CN"/>
              </w:rPr>
              <w:t>工程</w:t>
            </w:r>
            <w:r>
              <w:rPr>
                <w:rFonts w:hint="eastAsia" w:ascii="宋体" w:hAnsi="宋体" w:eastAsia="宋体" w:cs="宋体"/>
                <w:color w:val="auto"/>
                <w:sz w:val="20"/>
                <w:szCs w:val="20"/>
                <w:highlight w:val="none"/>
              </w:rPr>
              <w:t>质量目标</w:t>
            </w:r>
          </w:p>
        </w:tc>
        <w:tc>
          <w:tcPr>
            <w:tcW w:w="667" w:type="dxa"/>
            <w:vAlign w:val="center"/>
          </w:tcPr>
          <w:p w14:paraId="50EAEA9E">
            <w:pPr>
              <w:pStyle w:val="20"/>
              <w:keepNext w:val="0"/>
              <w:keepLines w:val="0"/>
              <w:pageBreakBefore w:val="0"/>
              <w:widowControl/>
              <w:kinsoku/>
              <w:wordWrap/>
              <w:overflowPunct/>
              <w:topLinePunct w:val="0"/>
              <w:bidi w:val="0"/>
              <w:spacing w:before="65" w:line="268" w:lineRule="exact"/>
              <w:ind w:left="0"/>
              <w:jc w:val="center"/>
              <w:rPr>
                <w:rFonts w:hint="default" w:ascii="宋体" w:hAnsi="宋体" w:eastAsia="宋体" w:cs="宋体"/>
                <w:color w:val="auto"/>
                <w:position w:val="1"/>
                <w:sz w:val="20"/>
                <w:szCs w:val="20"/>
                <w:highlight w:val="none"/>
                <w:lang w:val="en-US"/>
              </w:rPr>
            </w:pPr>
            <w:r>
              <w:rPr>
                <w:rFonts w:hint="eastAsia" w:cs="宋体"/>
                <w:color w:val="auto"/>
                <w:position w:val="1"/>
                <w:sz w:val="20"/>
                <w:szCs w:val="20"/>
                <w:highlight w:val="none"/>
                <w:lang w:val="en-US" w:eastAsia="zh-CN"/>
              </w:rPr>
              <w:t>10</w:t>
            </w:r>
          </w:p>
        </w:tc>
        <w:tc>
          <w:tcPr>
            <w:tcW w:w="12276" w:type="dxa"/>
          </w:tcPr>
          <w:p w14:paraId="7C413DAC">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优：</w:t>
            </w:r>
            <w:r>
              <w:rPr>
                <w:rFonts w:hint="eastAsia" w:ascii="宋体" w:hAnsi="宋体" w:eastAsia="宋体" w:cs="宋体"/>
                <w:color w:val="auto"/>
                <w:sz w:val="20"/>
                <w:szCs w:val="20"/>
                <w:highlight w:val="none"/>
              </w:rPr>
              <w:t>有质量目标控制措施且质量目标符合招标文件要求，质量管理体系完善，从管理层到施工人员架构清晰、协同高效。管理措施涵盖技术规范、原材料监管，还针对复杂情况制定预案。保证措施从资源、人员、工艺多维度发力，确保各环节达优。质量事故应急预案充分考虑潜在风险，从预警到处置合理且高度可行，有力保障项目高质量推进，得（</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p w14:paraId="1397DA95">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中</w:t>
            </w:r>
            <w:r>
              <w:rPr>
                <w:rFonts w:hint="eastAsia" w:ascii="宋体" w:hAnsi="宋体" w:eastAsia="宋体" w:cs="宋体"/>
                <w:b/>
                <w:bCs/>
                <w:color w:val="auto"/>
                <w:sz w:val="20"/>
                <w:szCs w:val="20"/>
                <w:highlight w:val="none"/>
              </w:rPr>
              <w:t>：</w:t>
            </w:r>
            <w:r>
              <w:rPr>
                <w:rFonts w:hint="eastAsia" w:ascii="宋体" w:hAnsi="宋体" w:eastAsia="宋体" w:cs="宋体"/>
                <w:color w:val="auto"/>
                <w:sz w:val="20"/>
                <w:szCs w:val="20"/>
                <w:highlight w:val="none"/>
              </w:rPr>
              <w:t>有质量目标控制措施且质量目标符合招标文件要求，质量管理体系较完善，但细节精细度欠佳。管理措施覆盖主要施工环节，能应对常见质量问题，不过处理特殊情况或复杂工艺时，灵活性和深度不足。保证措施在资源调配、人员管理方面有成效，可维持正常质量水准。质量事故应急预案合理，能应对常见事故类型，具备一定可行性，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]分。</w:t>
            </w:r>
          </w:p>
          <w:p w14:paraId="0C858B3A">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差：</w:t>
            </w:r>
            <w:r>
              <w:rPr>
                <w:rFonts w:hint="eastAsia" w:ascii="宋体" w:hAnsi="宋体" w:eastAsia="宋体" w:cs="宋体"/>
                <w:color w:val="auto"/>
                <w:sz w:val="20"/>
                <w:szCs w:val="20"/>
                <w:highlight w:val="none"/>
              </w:rPr>
              <w:t>质量目标控制措施严重缺失或与招标文件要求不符，质量管理体系欠缺，无明确的组织架构和职责分工，质量管控工作混乱无序。管理保证措施缺乏实质性内容，资源供应无保障、人员技术水平低下、工艺落后，难以满足基本质量要求。质量事故应急预案缺失或完全不具可行性，未考虑潜在风险，事故发生时无法采取有效应对措施，无法保障项目质量；或未提供相关内容，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p w14:paraId="785A53F9">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lang w:val="zh-CN"/>
              </w:rPr>
              <w:t>未提供上述资料的不得分。</w:t>
            </w:r>
          </w:p>
        </w:tc>
      </w:tr>
      <w:tr w14:paraId="22C9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7" w:hRule="atLeast"/>
          <w:jc w:val="center"/>
        </w:trPr>
        <w:tc>
          <w:tcPr>
            <w:tcW w:w="1213" w:type="dxa"/>
            <w:vAlign w:val="center"/>
          </w:tcPr>
          <w:p w14:paraId="73257646">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color w:val="auto"/>
                <w:spacing w:val="4"/>
                <w:sz w:val="20"/>
                <w:szCs w:val="20"/>
                <w:highlight w:val="none"/>
              </w:rPr>
            </w:pPr>
            <w:r>
              <w:rPr>
                <w:rFonts w:hint="eastAsia" w:ascii="宋体" w:hAnsi="宋体" w:eastAsia="宋体" w:cs="宋体"/>
                <w:color w:val="auto"/>
                <w:sz w:val="20"/>
                <w:szCs w:val="20"/>
                <w:highlight w:val="none"/>
              </w:rPr>
              <w:t>售后服务</w:t>
            </w:r>
            <w:r>
              <w:rPr>
                <w:rFonts w:hint="eastAsia" w:ascii="宋体" w:hAnsi="宋体" w:eastAsia="宋体" w:cs="宋体"/>
                <w:color w:val="auto"/>
                <w:sz w:val="20"/>
                <w:szCs w:val="20"/>
                <w:highlight w:val="none"/>
                <w:lang w:val="en-US" w:eastAsia="zh-CN"/>
              </w:rPr>
              <w:t>措施</w:t>
            </w:r>
          </w:p>
        </w:tc>
        <w:tc>
          <w:tcPr>
            <w:tcW w:w="667" w:type="dxa"/>
            <w:vAlign w:val="center"/>
          </w:tcPr>
          <w:p w14:paraId="6059B135">
            <w:pPr>
              <w:pStyle w:val="20"/>
              <w:keepNext w:val="0"/>
              <w:keepLines w:val="0"/>
              <w:pageBreakBefore w:val="0"/>
              <w:widowControl/>
              <w:kinsoku/>
              <w:wordWrap/>
              <w:overflowPunct/>
              <w:topLinePunct w:val="0"/>
              <w:bidi w:val="0"/>
              <w:spacing w:before="65" w:line="268" w:lineRule="exact"/>
              <w:ind w:left="0"/>
              <w:jc w:val="center"/>
              <w:rPr>
                <w:rFonts w:hint="eastAsia" w:ascii="宋体" w:hAnsi="宋体" w:eastAsia="宋体" w:cs="宋体"/>
                <w:color w:val="auto"/>
                <w:position w:val="1"/>
                <w:sz w:val="20"/>
                <w:szCs w:val="20"/>
                <w:highlight w:val="none"/>
                <w:lang w:val="en-US"/>
              </w:rPr>
            </w:pPr>
            <w:r>
              <w:rPr>
                <w:rFonts w:hint="eastAsia" w:cs="宋体"/>
                <w:color w:val="auto"/>
                <w:position w:val="1"/>
                <w:sz w:val="20"/>
                <w:szCs w:val="20"/>
                <w:highlight w:val="none"/>
                <w:lang w:val="en-US" w:eastAsia="zh-CN"/>
              </w:rPr>
              <w:t>8</w:t>
            </w:r>
          </w:p>
        </w:tc>
        <w:tc>
          <w:tcPr>
            <w:tcW w:w="12276" w:type="dxa"/>
          </w:tcPr>
          <w:p w14:paraId="43F0DBF4">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优：</w:t>
            </w:r>
            <w:r>
              <w:rPr>
                <w:rFonts w:hint="eastAsia" w:ascii="宋体" w:hAnsi="宋体" w:eastAsia="宋体" w:cs="宋体"/>
                <w:color w:val="auto"/>
                <w:sz w:val="20"/>
                <w:szCs w:val="20"/>
                <w:highlight w:val="none"/>
              </w:rPr>
              <w:t>有</w:t>
            </w:r>
            <w:r>
              <w:rPr>
                <w:rFonts w:hint="eastAsia" w:ascii="宋体" w:hAnsi="宋体" w:eastAsia="宋体" w:cs="宋体"/>
                <w:color w:val="auto"/>
                <w:sz w:val="20"/>
                <w:szCs w:val="20"/>
                <w:highlight w:val="none"/>
                <w:lang w:val="en-US" w:eastAsia="zh-CN"/>
              </w:rPr>
              <w:t>售后服务</w:t>
            </w:r>
            <w:r>
              <w:rPr>
                <w:rFonts w:hint="eastAsia" w:ascii="宋体" w:hAnsi="宋体" w:eastAsia="宋体" w:cs="宋体"/>
                <w:color w:val="auto"/>
                <w:sz w:val="20"/>
                <w:szCs w:val="20"/>
                <w:highlight w:val="none"/>
              </w:rPr>
              <w:t>措施符合招标文件要求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售后服务计划清晰明确、具体，售后服务人员组织架构完整、专业技术力量投入充足、技术人员组织安排及跟进处理流程明确具体，针对设备故障维修有详细的应对措施及相应的解决方案，应急预案考虑深入严谨、应急措施规范，售后服务方案各项内容均具备，</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0BE7F8A5">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jc w:val="left"/>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lang w:val="en-US" w:eastAsia="zh-CN"/>
              </w:rPr>
              <w:t>中</w:t>
            </w:r>
            <w:r>
              <w:rPr>
                <w:rFonts w:hint="eastAsia" w:ascii="宋体" w:hAnsi="宋体" w:eastAsia="宋体" w:cs="宋体"/>
                <w:b/>
                <w:bCs/>
                <w:color w:val="auto"/>
                <w:sz w:val="20"/>
                <w:szCs w:val="20"/>
                <w:highlight w:val="none"/>
              </w:rPr>
              <w:t>：</w:t>
            </w:r>
            <w:r>
              <w:rPr>
                <w:rFonts w:hint="eastAsia" w:ascii="宋体" w:hAnsi="宋体" w:eastAsia="宋体" w:cs="宋体"/>
                <w:color w:val="auto"/>
                <w:sz w:val="20"/>
                <w:szCs w:val="20"/>
                <w:highlight w:val="none"/>
              </w:rPr>
              <w:t>有</w:t>
            </w:r>
            <w:r>
              <w:rPr>
                <w:rFonts w:hint="eastAsia" w:ascii="宋体" w:hAnsi="宋体" w:eastAsia="宋体" w:cs="宋体"/>
                <w:color w:val="auto"/>
                <w:sz w:val="20"/>
                <w:szCs w:val="20"/>
                <w:highlight w:val="none"/>
                <w:lang w:val="en-US" w:eastAsia="zh-CN"/>
              </w:rPr>
              <w:t>售后服务</w:t>
            </w:r>
            <w:r>
              <w:rPr>
                <w:rFonts w:hint="eastAsia" w:ascii="宋体" w:hAnsi="宋体" w:eastAsia="宋体" w:cs="宋体"/>
                <w:color w:val="auto"/>
                <w:sz w:val="20"/>
                <w:szCs w:val="20"/>
                <w:highlight w:val="none"/>
              </w:rPr>
              <w:t>措施符合招标文件要求</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售后服务计划明确具体，提供售后服务人员组织架构完整、专业技术力量投入充足、有技术人员组织安排及跟进处理流程，针对设备故障维修有应对措施及相应的解决方案，应急预案考虑深入、应急措施规范，售后服务方案各项内容均具备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p w14:paraId="4B1FE290">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rPr>
              <w:t>差：</w:t>
            </w:r>
            <w:r>
              <w:rPr>
                <w:rFonts w:hint="eastAsia" w:ascii="宋体" w:hAnsi="宋体" w:eastAsia="宋体" w:cs="宋体"/>
                <w:color w:val="auto"/>
                <w:sz w:val="20"/>
                <w:szCs w:val="20"/>
                <w:highlight w:val="none"/>
              </w:rPr>
              <w:t>有</w:t>
            </w:r>
            <w:r>
              <w:rPr>
                <w:rFonts w:hint="eastAsia" w:ascii="宋体" w:hAnsi="宋体" w:eastAsia="宋体" w:cs="宋体"/>
                <w:color w:val="auto"/>
                <w:sz w:val="20"/>
                <w:szCs w:val="20"/>
                <w:highlight w:val="none"/>
                <w:lang w:val="en-US" w:eastAsia="zh-CN"/>
              </w:rPr>
              <w:t>售后服务</w:t>
            </w:r>
            <w:r>
              <w:rPr>
                <w:rFonts w:hint="eastAsia" w:ascii="宋体" w:hAnsi="宋体" w:eastAsia="宋体" w:cs="宋体"/>
                <w:color w:val="auto"/>
                <w:sz w:val="20"/>
                <w:szCs w:val="20"/>
                <w:highlight w:val="none"/>
              </w:rPr>
              <w:t>措施严重缺失或与招标文件要求不符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售后服务计划</w:t>
            </w:r>
            <w:r>
              <w:rPr>
                <w:rFonts w:hint="eastAsia" w:ascii="宋体" w:hAnsi="宋体" w:eastAsia="宋体" w:cs="宋体"/>
                <w:color w:val="auto"/>
                <w:sz w:val="20"/>
                <w:szCs w:val="20"/>
                <w:highlight w:val="none"/>
                <w:lang w:val="en-US" w:eastAsia="zh-CN"/>
              </w:rPr>
              <w:t>不</w:t>
            </w:r>
            <w:r>
              <w:rPr>
                <w:rFonts w:hint="eastAsia" w:ascii="宋体" w:hAnsi="宋体" w:eastAsia="宋体" w:cs="宋体"/>
                <w:color w:val="auto"/>
                <w:sz w:val="20"/>
                <w:szCs w:val="20"/>
                <w:highlight w:val="none"/>
              </w:rPr>
              <w:t>明确，提供售后服务人员组织架构、专业技术力</w:t>
            </w:r>
            <w:r>
              <w:rPr>
                <w:rFonts w:hint="eastAsia" w:ascii="宋体" w:hAnsi="宋体" w:eastAsia="宋体" w:cs="宋体"/>
                <w:color w:val="auto"/>
                <w:sz w:val="20"/>
                <w:szCs w:val="20"/>
                <w:highlight w:val="none"/>
                <w:lang w:val="en-US" w:eastAsia="zh-CN"/>
              </w:rPr>
              <w:t>量</w:t>
            </w:r>
            <w:r>
              <w:rPr>
                <w:rFonts w:hint="eastAsia" w:ascii="宋体" w:hAnsi="宋体" w:eastAsia="宋体" w:cs="宋体"/>
                <w:color w:val="auto"/>
                <w:sz w:val="20"/>
                <w:szCs w:val="20"/>
                <w:highlight w:val="none"/>
              </w:rPr>
              <w:t>投入、技术人员组织安排及跟进处理流程，缺乏实质性内容</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资源供应无保障、人员技术水平低下、工艺落后，难以</w:t>
            </w:r>
            <w:r>
              <w:rPr>
                <w:rFonts w:hint="eastAsia" w:ascii="宋体" w:hAnsi="宋体" w:eastAsia="宋体" w:cs="宋体"/>
                <w:color w:val="auto"/>
                <w:sz w:val="20"/>
                <w:szCs w:val="20"/>
                <w:highlight w:val="none"/>
                <w:lang w:val="en-US" w:eastAsia="zh-CN"/>
              </w:rPr>
              <w:t>售后服务</w:t>
            </w:r>
            <w:r>
              <w:rPr>
                <w:rFonts w:hint="eastAsia" w:ascii="宋体" w:hAnsi="宋体" w:eastAsia="宋体" w:cs="宋体"/>
                <w:color w:val="auto"/>
                <w:sz w:val="20"/>
                <w:szCs w:val="20"/>
                <w:highlight w:val="none"/>
              </w:rPr>
              <w:t>要求，得[</w:t>
            </w:r>
            <w:r>
              <w:rPr>
                <w:rFonts w:hint="eastAsia" w:ascii="宋体" w:hAnsi="宋体" w:eastAsia="宋体" w:cs="宋体"/>
                <w:color w:val="auto"/>
                <w:sz w:val="20"/>
                <w:szCs w:val="20"/>
                <w:highlight w:val="none"/>
                <w:lang w:eastAsia="zh-CN"/>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p>
          <w:p w14:paraId="49C5585C">
            <w:pPr>
              <w:keepNext w:val="0"/>
              <w:keepLines w:val="0"/>
              <w:pageBreakBefore w:val="0"/>
              <w:widowControl/>
              <w:kinsoku/>
              <w:wordWrap/>
              <w:overflowPunct/>
              <w:topLinePunct w:val="0"/>
              <w:autoSpaceDE w:val="0"/>
              <w:autoSpaceDN w:val="0"/>
              <w:bidi w:val="0"/>
              <w:adjustRightInd w:val="0"/>
              <w:snapToGrid w:val="0"/>
              <w:spacing w:line="240" w:lineRule="auto"/>
              <w:ind w:left="42" w:leftChars="20"/>
              <w:contextualSpacing/>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b/>
                <w:bCs/>
                <w:color w:val="auto"/>
                <w:sz w:val="20"/>
                <w:szCs w:val="20"/>
                <w:highlight w:val="none"/>
                <w:lang w:val="zh-CN"/>
              </w:rPr>
              <w:t>未提供上述资料的不得分。</w:t>
            </w:r>
          </w:p>
        </w:tc>
      </w:tr>
      <w:tr w14:paraId="4E98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213" w:type="dxa"/>
            <w:vAlign w:val="center"/>
          </w:tcPr>
          <w:p w14:paraId="7BE04F41">
            <w:pPr>
              <w:keepNext w:val="0"/>
              <w:keepLines w:val="0"/>
              <w:pageBreakBefore w:val="0"/>
              <w:widowControl/>
              <w:kinsoku/>
              <w:wordWrap/>
              <w:overflowPunct/>
              <w:topLinePunct w:val="0"/>
              <w:bidi w:val="0"/>
              <w:spacing w:line="300" w:lineRule="exact"/>
              <w:ind w:left="0"/>
              <w:contextualSpacing/>
              <w:jc w:val="center"/>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得分</w:t>
            </w:r>
          </w:p>
        </w:tc>
        <w:tc>
          <w:tcPr>
            <w:tcW w:w="667" w:type="dxa"/>
            <w:vAlign w:val="center"/>
          </w:tcPr>
          <w:p w14:paraId="450BB41C">
            <w:pPr>
              <w:pStyle w:val="20"/>
              <w:keepNext w:val="0"/>
              <w:keepLines w:val="0"/>
              <w:pageBreakBefore w:val="0"/>
              <w:widowControl/>
              <w:kinsoku/>
              <w:wordWrap/>
              <w:overflowPunct/>
              <w:topLinePunct w:val="0"/>
              <w:bidi w:val="0"/>
              <w:spacing w:before="65" w:line="268" w:lineRule="exact"/>
              <w:ind w:left="0"/>
              <w:jc w:val="center"/>
              <w:rPr>
                <w:rFonts w:hint="eastAsia" w:ascii="宋体" w:hAnsi="宋体" w:eastAsia="宋体" w:cs="宋体"/>
                <w:color w:val="auto"/>
                <w:position w:val="1"/>
                <w:sz w:val="20"/>
                <w:szCs w:val="20"/>
                <w:highlight w:val="none"/>
                <w:lang w:val="en-US" w:eastAsia="zh-CN"/>
              </w:rPr>
            </w:pPr>
            <w:r>
              <w:rPr>
                <w:rFonts w:hint="eastAsia" w:cs="宋体"/>
                <w:color w:val="auto"/>
                <w:spacing w:val="-1"/>
                <w:sz w:val="20"/>
                <w:szCs w:val="20"/>
                <w:highlight w:val="none"/>
                <w:lang w:val="en-US" w:eastAsia="zh-CN"/>
              </w:rPr>
              <w:t>80</w:t>
            </w:r>
            <w:r>
              <w:rPr>
                <w:rFonts w:hint="eastAsia" w:ascii="宋体" w:hAnsi="宋体" w:eastAsia="宋体" w:cs="宋体"/>
                <w:color w:val="auto"/>
                <w:spacing w:val="-1"/>
                <w:sz w:val="20"/>
                <w:szCs w:val="20"/>
                <w:highlight w:val="none"/>
              </w:rPr>
              <w:t>分</w:t>
            </w:r>
          </w:p>
        </w:tc>
        <w:tc>
          <w:tcPr>
            <w:tcW w:w="12276" w:type="dxa"/>
          </w:tcPr>
          <w:p w14:paraId="17D6CCBE">
            <w:pPr>
              <w:keepNext w:val="0"/>
              <w:keepLines w:val="0"/>
              <w:pageBreakBefore w:val="0"/>
              <w:widowControl/>
              <w:kinsoku/>
              <w:wordWrap/>
              <w:overflowPunct/>
              <w:topLinePunct w:val="0"/>
              <w:bidi w:val="0"/>
              <w:spacing w:line="300" w:lineRule="exact"/>
              <w:ind w:left="0"/>
              <w:contextualSpacing/>
              <w:rPr>
                <w:rFonts w:hint="eastAsia" w:ascii="宋体" w:hAnsi="宋体" w:eastAsia="宋体" w:cs="宋体"/>
                <w:color w:val="auto"/>
                <w:sz w:val="20"/>
                <w:szCs w:val="20"/>
                <w:highlight w:val="none"/>
              </w:rPr>
            </w:pPr>
          </w:p>
        </w:tc>
      </w:tr>
    </w:tbl>
    <w:p w14:paraId="10553042">
      <w:pPr>
        <w:keepNext w:val="0"/>
        <w:keepLines w:val="0"/>
        <w:pageBreakBefore w:val="0"/>
        <w:kinsoku/>
        <w:bidi w:val="0"/>
        <w:spacing w:before="54" w:line="240" w:lineRule="auto"/>
        <w:ind w:left="112" w:right="136" w:hanging="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注：1、投标人提供的扫描件及网页信息打印页内容必须清晰可辨，并加盖公章，如因扫描件或网页</w:t>
      </w:r>
      <w:r>
        <w:rPr>
          <w:rFonts w:hint="eastAsia" w:ascii="宋体" w:hAnsi="宋体" w:eastAsia="宋体" w:cs="宋体"/>
          <w:color w:val="auto"/>
          <w:spacing w:val="9"/>
          <w:sz w:val="20"/>
          <w:szCs w:val="20"/>
          <w:highlight w:val="none"/>
          <w:lang w:eastAsia="zh-CN"/>
        </w:rPr>
        <w:t>信息打印页内容模糊导致评标时无法判断的，后果由投标人自负。</w:t>
      </w:r>
    </w:p>
    <w:p w14:paraId="0E4291A9">
      <w:pPr>
        <w:keepNext w:val="0"/>
        <w:keepLines w:val="0"/>
        <w:pageBreakBefore w:val="0"/>
        <w:kinsoku/>
        <w:bidi w:val="0"/>
        <w:spacing w:before="34" w:line="240" w:lineRule="auto"/>
        <w:ind w:left="110" w:firstLine="42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2、评标委员会成员评出各投标人工程总承包实施方案得分的分数，工程总</w:t>
      </w:r>
      <w:r>
        <w:rPr>
          <w:rFonts w:hint="eastAsia" w:ascii="宋体" w:hAnsi="宋体" w:eastAsia="宋体" w:cs="宋体"/>
          <w:color w:val="auto"/>
          <w:spacing w:val="8"/>
          <w:sz w:val="20"/>
          <w:szCs w:val="20"/>
          <w:highlight w:val="none"/>
          <w:lang w:eastAsia="zh-CN"/>
        </w:rPr>
        <w:t>承包实施方案得分为评标专家打分的算术平均值，得出每个投标人工程总承</w:t>
      </w:r>
      <w:r>
        <w:rPr>
          <w:rFonts w:hint="eastAsia" w:ascii="宋体" w:hAnsi="宋体" w:eastAsia="宋体" w:cs="宋体"/>
          <w:color w:val="auto"/>
          <w:spacing w:val="9"/>
          <w:sz w:val="20"/>
          <w:szCs w:val="20"/>
          <w:highlight w:val="none"/>
          <w:lang w:eastAsia="zh-CN"/>
        </w:rPr>
        <w:t>包实施方案得分，分数出现小数点，保留小数点后二位，第三位小数四舍五入。</w:t>
      </w:r>
    </w:p>
    <w:p w14:paraId="457908C5">
      <w:pPr>
        <w:keepNext w:val="0"/>
        <w:keepLines w:val="0"/>
        <w:pageBreakBefore w:val="0"/>
        <w:kinsoku/>
        <w:bidi w:val="0"/>
        <w:spacing w:before="56" w:line="240" w:lineRule="auto"/>
        <w:ind w:left="122" w:right="134" w:firstLine="412"/>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lang w:eastAsia="zh-CN"/>
        </w:rPr>
        <w:t>3、上表中的人员还需提供自2025年</w:t>
      </w:r>
      <w:r>
        <w:rPr>
          <w:rFonts w:hint="eastAsia" w:ascii="宋体" w:hAnsi="宋体" w:eastAsia="宋体" w:cs="宋体"/>
          <w:color w:val="auto"/>
          <w:spacing w:val="9"/>
          <w:sz w:val="20"/>
          <w:szCs w:val="20"/>
          <w:highlight w:val="none"/>
          <w:lang w:val="en-US" w:eastAsia="zh-CN"/>
        </w:rPr>
        <w:t>6</w:t>
      </w:r>
      <w:r>
        <w:rPr>
          <w:rFonts w:hint="eastAsia" w:ascii="宋体" w:hAnsi="宋体" w:eastAsia="宋体" w:cs="宋体"/>
          <w:color w:val="auto"/>
          <w:spacing w:val="9"/>
          <w:sz w:val="20"/>
          <w:szCs w:val="20"/>
          <w:highlight w:val="none"/>
          <w:lang w:eastAsia="zh-CN"/>
        </w:rPr>
        <w:t>月份（含</w:t>
      </w:r>
      <w:r>
        <w:rPr>
          <w:rFonts w:hint="eastAsia" w:ascii="宋体" w:hAnsi="宋体" w:eastAsia="宋体" w:cs="宋体"/>
          <w:color w:val="auto"/>
          <w:spacing w:val="9"/>
          <w:sz w:val="20"/>
          <w:szCs w:val="20"/>
          <w:highlight w:val="none"/>
          <w:lang w:val="en-US" w:eastAsia="zh-CN"/>
        </w:rPr>
        <w:t>6</w:t>
      </w:r>
      <w:r>
        <w:rPr>
          <w:rFonts w:hint="eastAsia" w:ascii="宋体" w:hAnsi="宋体" w:eastAsia="宋体" w:cs="宋体"/>
          <w:color w:val="auto"/>
          <w:spacing w:val="9"/>
          <w:sz w:val="20"/>
          <w:szCs w:val="20"/>
          <w:highlight w:val="none"/>
          <w:lang w:eastAsia="zh-CN"/>
        </w:rPr>
        <w:t>月份）以来任意一个月份在本单位（不含投标人的子公司，含</w:t>
      </w:r>
      <w:r>
        <w:rPr>
          <w:rFonts w:hint="eastAsia" w:ascii="宋体" w:hAnsi="宋体" w:eastAsia="宋体" w:cs="宋体"/>
          <w:color w:val="auto"/>
          <w:spacing w:val="8"/>
          <w:sz w:val="20"/>
          <w:szCs w:val="20"/>
          <w:highlight w:val="none"/>
          <w:lang w:eastAsia="zh-CN"/>
        </w:rPr>
        <w:t>分公司或分支机构）购买的社保证明（包括社会保险个人缴费证明或社会保险个人参保证明或电子税务局申报缴款个人明细查询等）扫描件</w:t>
      </w:r>
      <w:r>
        <w:rPr>
          <w:rFonts w:hint="eastAsia" w:ascii="宋体" w:hAnsi="宋体" w:eastAsia="宋体" w:cs="宋体"/>
          <w:color w:val="auto"/>
          <w:spacing w:val="11"/>
          <w:sz w:val="20"/>
          <w:szCs w:val="20"/>
          <w:highlight w:val="none"/>
          <w:lang w:eastAsia="zh-CN"/>
        </w:rPr>
        <w:t>；因改制或重组的企业或事业单位人员社保由上级主管部门缴纳的，除提供上级主管部门缴纳社保证明扫描件外，需由上级主管部门出具证明说</w:t>
      </w:r>
      <w:r>
        <w:rPr>
          <w:rFonts w:hint="eastAsia" w:ascii="宋体" w:hAnsi="宋体" w:eastAsia="宋体" w:cs="宋体"/>
          <w:color w:val="auto"/>
          <w:spacing w:val="6"/>
          <w:sz w:val="20"/>
          <w:szCs w:val="20"/>
          <w:highlight w:val="none"/>
          <w:lang w:eastAsia="zh-CN"/>
        </w:rPr>
        <w:t>明。否则不予计分。</w:t>
      </w:r>
    </w:p>
    <w:p w14:paraId="48D041EE">
      <w:pPr>
        <w:keepNext w:val="0"/>
        <w:keepLines w:val="0"/>
        <w:pageBreakBefore w:val="0"/>
        <w:kinsoku/>
        <w:bidi w:val="0"/>
        <w:spacing w:before="73" w:line="240" w:lineRule="auto"/>
        <w:ind w:left="113" w:right="136" w:firstLine="41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7"/>
          <w:sz w:val="20"/>
          <w:szCs w:val="20"/>
          <w:highlight w:val="none"/>
          <w:lang w:eastAsia="zh-CN"/>
        </w:rPr>
        <w:t>4、表中“[</w:t>
      </w:r>
      <w:r>
        <w:rPr>
          <w:rFonts w:hint="eastAsia" w:ascii="宋体" w:hAnsi="宋体" w:eastAsia="宋体" w:cs="宋体"/>
          <w:color w:val="auto"/>
          <w:spacing w:val="-32"/>
          <w:sz w:val="20"/>
          <w:szCs w:val="20"/>
          <w:highlight w:val="none"/>
          <w:lang w:eastAsia="zh-CN"/>
        </w:rPr>
        <w:t xml:space="preserve"> </w:t>
      </w:r>
      <w:r>
        <w:rPr>
          <w:rFonts w:hint="eastAsia" w:ascii="宋体" w:hAnsi="宋体" w:eastAsia="宋体" w:cs="宋体"/>
          <w:color w:val="auto"/>
          <w:spacing w:val="7"/>
          <w:sz w:val="20"/>
          <w:szCs w:val="20"/>
          <w:highlight w:val="none"/>
          <w:lang w:eastAsia="zh-CN"/>
        </w:rPr>
        <w:t>]”代表闭区间，如[1，0]代表该分数段范围为大于等于0且小于等于</w:t>
      </w:r>
      <w:r>
        <w:rPr>
          <w:rFonts w:hint="eastAsia" w:ascii="宋体" w:hAnsi="宋体" w:eastAsia="宋体" w:cs="宋体"/>
          <w:color w:val="auto"/>
          <w:spacing w:val="6"/>
          <w:sz w:val="20"/>
          <w:szCs w:val="20"/>
          <w:highlight w:val="none"/>
          <w:lang w:eastAsia="zh-CN"/>
        </w:rPr>
        <w:t>1。表中“</w:t>
      </w:r>
      <w:r>
        <w:rPr>
          <w:rFonts w:hint="eastAsia" w:ascii="宋体" w:hAnsi="宋体" w:eastAsia="宋体" w:cs="宋体"/>
          <w:color w:val="auto"/>
          <w:spacing w:val="-24"/>
          <w:sz w:val="20"/>
          <w:szCs w:val="20"/>
          <w:highlight w:val="none"/>
          <w:lang w:eastAsia="zh-CN"/>
        </w:rPr>
        <w:t>（</w:t>
      </w:r>
      <w:r>
        <w:rPr>
          <w:rFonts w:hint="eastAsia" w:ascii="宋体" w:hAnsi="宋体" w:eastAsia="宋体" w:cs="宋体"/>
          <w:color w:val="auto"/>
          <w:spacing w:val="36"/>
          <w:sz w:val="20"/>
          <w:szCs w:val="20"/>
          <w:highlight w:val="none"/>
          <w:lang w:eastAsia="zh-CN"/>
        </w:rPr>
        <w:t xml:space="preserve"> </w:t>
      </w:r>
      <w:r>
        <w:rPr>
          <w:rFonts w:hint="eastAsia" w:ascii="宋体" w:hAnsi="宋体" w:eastAsia="宋体" w:cs="宋体"/>
          <w:color w:val="auto"/>
          <w:spacing w:val="-24"/>
          <w:sz w:val="20"/>
          <w:szCs w:val="20"/>
          <w:highlight w:val="none"/>
          <w:lang w:eastAsia="zh-CN"/>
        </w:rPr>
        <w:t>）</w:t>
      </w:r>
      <w:r>
        <w:rPr>
          <w:rFonts w:hint="eastAsia" w:ascii="宋体" w:hAnsi="宋体" w:eastAsia="宋体" w:cs="宋体"/>
          <w:color w:val="auto"/>
          <w:spacing w:val="6"/>
          <w:sz w:val="20"/>
          <w:szCs w:val="20"/>
          <w:highlight w:val="none"/>
          <w:lang w:eastAsia="zh-CN"/>
        </w:rPr>
        <w:t>”代表开区间，如（2，1）代表该分数段范围为</w:t>
      </w:r>
      <w:r>
        <w:rPr>
          <w:rFonts w:hint="eastAsia" w:ascii="宋体" w:hAnsi="宋体" w:eastAsia="宋体" w:cs="宋体"/>
          <w:color w:val="auto"/>
          <w:sz w:val="20"/>
          <w:szCs w:val="20"/>
          <w:highlight w:val="none"/>
          <w:lang w:eastAsia="zh-CN"/>
        </w:rPr>
        <w:t>大于1且小于2。</w:t>
      </w:r>
    </w:p>
    <w:p w14:paraId="23703790">
      <w:pPr>
        <w:keepNext w:val="0"/>
        <w:keepLines w:val="0"/>
        <w:pageBreakBefore w:val="0"/>
        <w:kinsoku/>
        <w:bidi w:val="0"/>
        <w:spacing w:before="73" w:line="240" w:lineRule="auto"/>
        <w:ind w:left="113" w:right="136" w:firstLine="416"/>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0"/>
          <w:szCs w:val="20"/>
          <w:highlight w:val="none"/>
          <w:lang w:eastAsia="zh-CN"/>
        </w:rPr>
        <w:t xml:space="preserve">评委签名：                                                  </w:t>
      </w:r>
      <w:r>
        <w:rPr>
          <w:rFonts w:hint="eastAsia" w:ascii="宋体" w:hAnsi="宋体" w:eastAsia="宋体" w:cs="宋体"/>
          <w:color w:val="auto"/>
          <w:sz w:val="20"/>
          <w:szCs w:val="20"/>
          <w:highlight w:val="none"/>
          <w:lang w:eastAsia="zh-CN"/>
        </w:rPr>
        <w:t xml:space="preserve">                                 日期：</w:t>
      </w:r>
    </w:p>
    <w:p w14:paraId="1134140C">
      <w:pPr>
        <w:keepNext w:val="0"/>
        <w:keepLines w:val="0"/>
        <w:pageBreakBefore w:val="0"/>
        <w:kinsoku/>
        <w:bidi w:val="0"/>
        <w:spacing w:line="240"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br w:type="page"/>
      </w:r>
    </w:p>
    <w:p w14:paraId="441853F4">
      <w:pPr>
        <w:keepNext w:val="0"/>
        <w:keepLines w:val="0"/>
        <w:pageBreakBefore w:val="0"/>
        <w:kinsoku/>
        <w:bidi w:val="0"/>
        <w:snapToGrid/>
        <w:spacing w:line="240" w:lineRule="auto"/>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附</w:t>
      </w:r>
      <w:r>
        <w:rPr>
          <w:rFonts w:hint="eastAsia" w:ascii="宋体" w:hAnsi="宋体" w:eastAsia="宋体" w:cs="宋体"/>
          <w:b/>
          <w:color w:val="auto"/>
          <w:sz w:val="20"/>
          <w:szCs w:val="20"/>
          <w:highlight w:val="none"/>
          <w:lang w:eastAsia="zh-CN"/>
        </w:rPr>
        <w:t>：</w:t>
      </w:r>
      <w:r>
        <w:rPr>
          <w:rFonts w:hint="eastAsia" w:ascii="宋体" w:hAnsi="宋体" w:eastAsia="宋体" w:cs="宋体"/>
          <w:b/>
          <w:color w:val="auto"/>
          <w:sz w:val="20"/>
          <w:szCs w:val="20"/>
          <w:highlight w:val="none"/>
          <w:lang w:val="en-US" w:eastAsia="zh-CN"/>
        </w:rPr>
        <w:t>人员最低要求</w:t>
      </w:r>
    </w:p>
    <w:p w14:paraId="03C2F26E">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baseline"/>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lang w:val="en-US" w:eastAsia="zh-CN"/>
        </w:rPr>
        <w:t>人员配置要求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99"/>
        <w:gridCol w:w="580"/>
        <w:gridCol w:w="5329"/>
        <w:gridCol w:w="5855"/>
      </w:tblGrid>
      <w:tr w14:paraId="5548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56062A69">
            <w:pPr>
              <w:keepNext w:val="0"/>
              <w:keepLines w:val="0"/>
              <w:pageBreakBefore w:val="0"/>
              <w:kinsoku/>
              <w:bidi w:val="0"/>
              <w:ind w:left="-57" w:leftChars="-27" w:right="-46" w:rightChars="-22"/>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A18FF7">
            <w:pPr>
              <w:keepNext w:val="0"/>
              <w:keepLines w:val="0"/>
              <w:pageBreakBefore w:val="0"/>
              <w:kinsoku/>
              <w:bidi w:val="0"/>
              <w:ind w:left="-57" w:leftChars="-27" w:right="-46" w:rightChars="-22"/>
              <w:jc w:val="center"/>
              <w:rPr>
                <w:rFonts w:hint="eastAsia" w:ascii="宋体" w:hAnsi="宋体" w:eastAsia="宋体" w:cs="宋体"/>
                <w:b/>
                <w:bCs/>
                <w:color w:val="auto"/>
                <w:sz w:val="20"/>
                <w:szCs w:val="20"/>
                <w:highlight w:val="none"/>
              </w:rPr>
            </w:pPr>
            <w:r>
              <w:rPr>
                <w:rFonts w:hint="eastAsia" w:ascii="宋体" w:hAnsi="宋体" w:eastAsia="宋体" w:cs="宋体"/>
                <w:b/>
                <w:color w:val="auto"/>
                <w:kern w:val="0"/>
                <w:sz w:val="20"/>
                <w:szCs w:val="20"/>
                <w:highlight w:val="none"/>
              </w:rPr>
              <w:t>类别</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66159824">
            <w:pPr>
              <w:keepNext w:val="0"/>
              <w:keepLines w:val="0"/>
              <w:pageBreakBefore w:val="0"/>
              <w:kinsoku/>
              <w:bidi w:val="0"/>
              <w:ind w:left="-57" w:leftChars="-27" w:right="-46" w:rightChars="-22"/>
              <w:jc w:val="center"/>
              <w:rPr>
                <w:rFonts w:hint="eastAsia" w:ascii="宋体" w:hAnsi="宋体" w:eastAsia="宋体" w:cs="宋体"/>
                <w:b/>
                <w:bCs/>
                <w:color w:val="auto"/>
                <w:sz w:val="20"/>
                <w:szCs w:val="20"/>
                <w:highlight w:val="none"/>
              </w:rPr>
            </w:pPr>
            <w:r>
              <w:rPr>
                <w:rFonts w:hint="eastAsia" w:ascii="宋体" w:hAnsi="宋体" w:eastAsia="宋体" w:cs="宋体"/>
                <w:b/>
                <w:color w:val="auto"/>
                <w:sz w:val="20"/>
                <w:szCs w:val="20"/>
                <w:highlight w:val="none"/>
              </w:rPr>
              <w:t>数量</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15DC56E4">
            <w:pPr>
              <w:keepNext w:val="0"/>
              <w:keepLines w:val="0"/>
              <w:pageBreakBefore w:val="0"/>
              <w:kinsoku/>
              <w:bidi w:val="0"/>
              <w:ind w:left="-57" w:leftChars="-27" w:right="-46" w:rightChars="-22"/>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任职条件</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172C1F94">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备注</w:t>
            </w:r>
          </w:p>
        </w:tc>
      </w:tr>
      <w:tr w14:paraId="254A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20" w:type="dxa"/>
            <w:gridSpan w:val="5"/>
            <w:tcBorders>
              <w:top w:val="single" w:color="auto" w:sz="4" w:space="0"/>
              <w:left w:val="single" w:color="auto" w:sz="4" w:space="0"/>
              <w:bottom w:val="single" w:color="auto" w:sz="4" w:space="0"/>
              <w:right w:val="single" w:color="auto" w:sz="4" w:space="0"/>
            </w:tcBorders>
            <w:noWrap w:val="0"/>
            <w:vAlign w:val="center"/>
          </w:tcPr>
          <w:p w14:paraId="4AE90687">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施工团队</w:t>
            </w:r>
          </w:p>
        </w:tc>
      </w:tr>
      <w:tr w14:paraId="264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2F021446">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F565671">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p>
          <w:p w14:paraId="61F6768D">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（兼施工负责人）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1014DF25">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763E84BC">
            <w:pPr>
              <w:keepNext w:val="0"/>
              <w:keepLines w:val="0"/>
              <w:pageBreakBefore w:val="0"/>
              <w:kinsoku/>
              <w:bidi w:val="0"/>
              <w:ind w:right="-46" w:rightChars="-22"/>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符合招标公告要求</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7ABF58C6">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按招标公告要求提供</w:t>
            </w:r>
          </w:p>
        </w:tc>
      </w:tr>
      <w:tr w14:paraId="4C2F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1945A4E4">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D8D1BE8">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技术负责人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6250B6F5">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4AF0BEB3">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符合招标公告要求</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68FAB583">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按招标公告要求提供</w:t>
            </w:r>
          </w:p>
        </w:tc>
      </w:tr>
      <w:tr w14:paraId="7492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09A4734E">
            <w:pPr>
              <w:keepNext w:val="0"/>
              <w:keepLines w:val="0"/>
              <w:pageBreakBefore w:val="0"/>
              <w:kinsoku/>
              <w:bidi w:val="0"/>
              <w:ind w:left="-57" w:leftChars="-27" w:right="-46" w:rightChars="-22"/>
              <w:jc w:val="center"/>
              <w:rPr>
                <w:rFonts w:hint="eastAsia" w:ascii="宋体" w:hAnsi="宋体" w:eastAsia="宋体" w:cs="宋体"/>
                <w:bCs/>
                <w:color w:val="auto"/>
                <w:kern w:val="44"/>
                <w:sz w:val="20"/>
                <w:szCs w:val="20"/>
                <w:highlight w:val="none"/>
              </w:rPr>
            </w:pPr>
            <w:r>
              <w:rPr>
                <w:rFonts w:hint="eastAsia" w:ascii="宋体" w:hAnsi="宋体" w:eastAsia="宋体" w:cs="宋体"/>
                <w:bCs/>
                <w:color w:val="auto"/>
                <w:kern w:val="44"/>
                <w:sz w:val="20"/>
                <w:szCs w:val="20"/>
                <w:highlight w:val="none"/>
              </w:rPr>
              <w:t>3</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8DFCF0D">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安全负责人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3C16A1C4">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w:t>
            </w:r>
            <w:r>
              <w:rPr>
                <w:rFonts w:hint="eastAsia" w:ascii="宋体" w:hAnsi="宋体" w:eastAsia="宋体" w:cs="宋体"/>
                <w:color w:val="auto"/>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5881DE52">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具有：①</w:t>
            </w:r>
            <w:r>
              <w:rPr>
                <w:rFonts w:hint="eastAsia" w:ascii="宋体" w:hAnsi="宋体" w:eastAsia="宋体" w:cs="宋体"/>
                <w:color w:val="auto"/>
                <w:spacing w:val="0"/>
                <w:w w:val="100"/>
                <w:position w:val="0"/>
                <w:sz w:val="20"/>
                <w:szCs w:val="20"/>
                <w:highlight w:val="none"/>
                <w:lang w:eastAsia="zh-CN"/>
              </w:rPr>
              <w:t>安全生产考核合格证</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val="en-US" w:eastAsia="zh-CN"/>
              </w:rPr>
              <w:t>A</w:t>
            </w:r>
            <w:r>
              <w:rPr>
                <w:rFonts w:hint="eastAsia" w:ascii="宋体" w:hAnsi="宋体" w:eastAsia="宋体" w:cs="宋体"/>
                <w:color w:val="auto"/>
                <w:kern w:val="0"/>
                <w:sz w:val="20"/>
                <w:szCs w:val="20"/>
                <w:highlight w:val="none"/>
              </w:rPr>
              <w:t>类或B类或C类）或</w:t>
            </w:r>
            <w:r>
              <w:rPr>
                <w:rFonts w:hint="eastAsia" w:ascii="宋体" w:hAnsi="宋体" w:eastAsia="宋体" w:cs="宋体"/>
                <w:color w:val="auto"/>
                <w:spacing w:val="0"/>
                <w:w w:val="100"/>
                <w:position w:val="0"/>
                <w:sz w:val="20"/>
                <w:szCs w:val="20"/>
                <w:highlight w:val="none"/>
                <w:lang w:eastAsia="zh-CN"/>
              </w:rPr>
              <w:t>建筑施工企业专职安全生产管理人员安全生产考核合格证书（C3）</w:t>
            </w:r>
            <w:r>
              <w:rPr>
                <w:rFonts w:hint="eastAsia" w:ascii="宋体" w:hAnsi="宋体" w:eastAsia="宋体" w:cs="宋体"/>
                <w:color w:val="auto"/>
                <w:sz w:val="20"/>
                <w:szCs w:val="20"/>
                <w:highlight w:val="none"/>
              </w:rPr>
              <w:t>；</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57916349">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安全培训考核合格证</w:t>
            </w:r>
          </w:p>
        </w:tc>
      </w:tr>
      <w:tr w14:paraId="0E96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03D23ED3">
            <w:pPr>
              <w:keepNext w:val="0"/>
              <w:keepLines w:val="0"/>
              <w:pageBreakBefore w:val="0"/>
              <w:kinsoku/>
              <w:bidi w:val="0"/>
              <w:ind w:left="-57" w:leftChars="-27" w:right="-46" w:rightChars="-22"/>
              <w:jc w:val="center"/>
              <w:rPr>
                <w:rFonts w:hint="eastAsia" w:ascii="宋体" w:hAnsi="宋体" w:eastAsia="宋体" w:cs="宋体"/>
                <w:bCs/>
                <w:color w:val="auto"/>
                <w:kern w:val="44"/>
                <w:sz w:val="20"/>
                <w:szCs w:val="20"/>
                <w:highlight w:val="none"/>
              </w:rPr>
            </w:pPr>
            <w:r>
              <w:rPr>
                <w:rFonts w:hint="eastAsia" w:ascii="宋体" w:hAnsi="宋体" w:eastAsia="宋体" w:cs="宋体"/>
                <w:bCs/>
                <w:color w:val="auto"/>
                <w:kern w:val="44"/>
                <w:sz w:val="20"/>
                <w:szCs w:val="20"/>
                <w:highlight w:val="none"/>
              </w:rPr>
              <w:t>4</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C5A3A03">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质量负责人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B666B8">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w:t>
            </w:r>
            <w:r>
              <w:rPr>
                <w:rFonts w:hint="eastAsia" w:ascii="宋体" w:hAnsi="宋体" w:eastAsia="宋体" w:cs="宋体"/>
                <w:color w:val="auto"/>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75373FE1">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具有建筑施工类相关专业中级或以上技术职称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364E9516">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提供职称证书</w:t>
            </w:r>
          </w:p>
        </w:tc>
      </w:tr>
      <w:tr w14:paraId="42FD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3320A4DA">
            <w:pPr>
              <w:keepNext w:val="0"/>
              <w:keepLines w:val="0"/>
              <w:pageBreakBefore w:val="0"/>
              <w:kinsoku/>
              <w:bidi w:val="0"/>
              <w:ind w:left="-57" w:leftChars="-27" w:right="-46" w:rightChars="-22"/>
              <w:jc w:val="center"/>
              <w:rPr>
                <w:rFonts w:hint="eastAsia" w:ascii="宋体" w:hAnsi="宋体" w:eastAsia="宋体" w:cs="宋体"/>
                <w:bCs/>
                <w:color w:val="auto"/>
                <w:kern w:val="44"/>
                <w:sz w:val="20"/>
                <w:szCs w:val="20"/>
                <w:highlight w:val="none"/>
              </w:rPr>
            </w:pPr>
            <w:r>
              <w:rPr>
                <w:rFonts w:hint="eastAsia" w:ascii="宋体" w:hAnsi="宋体" w:eastAsia="宋体" w:cs="宋体"/>
                <w:bCs/>
                <w:color w:val="auto"/>
                <w:kern w:val="44"/>
                <w:sz w:val="20"/>
                <w:szCs w:val="20"/>
                <w:highlight w:val="none"/>
              </w:rPr>
              <w:t>5</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7ED9B7A">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造价负责人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1E159E01">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w:t>
            </w:r>
            <w:r>
              <w:rPr>
                <w:rFonts w:hint="eastAsia" w:ascii="宋体" w:hAnsi="宋体" w:eastAsia="宋体" w:cs="宋体"/>
                <w:color w:val="auto"/>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4449F398">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同时具有：</w:t>
            </w:r>
          </w:p>
          <w:p w14:paraId="3224451A">
            <w:pPr>
              <w:keepNext w:val="0"/>
              <w:keepLines w:val="0"/>
              <w:pageBreakBefore w:val="0"/>
              <w:kinsoku/>
              <w:bidi w:val="0"/>
              <w:ind w:right="-46" w:rightChars="-22"/>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①</w:t>
            </w:r>
            <w:r>
              <w:rPr>
                <w:rFonts w:hint="eastAsia" w:ascii="宋体" w:hAnsi="宋体" w:eastAsia="宋体" w:cs="宋体"/>
                <w:color w:val="auto"/>
                <w:sz w:val="20"/>
                <w:szCs w:val="20"/>
                <w:highlight w:val="none"/>
              </w:rPr>
              <w:t>具有</w:t>
            </w:r>
            <w:r>
              <w:rPr>
                <w:rFonts w:hint="eastAsia" w:ascii="宋体" w:hAnsi="宋体" w:eastAsia="宋体" w:cs="宋体"/>
                <w:color w:val="auto"/>
                <w:sz w:val="20"/>
                <w:szCs w:val="20"/>
                <w:highlight w:val="none"/>
                <w:lang w:val="en-US" w:eastAsia="zh-CN"/>
              </w:rPr>
              <w:t>二级或以上</w:t>
            </w:r>
            <w:r>
              <w:rPr>
                <w:rFonts w:hint="eastAsia" w:ascii="宋体" w:hAnsi="宋体" w:eastAsia="宋体" w:cs="宋体"/>
                <w:color w:val="auto"/>
                <w:sz w:val="20"/>
                <w:szCs w:val="20"/>
                <w:highlight w:val="none"/>
              </w:rPr>
              <w:t>注册造价工程师执业资格</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土建或安装专业，</w:t>
            </w:r>
            <w:r>
              <w:rPr>
                <w:rFonts w:hint="eastAsia" w:ascii="宋体" w:hAnsi="宋体" w:eastAsia="宋体" w:cs="宋体"/>
                <w:color w:val="auto"/>
                <w:spacing w:val="0"/>
                <w:w w:val="100"/>
                <w:position w:val="0"/>
                <w:sz w:val="20"/>
                <w:szCs w:val="20"/>
                <w:highlight w:val="none"/>
                <w:lang w:eastAsia="zh-CN"/>
              </w:rPr>
              <w:t>注册证书</w:t>
            </w:r>
            <w:r>
              <w:rPr>
                <w:rFonts w:hint="eastAsia" w:ascii="宋体" w:hAnsi="宋体" w:eastAsia="宋体" w:cs="宋体"/>
                <w:color w:val="auto"/>
                <w:sz w:val="20"/>
                <w:szCs w:val="20"/>
                <w:highlight w:val="none"/>
              </w:rPr>
              <w:t>须在有效期内</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p>
          <w:p w14:paraId="5F37103D">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②</w:t>
            </w:r>
            <w:r>
              <w:rPr>
                <w:rFonts w:hint="eastAsia" w:ascii="宋体" w:hAnsi="宋体" w:eastAsia="宋体" w:cs="宋体"/>
                <w:color w:val="auto"/>
                <w:sz w:val="20"/>
                <w:szCs w:val="20"/>
                <w:highlight w:val="none"/>
                <w:lang w:val="en-US" w:eastAsia="zh-CN"/>
              </w:rPr>
              <w:t>造价</w:t>
            </w:r>
            <w:r>
              <w:rPr>
                <w:rFonts w:hint="eastAsia" w:ascii="宋体" w:hAnsi="宋体" w:eastAsia="宋体" w:cs="宋体"/>
                <w:color w:val="auto"/>
                <w:sz w:val="20"/>
                <w:szCs w:val="20"/>
                <w:highlight w:val="none"/>
              </w:rPr>
              <w:t>类</w:t>
            </w:r>
            <w:r>
              <w:rPr>
                <w:rFonts w:hint="eastAsia" w:ascii="宋体" w:hAnsi="宋体" w:eastAsia="宋体" w:cs="宋体"/>
                <w:color w:val="auto"/>
                <w:kern w:val="0"/>
                <w:sz w:val="20"/>
                <w:szCs w:val="20"/>
                <w:highlight w:val="none"/>
              </w:rPr>
              <w:t>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393757D7">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须提供造价工程师注册证书、“全国建筑市场监管公共服务平台（http://jzsc.mohurd.gov.cn）”查询结果截图、职称证书</w:t>
            </w:r>
          </w:p>
        </w:tc>
      </w:tr>
      <w:tr w14:paraId="2798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70148181">
            <w:pPr>
              <w:keepNext w:val="0"/>
              <w:keepLines w:val="0"/>
              <w:pageBreakBefore w:val="0"/>
              <w:kinsoku/>
              <w:bidi w:val="0"/>
              <w:ind w:left="-57" w:leftChars="-27" w:right="-46" w:rightChars="-22"/>
              <w:jc w:val="center"/>
              <w:rPr>
                <w:rFonts w:hint="eastAsia" w:ascii="宋体" w:hAnsi="宋体" w:eastAsia="宋体" w:cs="宋体"/>
                <w:bCs/>
                <w:color w:val="auto"/>
                <w:kern w:val="44"/>
                <w:sz w:val="20"/>
                <w:szCs w:val="20"/>
                <w:highlight w:val="none"/>
              </w:rPr>
            </w:pPr>
            <w:r>
              <w:rPr>
                <w:rFonts w:hint="eastAsia" w:ascii="宋体" w:hAnsi="宋体" w:eastAsia="宋体" w:cs="宋体"/>
                <w:bCs/>
                <w:color w:val="auto"/>
                <w:kern w:val="44"/>
                <w:sz w:val="20"/>
                <w:szCs w:val="20"/>
                <w:highlight w:val="none"/>
              </w:rPr>
              <w:t>6</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01DD954">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装修专业</w:t>
            </w:r>
            <w:r>
              <w:rPr>
                <w:rFonts w:hint="eastAsia" w:ascii="宋体" w:hAnsi="宋体" w:eastAsia="宋体" w:cs="宋体"/>
                <w:color w:val="auto"/>
                <w:kern w:val="0"/>
                <w:sz w:val="20"/>
                <w:szCs w:val="20"/>
                <w:highlight w:val="none"/>
              </w:rPr>
              <w:t>工程师</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4009BB42">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32BEAB9D">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具有建筑装饰施工相关专业中级或以上技术职称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5F4F0B86">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提供职称证书</w:t>
            </w:r>
          </w:p>
        </w:tc>
      </w:tr>
      <w:tr w14:paraId="0DD1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4F79F3E1">
            <w:pPr>
              <w:keepNext w:val="0"/>
              <w:keepLines w:val="0"/>
              <w:pageBreakBefore w:val="0"/>
              <w:kinsoku/>
              <w:bidi w:val="0"/>
              <w:ind w:left="-57" w:leftChars="-27" w:right="-46" w:rightChars="-22"/>
              <w:jc w:val="center"/>
              <w:rPr>
                <w:rFonts w:hint="eastAsia" w:ascii="宋体" w:hAnsi="宋体" w:eastAsia="宋体" w:cs="宋体"/>
                <w:bCs/>
                <w:color w:val="auto"/>
                <w:kern w:val="44"/>
                <w:sz w:val="20"/>
                <w:szCs w:val="20"/>
                <w:highlight w:val="none"/>
              </w:rPr>
            </w:pPr>
            <w:r>
              <w:rPr>
                <w:rFonts w:hint="eastAsia" w:ascii="宋体" w:hAnsi="宋体" w:eastAsia="宋体" w:cs="宋体"/>
                <w:bCs/>
                <w:color w:val="auto"/>
                <w:kern w:val="44"/>
                <w:sz w:val="20"/>
                <w:szCs w:val="20"/>
                <w:highlight w:val="none"/>
                <w:lang w:val="en-US" w:eastAsia="zh-CN"/>
              </w:rPr>
              <w:t>7</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C6A9481">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lang w:eastAsia="zh-CN"/>
              </w:rPr>
            </w:pPr>
            <w:r>
              <w:rPr>
                <w:rFonts w:hint="eastAsia" w:ascii="宋体" w:hAnsi="宋体" w:eastAsia="宋体" w:cs="宋体"/>
                <w:color w:val="auto"/>
                <w:kern w:val="0"/>
                <w:sz w:val="20"/>
                <w:szCs w:val="20"/>
                <w:highlight w:val="none"/>
                <w:lang w:val="en-US" w:eastAsia="zh-CN"/>
              </w:rPr>
              <w:t>安全工程师</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22325C14">
            <w:pPr>
              <w:keepNext w:val="0"/>
              <w:keepLines w:val="0"/>
              <w:pageBreakBefore w:val="0"/>
              <w:kinsoku/>
              <w:bidi w:val="0"/>
              <w:ind w:left="-57" w:leftChars="-27"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5599E3EA">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具有</w:t>
            </w:r>
            <w:r>
              <w:rPr>
                <w:rFonts w:hint="eastAsia" w:ascii="宋体" w:hAnsi="宋体" w:eastAsia="宋体" w:cs="宋体"/>
                <w:color w:val="auto"/>
                <w:kern w:val="0"/>
                <w:sz w:val="20"/>
                <w:szCs w:val="20"/>
                <w:highlight w:val="none"/>
                <w:lang w:val="en-US" w:eastAsia="zh-CN"/>
              </w:rPr>
              <w:t>安全工程或工程安全</w:t>
            </w:r>
            <w:r>
              <w:rPr>
                <w:rFonts w:hint="eastAsia" w:ascii="宋体" w:hAnsi="宋体" w:eastAsia="宋体" w:cs="宋体"/>
                <w:color w:val="auto"/>
                <w:kern w:val="0"/>
                <w:sz w:val="20"/>
                <w:szCs w:val="20"/>
                <w:highlight w:val="none"/>
              </w:rPr>
              <w:t>类相关专业中级或以上技术职称或</w:t>
            </w:r>
            <w:r>
              <w:rPr>
                <w:rFonts w:hint="eastAsia" w:ascii="宋体" w:hAnsi="宋体" w:eastAsia="宋体" w:cs="宋体"/>
                <w:color w:val="auto"/>
                <w:spacing w:val="0"/>
                <w:w w:val="100"/>
                <w:position w:val="0"/>
                <w:sz w:val="20"/>
                <w:szCs w:val="20"/>
                <w:highlight w:val="none"/>
                <w:lang w:eastAsia="zh-CN"/>
              </w:rPr>
              <w:t>建筑施工企业专职安全生产管理人员安全生产考核合格证书（C3）</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01C3D679">
            <w:pPr>
              <w:keepNext w:val="0"/>
              <w:keepLines w:val="0"/>
              <w:pageBreakBefore w:val="0"/>
              <w:kinsoku/>
              <w:bidi w:val="0"/>
              <w:ind w:right="-46" w:rightChars="-22"/>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提供职称证书</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安全培训考核合格证</w:t>
            </w:r>
          </w:p>
        </w:tc>
      </w:tr>
      <w:tr w14:paraId="2681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655CC50D">
            <w:pPr>
              <w:keepNext w:val="0"/>
              <w:keepLines w:val="0"/>
              <w:pageBreakBefore w:val="0"/>
              <w:kinsoku/>
              <w:bidi w:val="0"/>
              <w:ind w:left="-57" w:leftChars="-27" w:right="-46" w:rightChars="-22"/>
              <w:jc w:val="center"/>
              <w:rPr>
                <w:rFonts w:hint="eastAsia" w:ascii="宋体" w:hAnsi="宋体" w:eastAsia="宋体" w:cs="宋体"/>
                <w:bCs/>
                <w:color w:val="auto"/>
                <w:kern w:val="44"/>
                <w:sz w:val="20"/>
                <w:szCs w:val="20"/>
                <w:highlight w:val="none"/>
              </w:rPr>
            </w:pPr>
            <w:r>
              <w:rPr>
                <w:rFonts w:hint="eastAsia" w:ascii="宋体" w:hAnsi="宋体" w:eastAsia="宋体" w:cs="宋体"/>
                <w:bCs/>
                <w:color w:val="auto"/>
                <w:kern w:val="44"/>
                <w:sz w:val="20"/>
                <w:szCs w:val="20"/>
                <w:highlight w:val="none"/>
                <w:lang w:val="en-US" w:eastAsia="zh-CN"/>
              </w:rPr>
              <w:t>8</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372B45D">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color w:val="auto"/>
                <w:kern w:val="0"/>
                <w:sz w:val="20"/>
                <w:szCs w:val="20"/>
                <w:highlight w:val="none"/>
                <w:lang w:val="en-US" w:eastAsia="zh-CN"/>
              </w:rPr>
              <w:t>建筑材料工程师</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6A50D415">
            <w:pPr>
              <w:keepNext w:val="0"/>
              <w:keepLines w:val="0"/>
              <w:pageBreakBefore w:val="0"/>
              <w:kinsoku/>
              <w:bidi w:val="0"/>
              <w:ind w:left="-57" w:leftChars="-27" w:right="-46" w:rightChars="-22"/>
              <w:jc w:val="center"/>
              <w:rPr>
                <w:rFonts w:hint="eastAsia" w:ascii="宋体" w:hAnsi="宋体" w:eastAsia="宋体" w:cs="宋体"/>
                <w:bCs/>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5C980970">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具有</w:t>
            </w:r>
            <w:r>
              <w:rPr>
                <w:rFonts w:hint="eastAsia" w:ascii="宋体" w:hAnsi="宋体" w:eastAsia="宋体" w:cs="宋体"/>
                <w:color w:val="auto"/>
                <w:kern w:val="0"/>
                <w:sz w:val="20"/>
                <w:szCs w:val="20"/>
                <w:highlight w:val="none"/>
                <w:lang w:val="en-US" w:eastAsia="zh-CN"/>
              </w:rPr>
              <w:t>建筑材料</w:t>
            </w:r>
            <w:r>
              <w:rPr>
                <w:rFonts w:hint="eastAsia" w:ascii="宋体" w:hAnsi="宋体" w:eastAsia="宋体" w:cs="宋体"/>
                <w:color w:val="auto"/>
                <w:kern w:val="0"/>
                <w:sz w:val="20"/>
                <w:szCs w:val="20"/>
                <w:highlight w:val="none"/>
              </w:rPr>
              <w:t>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38B7AC4E">
            <w:pPr>
              <w:keepNext w:val="0"/>
              <w:keepLines w:val="0"/>
              <w:pageBreakBefore w:val="0"/>
              <w:kinsoku/>
              <w:bidi w:val="0"/>
              <w:ind w:right="-46" w:rightChars="-2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提供职称证书</w:t>
            </w:r>
          </w:p>
        </w:tc>
      </w:tr>
      <w:tr w14:paraId="2A15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20" w:type="dxa"/>
            <w:gridSpan w:val="5"/>
            <w:tcBorders>
              <w:top w:val="single" w:color="auto" w:sz="4" w:space="0"/>
              <w:left w:val="single" w:color="auto" w:sz="4" w:space="0"/>
              <w:bottom w:val="single" w:color="auto" w:sz="4" w:space="0"/>
              <w:right w:val="single" w:color="auto" w:sz="4" w:space="0"/>
            </w:tcBorders>
            <w:noWrap w:val="0"/>
            <w:vAlign w:val="center"/>
          </w:tcPr>
          <w:p w14:paraId="08032D26">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设计团队</w:t>
            </w:r>
          </w:p>
        </w:tc>
      </w:tr>
      <w:tr w14:paraId="0637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29C3EFE2">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1</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90FB093">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设计负责人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618B2BBB">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0A107D71">
            <w:pPr>
              <w:keepNext w:val="0"/>
              <w:keepLines w:val="0"/>
              <w:pageBreakBefore w:val="0"/>
              <w:kinsoku/>
              <w:bidi w:val="0"/>
              <w:ind w:right="-46" w:rightChars="-22"/>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符合招标公告要求</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78B6E9F0">
            <w:pPr>
              <w:keepNext w:val="0"/>
              <w:keepLines w:val="0"/>
              <w:pageBreakBefore w:val="0"/>
              <w:kinsoku/>
              <w:bidi w:val="0"/>
              <w:ind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按招标公告要求提供</w:t>
            </w:r>
          </w:p>
        </w:tc>
      </w:tr>
      <w:tr w14:paraId="25D7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7BE696ED">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2</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D94D69">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建筑负责人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28E2409E">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4E9ACA30">
            <w:pPr>
              <w:keepNext w:val="0"/>
              <w:keepLines w:val="0"/>
              <w:pageBreakBefore w:val="0"/>
              <w:kinsoku/>
              <w:bidi w:val="0"/>
              <w:ind w:right="-46" w:rightChars="-22"/>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具有建筑工程相关专业中级或</w:t>
            </w:r>
            <w:r>
              <w:rPr>
                <w:rFonts w:hint="eastAsia" w:ascii="宋体" w:hAnsi="宋体" w:eastAsia="宋体" w:cs="宋体"/>
                <w:color w:val="auto"/>
                <w:kern w:val="0"/>
                <w:sz w:val="20"/>
                <w:szCs w:val="20"/>
                <w:highlight w:val="none"/>
              </w:rPr>
              <w:t>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54738D3A">
            <w:pPr>
              <w:keepNext w:val="0"/>
              <w:keepLines w:val="0"/>
              <w:pageBreakBefore w:val="0"/>
              <w:kinsoku/>
              <w:bidi w:val="0"/>
              <w:jc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专业以职称证或执业资格证或注册证或毕业证书[大学专科（或以上）学历]中的专业名称（含相近专业）为准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需</w:t>
            </w:r>
            <w:r>
              <w:rPr>
                <w:rFonts w:hint="eastAsia" w:ascii="宋体" w:hAnsi="宋体" w:eastAsia="宋体" w:cs="宋体"/>
                <w:color w:val="auto"/>
                <w:kern w:val="0"/>
                <w:sz w:val="20"/>
                <w:szCs w:val="20"/>
                <w:highlight w:val="none"/>
              </w:rPr>
              <w:t>提供职称证</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执业资格证</w:t>
            </w:r>
            <w:r>
              <w:rPr>
                <w:rFonts w:hint="eastAsia" w:ascii="宋体" w:hAnsi="宋体" w:eastAsia="宋体" w:cs="宋体"/>
                <w:color w:val="auto"/>
                <w:kern w:val="0"/>
                <w:sz w:val="20"/>
                <w:szCs w:val="20"/>
                <w:highlight w:val="none"/>
                <w:lang w:val="en-US" w:eastAsia="zh-CN"/>
              </w:rPr>
              <w:t>（如有）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注册证</w:t>
            </w:r>
            <w:r>
              <w:rPr>
                <w:rFonts w:hint="eastAsia" w:ascii="宋体" w:hAnsi="宋体" w:eastAsia="宋体" w:cs="宋体"/>
                <w:color w:val="auto"/>
                <w:kern w:val="0"/>
                <w:sz w:val="20"/>
                <w:szCs w:val="20"/>
                <w:highlight w:val="none"/>
                <w:lang w:val="en-US" w:eastAsia="zh-CN"/>
              </w:rPr>
              <w:t>（如有）、毕业证书（如有）</w:t>
            </w:r>
          </w:p>
        </w:tc>
      </w:tr>
      <w:tr w14:paraId="5D6A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6183525F">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FD0616C">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暖通负责人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707C16">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122A2770">
            <w:pPr>
              <w:keepNext w:val="0"/>
              <w:keepLines w:val="0"/>
              <w:pageBreakBefore w:val="0"/>
              <w:kinsoku/>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具有暖通相关专业中级或以上技术职称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5CC2CC23">
            <w:pPr>
              <w:keepNext w:val="0"/>
              <w:keepLines w:val="0"/>
              <w:pageBreakBefore w:val="0"/>
              <w:kinsoku/>
              <w:bidi w:val="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专业以职称证或执业资格证或注册证或毕业证书[大学专科（或以上）学历]中的专业名称（含相近专业）为准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需</w:t>
            </w:r>
            <w:r>
              <w:rPr>
                <w:rFonts w:hint="eastAsia" w:ascii="宋体" w:hAnsi="宋体" w:eastAsia="宋体" w:cs="宋体"/>
                <w:color w:val="auto"/>
                <w:kern w:val="0"/>
                <w:sz w:val="20"/>
                <w:szCs w:val="20"/>
                <w:highlight w:val="none"/>
              </w:rPr>
              <w:t>提供职称证</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执业资格证</w:t>
            </w:r>
            <w:r>
              <w:rPr>
                <w:rFonts w:hint="eastAsia" w:ascii="宋体" w:hAnsi="宋体" w:eastAsia="宋体" w:cs="宋体"/>
                <w:color w:val="auto"/>
                <w:kern w:val="0"/>
                <w:sz w:val="20"/>
                <w:szCs w:val="20"/>
                <w:highlight w:val="none"/>
                <w:lang w:val="en-US" w:eastAsia="zh-CN"/>
              </w:rPr>
              <w:t>（如有）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注册证</w:t>
            </w:r>
            <w:r>
              <w:rPr>
                <w:rFonts w:hint="eastAsia" w:ascii="宋体" w:hAnsi="宋体" w:eastAsia="宋体" w:cs="宋体"/>
                <w:color w:val="auto"/>
                <w:kern w:val="0"/>
                <w:sz w:val="20"/>
                <w:szCs w:val="20"/>
                <w:highlight w:val="none"/>
                <w:lang w:val="en-US" w:eastAsia="zh-CN"/>
              </w:rPr>
              <w:t>（如有）、毕业证书（如有）</w:t>
            </w:r>
          </w:p>
        </w:tc>
      </w:tr>
      <w:tr w14:paraId="0340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26EE15C1">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4</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3F88FEB">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电气负责人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26F1218C">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1593B5E7">
            <w:pPr>
              <w:keepNext w:val="0"/>
              <w:keepLines w:val="0"/>
              <w:pageBreakBefore w:val="0"/>
              <w:kinsoku/>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具有电气相关专业中级或以上技术职称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0CD31EA8">
            <w:pPr>
              <w:keepNext w:val="0"/>
              <w:keepLines w:val="0"/>
              <w:pageBreakBefore w:val="0"/>
              <w:kinsoku/>
              <w:bidi w:val="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专业以职称证或执业资格证或注册证或毕业证书[大学专科（或以上）学历]中的专业名称（含相近专业）为准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需</w:t>
            </w:r>
            <w:r>
              <w:rPr>
                <w:rFonts w:hint="eastAsia" w:ascii="宋体" w:hAnsi="宋体" w:eastAsia="宋体" w:cs="宋体"/>
                <w:color w:val="auto"/>
                <w:kern w:val="0"/>
                <w:sz w:val="20"/>
                <w:szCs w:val="20"/>
                <w:highlight w:val="none"/>
              </w:rPr>
              <w:t>提供职称证</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执业资格证</w:t>
            </w:r>
            <w:r>
              <w:rPr>
                <w:rFonts w:hint="eastAsia" w:ascii="宋体" w:hAnsi="宋体" w:eastAsia="宋体" w:cs="宋体"/>
                <w:color w:val="auto"/>
                <w:kern w:val="0"/>
                <w:sz w:val="20"/>
                <w:szCs w:val="20"/>
                <w:highlight w:val="none"/>
                <w:lang w:val="en-US" w:eastAsia="zh-CN"/>
              </w:rPr>
              <w:t>（如有）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注册证</w:t>
            </w:r>
            <w:r>
              <w:rPr>
                <w:rFonts w:hint="eastAsia" w:ascii="宋体" w:hAnsi="宋体" w:eastAsia="宋体" w:cs="宋体"/>
                <w:color w:val="auto"/>
                <w:kern w:val="0"/>
                <w:sz w:val="20"/>
                <w:szCs w:val="20"/>
                <w:highlight w:val="none"/>
                <w:lang w:val="en-US" w:eastAsia="zh-CN"/>
              </w:rPr>
              <w:t>（如有）、毕业证书（如有）</w:t>
            </w:r>
          </w:p>
        </w:tc>
      </w:tr>
      <w:tr w14:paraId="0883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054F736F">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5</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D3441B8">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给排水负责人</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1A38E78A">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1D481CF8">
            <w:pPr>
              <w:keepNext w:val="0"/>
              <w:keepLines w:val="0"/>
              <w:pageBreakBefore w:val="0"/>
              <w:kinsoku/>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具有给排水相关专业中级或以上技术职称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2D08DD85">
            <w:pPr>
              <w:keepNext w:val="0"/>
              <w:keepLines w:val="0"/>
              <w:pageBreakBefore w:val="0"/>
              <w:kinsoku/>
              <w:bidi w:val="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专业以职称证或执业资格证或注册证或毕业证书[大学专科（或以上）学历]中的专业名称（含相近专业）为准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需</w:t>
            </w:r>
            <w:r>
              <w:rPr>
                <w:rFonts w:hint="eastAsia" w:ascii="宋体" w:hAnsi="宋体" w:eastAsia="宋体" w:cs="宋体"/>
                <w:color w:val="auto"/>
                <w:kern w:val="0"/>
                <w:sz w:val="20"/>
                <w:szCs w:val="20"/>
                <w:highlight w:val="none"/>
              </w:rPr>
              <w:t>提供职称证</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执业资格证</w:t>
            </w:r>
            <w:r>
              <w:rPr>
                <w:rFonts w:hint="eastAsia" w:ascii="宋体" w:hAnsi="宋体" w:eastAsia="宋体" w:cs="宋体"/>
                <w:color w:val="auto"/>
                <w:kern w:val="0"/>
                <w:sz w:val="20"/>
                <w:szCs w:val="20"/>
                <w:highlight w:val="none"/>
                <w:lang w:val="en-US" w:eastAsia="zh-CN"/>
              </w:rPr>
              <w:t>（如有）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注册证</w:t>
            </w:r>
            <w:r>
              <w:rPr>
                <w:rFonts w:hint="eastAsia" w:ascii="宋体" w:hAnsi="宋体" w:eastAsia="宋体" w:cs="宋体"/>
                <w:color w:val="auto"/>
                <w:kern w:val="0"/>
                <w:sz w:val="20"/>
                <w:szCs w:val="20"/>
                <w:highlight w:val="none"/>
                <w:lang w:val="en-US" w:eastAsia="zh-CN"/>
              </w:rPr>
              <w:t>（如有）、毕业证书（如有）</w:t>
            </w:r>
          </w:p>
        </w:tc>
      </w:tr>
      <w:tr w14:paraId="6ECF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14:paraId="692DAC88">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6</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1D8C469">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室内装饰设计师</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574999A3">
            <w:pPr>
              <w:keepNext w:val="0"/>
              <w:keepLines w:val="0"/>
              <w:pageBreakBefore w:val="0"/>
              <w:kinsoku/>
              <w:bidi w:val="0"/>
              <w:ind w:left="-57" w:leftChars="-27" w:right="-46" w:rightChars="-22"/>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人</w:t>
            </w:r>
          </w:p>
        </w:tc>
        <w:tc>
          <w:tcPr>
            <w:tcW w:w="5329" w:type="dxa"/>
            <w:tcBorders>
              <w:top w:val="single" w:color="auto" w:sz="4" w:space="0"/>
              <w:left w:val="single" w:color="auto" w:sz="4" w:space="0"/>
              <w:bottom w:val="single" w:color="auto" w:sz="4" w:space="0"/>
              <w:right w:val="single" w:color="auto" w:sz="4" w:space="0"/>
            </w:tcBorders>
            <w:noWrap w:val="0"/>
            <w:vAlign w:val="center"/>
          </w:tcPr>
          <w:p w14:paraId="5393221C">
            <w:pPr>
              <w:keepNext w:val="0"/>
              <w:keepLines w:val="0"/>
              <w:pageBreakBefore w:val="0"/>
              <w:kinsoku/>
              <w:bidi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具有室内装饰设计专业中级或以上技术职称</w:t>
            </w:r>
          </w:p>
        </w:tc>
        <w:tc>
          <w:tcPr>
            <w:tcW w:w="5855" w:type="dxa"/>
            <w:tcBorders>
              <w:top w:val="single" w:color="auto" w:sz="4" w:space="0"/>
              <w:left w:val="single" w:color="auto" w:sz="4" w:space="0"/>
              <w:bottom w:val="single" w:color="auto" w:sz="4" w:space="0"/>
              <w:right w:val="single" w:color="auto" w:sz="4" w:space="0"/>
            </w:tcBorders>
            <w:noWrap w:val="0"/>
            <w:vAlign w:val="center"/>
          </w:tcPr>
          <w:p w14:paraId="2755A47D">
            <w:pPr>
              <w:keepNext w:val="0"/>
              <w:keepLines w:val="0"/>
              <w:pageBreakBefore w:val="0"/>
              <w:kinsoku/>
              <w:bidi w:val="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专业以职称证或执业资格证或注册证或毕业证书[大学专科（或以上）学历]中的专业名称（含相近专业）为准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需</w:t>
            </w:r>
            <w:r>
              <w:rPr>
                <w:rFonts w:hint="eastAsia" w:ascii="宋体" w:hAnsi="宋体" w:eastAsia="宋体" w:cs="宋体"/>
                <w:color w:val="auto"/>
                <w:kern w:val="0"/>
                <w:sz w:val="20"/>
                <w:szCs w:val="20"/>
                <w:highlight w:val="none"/>
              </w:rPr>
              <w:t>提供职称证</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执业资格证</w:t>
            </w:r>
            <w:r>
              <w:rPr>
                <w:rFonts w:hint="eastAsia" w:ascii="宋体" w:hAnsi="宋体" w:eastAsia="宋体" w:cs="宋体"/>
                <w:color w:val="auto"/>
                <w:kern w:val="0"/>
                <w:sz w:val="20"/>
                <w:szCs w:val="20"/>
                <w:highlight w:val="none"/>
                <w:lang w:val="en-US" w:eastAsia="zh-CN"/>
              </w:rPr>
              <w:t>（如有）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注册证</w:t>
            </w:r>
            <w:r>
              <w:rPr>
                <w:rFonts w:hint="eastAsia" w:ascii="宋体" w:hAnsi="宋体" w:eastAsia="宋体" w:cs="宋体"/>
                <w:color w:val="auto"/>
                <w:kern w:val="0"/>
                <w:sz w:val="20"/>
                <w:szCs w:val="20"/>
                <w:highlight w:val="none"/>
                <w:lang w:val="en-US" w:eastAsia="zh-CN"/>
              </w:rPr>
              <w:t>（如有）、毕业证书（如有）</w:t>
            </w:r>
          </w:p>
        </w:tc>
      </w:tr>
    </w:tbl>
    <w:p w14:paraId="541D1DA4">
      <w:pPr>
        <w:keepNext w:val="0"/>
        <w:keepLines w:val="0"/>
        <w:pageBreakBefore w:val="0"/>
        <w:widowControl/>
        <w:kinsoku/>
        <w:wordWrap/>
        <w:overflowPunct/>
        <w:topLinePunct w:val="0"/>
        <w:autoSpaceDE w:val="0"/>
        <w:autoSpaceDN w:val="0"/>
        <w:bidi w:val="0"/>
        <w:adjustRightInd w:val="0"/>
        <w:snapToGrid w:val="0"/>
        <w:spacing w:line="360" w:lineRule="auto"/>
        <w:ind w:right="-46" w:rightChars="-22" w:firstLine="0" w:firstLineChars="0"/>
        <w:jc w:val="left"/>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kern w:val="0"/>
          <w:sz w:val="20"/>
          <w:szCs w:val="20"/>
          <w:highlight w:val="none"/>
        </w:rPr>
        <w:t>注：</w:t>
      </w: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以上人员一人一岗，不可兼职，</w:t>
      </w:r>
      <w:r>
        <w:rPr>
          <w:rFonts w:hint="eastAsia" w:ascii="宋体" w:hAnsi="宋体" w:eastAsia="宋体" w:cs="宋体"/>
          <w:color w:val="auto"/>
          <w:spacing w:val="0"/>
          <w:w w:val="100"/>
          <w:position w:val="0"/>
          <w:sz w:val="20"/>
          <w:szCs w:val="20"/>
          <w:highlight w:val="none"/>
          <w:lang w:eastAsia="zh-CN"/>
        </w:rPr>
        <w:t>投标人（若为联合体，指全体成员）</w:t>
      </w:r>
      <w:r>
        <w:rPr>
          <w:rFonts w:hint="eastAsia" w:ascii="宋体" w:hAnsi="宋体" w:eastAsia="宋体" w:cs="宋体"/>
          <w:color w:val="auto"/>
          <w:kern w:val="0"/>
          <w:sz w:val="20"/>
          <w:szCs w:val="20"/>
          <w:highlight w:val="none"/>
        </w:rPr>
        <w:t>须同时提供身份证、职称证书</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执业资格证书（如有）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注册证书</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如有</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、毕业证书（如有）</w:t>
      </w:r>
      <w:r>
        <w:rPr>
          <w:rFonts w:hint="eastAsia" w:ascii="宋体" w:hAnsi="宋体" w:eastAsia="宋体" w:cs="宋体"/>
          <w:color w:val="auto"/>
          <w:kern w:val="0"/>
          <w:sz w:val="20"/>
          <w:szCs w:val="20"/>
          <w:highlight w:val="none"/>
        </w:rPr>
        <w:t>和投入人员有效的社保证明等扫描件。</w:t>
      </w:r>
    </w:p>
    <w:p w14:paraId="0C0B145C">
      <w:pPr>
        <w:keepNext w:val="0"/>
        <w:keepLines w:val="0"/>
        <w:pageBreakBefore w:val="0"/>
        <w:widowControl/>
        <w:kinsoku/>
        <w:wordWrap/>
        <w:overflowPunct/>
        <w:topLinePunct w:val="0"/>
        <w:autoSpaceDE w:val="0"/>
        <w:autoSpaceDN w:val="0"/>
        <w:bidi w:val="0"/>
        <w:adjustRightInd w:val="0"/>
        <w:snapToGrid w:val="0"/>
        <w:spacing w:line="360" w:lineRule="auto"/>
        <w:ind w:right="-46" w:rightChars="-22" w:firstLine="400" w:firstLineChars="200"/>
        <w:jc w:val="left"/>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2、</w:t>
      </w:r>
      <w:r>
        <w:rPr>
          <w:rFonts w:hint="eastAsia" w:ascii="宋体" w:hAnsi="宋体" w:eastAsia="宋体" w:cs="宋体"/>
          <w:color w:val="auto"/>
          <w:spacing w:val="0"/>
          <w:w w:val="100"/>
          <w:position w:val="0"/>
          <w:sz w:val="20"/>
          <w:szCs w:val="20"/>
          <w:highlight w:val="none"/>
          <w:lang w:eastAsia="zh-CN"/>
        </w:rPr>
        <w:t>投标人应同时提供上表中的人员自2025年6月份（含6月份）以来任意一个月份在本单位（不含投标人的子公司，含分公司或分支机构）购买的社保证明（包括社会保险个人缴费证明或社会保险个人参保证明或电子税务局申报缴款个人明细查询等）扫描件；因改制或重组的企业人员社保由上级主管部门缴纳的，需由上级主管部门出具证明说明。不符合条件或无提交相关资料的不计分（本表不作为废标条款）。</w:t>
      </w:r>
    </w:p>
    <w:p w14:paraId="18F73FD2">
      <w:pPr>
        <w:keepNext w:val="0"/>
        <w:keepLines w:val="0"/>
        <w:pageBreakBefore w:val="0"/>
        <w:kinsoku/>
        <w:bidi w:val="0"/>
        <w:rPr>
          <w:rFonts w:hint="eastAsia" w:ascii="宋体" w:hAnsi="宋体" w:eastAsia="宋体" w:cs="宋体"/>
          <w:b/>
          <w:bCs/>
          <w:color w:val="auto"/>
          <w:spacing w:val="0"/>
          <w:w w:val="100"/>
          <w:position w:val="0"/>
          <w:sz w:val="30"/>
          <w:szCs w:val="30"/>
          <w:highlight w:val="none"/>
          <w:lang w:eastAsia="zh-CN"/>
        </w:rPr>
      </w:pPr>
      <w:r>
        <w:rPr>
          <w:rFonts w:hint="eastAsia" w:ascii="宋体" w:hAnsi="宋体" w:eastAsia="宋体" w:cs="宋体"/>
          <w:b/>
          <w:bCs/>
          <w:color w:val="auto"/>
          <w:spacing w:val="0"/>
          <w:w w:val="100"/>
          <w:position w:val="0"/>
          <w:sz w:val="30"/>
          <w:szCs w:val="30"/>
          <w:highlight w:val="none"/>
          <w:lang w:eastAsia="zh-CN"/>
        </w:rPr>
        <w:br w:type="page"/>
      </w:r>
    </w:p>
    <w:p w14:paraId="475FC913">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301" w:name="_Toc2907"/>
      <w:bookmarkStart w:id="302" w:name="_Toc6985"/>
      <w:bookmarkStart w:id="303" w:name="_Toc30252"/>
      <w:bookmarkStart w:id="304" w:name="_Toc8050"/>
      <w:bookmarkStart w:id="305" w:name="_Toc32740"/>
      <w:r>
        <w:rPr>
          <w:rFonts w:hint="eastAsia" w:ascii="宋体" w:hAnsi="宋体" w:eastAsia="宋体" w:cs="宋体"/>
          <w:b/>
          <w:bCs/>
          <w:color w:val="auto"/>
          <w:spacing w:val="0"/>
          <w:w w:val="100"/>
          <w:position w:val="0"/>
          <w:sz w:val="30"/>
          <w:szCs w:val="30"/>
          <w:highlight w:val="none"/>
          <w:lang w:eastAsia="zh-CN"/>
        </w:rPr>
        <w:t>附表8：定标阶段答辩因素详细审查评分表</w:t>
      </w:r>
      <w:bookmarkEnd w:id="301"/>
      <w:bookmarkEnd w:id="302"/>
      <w:bookmarkEnd w:id="303"/>
      <w:bookmarkEnd w:id="304"/>
      <w:bookmarkEnd w:id="305"/>
    </w:p>
    <w:p w14:paraId="1CF3AD51">
      <w:pPr>
        <w:keepNext w:val="0"/>
        <w:keepLines w:val="0"/>
        <w:pageBreakBefore w:val="0"/>
        <w:widowControl/>
        <w:kinsoku/>
        <w:wordWrap/>
        <w:overflowPunct/>
        <w:topLinePunct w:val="0"/>
        <w:autoSpaceDE w:val="0"/>
        <w:autoSpaceDN w:val="0"/>
        <w:bidi w:val="0"/>
        <w:adjustRightInd w:val="0"/>
        <w:snapToGrid w:val="0"/>
        <w:spacing w:before="0" w:line="240" w:lineRule="auto"/>
        <w:jc w:val="center"/>
        <w:textAlignment w:val="baseline"/>
        <w:outlineLvl w:val="9"/>
        <w:rPr>
          <w:rFonts w:ascii="宋体" w:hAnsi="宋体" w:eastAsia="宋体" w:cs="宋体"/>
          <w:b/>
          <w:bCs/>
          <w:color w:val="auto"/>
          <w:spacing w:val="0"/>
          <w:w w:val="100"/>
          <w:position w:val="0"/>
          <w:sz w:val="28"/>
          <w:szCs w:val="28"/>
          <w:highlight w:val="none"/>
          <w:lang w:eastAsia="zh-CN"/>
        </w:rPr>
      </w:pPr>
      <w:r>
        <w:rPr>
          <w:rFonts w:hint="eastAsia" w:ascii="宋体" w:hAnsi="宋体" w:eastAsia="宋体" w:cs="宋体"/>
          <w:b/>
          <w:bCs/>
          <w:color w:val="auto"/>
          <w:spacing w:val="0"/>
          <w:w w:val="100"/>
          <w:position w:val="0"/>
          <w:sz w:val="28"/>
          <w:szCs w:val="28"/>
          <w:highlight w:val="none"/>
          <w:lang w:eastAsia="zh-CN"/>
        </w:rPr>
        <w:t>定标阶段答辩因素详细审查评分表</w:t>
      </w:r>
    </w:p>
    <w:p w14:paraId="4B4CC960">
      <w:pPr>
        <w:keepNext w:val="0"/>
        <w:keepLines w:val="0"/>
        <w:pageBreakBefore w:val="0"/>
        <w:kinsoku/>
        <w:bidi w:val="0"/>
        <w:spacing w:before="189" w:line="228" w:lineRule="auto"/>
        <w:ind w:left="107"/>
        <w:rPr>
          <w:rFonts w:ascii="宋体" w:hAnsi="宋体" w:eastAsia="宋体" w:cs="宋体"/>
          <w:b/>
          <w:bCs/>
          <w:color w:val="auto"/>
          <w:spacing w:val="0"/>
          <w:w w:val="100"/>
          <w:position w:val="0"/>
          <w:sz w:val="20"/>
          <w:szCs w:val="20"/>
          <w:highlight w:val="none"/>
        </w:rPr>
      </w:pPr>
      <w:r>
        <w:rPr>
          <w:rFonts w:ascii="宋体" w:hAnsi="宋体" w:eastAsia="宋体" w:cs="宋体"/>
          <w:b/>
          <w:bCs/>
          <w:color w:val="auto"/>
          <w:spacing w:val="0"/>
          <w:w w:val="100"/>
          <w:position w:val="0"/>
          <w:sz w:val="20"/>
          <w:szCs w:val="20"/>
          <w:highlight w:val="none"/>
        </w:rPr>
        <w:t>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833"/>
        <w:gridCol w:w="10829"/>
      </w:tblGrid>
      <w:tr w14:paraId="7573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58" w:type="dxa"/>
            <w:vAlign w:val="center"/>
          </w:tcPr>
          <w:p w14:paraId="5397D42F">
            <w:pPr>
              <w:keepNext w:val="0"/>
              <w:keepLines w:val="0"/>
              <w:pageBreakBefore w:val="0"/>
              <w:widowControl w:val="0"/>
              <w:kinsoku/>
              <w:bidi w:val="0"/>
              <w:jc w:val="center"/>
              <w:rPr>
                <w:color w:val="auto"/>
                <w:highlight w:val="none"/>
              </w:rPr>
            </w:pPr>
            <w:r>
              <w:rPr>
                <w:color w:val="auto"/>
                <w:highlight w:val="none"/>
              </w:rPr>
              <w:t>评分内容</w:t>
            </w:r>
          </w:p>
        </w:tc>
        <w:tc>
          <w:tcPr>
            <w:tcW w:w="1833" w:type="dxa"/>
            <w:vAlign w:val="center"/>
          </w:tcPr>
          <w:p w14:paraId="39A40E1A">
            <w:pPr>
              <w:keepNext w:val="0"/>
              <w:keepLines w:val="0"/>
              <w:pageBreakBefore w:val="0"/>
              <w:widowControl w:val="0"/>
              <w:kinsoku/>
              <w:bidi w:val="0"/>
              <w:jc w:val="center"/>
              <w:rPr>
                <w:color w:val="auto"/>
                <w:highlight w:val="none"/>
              </w:rPr>
            </w:pPr>
            <w:r>
              <w:rPr>
                <w:color w:val="auto"/>
                <w:spacing w:val="0"/>
                <w:w w:val="100"/>
                <w:position w:val="0"/>
                <w:highlight w:val="none"/>
              </w:rPr>
              <w:t>分值</w:t>
            </w:r>
          </w:p>
        </w:tc>
        <w:tc>
          <w:tcPr>
            <w:tcW w:w="10829" w:type="dxa"/>
            <w:vAlign w:val="center"/>
          </w:tcPr>
          <w:p w14:paraId="5835C6F8">
            <w:pPr>
              <w:keepNext w:val="0"/>
              <w:keepLines w:val="0"/>
              <w:pageBreakBefore w:val="0"/>
              <w:widowControl w:val="0"/>
              <w:kinsoku/>
              <w:bidi w:val="0"/>
              <w:jc w:val="center"/>
              <w:rPr>
                <w:color w:val="auto"/>
                <w:highlight w:val="none"/>
              </w:rPr>
            </w:pPr>
            <w:r>
              <w:rPr>
                <w:color w:val="auto"/>
                <w:spacing w:val="0"/>
                <w:w w:val="100"/>
                <w:position w:val="0"/>
                <w:highlight w:val="none"/>
              </w:rPr>
              <w:t>评审标准</w:t>
            </w:r>
          </w:p>
        </w:tc>
      </w:tr>
      <w:tr w14:paraId="50A9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1558" w:type="dxa"/>
            <w:vAlign w:val="center"/>
          </w:tcPr>
          <w:p w14:paraId="540E72D0">
            <w:pPr>
              <w:keepNext w:val="0"/>
              <w:keepLines w:val="0"/>
              <w:pageBreakBefore w:val="0"/>
              <w:widowControl w:val="0"/>
              <w:kinsoku/>
              <w:bidi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答辩因素</w:t>
            </w:r>
          </w:p>
        </w:tc>
        <w:tc>
          <w:tcPr>
            <w:tcW w:w="1833" w:type="dxa"/>
            <w:vAlign w:val="center"/>
          </w:tcPr>
          <w:p w14:paraId="247191BA">
            <w:pPr>
              <w:keepNext w:val="0"/>
              <w:keepLines w:val="0"/>
              <w:pageBreakBefore w:val="0"/>
              <w:widowControl w:val="0"/>
              <w:kinsoku/>
              <w:bidi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10829" w:type="dxa"/>
            <w:vAlign w:val="center"/>
          </w:tcPr>
          <w:p w14:paraId="348D2A7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项目答辩内容</w:t>
            </w:r>
          </w:p>
          <w:p w14:paraId="50763A95">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由投标人拟投入的项目负责人或技术负责人</w:t>
            </w:r>
            <w:r>
              <w:rPr>
                <w:rFonts w:hint="eastAsia" w:ascii="宋体" w:hAnsi="宋体" w:eastAsia="宋体" w:cs="宋体"/>
                <w:color w:val="auto"/>
                <w:sz w:val="20"/>
                <w:szCs w:val="20"/>
                <w:highlight w:val="none"/>
                <w:lang w:val="en-US" w:eastAsia="zh-CN"/>
              </w:rPr>
              <w:t>或公司副总级别以上人员</w:t>
            </w:r>
            <w:r>
              <w:rPr>
                <w:rFonts w:hint="eastAsia" w:ascii="宋体" w:hAnsi="宋体" w:eastAsia="宋体" w:cs="宋体"/>
                <w:color w:val="auto"/>
                <w:sz w:val="20"/>
                <w:szCs w:val="20"/>
                <w:highlight w:val="none"/>
              </w:rPr>
              <w:t>出席答辩会议，项目答辩内容如下：</w:t>
            </w:r>
          </w:p>
          <w:p w14:paraId="123F4C8B">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优：</w:t>
            </w:r>
            <w:r>
              <w:rPr>
                <w:rFonts w:hint="eastAsia" w:ascii="宋体" w:hAnsi="宋体" w:eastAsia="宋体" w:cs="宋体"/>
                <w:color w:val="auto"/>
                <w:sz w:val="20"/>
                <w:szCs w:val="20"/>
                <w:highlight w:val="none"/>
              </w:rPr>
              <w:t>对项目情况认识清晰，对项目的重点、难点理解到位，应对措施合理健全，对工程质量和工期、安全的保证措施合理可行，能准确、具体的回答定标委员会所提出的问题，得</w:t>
            </w:r>
            <w:r>
              <w:rPr>
                <w:rFonts w:hint="eastAsia" w:ascii="宋体" w:hAnsi="宋体" w:eastAsia="宋体" w:cs="宋体"/>
                <w:b w:val="0"/>
                <w:bCs w:val="0"/>
                <w:color w:val="auto"/>
                <w:sz w:val="20"/>
                <w:szCs w:val="20"/>
                <w:highlight w:val="none"/>
              </w:rPr>
              <w:t>（</w:t>
            </w:r>
            <w:r>
              <w:rPr>
                <w:rFonts w:hint="eastAsia" w:ascii="宋体" w:hAnsi="宋体" w:eastAsia="宋体" w:cs="宋体"/>
                <w:b w:val="0"/>
                <w:bCs w:val="0"/>
                <w:color w:val="auto"/>
                <w:sz w:val="20"/>
                <w:szCs w:val="20"/>
                <w:highlight w:val="none"/>
                <w:lang w:val="en-US" w:eastAsia="zh-CN"/>
              </w:rPr>
              <w:t>75</w:t>
            </w:r>
            <w:r>
              <w:rPr>
                <w:rFonts w:hint="eastAsia" w:ascii="宋体" w:hAnsi="宋体" w:eastAsia="宋体" w:cs="宋体"/>
                <w:b w:val="0"/>
                <w:bCs w:val="0"/>
                <w:color w:val="auto"/>
                <w:sz w:val="20"/>
                <w:szCs w:val="20"/>
                <w:highlight w:val="none"/>
              </w:rPr>
              <w:t>-</w:t>
            </w:r>
            <w:r>
              <w:rPr>
                <w:rFonts w:hint="eastAsia" w:ascii="宋体" w:hAnsi="宋体" w:eastAsia="宋体" w:cs="宋体"/>
                <w:b w:val="0"/>
                <w:bCs w:val="0"/>
                <w:color w:val="auto"/>
                <w:sz w:val="20"/>
                <w:szCs w:val="20"/>
                <w:highlight w:val="none"/>
                <w:lang w:val="en-US" w:eastAsia="zh-CN"/>
              </w:rPr>
              <w:t>100</w:t>
            </w:r>
            <w:r>
              <w:rPr>
                <w:rFonts w:hint="eastAsia" w:ascii="宋体" w:hAnsi="宋体" w:eastAsia="宋体" w:cs="宋体"/>
                <w:b w:val="0"/>
                <w:bCs w:val="0"/>
                <w:color w:val="auto"/>
                <w:sz w:val="20"/>
                <w:szCs w:val="20"/>
                <w:highlight w:val="none"/>
              </w:rPr>
              <w:t>]</w:t>
            </w:r>
            <w:r>
              <w:rPr>
                <w:rFonts w:hint="eastAsia" w:ascii="宋体" w:hAnsi="宋体" w:eastAsia="宋体" w:cs="宋体"/>
                <w:color w:val="auto"/>
                <w:sz w:val="20"/>
                <w:szCs w:val="20"/>
                <w:highlight w:val="none"/>
              </w:rPr>
              <w:t>分；</w:t>
            </w:r>
          </w:p>
          <w:p w14:paraId="1645AE1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良：</w:t>
            </w:r>
            <w:r>
              <w:rPr>
                <w:rFonts w:hint="eastAsia" w:ascii="宋体" w:hAnsi="宋体" w:eastAsia="宋体" w:cs="宋体"/>
                <w:color w:val="auto"/>
                <w:sz w:val="20"/>
                <w:szCs w:val="20"/>
                <w:highlight w:val="none"/>
              </w:rPr>
              <w:t>对项目情况认识比较清晰，对项目的重点、难点理解比较到位，应对措施比较合理，对工程质量和工期、安全的保证措施比较合理可行，能较准确的回答定标委员会所提出的问题，得（</w:t>
            </w:r>
            <w:r>
              <w:rPr>
                <w:rFonts w:hint="eastAsia" w:ascii="宋体" w:hAnsi="宋体" w:eastAsia="宋体" w:cs="宋体"/>
                <w:color w:val="auto"/>
                <w:sz w:val="20"/>
                <w:szCs w:val="20"/>
                <w:highlight w:val="none"/>
                <w:lang w:val="en-US" w:eastAsia="zh-CN"/>
              </w:rPr>
              <w:t>50</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75</w:t>
            </w:r>
            <w:r>
              <w:rPr>
                <w:rFonts w:hint="eastAsia" w:ascii="宋体" w:hAnsi="宋体" w:eastAsia="宋体" w:cs="宋体"/>
                <w:color w:val="auto"/>
                <w:sz w:val="20"/>
                <w:szCs w:val="20"/>
                <w:highlight w:val="none"/>
              </w:rPr>
              <w:t>]分；</w:t>
            </w:r>
          </w:p>
          <w:p w14:paraId="45A504FE">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中：</w:t>
            </w:r>
            <w:r>
              <w:rPr>
                <w:rFonts w:hint="eastAsia" w:ascii="宋体" w:hAnsi="宋体" w:eastAsia="宋体" w:cs="宋体"/>
                <w:color w:val="auto"/>
                <w:sz w:val="20"/>
                <w:szCs w:val="20"/>
                <w:highlight w:val="none"/>
              </w:rPr>
              <w:t>对项目情况认识一般，但重点、难点把握不准，应对措施欠合理，工程质量和工期、安全的保证措施欠合理，回答定标委员会所提出的问题比较笼统，得（</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50</w:t>
            </w:r>
            <w:r>
              <w:rPr>
                <w:rFonts w:hint="eastAsia" w:ascii="宋体" w:hAnsi="宋体" w:eastAsia="宋体" w:cs="宋体"/>
                <w:color w:val="auto"/>
                <w:sz w:val="20"/>
                <w:szCs w:val="20"/>
                <w:highlight w:val="none"/>
              </w:rPr>
              <w:t>]分；</w:t>
            </w:r>
          </w:p>
          <w:p w14:paraId="33DC7A1F">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差：</w:t>
            </w:r>
            <w:r>
              <w:rPr>
                <w:rFonts w:hint="eastAsia" w:ascii="宋体" w:hAnsi="宋体" w:eastAsia="宋体" w:cs="宋体"/>
                <w:color w:val="auto"/>
                <w:sz w:val="20"/>
                <w:szCs w:val="20"/>
                <w:highlight w:val="none"/>
              </w:rPr>
              <w:t>对项目不了解，或答非所问，得（0-</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p>
          <w:p w14:paraId="3DAEC039">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投标人未按要求参加现场答辩，为0分。</w:t>
            </w:r>
          </w:p>
        </w:tc>
      </w:tr>
    </w:tbl>
    <w:p w14:paraId="35856D6C">
      <w:pPr>
        <w:keepNext w:val="0"/>
        <w:keepLines w:val="0"/>
        <w:pageBreakBefore w:val="0"/>
        <w:kinsoku/>
        <w:autoSpaceDE/>
        <w:autoSpaceDN/>
        <w:bidi w:val="0"/>
        <w:spacing w:before="0" w:line="204" w:lineRule="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项目答辩</w:t>
      </w:r>
      <w:r>
        <w:rPr>
          <w:rFonts w:hint="eastAsia" w:ascii="宋体" w:hAnsi="宋体" w:eastAsia="宋体" w:cs="宋体"/>
          <w:color w:val="auto"/>
          <w:sz w:val="20"/>
          <w:szCs w:val="20"/>
          <w:highlight w:val="none"/>
          <w:lang w:val="en-US" w:eastAsia="zh-CN"/>
        </w:rPr>
        <w:t>要求</w:t>
      </w:r>
      <w:r>
        <w:rPr>
          <w:rFonts w:hint="eastAsia" w:ascii="宋体" w:hAnsi="宋体" w:eastAsia="宋体" w:cs="宋体"/>
          <w:color w:val="auto"/>
          <w:sz w:val="20"/>
          <w:szCs w:val="20"/>
          <w:highlight w:val="none"/>
          <w:lang w:eastAsia="zh-CN"/>
        </w:rPr>
        <w:t>：</w:t>
      </w:r>
    </w:p>
    <w:p w14:paraId="6BEFA96E">
      <w:pPr>
        <w:autoSpaceDE/>
        <w:autoSpaceDN/>
        <w:spacing w:line="204"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由投标人拟投入的项目负责人或技术负责人</w:t>
      </w:r>
      <w:r>
        <w:rPr>
          <w:rFonts w:hint="eastAsia" w:ascii="宋体" w:hAnsi="宋体" w:eastAsia="宋体" w:cs="宋体"/>
          <w:color w:val="auto"/>
          <w:sz w:val="20"/>
          <w:szCs w:val="20"/>
          <w:highlight w:val="none"/>
          <w:lang w:val="en-US" w:eastAsia="zh-CN"/>
        </w:rPr>
        <w:t>或公司副总级别以上人员</w:t>
      </w:r>
      <w:r>
        <w:rPr>
          <w:rFonts w:hint="eastAsia" w:ascii="宋体" w:hAnsi="宋体" w:eastAsia="宋体" w:cs="宋体"/>
          <w:color w:val="auto"/>
          <w:sz w:val="20"/>
          <w:szCs w:val="20"/>
          <w:highlight w:val="none"/>
        </w:rPr>
        <w:t>出席答辩会议，</w:t>
      </w:r>
      <w:r>
        <w:rPr>
          <w:rFonts w:hint="eastAsia" w:ascii="宋体" w:hAnsi="宋体" w:eastAsia="宋体" w:cs="宋体"/>
          <w:color w:val="auto"/>
          <w:sz w:val="20"/>
          <w:szCs w:val="20"/>
          <w:highlight w:val="none"/>
          <w:lang w:val="en-US" w:eastAsia="zh-CN"/>
        </w:rPr>
        <w:t>定标</w:t>
      </w:r>
      <w:r>
        <w:rPr>
          <w:rFonts w:hint="eastAsia" w:ascii="宋体" w:hAnsi="宋体" w:eastAsia="宋体" w:cs="宋体"/>
          <w:color w:val="auto"/>
          <w:sz w:val="20"/>
          <w:szCs w:val="20"/>
          <w:highlight w:val="none"/>
        </w:rPr>
        <w:t>委员会根据答辩情况进行评审。出席答辩会议注意事项如下：</w:t>
      </w:r>
    </w:p>
    <w:p w14:paraId="20C854A4">
      <w:pPr>
        <w:autoSpaceDE/>
        <w:autoSpaceDN/>
        <w:spacing w:line="204"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答辩</w:t>
      </w:r>
      <w:r>
        <w:rPr>
          <w:rFonts w:hint="eastAsia" w:ascii="宋体" w:hAnsi="宋体" w:eastAsia="宋体" w:cs="宋体"/>
          <w:color w:val="auto"/>
          <w:sz w:val="20"/>
          <w:szCs w:val="20"/>
          <w:highlight w:val="none"/>
        </w:rPr>
        <w:t>人员组成：由项目负责人或技术负责人</w:t>
      </w:r>
      <w:r>
        <w:rPr>
          <w:rFonts w:hint="eastAsia" w:ascii="宋体" w:hAnsi="宋体" w:eastAsia="宋体" w:cs="宋体"/>
          <w:color w:val="auto"/>
          <w:sz w:val="20"/>
          <w:szCs w:val="20"/>
          <w:highlight w:val="none"/>
          <w:lang w:val="en-US" w:eastAsia="zh-CN"/>
        </w:rPr>
        <w:t>或公司副总级别以上人员</w:t>
      </w:r>
      <w:r>
        <w:rPr>
          <w:rFonts w:hint="eastAsia" w:ascii="宋体" w:hAnsi="宋体" w:eastAsia="宋体" w:cs="宋体"/>
          <w:color w:val="auto"/>
          <w:sz w:val="20"/>
          <w:szCs w:val="20"/>
          <w:highlight w:val="none"/>
        </w:rPr>
        <w:t>其中的1人或2人组成（参与人员均须是本单位的在职人员）。</w:t>
      </w:r>
    </w:p>
    <w:p w14:paraId="14437E2A">
      <w:pPr>
        <w:keepNext w:val="0"/>
        <w:keepLines w:val="0"/>
        <w:widowControl w:val="0"/>
        <w:suppressLineNumbers w:val="0"/>
        <w:autoSpaceDE/>
        <w:autoSpaceDN/>
        <w:spacing w:before="0" w:beforeAutospacing="0" w:after="0" w:afterAutospacing="0" w:line="204" w:lineRule="auto"/>
        <w:ind w:left="0" w:right="0"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答辩</w:t>
      </w:r>
      <w:r>
        <w:rPr>
          <w:rFonts w:hint="eastAsia" w:ascii="宋体" w:hAnsi="宋体" w:eastAsia="宋体" w:cs="宋体"/>
          <w:color w:val="auto"/>
          <w:sz w:val="20"/>
          <w:szCs w:val="20"/>
          <w:highlight w:val="none"/>
        </w:rPr>
        <w:t>顺序：答辩顺序（即投标人对应的</w:t>
      </w:r>
      <w:r>
        <w:rPr>
          <w:rFonts w:hint="eastAsia" w:ascii="宋体" w:hAnsi="宋体" w:eastAsia="宋体" w:cs="宋体"/>
          <w:color w:val="auto"/>
          <w:sz w:val="20"/>
          <w:szCs w:val="20"/>
          <w:highlight w:val="none"/>
          <w:u w:val="single"/>
        </w:rPr>
        <w:t>数字号</w:t>
      </w:r>
      <w:r>
        <w:rPr>
          <w:rFonts w:hint="eastAsia" w:ascii="宋体" w:hAnsi="宋体" w:eastAsia="宋体" w:cs="宋体"/>
          <w:color w:val="auto"/>
          <w:sz w:val="20"/>
          <w:szCs w:val="20"/>
          <w:highlight w:val="none"/>
        </w:rPr>
        <w:t>）由招标代理或招标人代表或监督小组或交易中心见证人员</w:t>
      </w:r>
      <w:r>
        <w:rPr>
          <w:rFonts w:hint="eastAsia" w:ascii="宋体" w:hAnsi="宋体" w:eastAsia="宋体" w:cs="宋体"/>
          <w:color w:val="auto"/>
          <w:sz w:val="20"/>
          <w:szCs w:val="20"/>
          <w:highlight w:val="none"/>
          <w:lang w:val="en-US" w:eastAsia="zh-CN"/>
        </w:rPr>
        <w:t>组织</w:t>
      </w:r>
      <w:r>
        <w:rPr>
          <w:rFonts w:hint="eastAsia" w:ascii="宋体" w:hAnsi="宋体" w:eastAsia="宋体" w:cs="宋体"/>
          <w:color w:val="auto"/>
          <w:sz w:val="20"/>
          <w:szCs w:val="20"/>
          <w:highlight w:val="none"/>
        </w:rPr>
        <w:t>通过随机抽取方式抽取产生</w:t>
      </w:r>
      <w:r>
        <w:rPr>
          <w:rFonts w:hint="eastAsia" w:ascii="宋体" w:hAnsi="宋体" w:eastAsia="宋体" w:cs="宋体"/>
          <w:color w:val="auto"/>
          <w:sz w:val="20"/>
          <w:szCs w:val="20"/>
          <w:highlight w:val="none"/>
          <w:lang w:eastAsia="zh-CN"/>
        </w:rPr>
        <w:t>，</w:t>
      </w:r>
      <w:r>
        <w:rPr>
          <w:rFonts w:hint="eastAsia" w:ascii="宋体" w:hAnsi="宋体" w:eastAsia="宋体" w:cs="宋体"/>
          <w:b/>
          <w:bCs/>
          <w:color w:val="auto"/>
          <w:sz w:val="20"/>
          <w:szCs w:val="20"/>
          <w:highlight w:val="none"/>
          <w:u w:val="single"/>
          <w:lang w:val="en-US" w:eastAsia="zh-CN" w:bidi="ar"/>
        </w:rPr>
        <w:t>按答辩顺序数字号由小至大依次进行答辩</w:t>
      </w:r>
      <w:r>
        <w:rPr>
          <w:rFonts w:hint="eastAsia" w:ascii="宋体" w:hAnsi="宋体" w:eastAsia="宋体" w:cs="宋体"/>
          <w:color w:val="auto"/>
          <w:sz w:val="20"/>
          <w:szCs w:val="20"/>
          <w:highlight w:val="none"/>
        </w:rPr>
        <w:t>。</w:t>
      </w:r>
    </w:p>
    <w:p w14:paraId="5C0407A2">
      <w:pPr>
        <w:keepNext w:val="0"/>
        <w:keepLines w:val="0"/>
        <w:widowControl w:val="0"/>
        <w:suppressLineNumbers w:val="0"/>
        <w:autoSpaceDE/>
        <w:autoSpaceDN/>
        <w:spacing w:before="0" w:beforeAutospacing="0" w:after="0" w:afterAutospacing="0" w:line="204" w:lineRule="auto"/>
        <w:ind w:left="0" w:right="0" w:firstLine="400" w:firstLineChars="2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eastAsia="zh-CN"/>
        </w:rPr>
        <w:t>）答辩人员的到场要求</w:t>
      </w:r>
      <w:r>
        <w:rPr>
          <w:rFonts w:hint="eastAsia" w:ascii="宋体" w:hAnsi="宋体" w:eastAsia="宋体" w:cs="宋体"/>
          <w:color w:val="auto"/>
          <w:sz w:val="20"/>
          <w:szCs w:val="20"/>
          <w:highlight w:val="none"/>
        </w:rPr>
        <w:t>：合格的中标候选人</w:t>
      </w:r>
      <w:r>
        <w:rPr>
          <w:rFonts w:hint="eastAsia" w:ascii="宋体" w:hAnsi="宋体" w:eastAsia="宋体" w:cs="宋体"/>
          <w:color w:val="auto"/>
          <w:sz w:val="20"/>
          <w:szCs w:val="20"/>
          <w:highlight w:val="none"/>
          <w:lang w:val="en-US" w:eastAsia="zh-CN"/>
        </w:rPr>
        <w:t>在办理答辩签到手续时，应向招标人（招标代理）提供一份加盖公章的</w:t>
      </w:r>
      <w:r>
        <w:rPr>
          <w:rFonts w:hint="eastAsia" w:ascii="宋体" w:hAnsi="宋体" w:eastAsia="宋体" w:cs="宋体"/>
          <w:color w:val="auto"/>
          <w:spacing w:val="0"/>
          <w:w w:val="100"/>
          <w:position w:val="0"/>
          <w:sz w:val="20"/>
          <w:szCs w:val="20"/>
          <w:highlight w:val="none"/>
          <w:u w:val="single"/>
          <w:lang w:eastAsia="zh-CN"/>
        </w:rPr>
        <w:t>法定代表人证明书</w:t>
      </w:r>
      <w:r>
        <w:rPr>
          <w:rFonts w:hint="eastAsia" w:ascii="宋体" w:hAnsi="宋体" w:eastAsia="宋体" w:cs="宋体"/>
          <w:color w:val="auto"/>
          <w:spacing w:val="0"/>
          <w:w w:val="100"/>
          <w:position w:val="0"/>
          <w:sz w:val="20"/>
          <w:szCs w:val="20"/>
          <w:highlight w:val="none"/>
          <w:u w:val="single"/>
          <w:lang w:val="en-US" w:eastAsia="zh-CN"/>
        </w:rPr>
        <w:t>及</w:t>
      </w:r>
      <w:r>
        <w:rPr>
          <w:rFonts w:hint="eastAsia" w:ascii="宋体" w:hAnsi="宋体" w:eastAsia="宋体" w:cs="宋体"/>
          <w:color w:val="auto"/>
          <w:spacing w:val="0"/>
          <w:w w:val="100"/>
          <w:position w:val="0"/>
          <w:sz w:val="20"/>
          <w:szCs w:val="20"/>
          <w:highlight w:val="none"/>
          <w:u w:val="single"/>
          <w:lang w:eastAsia="zh-CN"/>
        </w:rPr>
        <w:t>法定代表人授权委托书，</w:t>
      </w:r>
      <w:r>
        <w:rPr>
          <w:rFonts w:hint="eastAsia" w:ascii="宋体" w:hAnsi="宋体" w:eastAsia="宋体" w:cs="宋体"/>
          <w:color w:val="auto"/>
          <w:spacing w:val="0"/>
          <w:w w:val="100"/>
          <w:position w:val="0"/>
          <w:sz w:val="20"/>
          <w:szCs w:val="20"/>
          <w:highlight w:val="none"/>
          <w:u w:val="single"/>
          <w:lang w:val="en-US" w:eastAsia="zh-CN"/>
        </w:rPr>
        <w:t>公司副总级别以上人员还需提供任职证明</w:t>
      </w:r>
      <w:r>
        <w:rPr>
          <w:rFonts w:hint="eastAsia" w:ascii="宋体" w:hAnsi="宋体" w:eastAsia="宋体" w:cs="宋体"/>
          <w:color w:val="auto"/>
          <w:sz w:val="20"/>
          <w:szCs w:val="20"/>
          <w:highlight w:val="none"/>
          <w:lang w:val="en-US" w:eastAsia="zh-CN"/>
        </w:rPr>
        <w:t>，并提供讲解人员身份证原件或出示有效的电子身份证，招标人（招标代理）核对确认身份后办理签到手续。未能出示前述证明文件的单位不予参加答辩签到和答辩环节。</w:t>
      </w:r>
    </w:p>
    <w:p w14:paraId="50525B99">
      <w:pPr>
        <w:keepNext w:val="0"/>
        <w:keepLines w:val="0"/>
        <w:widowControl w:val="0"/>
        <w:suppressLineNumbers w:val="0"/>
        <w:autoSpaceDE/>
        <w:autoSpaceDN/>
        <w:spacing w:before="0" w:beforeAutospacing="0" w:after="0" w:afterAutospacing="0" w:line="204" w:lineRule="auto"/>
        <w:ind w:left="0" w:right="0" w:firstLine="400" w:firstLineChars="2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答辩形式与要求：答辩采取不见面的方式开展，答辩环节在定标时进行，具体时间根据定标委员会评审进度而定；招标人（招标代理）在答辩会议开始前通知投标人到达讲解地点（出席人员应预留出足够的时间，并保持通信畅通），答辩人员先陈述，定标委员会针对其陈述内容及方案提问，由答辩人员进行解答。</w:t>
      </w:r>
    </w:p>
    <w:p w14:paraId="3368CFF7">
      <w:pPr>
        <w:keepNext w:val="0"/>
        <w:keepLines w:val="0"/>
        <w:widowControl w:val="0"/>
        <w:suppressLineNumbers w:val="0"/>
        <w:autoSpaceDE/>
        <w:autoSpaceDN/>
        <w:spacing w:before="0" w:beforeAutospacing="0" w:after="0" w:afterAutospacing="0" w:line="204" w:lineRule="auto"/>
        <w:ind w:left="0" w:right="0"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（5）陈述及答辩总时长：</w:t>
      </w:r>
      <w:r>
        <w:rPr>
          <w:rFonts w:hint="eastAsia" w:ascii="宋体" w:hAnsi="宋体" w:eastAsia="宋体" w:cs="宋体"/>
          <w:color w:val="auto"/>
          <w:kern w:val="0"/>
          <w:sz w:val="20"/>
          <w:szCs w:val="20"/>
          <w:highlight w:val="none"/>
          <w:shd w:val="clear" w:fill="FFFFFF"/>
          <w:lang w:val="en-US" w:eastAsia="zh-CN" w:bidi="ar"/>
        </w:rPr>
        <w:t>每家投标人答辩总时长控制在10分钟内，其中答辩团队的陈述时间不得多于6分钟。</w:t>
      </w:r>
    </w:p>
    <w:p w14:paraId="154B7106">
      <w:pPr>
        <w:keepNext w:val="0"/>
        <w:keepLines w:val="0"/>
        <w:widowControl w:val="0"/>
        <w:suppressLineNumbers w:val="0"/>
        <w:autoSpaceDE/>
        <w:autoSpaceDN/>
        <w:spacing w:before="0" w:beforeAutospacing="0" w:after="0" w:afterAutospacing="0" w:line="204" w:lineRule="auto"/>
        <w:ind w:left="0" w:right="0" w:firstLine="400" w:firstLineChars="20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（6）本项目答辩时允许携带稿件和纸笔，但不得携带具有通讯、存储、编程、查询等功能的电子产品（包括但不限于电脑、手机、智能手表、智能手环、智能眼镜等），如发现携带上述电子产品的，答辩无效。</w:t>
      </w:r>
    </w:p>
    <w:p w14:paraId="2A9AF3CF">
      <w:pPr>
        <w:keepNext w:val="0"/>
        <w:keepLines w:val="0"/>
        <w:pageBreakBefore w:val="0"/>
        <w:kinsoku/>
        <w:autoSpaceDE/>
        <w:autoSpaceDN/>
        <w:bidi w:val="0"/>
        <w:spacing w:before="0" w:line="204" w:lineRule="auto"/>
        <w:rPr>
          <w:rFonts w:hint="eastAsia" w:ascii="宋体" w:hAnsi="宋体" w:eastAsia="宋体" w:cs="宋体"/>
          <w:color w:val="auto"/>
          <w:sz w:val="20"/>
          <w:szCs w:val="20"/>
          <w:highlight w:val="none"/>
          <w:lang w:eastAsia="zh-CN"/>
        </w:rPr>
      </w:pPr>
    </w:p>
    <w:p w14:paraId="164E86ED">
      <w:pPr>
        <w:keepNext w:val="0"/>
        <w:keepLines w:val="0"/>
        <w:pageBreakBefore w:val="0"/>
        <w:kinsoku/>
        <w:autoSpaceDE/>
        <w:autoSpaceDN/>
        <w:bidi w:val="0"/>
        <w:spacing w:before="0" w:line="204" w:lineRule="auto"/>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注：1、定标委员会成员评出各投标人答辩因素得分的分数，答辩因素得分为各定标专家打分总分的算术平均值，得出每个投标人</w:t>
      </w:r>
      <w:r>
        <w:rPr>
          <w:rFonts w:hint="eastAsia" w:ascii="宋体" w:hAnsi="宋体" w:eastAsia="宋体" w:cs="宋体"/>
          <w:color w:val="auto"/>
          <w:spacing w:val="0"/>
          <w:w w:val="100"/>
          <w:position w:val="0"/>
          <w:sz w:val="20"/>
          <w:szCs w:val="20"/>
          <w:highlight w:val="none"/>
          <w:lang w:val="en-US" w:eastAsia="zh-CN"/>
        </w:rPr>
        <w:t>答辩</w:t>
      </w:r>
      <w:r>
        <w:rPr>
          <w:rFonts w:hint="eastAsia" w:ascii="宋体" w:hAnsi="宋体" w:eastAsia="宋体" w:cs="宋体"/>
          <w:color w:val="auto"/>
          <w:spacing w:val="0"/>
          <w:w w:val="100"/>
          <w:position w:val="0"/>
          <w:sz w:val="20"/>
          <w:szCs w:val="20"/>
          <w:highlight w:val="none"/>
          <w:lang w:eastAsia="zh-CN"/>
        </w:rPr>
        <w:t>因素得分，分数出现小数点，保留小数点后二位，第三位小数四舍五入。</w:t>
      </w:r>
    </w:p>
    <w:p w14:paraId="776AE4DA">
      <w:pPr>
        <w:keepNext w:val="0"/>
        <w:keepLines w:val="0"/>
        <w:pageBreakBefore w:val="0"/>
        <w:kinsoku/>
        <w:autoSpaceDE/>
        <w:autoSpaceDN/>
        <w:bidi w:val="0"/>
        <w:spacing w:before="0" w:line="204" w:lineRule="auto"/>
        <w:ind w:firstLine="400" w:firstLineChars="200"/>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2、表中“[ ]”代表闭区间，如[1，0]代表该分数段范围为大于等于0且小于等于1。表中“（ ）”代表开区间，如（2，1）代表该分数段范围为大于1且小于2。</w:t>
      </w:r>
    </w:p>
    <w:p w14:paraId="44D6FE7D">
      <w:pPr>
        <w:pStyle w:val="7"/>
        <w:keepNext w:val="0"/>
        <w:keepLines w:val="0"/>
        <w:pageBreakBefore w:val="0"/>
        <w:kinsoku/>
        <w:autoSpaceDE/>
        <w:autoSpaceDN/>
        <w:bidi w:val="0"/>
        <w:spacing w:line="204" w:lineRule="auto"/>
        <w:rPr>
          <w:rFonts w:hint="eastAsia" w:ascii="宋体" w:hAnsi="宋体" w:eastAsia="宋体" w:cs="宋体"/>
          <w:color w:val="auto"/>
          <w:spacing w:val="0"/>
          <w:w w:val="100"/>
          <w:position w:val="0"/>
          <w:sz w:val="20"/>
          <w:szCs w:val="20"/>
          <w:highlight w:val="none"/>
          <w:lang w:eastAsia="zh-CN"/>
        </w:rPr>
      </w:pPr>
    </w:p>
    <w:p w14:paraId="4218CBB3">
      <w:pPr>
        <w:keepNext w:val="0"/>
        <w:keepLines w:val="0"/>
        <w:pageBreakBefore w:val="0"/>
        <w:kinsoku/>
        <w:autoSpaceDE/>
        <w:autoSpaceDN/>
        <w:bidi w:val="0"/>
        <w:spacing w:before="0" w:line="204" w:lineRule="auto"/>
        <w:ind w:left="0" w:firstLine="400" w:firstLineChars="200"/>
        <w:rPr>
          <w:rFonts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 xml:space="preserve">评委签名：      </w:t>
      </w:r>
      <w:r>
        <w:rPr>
          <w:rFonts w:hint="eastAsia" w:ascii="宋体" w:hAnsi="宋体" w:eastAsia="宋体" w:cs="宋体"/>
          <w:color w:val="auto"/>
          <w:spacing w:val="0"/>
          <w:w w:val="100"/>
          <w:position w:val="0"/>
          <w:sz w:val="20"/>
          <w:szCs w:val="20"/>
          <w:highlight w:val="none"/>
          <w:lang w:eastAsia="zh-CN"/>
        </w:rPr>
        <w:t xml:space="preserve">                                                                                                         </w:t>
      </w:r>
      <w:r>
        <w:rPr>
          <w:rFonts w:hint="eastAsia" w:ascii="宋体" w:hAnsi="宋体" w:eastAsia="宋体" w:cs="宋体"/>
          <w:color w:val="auto"/>
          <w:spacing w:val="0"/>
          <w:w w:val="100"/>
          <w:position w:val="0"/>
          <w:sz w:val="20"/>
          <w:szCs w:val="20"/>
          <w:highlight w:val="none"/>
        </w:rPr>
        <w:t xml:space="preserve"> 日期：</w:t>
      </w:r>
    </w:p>
    <w:p w14:paraId="3DCB09D9">
      <w:pPr>
        <w:keepNext w:val="0"/>
        <w:keepLines w:val="0"/>
        <w:pageBreakBefore w:val="0"/>
        <w:kinsoku/>
        <w:bidi w:val="0"/>
        <w:rPr>
          <w:rFonts w:hint="eastAsia" w:ascii="宋体" w:hAnsi="宋体" w:eastAsia="宋体" w:cs="宋体"/>
          <w:b/>
          <w:bCs/>
          <w:color w:val="auto"/>
          <w:spacing w:val="0"/>
          <w:w w:val="100"/>
          <w:position w:val="0"/>
          <w:sz w:val="30"/>
          <w:szCs w:val="30"/>
          <w:highlight w:val="none"/>
          <w:lang w:eastAsia="zh-CN"/>
        </w:rPr>
      </w:pPr>
      <w:r>
        <w:rPr>
          <w:rFonts w:hint="eastAsia" w:ascii="宋体" w:hAnsi="宋体" w:eastAsia="宋体" w:cs="宋体"/>
          <w:b/>
          <w:bCs/>
          <w:color w:val="auto"/>
          <w:spacing w:val="0"/>
          <w:w w:val="100"/>
          <w:position w:val="0"/>
          <w:sz w:val="30"/>
          <w:szCs w:val="30"/>
          <w:highlight w:val="none"/>
          <w:lang w:eastAsia="zh-CN"/>
        </w:rPr>
        <w:br w:type="page"/>
      </w:r>
    </w:p>
    <w:p w14:paraId="06C5613D">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306" w:name="_Toc10408"/>
      <w:bookmarkStart w:id="307" w:name="_Toc19539"/>
      <w:bookmarkStart w:id="308" w:name="_Toc11098"/>
      <w:bookmarkStart w:id="309" w:name="_Toc22226"/>
      <w:bookmarkStart w:id="310" w:name="_Toc2351"/>
      <w:r>
        <w:rPr>
          <w:rFonts w:hint="eastAsia" w:ascii="宋体" w:hAnsi="宋体" w:eastAsia="宋体" w:cs="宋体"/>
          <w:b/>
          <w:bCs/>
          <w:color w:val="auto"/>
          <w:spacing w:val="0"/>
          <w:w w:val="100"/>
          <w:position w:val="0"/>
          <w:sz w:val="30"/>
          <w:szCs w:val="30"/>
          <w:highlight w:val="none"/>
          <w:lang w:eastAsia="zh-CN"/>
        </w:rPr>
        <w:t>附表9：定标阶段方案因素详细审查评分表</w:t>
      </w:r>
      <w:bookmarkEnd w:id="306"/>
      <w:bookmarkEnd w:id="307"/>
      <w:bookmarkEnd w:id="308"/>
      <w:bookmarkEnd w:id="309"/>
      <w:bookmarkEnd w:id="310"/>
    </w:p>
    <w:p w14:paraId="5B509DF8">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ascii="宋体" w:hAnsi="宋体" w:eastAsia="宋体" w:cs="宋体"/>
          <w:b/>
          <w:bCs/>
          <w:color w:val="auto"/>
          <w:spacing w:val="0"/>
          <w:w w:val="100"/>
          <w:position w:val="0"/>
          <w:sz w:val="30"/>
          <w:szCs w:val="30"/>
          <w:highlight w:val="none"/>
          <w:lang w:eastAsia="zh-CN"/>
        </w:rPr>
      </w:pPr>
      <w:r>
        <w:rPr>
          <w:rFonts w:ascii="宋体" w:hAnsi="宋体" w:eastAsia="宋体" w:cs="宋体"/>
          <w:b/>
          <w:bCs/>
          <w:color w:val="auto"/>
          <w:spacing w:val="0"/>
          <w:w w:val="100"/>
          <w:position w:val="0"/>
          <w:sz w:val="30"/>
          <w:szCs w:val="30"/>
          <w:highlight w:val="none"/>
          <w:lang w:eastAsia="zh-CN"/>
        </w:rPr>
        <w:t>定标阶段方案因素详细审查评分表</w:t>
      </w:r>
    </w:p>
    <w:p w14:paraId="3EC91B3F">
      <w:pPr>
        <w:keepNext w:val="0"/>
        <w:keepLines w:val="0"/>
        <w:pageBreakBefore w:val="0"/>
        <w:kinsoku/>
        <w:bidi w:val="0"/>
        <w:spacing w:before="156" w:line="228" w:lineRule="auto"/>
        <w:ind w:left="84"/>
        <w:rPr>
          <w:rFonts w:hint="eastAsia" w:ascii="宋体" w:hAnsi="宋体" w:eastAsia="宋体" w:cs="宋体"/>
          <w:b/>
          <w:bCs/>
          <w:color w:val="auto"/>
          <w:spacing w:val="0"/>
          <w:w w:val="100"/>
          <w:position w:val="0"/>
          <w:sz w:val="20"/>
          <w:szCs w:val="20"/>
          <w:highlight w:val="none"/>
        </w:rPr>
      </w:pPr>
      <w:r>
        <w:rPr>
          <w:rFonts w:hint="eastAsia" w:ascii="宋体" w:hAnsi="宋体" w:eastAsia="宋体" w:cs="宋体"/>
          <w:b/>
          <w:bCs/>
          <w:color w:val="auto"/>
          <w:spacing w:val="0"/>
          <w:w w:val="100"/>
          <w:position w:val="0"/>
          <w:sz w:val="20"/>
          <w:szCs w:val="20"/>
          <w:highlight w:val="none"/>
        </w:rPr>
        <w:t>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832"/>
        <w:gridCol w:w="12349"/>
      </w:tblGrid>
      <w:tr w14:paraId="5DF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39" w:type="dxa"/>
            <w:vAlign w:val="center"/>
          </w:tcPr>
          <w:p w14:paraId="0A6AD9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评分内容</w:t>
            </w:r>
          </w:p>
        </w:tc>
        <w:tc>
          <w:tcPr>
            <w:tcW w:w="832" w:type="dxa"/>
            <w:vAlign w:val="center"/>
          </w:tcPr>
          <w:p w14:paraId="447D2CF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分值</w:t>
            </w:r>
          </w:p>
        </w:tc>
        <w:tc>
          <w:tcPr>
            <w:tcW w:w="12349" w:type="dxa"/>
            <w:vAlign w:val="center"/>
          </w:tcPr>
          <w:p w14:paraId="3CDCDA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pacing w:val="0"/>
                <w:w w:val="100"/>
                <w:position w:val="0"/>
                <w:sz w:val="20"/>
                <w:szCs w:val="20"/>
                <w:highlight w:val="none"/>
                <w:vertAlign w:val="baseline"/>
              </w:rPr>
            </w:pPr>
            <w:r>
              <w:rPr>
                <w:rFonts w:hint="eastAsia" w:ascii="宋体" w:hAnsi="宋体" w:eastAsia="宋体" w:cs="宋体"/>
                <w:color w:val="auto"/>
                <w:spacing w:val="0"/>
                <w:w w:val="100"/>
                <w:position w:val="0"/>
                <w:sz w:val="20"/>
                <w:szCs w:val="20"/>
                <w:highlight w:val="none"/>
              </w:rPr>
              <w:t>评审标准</w:t>
            </w:r>
          </w:p>
        </w:tc>
      </w:tr>
      <w:tr w14:paraId="6CE5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039" w:type="dxa"/>
            <w:vMerge w:val="restart"/>
            <w:vAlign w:val="center"/>
          </w:tcPr>
          <w:p w14:paraId="78D35C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w w:val="100"/>
                <w:position w:val="0"/>
                <w:sz w:val="20"/>
                <w:szCs w:val="20"/>
                <w:highlight w:val="none"/>
                <w:lang w:val="en-US"/>
              </w:rPr>
            </w:pPr>
            <w:r>
              <w:rPr>
                <w:rFonts w:hint="default" w:ascii="宋体" w:hAnsi="宋体" w:eastAsia="宋体" w:cs="宋体"/>
                <w:color w:val="auto"/>
                <w:spacing w:val="0"/>
                <w:w w:val="100"/>
                <w:position w:val="0"/>
                <w:sz w:val="20"/>
                <w:szCs w:val="20"/>
                <w:highlight w:val="none"/>
                <w:lang w:val="en-US" w:eastAsia="zh-CN"/>
              </w:rPr>
              <w:t>工程总承包实施方案部分</w:t>
            </w:r>
          </w:p>
        </w:tc>
        <w:tc>
          <w:tcPr>
            <w:tcW w:w="832" w:type="dxa"/>
            <w:vAlign w:val="center"/>
          </w:tcPr>
          <w:p w14:paraId="375783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25</w:t>
            </w:r>
          </w:p>
        </w:tc>
        <w:tc>
          <w:tcPr>
            <w:tcW w:w="12349" w:type="dxa"/>
            <w:vAlign w:val="center"/>
          </w:tcPr>
          <w:p w14:paraId="6CA60E76">
            <w:pPr>
              <w:keepNext w:val="0"/>
              <w:keepLines w:val="0"/>
              <w:pageBreakBefore w:val="0"/>
              <w:widowControl w:val="0"/>
              <w:kinsoku/>
              <w:wordWrap/>
              <w:overflowPunct/>
              <w:topLinePunct w:val="0"/>
              <w:autoSpaceDE/>
              <w:autoSpaceDN/>
              <w:bidi w:val="0"/>
              <w:adjustRightInd/>
              <w:snapToGrid/>
              <w:spacing w:line="240" w:lineRule="auto"/>
              <w:contextualSpacing w:val="0"/>
              <w:jc w:val="both"/>
              <w:textAlignment w:val="auto"/>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z w:val="20"/>
                <w:szCs w:val="20"/>
                <w:highlight w:val="none"/>
              </w:rPr>
              <w:t>对方案中的应急响应、实名制管理、农民工工资保障措施等内容进行评审：优（20-25]分；良（15-20]分；中（5-15]分；差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0-5]分；</w:t>
            </w:r>
          </w:p>
        </w:tc>
      </w:tr>
      <w:tr w14:paraId="01C6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39" w:type="dxa"/>
            <w:vMerge w:val="continue"/>
            <w:vAlign w:val="center"/>
          </w:tcPr>
          <w:p w14:paraId="75BE0D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w w:val="100"/>
                <w:position w:val="0"/>
                <w:sz w:val="20"/>
                <w:szCs w:val="20"/>
                <w:highlight w:val="none"/>
                <w:lang w:val="en-US"/>
              </w:rPr>
            </w:pPr>
          </w:p>
        </w:tc>
        <w:tc>
          <w:tcPr>
            <w:tcW w:w="832" w:type="dxa"/>
            <w:vAlign w:val="center"/>
          </w:tcPr>
          <w:p w14:paraId="222A74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25</w:t>
            </w:r>
          </w:p>
        </w:tc>
        <w:tc>
          <w:tcPr>
            <w:tcW w:w="12349" w:type="dxa"/>
            <w:vAlign w:val="center"/>
          </w:tcPr>
          <w:p w14:paraId="41DF97A7">
            <w:pPr>
              <w:keepNext w:val="0"/>
              <w:keepLines w:val="0"/>
              <w:pageBreakBefore w:val="0"/>
              <w:widowControl w:val="0"/>
              <w:numPr>
                <w:ilvl w:val="0"/>
                <w:numId w:val="0"/>
              </w:numPr>
              <w:kinsoku/>
              <w:bidi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对方案中的成本控制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资金管理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质保服务措施进行评审：</w:t>
            </w:r>
          </w:p>
          <w:p w14:paraId="7CE7252F">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val="0"/>
              <w:jc w:val="both"/>
              <w:textAlignment w:val="auto"/>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z w:val="20"/>
                <w:szCs w:val="20"/>
                <w:highlight w:val="none"/>
              </w:rPr>
              <w:t>优（20-25]分；良（15-20]分；中（5-15]分；差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0-5]分；</w:t>
            </w:r>
          </w:p>
        </w:tc>
      </w:tr>
      <w:tr w14:paraId="0B73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39" w:type="dxa"/>
            <w:vAlign w:val="center"/>
          </w:tcPr>
          <w:p w14:paraId="433A98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 w:val="20"/>
                <w:szCs w:val="20"/>
                <w:highlight w:val="none"/>
              </w:rPr>
            </w:pPr>
            <w:r>
              <w:rPr>
                <w:rFonts w:hint="default" w:ascii="宋体" w:hAnsi="宋体" w:eastAsia="宋体" w:cs="宋体"/>
                <w:color w:val="auto"/>
                <w:spacing w:val="0"/>
                <w:w w:val="100"/>
                <w:position w:val="0"/>
                <w:sz w:val="20"/>
                <w:szCs w:val="20"/>
                <w:highlight w:val="none"/>
                <w:lang w:val="en-US"/>
              </w:rPr>
              <w:t>设计方案部分</w:t>
            </w:r>
          </w:p>
        </w:tc>
        <w:tc>
          <w:tcPr>
            <w:tcW w:w="832" w:type="dxa"/>
            <w:vAlign w:val="center"/>
          </w:tcPr>
          <w:p w14:paraId="5571107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50</w:t>
            </w:r>
          </w:p>
        </w:tc>
        <w:tc>
          <w:tcPr>
            <w:tcW w:w="12349" w:type="dxa"/>
            <w:vAlign w:val="center"/>
          </w:tcPr>
          <w:p w14:paraId="0A929C1F">
            <w:pPr>
              <w:keepNext w:val="0"/>
              <w:keepLines w:val="0"/>
              <w:pageBreakBefore w:val="0"/>
              <w:widowControl w:val="0"/>
              <w:kinsoku/>
              <w:bidi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对设计方案中的装修色彩搭配协调、材料选用、效果图制作亮点、对外形象展示内容进行评审：</w:t>
            </w:r>
          </w:p>
          <w:p w14:paraId="4DC76799">
            <w:pPr>
              <w:keepNext w:val="0"/>
              <w:keepLines w:val="0"/>
              <w:pageBreakBefore w:val="0"/>
              <w:widowControl/>
              <w:kinsoku/>
              <w:wordWrap/>
              <w:overflowPunct/>
              <w:topLinePunct w:val="0"/>
              <w:autoSpaceDE w:val="0"/>
              <w:autoSpaceDN w:val="0"/>
              <w:bidi w:val="0"/>
              <w:adjustRightInd w:val="0"/>
              <w:snapToGrid w:val="0"/>
              <w:spacing w:line="240" w:lineRule="auto"/>
              <w:contextualSpacing/>
              <w:jc w:val="both"/>
              <w:textAlignment w:val="baseline"/>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z w:val="20"/>
                <w:szCs w:val="20"/>
                <w:highlight w:val="none"/>
              </w:rPr>
              <w:t>优（</w:t>
            </w:r>
            <w:r>
              <w:rPr>
                <w:rFonts w:hint="eastAsia" w:ascii="宋体" w:hAnsi="宋体" w:eastAsia="宋体" w:cs="宋体"/>
                <w:color w:val="auto"/>
                <w:sz w:val="20"/>
                <w:szCs w:val="20"/>
                <w:highlight w:val="none"/>
                <w:lang w:val="en-US" w:eastAsia="zh-CN"/>
              </w:rPr>
              <w:t>40</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50</w:t>
            </w:r>
            <w:r>
              <w:rPr>
                <w:rFonts w:hint="eastAsia" w:ascii="宋体" w:hAnsi="宋体" w:eastAsia="宋体" w:cs="宋体"/>
                <w:color w:val="auto"/>
                <w:sz w:val="20"/>
                <w:szCs w:val="20"/>
                <w:highlight w:val="none"/>
              </w:rPr>
              <w:t>]分；良（</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0]分；中（</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rPr>
              <w:t>]分；差</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0-</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tc>
      </w:tr>
      <w:tr w14:paraId="627C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vAlign w:val="center"/>
          </w:tcPr>
          <w:p w14:paraId="152C0EF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w w:val="100"/>
                <w:position w:val="0"/>
                <w:sz w:val="20"/>
                <w:szCs w:val="20"/>
                <w:highlight w:val="none"/>
              </w:rPr>
            </w:pPr>
            <w:r>
              <w:rPr>
                <w:rFonts w:hint="eastAsia" w:ascii="宋体" w:hAnsi="宋体" w:eastAsia="宋体" w:cs="宋体"/>
                <w:color w:val="auto"/>
                <w:spacing w:val="0"/>
                <w:w w:val="100"/>
                <w:position w:val="0"/>
                <w:sz w:val="20"/>
                <w:szCs w:val="20"/>
                <w:highlight w:val="none"/>
              </w:rPr>
              <w:t>总分</w:t>
            </w:r>
          </w:p>
        </w:tc>
        <w:tc>
          <w:tcPr>
            <w:tcW w:w="832" w:type="dxa"/>
            <w:vAlign w:val="center"/>
          </w:tcPr>
          <w:p w14:paraId="25FD7F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0"/>
                <w:w w:val="100"/>
                <w:position w:val="0"/>
                <w:sz w:val="20"/>
                <w:szCs w:val="20"/>
                <w:highlight w:val="none"/>
                <w:lang w:val="en-US"/>
              </w:rPr>
            </w:pPr>
            <w:r>
              <w:rPr>
                <w:rFonts w:hint="eastAsia" w:ascii="宋体" w:hAnsi="宋体" w:eastAsia="宋体" w:cs="宋体"/>
                <w:color w:val="auto"/>
                <w:spacing w:val="0"/>
                <w:w w:val="100"/>
                <w:position w:val="0"/>
                <w:sz w:val="20"/>
                <w:szCs w:val="20"/>
                <w:highlight w:val="none"/>
                <w:lang w:val="en-US" w:eastAsia="zh-CN"/>
              </w:rPr>
              <w:t>100分</w:t>
            </w:r>
          </w:p>
        </w:tc>
        <w:tc>
          <w:tcPr>
            <w:tcW w:w="12349" w:type="dxa"/>
            <w:vAlign w:val="center"/>
          </w:tcPr>
          <w:p w14:paraId="41ED4011">
            <w:pPr>
              <w:keepNext w:val="0"/>
              <w:keepLines w:val="0"/>
              <w:pageBreakBefore w:val="0"/>
              <w:widowControl w:val="0"/>
              <w:kinsoku/>
              <w:bidi w:val="0"/>
              <w:spacing w:before="156" w:line="228" w:lineRule="auto"/>
              <w:jc w:val="both"/>
              <w:rPr>
                <w:rFonts w:hint="eastAsia" w:ascii="宋体" w:hAnsi="宋体" w:eastAsia="宋体" w:cs="宋体"/>
                <w:b/>
                <w:bCs/>
                <w:color w:val="auto"/>
                <w:spacing w:val="0"/>
                <w:w w:val="100"/>
                <w:position w:val="0"/>
                <w:sz w:val="20"/>
                <w:szCs w:val="20"/>
                <w:highlight w:val="none"/>
                <w:vertAlign w:val="baseline"/>
              </w:rPr>
            </w:pPr>
          </w:p>
        </w:tc>
      </w:tr>
    </w:tbl>
    <w:p w14:paraId="7EB99FAF">
      <w:pPr>
        <w:keepNext w:val="0"/>
        <w:keepLines w:val="0"/>
        <w:pageBreakBefore w:val="0"/>
        <w:kinsoku/>
        <w:bidi w:val="0"/>
        <w:spacing w:before="65" w:line="228" w:lineRule="auto"/>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注：1、定标委员会成员评出各投标人方案因素得分的分数，方案因素得分为各定标专家打分总分的算术平均值，得出每个投标人方案因素得分，分数出现小数点，保留小数点后二位，第三位小数四舍五入。</w:t>
      </w:r>
    </w:p>
    <w:p w14:paraId="4F127680">
      <w:pPr>
        <w:keepNext w:val="0"/>
        <w:keepLines w:val="0"/>
        <w:pageBreakBefore w:val="0"/>
        <w:kinsoku/>
        <w:bidi w:val="0"/>
        <w:spacing w:before="65" w:line="228" w:lineRule="auto"/>
        <w:ind w:firstLine="400" w:firstLineChars="200"/>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2、表中“[ ]”代表闭区间，如[1，0]代表该分数段范围为大于等于0且小于等于1。表中“（ ）”代表开区间，如（2，1）代表该分数段范围为大于1且小于2。</w:t>
      </w:r>
    </w:p>
    <w:p w14:paraId="1258F6D4">
      <w:pPr>
        <w:pStyle w:val="7"/>
        <w:keepNext w:val="0"/>
        <w:keepLines w:val="0"/>
        <w:pageBreakBefore w:val="0"/>
        <w:kinsoku/>
        <w:bidi w:val="0"/>
        <w:spacing w:line="268" w:lineRule="auto"/>
        <w:rPr>
          <w:rFonts w:hint="eastAsia" w:ascii="宋体" w:hAnsi="宋体" w:eastAsia="宋体" w:cs="宋体"/>
          <w:color w:val="auto"/>
          <w:spacing w:val="0"/>
          <w:w w:val="100"/>
          <w:position w:val="0"/>
          <w:sz w:val="20"/>
          <w:szCs w:val="20"/>
          <w:highlight w:val="none"/>
          <w:lang w:eastAsia="zh-CN"/>
        </w:rPr>
      </w:pPr>
    </w:p>
    <w:p w14:paraId="7A01CCD3">
      <w:pPr>
        <w:keepNext w:val="0"/>
        <w:keepLines w:val="0"/>
        <w:pageBreakBefore w:val="0"/>
        <w:kinsoku/>
        <w:bidi w:val="0"/>
        <w:spacing w:before="65" w:line="228" w:lineRule="auto"/>
        <w:ind w:firstLine="400" w:firstLineChars="200"/>
        <w:rPr>
          <w:rFonts w:hint="eastAsia" w:ascii="宋体" w:hAnsi="宋体" w:eastAsia="宋体" w:cs="宋体"/>
          <w:color w:val="auto"/>
          <w:spacing w:val="0"/>
          <w:w w:val="100"/>
          <w:position w:val="0"/>
          <w:sz w:val="20"/>
          <w:szCs w:val="20"/>
          <w:highlight w:val="none"/>
        </w:rPr>
      </w:pPr>
      <w:bookmarkStart w:id="311" w:name="_Toc27738"/>
      <w:r>
        <w:rPr>
          <w:rFonts w:hint="eastAsia" w:ascii="宋体" w:hAnsi="宋体" w:eastAsia="宋体" w:cs="宋体"/>
          <w:color w:val="auto"/>
          <w:spacing w:val="0"/>
          <w:w w:val="100"/>
          <w:position w:val="0"/>
          <w:sz w:val="20"/>
          <w:szCs w:val="20"/>
          <w:highlight w:val="none"/>
        </w:rPr>
        <w:t xml:space="preserve">评委签名：      </w:t>
      </w:r>
      <w:r>
        <w:rPr>
          <w:rFonts w:hint="eastAsia" w:ascii="宋体" w:hAnsi="宋体" w:eastAsia="宋体" w:cs="宋体"/>
          <w:color w:val="auto"/>
          <w:spacing w:val="0"/>
          <w:w w:val="100"/>
          <w:position w:val="0"/>
          <w:sz w:val="20"/>
          <w:szCs w:val="20"/>
          <w:highlight w:val="none"/>
          <w:lang w:eastAsia="zh-CN"/>
        </w:rPr>
        <w:t xml:space="preserve">                                                                                                         </w:t>
      </w:r>
      <w:r>
        <w:rPr>
          <w:rFonts w:hint="eastAsia" w:ascii="宋体" w:hAnsi="宋体" w:eastAsia="宋体" w:cs="宋体"/>
          <w:color w:val="auto"/>
          <w:spacing w:val="0"/>
          <w:w w:val="100"/>
          <w:position w:val="0"/>
          <w:sz w:val="20"/>
          <w:szCs w:val="20"/>
          <w:highlight w:val="none"/>
        </w:rPr>
        <w:t xml:space="preserve"> 日期：</w:t>
      </w:r>
      <w:bookmarkEnd w:id="311"/>
    </w:p>
    <w:p w14:paraId="321BA221">
      <w:pPr>
        <w:keepNext w:val="0"/>
        <w:keepLines w:val="0"/>
        <w:pageBreakBefore w:val="0"/>
        <w:kinsoku/>
        <w:bidi w:val="0"/>
        <w:spacing w:before="65" w:line="227" w:lineRule="auto"/>
        <w:ind w:left="80"/>
        <w:rPr>
          <w:rFonts w:ascii="宋体" w:hAnsi="宋体" w:eastAsia="宋体" w:cs="宋体"/>
          <w:color w:val="auto"/>
          <w:spacing w:val="0"/>
          <w:w w:val="100"/>
          <w:position w:val="0"/>
          <w:sz w:val="20"/>
          <w:szCs w:val="20"/>
          <w:highlight w:val="none"/>
        </w:rPr>
      </w:pPr>
    </w:p>
    <w:p w14:paraId="6FF01D43">
      <w:pPr>
        <w:keepNext w:val="0"/>
        <w:keepLines w:val="0"/>
        <w:pageBreakBefore w:val="0"/>
        <w:kinsoku/>
        <w:bidi w:val="0"/>
        <w:rPr>
          <w:rFonts w:hint="eastAsia" w:ascii="宋体" w:hAnsi="宋体" w:eastAsia="宋体" w:cs="宋体"/>
          <w:b/>
          <w:bCs/>
          <w:color w:val="auto"/>
          <w:spacing w:val="0"/>
          <w:w w:val="100"/>
          <w:position w:val="0"/>
          <w:sz w:val="30"/>
          <w:szCs w:val="30"/>
          <w:highlight w:val="none"/>
          <w:lang w:eastAsia="zh-CN"/>
        </w:rPr>
      </w:pPr>
      <w:r>
        <w:rPr>
          <w:rFonts w:hint="eastAsia" w:ascii="宋体" w:hAnsi="宋体" w:eastAsia="宋体" w:cs="宋体"/>
          <w:b/>
          <w:bCs/>
          <w:color w:val="auto"/>
          <w:spacing w:val="0"/>
          <w:w w:val="100"/>
          <w:position w:val="0"/>
          <w:sz w:val="30"/>
          <w:szCs w:val="30"/>
          <w:highlight w:val="none"/>
          <w:lang w:eastAsia="zh-CN"/>
        </w:rPr>
        <w:br w:type="page"/>
      </w:r>
    </w:p>
    <w:p w14:paraId="29F4F42F">
      <w:pPr>
        <w:keepNext w:val="0"/>
        <w:keepLines w:val="0"/>
        <w:pageBreakBefore w:val="0"/>
        <w:kinsoku/>
        <w:bidi w:val="0"/>
        <w:spacing w:before="98" w:line="219" w:lineRule="auto"/>
        <w:outlineLvl w:val="1"/>
        <w:rPr>
          <w:rFonts w:hint="eastAsia" w:ascii="宋体" w:hAnsi="宋体" w:eastAsia="宋体" w:cs="宋体"/>
          <w:b/>
          <w:bCs/>
          <w:color w:val="auto"/>
          <w:spacing w:val="0"/>
          <w:w w:val="100"/>
          <w:position w:val="0"/>
          <w:sz w:val="30"/>
          <w:szCs w:val="30"/>
          <w:highlight w:val="none"/>
          <w:lang w:eastAsia="zh-CN"/>
        </w:rPr>
      </w:pPr>
      <w:bookmarkStart w:id="312" w:name="_Toc27252"/>
      <w:bookmarkStart w:id="313" w:name="_Toc15358"/>
      <w:bookmarkStart w:id="314" w:name="_Toc18511"/>
      <w:bookmarkStart w:id="315" w:name="_Toc15394"/>
      <w:bookmarkStart w:id="316" w:name="_Toc3624"/>
      <w:r>
        <w:rPr>
          <w:rFonts w:hint="eastAsia" w:ascii="宋体" w:hAnsi="宋体" w:eastAsia="宋体" w:cs="宋体"/>
          <w:b/>
          <w:bCs/>
          <w:color w:val="auto"/>
          <w:spacing w:val="0"/>
          <w:w w:val="100"/>
          <w:position w:val="0"/>
          <w:sz w:val="30"/>
          <w:szCs w:val="30"/>
          <w:highlight w:val="none"/>
          <w:lang w:eastAsia="zh-CN"/>
        </w:rPr>
        <w:t>附表10：定标阶段价格因素详细审查评分表</w:t>
      </w:r>
      <w:bookmarkEnd w:id="312"/>
      <w:bookmarkEnd w:id="313"/>
      <w:bookmarkEnd w:id="314"/>
      <w:bookmarkEnd w:id="315"/>
      <w:bookmarkEnd w:id="316"/>
    </w:p>
    <w:p w14:paraId="765665FA">
      <w:pPr>
        <w:keepNext w:val="0"/>
        <w:keepLines w:val="0"/>
        <w:pageBreakBefore w:val="0"/>
        <w:widowControl/>
        <w:kinsoku/>
        <w:wordWrap/>
        <w:overflowPunct/>
        <w:topLinePunct w:val="0"/>
        <w:autoSpaceDE w:val="0"/>
        <w:autoSpaceDN w:val="0"/>
        <w:bidi w:val="0"/>
        <w:adjustRightInd w:val="0"/>
        <w:snapToGrid w:val="0"/>
        <w:spacing w:before="293" w:line="219" w:lineRule="auto"/>
        <w:jc w:val="center"/>
        <w:textAlignment w:val="baseline"/>
        <w:outlineLvl w:val="9"/>
        <w:rPr>
          <w:rFonts w:ascii="宋体" w:hAnsi="宋体" w:eastAsia="宋体" w:cs="宋体"/>
          <w:color w:val="auto"/>
          <w:spacing w:val="0"/>
          <w:w w:val="100"/>
          <w:position w:val="0"/>
          <w:sz w:val="30"/>
          <w:szCs w:val="30"/>
          <w:highlight w:val="none"/>
          <w:lang w:eastAsia="zh-CN"/>
        </w:rPr>
      </w:pPr>
      <w:bookmarkStart w:id="317" w:name="_Toc384"/>
      <w:r>
        <w:rPr>
          <w:rFonts w:ascii="宋体" w:hAnsi="宋体" w:eastAsia="宋体" w:cs="宋体"/>
          <w:b/>
          <w:bCs/>
          <w:color w:val="auto"/>
          <w:spacing w:val="0"/>
          <w:w w:val="100"/>
          <w:position w:val="0"/>
          <w:sz w:val="30"/>
          <w:szCs w:val="30"/>
          <w:highlight w:val="none"/>
          <w:lang w:eastAsia="zh-CN"/>
        </w:rPr>
        <w:t>定标阶段价格因素详细审查评分表</w:t>
      </w:r>
      <w:bookmarkEnd w:id="317"/>
    </w:p>
    <w:p w14:paraId="6B930DDF">
      <w:pPr>
        <w:keepNext w:val="0"/>
        <w:keepLines w:val="0"/>
        <w:pageBreakBefore w:val="0"/>
        <w:kinsoku/>
        <w:bidi w:val="0"/>
        <w:spacing w:line="116" w:lineRule="exact"/>
        <w:rPr>
          <w:color w:val="auto"/>
          <w:spacing w:val="0"/>
          <w:w w:val="100"/>
          <w:position w:val="0"/>
          <w:highlight w:val="none"/>
          <w:lang w:eastAsia="zh-CN"/>
        </w:rPr>
      </w:pPr>
    </w:p>
    <w:tbl>
      <w:tblPr>
        <w:tblStyle w:val="19"/>
        <w:tblW w:w="143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7"/>
        <w:gridCol w:w="732"/>
        <w:gridCol w:w="1007"/>
        <w:gridCol w:w="1008"/>
        <w:gridCol w:w="1007"/>
        <w:gridCol w:w="1006"/>
        <w:gridCol w:w="1007"/>
        <w:gridCol w:w="1007"/>
        <w:gridCol w:w="1007"/>
        <w:gridCol w:w="1007"/>
        <w:gridCol w:w="1007"/>
        <w:gridCol w:w="1007"/>
        <w:gridCol w:w="1037"/>
      </w:tblGrid>
      <w:tr w14:paraId="18671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557" w:type="dxa"/>
            <w:vAlign w:val="center"/>
          </w:tcPr>
          <w:p w14:paraId="09CA109C">
            <w:pPr>
              <w:pStyle w:val="20"/>
              <w:keepNext w:val="0"/>
              <w:keepLines w:val="0"/>
              <w:pageBreakBefore w:val="0"/>
              <w:kinsoku/>
              <w:bidi w:val="0"/>
              <w:spacing w:before="65" w:line="228" w:lineRule="auto"/>
              <w:ind w:left="118"/>
              <w:jc w:val="center"/>
              <w:rPr>
                <w:color w:val="auto"/>
                <w:spacing w:val="0"/>
                <w:w w:val="100"/>
                <w:position w:val="0"/>
                <w:highlight w:val="none"/>
              </w:rPr>
            </w:pPr>
            <w:r>
              <w:rPr>
                <w:color w:val="auto"/>
                <w:spacing w:val="0"/>
                <w:w w:val="100"/>
                <w:position w:val="0"/>
                <w:highlight w:val="none"/>
              </w:rPr>
              <w:t>投标人名称</w:t>
            </w:r>
          </w:p>
        </w:tc>
        <w:tc>
          <w:tcPr>
            <w:tcW w:w="732" w:type="dxa"/>
            <w:vAlign w:val="center"/>
          </w:tcPr>
          <w:p w14:paraId="27EBD41D">
            <w:pPr>
              <w:keepNext w:val="0"/>
              <w:keepLines w:val="0"/>
              <w:pageBreakBefore w:val="0"/>
              <w:kinsoku/>
              <w:bidi w:val="0"/>
              <w:jc w:val="center"/>
              <w:rPr>
                <w:color w:val="auto"/>
                <w:spacing w:val="0"/>
                <w:w w:val="100"/>
                <w:position w:val="0"/>
                <w:highlight w:val="none"/>
              </w:rPr>
            </w:pPr>
          </w:p>
        </w:tc>
        <w:tc>
          <w:tcPr>
            <w:tcW w:w="1007" w:type="dxa"/>
            <w:vAlign w:val="center"/>
          </w:tcPr>
          <w:p w14:paraId="1D353328">
            <w:pPr>
              <w:keepNext w:val="0"/>
              <w:keepLines w:val="0"/>
              <w:pageBreakBefore w:val="0"/>
              <w:kinsoku/>
              <w:bidi w:val="0"/>
              <w:jc w:val="center"/>
              <w:rPr>
                <w:color w:val="auto"/>
                <w:spacing w:val="0"/>
                <w:w w:val="100"/>
                <w:position w:val="0"/>
                <w:highlight w:val="none"/>
              </w:rPr>
            </w:pPr>
          </w:p>
        </w:tc>
        <w:tc>
          <w:tcPr>
            <w:tcW w:w="1008" w:type="dxa"/>
            <w:vAlign w:val="center"/>
          </w:tcPr>
          <w:p w14:paraId="1CF8381C">
            <w:pPr>
              <w:keepNext w:val="0"/>
              <w:keepLines w:val="0"/>
              <w:pageBreakBefore w:val="0"/>
              <w:kinsoku/>
              <w:bidi w:val="0"/>
              <w:jc w:val="center"/>
              <w:rPr>
                <w:color w:val="auto"/>
                <w:spacing w:val="0"/>
                <w:w w:val="100"/>
                <w:position w:val="0"/>
                <w:highlight w:val="none"/>
              </w:rPr>
            </w:pPr>
          </w:p>
        </w:tc>
        <w:tc>
          <w:tcPr>
            <w:tcW w:w="1007" w:type="dxa"/>
            <w:vAlign w:val="center"/>
          </w:tcPr>
          <w:p w14:paraId="798D54F2">
            <w:pPr>
              <w:keepNext w:val="0"/>
              <w:keepLines w:val="0"/>
              <w:pageBreakBefore w:val="0"/>
              <w:kinsoku/>
              <w:bidi w:val="0"/>
              <w:jc w:val="center"/>
              <w:rPr>
                <w:color w:val="auto"/>
                <w:spacing w:val="0"/>
                <w:w w:val="100"/>
                <w:position w:val="0"/>
                <w:highlight w:val="none"/>
              </w:rPr>
            </w:pPr>
          </w:p>
        </w:tc>
        <w:tc>
          <w:tcPr>
            <w:tcW w:w="1006" w:type="dxa"/>
            <w:vAlign w:val="center"/>
          </w:tcPr>
          <w:p w14:paraId="3E00D2C2">
            <w:pPr>
              <w:keepNext w:val="0"/>
              <w:keepLines w:val="0"/>
              <w:pageBreakBefore w:val="0"/>
              <w:kinsoku/>
              <w:bidi w:val="0"/>
              <w:jc w:val="center"/>
              <w:rPr>
                <w:color w:val="auto"/>
                <w:spacing w:val="0"/>
                <w:w w:val="100"/>
                <w:position w:val="0"/>
                <w:highlight w:val="none"/>
              </w:rPr>
            </w:pPr>
          </w:p>
        </w:tc>
        <w:tc>
          <w:tcPr>
            <w:tcW w:w="1007" w:type="dxa"/>
            <w:vAlign w:val="center"/>
          </w:tcPr>
          <w:p w14:paraId="40A22648">
            <w:pPr>
              <w:keepNext w:val="0"/>
              <w:keepLines w:val="0"/>
              <w:pageBreakBefore w:val="0"/>
              <w:kinsoku/>
              <w:bidi w:val="0"/>
              <w:jc w:val="center"/>
              <w:rPr>
                <w:color w:val="auto"/>
                <w:spacing w:val="0"/>
                <w:w w:val="100"/>
                <w:position w:val="0"/>
                <w:highlight w:val="none"/>
              </w:rPr>
            </w:pPr>
          </w:p>
        </w:tc>
        <w:tc>
          <w:tcPr>
            <w:tcW w:w="1007" w:type="dxa"/>
            <w:vAlign w:val="center"/>
          </w:tcPr>
          <w:p w14:paraId="27A36EC6">
            <w:pPr>
              <w:keepNext w:val="0"/>
              <w:keepLines w:val="0"/>
              <w:pageBreakBefore w:val="0"/>
              <w:kinsoku/>
              <w:bidi w:val="0"/>
              <w:jc w:val="center"/>
              <w:rPr>
                <w:color w:val="auto"/>
                <w:spacing w:val="0"/>
                <w:w w:val="100"/>
                <w:position w:val="0"/>
                <w:highlight w:val="none"/>
              </w:rPr>
            </w:pPr>
          </w:p>
        </w:tc>
        <w:tc>
          <w:tcPr>
            <w:tcW w:w="1007" w:type="dxa"/>
            <w:vAlign w:val="center"/>
          </w:tcPr>
          <w:p w14:paraId="43DD7ADF">
            <w:pPr>
              <w:keepNext w:val="0"/>
              <w:keepLines w:val="0"/>
              <w:pageBreakBefore w:val="0"/>
              <w:kinsoku/>
              <w:bidi w:val="0"/>
              <w:jc w:val="center"/>
              <w:rPr>
                <w:color w:val="auto"/>
                <w:spacing w:val="0"/>
                <w:w w:val="100"/>
                <w:position w:val="0"/>
                <w:highlight w:val="none"/>
              </w:rPr>
            </w:pPr>
          </w:p>
        </w:tc>
        <w:tc>
          <w:tcPr>
            <w:tcW w:w="1007" w:type="dxa"/>
            <w:vAlign w:val="center"/>
          </w:tcPr>
          <w:p w14:paraId="22BF87CB">
            <w:pPr>
              <w:keepNext w:val="0"/>
              <w:keepLines w:val="0"/>
              <w:pageBreakBefore w:val="0"/>
              <w:kinsoku/>
              <w:bidi w:val="0"/>
              <w:jc w:val="center"/>
              <w:rPr>
                <w:color w:val="auto"/>
                <w:spacing w:val="0"/>
                <w:w w:val="100"/>
                <w:position w:val="0"/>
                <w:highlight w:val="none"/>
              </w:rPr>
            </w:pPr>
          </w:p>
        </w:tc>
        <w:tc>
          <w:tcPr>
            <w:tcW w:w="1007" w:type="dxa"/>
            <w:vAlign w:val="center"/>
          </w:tcPr>
          <w:p w14:paraId="28C934DD">
            <w:pPr>
              <w:keepNext w:val="0"/>
              <w:keepLines w:val="0"/>
              <w:pageBreakBefore w:val="0"/>
              <w:kinsoku/>
              <w:bidi w:val="0"/>
              <w:jc w:val="center"/>
              <w:rPr>
                <w:color w:val="auto"/>
                <w:spacing w:val="0"/>
                <w:w w:val="100"/>
                <w:position w:val="0"/>
                <w:highlight w:val="none"/>
              </w:rPr>
            </w:pPr>
          </w:p>
        </w:tc>
        <w:tc>
          <w:tcPr>
            <w:tcW w:w="1007" w:type="dxa"/>
            <w:vAlign w:val="center"/>
          </w:tcPr>
          <w:p w14:paraId="49FDCC04">
            <w:pPr>
              <w:keepNext w:val="0"/>
              <w:keepLines w:val="0"/>
              <w:pageBreakBefore w:val="0"/>
              <w:kinsoku/>
              <w:bidi w:val="0"/>
              <w:jc w:val="center"/>
              <w:rPr>
                <w:color w:val="auto"/>
                <w:spacing w:val="0"/>
                <w:w w:val="100"/>
                <w:position w:val="0"/>
                <w:highlight w:val="none"/>
              </w:rPr>
            </w:pPr>
          </w:p>
        </w:tc>
        <w:tc>
          <w:tcPr>
            <w:tcW w:w="1037" w:type="dxa"/>
            <w:vAlign w:val="center"/>
          </w:tcPr>
          <w:p w14:paraId="2888851B">
            <w:pPr>
              <w:keepNext w:val="0"/>
              <w:keepLines w:val="0"/>
              <w:pageBreakBefore w:val="0"/>
              <w:kinsoku/>
              <w:bidi w:val="0"/>
              <w:jc w:val="center"/>
              <w:rPr>
                <w:color w:val="auto"/>
                <w:spacing w:val="0"/>
                <w:w w:val="100"/>
                <w:position w:val="0"/>
                <w:highlight w:val="none"/>
              </w:rPr>
            </w:pPr>
          </w:p>
        </w:tc>
      </w:tr>
      <w:tr w14:paraId="6743F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557" w:type="dxa"/>
            <w:vAlign w:val="center"/>
          </w:tcPr>
          <w:p w14:paraId="2E233DDC">
            <w:pPr>
              <w:pStyle w:val="20"/>
              <w:keepNext w:val="0"/>
              <w:keepLines w:val="0"/>
              <w:pageBreakBefore w:val="0"/>
              <w:kinsoku/>
              <w:bidi w:val="0"/>
              <w:spacing w:before="65" w:line="228" w:lineRule="auto"/>
              <w:ind w:left="118"/>
              <w:jc w:val="center"/>
              <w:rPr>
                <w:color w:val="auto"/>
                <w:spacing w:val="0"/>
                <w:w w:val="100"/>
                <w:position w:val="0"/>
                <w:highlight w:val="none"/>
                <w:lang w:eastAsia="zh-CN"/>
              </w:rPr>
            </w:pPr>
            <w:r>
              <w:rPr>
                <w:color w:val="auto"/>
                <w:spacing w:val="0"/>
                <w:w w:val="100"/>
                <w:position w:val="0"/>
                <w:highlight w:val="none"/>
                <w:lang w:eastAsia="zh-CN"/>
              </w:rPr>
              <w:t>工程施工费投标报价PT</w:t>
            </w:r>
          </w:p>
          <w:p w14:paraId="45642CA1">
            <w:pPr>
              <w:pStyle w:val="20"/>
              <w:keepNext w:val="0"/>
              <w:keepLines w:val="0"/>
              <w:pageBreakBefore w:val="0"/>
              <w:kinsoku/>
              <w:bidi w:val="0"/>
              <w:spacing w:before="65" w:line="228" w:lineRule="auto"/>
              <w:ind w:left="118"/>
              <w:jc w:val="center"/>
              <w:rPr>
                <w:color w:val="auto"/>
                <w:spacing w:val="0"/>
                <w:w w:val="100"/>
                <w:position w:val="0"/>
                <w:highlight w:val="none"/>
                <w:lang w:eastAsia="zh-CN"/>
              </w:rPr>
            </w:pPr>
            <w:r>
              <w:rPr>
                <w:color w:val="auto"/>
                <w:spacing w:val="0"/>
                <w:w w:val="100"/>
                <w:position w:val="0"/>
                <w:highlight w:val="none"/>
                <w:lang w:eastAsia="zh-CN"/>
              </w:rPr>
              <w:t>（元）</w:t>
            </w:r>
          </w:p>
        </w:tc>
        <w:tc>
          <w:tcPr>
            <w:tcW w:w="732" w:type="dxa"/>
            <w:vAlign w:val="center"/>
          </w:tcPr>
          <w:p w14:paraId="2F11047D">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3AE60DBF">
            <w:pPr>
              <w:keepNext w:val="0"/>
              <w:keepLines w:val="0"/>
              <w:pageBreakBefore w:val="0"/>
              <w:kinsoku/>
              <w:bidi w:val="0"/>
              <w:jc w:val="center"/>
              <w:rPr>
                <w:color w:val="auto"/>
                <w:spacing w:val="0"/>
                <w:w w:val="100"/>
                <w:position w:val="0"/>
                <w:highlight w:val="none"/>
                <w:lang w:eastAsia="zh-CN"/>
              </w:rPr>
            </w:pPr>
          </w:p>
        </w:tc>
        <w:tc>
          <w:tcPr>
            <w:tcW w:w="1008" w:type="dxa"/>
            <w:vAlign w:val="center"/>
          </w:tcPr>
          <w:p w14:paraId="26AA262A">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6886E190">
            <w:pPr>
              <w:keepNext w:val="0"/>
              <w:keepLines w:val="0"/>
              <w:pageBreakBefore w:val="0"/>
              <w:kinsoku/>
              <w:bidi w:val="0"/>
              <w:jc w:val="center"/>
              <w:rPr>
                <w:color w:val="auto"/>
                <w:spacing w:val="0"/>
                <w:w w:val="100"/>
                <w:position w:val="0"/>
                <w:highlight w:val="none"/>
                <w:lang w:eastAsia="zh-CN"/>
              </w:rPr>
            </w:pPr>
          </w:p>
        </w:tc>
        <w:tc>
          <w:tcPr>
            <w:tcW w:w="1006" w:type="dxa"/>
            <w:vAlign w:val="center"/>
          </w:tcPr>
          <w:p w14:paraId="19883605">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198D1617">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549533A4">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7AEAF8C2">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2356370B">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3D8A718B">
            <w:pPr>
              <w:keepNext w:val="0"/>
              <w:keepLines w:val="0"/>
              <w:pageBreakBefore w:val="0"/>
              <w:kinsoku/>
              <w:bidi w:val="0"/>
              <w:jc w:val="center"/>
              <w:rPr>
                <w:color w:val="auto"/>
                <w:spacing w:val="0"/>
                <w:w w:val="100"/>
                <w:position w:val="0"/>
                <w:highlight w:val="none"/>
                <w:lang w:eastAsia="zh-CN"/>
              </w:rPr>
            </w:pPr>
          </w:p>
        </w:tc>
        <w:tc>
          <w:tcPr>
            <w:tcW w:w="1007" w:type="dxa"/>
            <w:vAlign w:val="center"/>
          </w:tcPr>
          <w:p w14:paraId="0332C574">
            <w:pPr>
              <w:keepNext w:val="0"/>
              <w:keepLines w:val="0"/>
              <w:pageBreakBefore w:val="0"/>
              <w:kinsoku/>
              <w:bidi w:val="0"/>
              <w:jc w:val="center"/>
              <w:rPr>
                <w:color w:val="auto"/>
                <w:spacing w:val="0"/>
                <w:w w:val="100"/>
                <w:position w:val="0"/>
                <w:highlight w:val="none"/>
                <w:lang w:eastAsia="zh-CN"/>
              </w:rPr>
            </w:pPr>
          </w:p>
        </w:tc>
        <w:tc>
          <w:tcPr>
            <w:tcW w:w="1037" w:type="dxa"/>
            <w:vAlign w:val="center"/>
          </w:tcPr>
          <w:p w14:paraId="4DCDB274">
            <w:pPr>
              <w:keepNext w:val="0"/>
              <w:keepLines w:val="0"/>
              <w:pageBreakBefore w:val="0"/>
              <w:kinsoku/>
              <w:bidi w:val="0"/>
              <w:jc w:val="center"/>
              <w:rPr>
                <w:color w:val="auto"/>
                <w:spacing w:val="0"/>
                <w:w w:val="100"/>
                <w:position w:val="0"/>
                <w:highlight w:val="none"/>
                <w:lang w:eastAsia="zh-CN"/>
              </w:rPr>
            </w:pPr>
          </w:p>
        </w:tc>
      </w:tr>
      <w:tr w14:paraId="2BB8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557" w:type="dxa"/>
            <w:vAlign w:val="center"/>
          </w:tcPr>
          <w:p w14:paraId="35A676A8">
            <w:pPr>
              <w:pStyle w:val="20"/>
              <w:keepNext w:val="0"/>
              <w:keepLines w:val="0"/>
              <w:pageBreakBefore w:val="0"/>
              <w:kinsoku/>
              <w:bidi w:val="0"/>
              <w:spacing w:before="65" w:line="228" w:lineRule="auto"/>
              <w:ind w:left="118"/>
              <w:jc w:val="center"/>
              <w:rPr>
                <w:color w:val="auto"/>
                <w:spacing w:val="0"/>
                <w:w w:val="100"/>
                <w:position w:val="0"/>
                <w:highlight w:val="none"/>
              </w:rPr>
            </w:pPr>
            <w:r>
              <w:rPr>
                <w:color w:val="auto"/>
                <w:spacing w:val="0"/>
                <w:w w:val="100"/>
                <w:position w:val="0"/>
                <w:highlight w:val="none"/>
              </w:rPr>
              <w:t>计算参考</w:t>
            </w:r>
            <w:r>
              <w:rPr>
                <w:rFonts w:ascii="宋体" w:hAnsi="宋体" w:eastAsia="宋体" w:cs="宋体"/>
                <w:color w:val="auto"/>
                <w:spacing w:val="0"/>
                <w:w w:val="100"/>
                <w:position w:val="0"/>
                <w:highlight w:val="none"/>
              </w:rPr>
              <w:t>数据</w:t>
            </w:r>
          </w:p>
        </w:tc>
        <w:tc>
          <w:tcPr>
            <w:tcW w:w="11839" w:type="dxa"/>
            <w:gridSpan w:val="12"/>
          </w:tcPr>
          <w:p w14:paraId="4E22E505">
            <w:pPr>
              <w:pStyle w:val="20"/>
              <w:keepNext w:val="0"/>
              <w:keepLines w:val="0"/>
              <w:pageBreakBefore w:val="0"/>
              <w:kinsoku/>
              <w:bidi w:val="0"/>
              <w:spacing w:before="269" w:line="226" w:lineRule="auto"/>
              <w:ind w:left="117"/>
              <w:rPr>
                <w:color w:val="auto"/>
                <w:spacing w:val="0"/>
                <w:w w:val="100"/>
                <w:position w:val="0"/>
                <w:highlight w:val="none"/>
                <w:lang w:eastAsia="zh-CN"/>
              </w:rPr>
            </w:pPr>
            <w:r>
              <w:rPr>
                <w:color w:val="auto"/>
                <w:spacing w:val="0"/>
                <w:w w:val="100"/>
                <w:position w:val="0"/>
                <w:highlight w:val="none"/>
                <w:lang w:eastAsia="zh-CN"/>
              </w:rPr>
              <w:t>定标参考价（PC）：</w:t>
            </w:r>
          </w:p>
        </w:tc>
      </w:tr>
      <w:tr w14:paraId="34CC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557" w:type="dxa"/>
            <w:vAlign w:val="center"/>
          </w:tcPr>
          <w:p w14:paraId="1D7345C3">
            <w:pPr>
              <w:pStyle w:val="20"/>
              <w:keepNext w:val="0"/>
              <w:keepLines w:val="0"/>
              <w:pageBreakBefore w:val="0"/>
              <w:kinsoku/>
              <w:bidi w:val="0"/>
              <w:spacing w:before="65" w:line="228" w:lineRule="auto"/>
              <w:ind w:left="118"/>
              <w:jc w:val="center"/>
              <w:rPr>
                <w:color w:val="auto"/>
                <w:spacing w:val="0"/>
                <w:w w:val="100"/>
                <w:position w:val="0"/>
                <w:highlight w:val="none"/>
              </w:rPr>
            </w:pPr>
            <w:r>
              <w:rPr>
                <w:color w:val="auto"/>
                <w:spacing w:val="0"/>
                <w:w w:val="100"/>
                <w:position w:val="0"/>
                <w:highlight w:val="none"/>
              </w:rPr>
              <w:t>偏差（（PT-PC）/PC）</w:t>
            </w:r>
          </w:p>
          <w:p w14:paraId="6C20B6BE">
            <w:pPr>
              <w:pStyle w:val="20"/>
              <w:keepNext w:val="0"/>
              <w:keepLines w:val="0"/>
              <w:pageBreakBefore w:val="0"/>
              <w:kinsoku/>
              <w:bidi w:val="0"/>
              <w:spacing w:before="65" w:line="228" w:lineRule="auto"/>
              <w:ind w:left="118"/>
              <w:jc w:val="center"/>
              <w:rPr>
                <w:color w:val="auto"/>
                <w:spacing w:val="0"/>
                <w:w w:val="100"/>
                <w:position w:val="0"/>
                <w:highlight w:val="none"/>
              </w:rPr>
            </w:pPr>
            <w:r>
              <w:rPr>
                <w:color w:val="auto"/>
                <w:spacing w:val="0"/>
                <w:w w:val="100"/>
                <w:position w:val="0"/>
                <w:highlight w:val="none"/>
              </w:rPr>
              <w:t>（%）</w:t>
            </w:r>
          </w:p>
        </w:tc>
        <w:tc>
          <w:tcPr>
            <w:tcW w:w="732" w:type="dxa"/>
            <w:vAlign w:val="center"/>
          </w:tcPr>
          <w:p w14:paraId="3E0F8C5D">
            <w:pPr>
              <w:keepNext w:val="0"/>
              <w:keepLines w:val="0"/>
              <w:pageBreakBefore w:val="0"/>
              <w:kinsoku/>
              <w:bidi w:val="0"/>
              <w:jc w:val="center"/>
              <w:rPr>
                <w:color w:val="auto"/>
                <w:spacing w:val="0"/>
                <w:w w:val="100"/>
                <w:position w:val="0"/>
                <w:highlight w:val="none"/>
              </w:rPr>
            </w:pPr>
          </w:p>
        </w:tc>
        <w:tc>
          <w:tcPr>
            <w:tcW w:w="1007" w:type="dxa"/>
            <w:vAlign w:val="center"/>
          </w:tcPr>
          <w:p w14:paraId="758890A4">
            <w:pPr>
              <w:keepNext w:val="0"/>
              <w:keepLines w:val="0"/>
              <w:pageBreakBefore w:val="0"/>
              <w:kinsoku/>
              <w:bidi w:val="0"/>
              <w:jc w:val="center"/>
              <w:rPr>
                <w:color w:val="auto"/>
                <w:spacing w:val="0"/>
                <w:w w:val="100"/>
                <w:position w:val="0"/>
                <w:highlight w:val="none"/>
              </w:rPr>
            </w:pPr>
          </w:p>
        </w:tc>
        <w:tc>
          <w:tcPr>
            <w:tcW w:w="1008" w:type="dxa"/>
            <w:vAlign w:val="center"/>
          </w:tcPr>
          <w:p w14:paraId="1321E103">
            <w:pPr>
              <w:keepNext w:val="0"/>
              <w:keepLines w:val="0"/>
              <w:pageBreakBefore w:val="0"/>
              <w:kinsoku/>
              <w:bidi w:val="0"/>
              <w:jc w:val="center"/>
              <w:rPr>
                <w:color w:val="auto"/>
                <w:spacing w:val="0"/>
                <w:w w:val="100"/>
                <w:position w:val="0"/>
                <w:highlight w:val="none"/>
              </w:rPr>
            </w:pPr>
          </w:p>
        </w:tc>
        <w:tc>
          <w:tcPr>
            <w:tcW w:w="1007" w:type="dxa"/>
            <w:vAlign w:val="center"/>
          </w:tcPr>
          <w:p w14:paraId="15C1E644">
            <w:pPr>
              <w:keepNext w:val="0"/>
              <w:keepLines w:val="0"/>
              <w:pageBreakBefore w:val="0"/>
              <w:kinsoku/>
              <w:bidi w:val="0"/>
              <w:jc w:val="center"/>
              <w:rPr>
                <w:color w:val="auto"/>
                <w:spacing w:val="0"/>
                <w:w w:val="100"/>
                <w:position w:val="0"/>
                <w:highlight w:val="none"/>
              </w:rPr>
            </w:pPr>
          </w:p>
        </w:tc>
        <w:tc>
          <w:tcPr>
            <w:tcW w:w="1006" w:type="dxa"/>
            <w:vAlign w:val="center"/>
          </w:tcPr>
          <w:p w14:paraId="4AAB7EB1">
            <w:pPr>
              <w:keepNext w:val="0"/>
              <w:keepLines w:val="0"/>
              <w:pageBreakBefore w:val="0"/>
              <w:kinsoku/>
              <w:bidi w:val="0"/>
              <w:jc w:val="center"/>
              <w:rPr>
                <w:color w:val="auto"/>
                <w:spacing w:val="0"/>
                <w:w w:val="100"/>
                <w:position w:val="0"/>
                <w:highlight w:val="none"/>
              </w:rPr>
            </w:pPr>
          </w:p>
        </w:tc>
        <w:tc>
          <w:tcPr>
            <w:tcW w:w="1007" w:type="dxa"/>
            <w:vAlign w:val="center"/>
          </w:tcPr>
          <w:p w14:paraId="30282AC9">
            <w:pPr>
              <w:keepNext w:val="0"/>
              <w:keepLines w:val="0"/>
              <w:pageBreakBefore w:val="0"/>
              <w:kinsoku/>
              <w:bidi w:val="0"/>
              <w:jc w:val="center"/>
              <w:rPr>
                <w:color w:val="auto"/>
                <w:spacing w:val="0"/>
                <w:w w:val="100"/>
                <w:position w:val="0"/>
                <w:highlight w:val="none"/>
              </w:rPr>
            </w:pPr>
          </w:p>
        </w:tc>
        <w:tc>
          <w:tcPr>
            <w:tcW w:w="1007" w:type="dxa"/>
            <w:vAlign w:val="center"/>
          </w:tcPr>
          <w:p w14:paraId="0FFE3CBC">
            <w:pPr>
              <w:keepNext w:val="0"/>
              <w:keepLines w:val="0"/>
              <w:pageBreakBefore w:val="0"/>
              <w:kinsoku/>
              <w:bidi w:val="0"/>
              <w:jc w:val="center"/>
              <w:rPr>
                <w:color w:val="auto"/>
                <w:spacing w:val="0"/>
                <w:w w:val="100"/>
                <w:position w:val="0"/>
                <w:highlight w:val="none"/>
              </w:rPr>
            </w:pPr>
          </w:p>
        </w:tc>
        <w:tc>
          <w:tcPr>
            <w:tcW w:w="1007" w:type="dxa"/>
            <w:vAlign w:val="center"/>
          </w:tcPr>
          <w:p w14:paraId="276CB85D">
            <w:pPr>
              <w:keepNext w:val="0"/>
              <w:keepLines w:val="0"/>
              <w:pageBreakBefore w:val="0"/>
              <w:kinsoku/>
              <w:bidi w:val="0"/>
              <w:jc w:val="center"/>
              <w:rPr>
                <w:color w:val="auto"/>
                <w:spacing w:val="0"/>
                <w:w w:val="100"/>
                <w:position w:val="0"/>
                <w:highlight w:val="none"/>
              </w:rPr>
            </w:pPr>
          </w:p>
        </w:tc>
        <w:tc>
          <w:tcPr>
            <w:tcW w:w="1007" w:type="dxa"/>
            <w:vAlign w:val="center"/>
          </w:tcPr>
          <w:p w14:paraId="10E986E1">
            <w:pPr>
              <w:keepNext w:val="0"/>
              <w:keepLines w:val="0"/>
              <w:pageBreakBefore w:val="0"/>
              <w:kinsoku/>
              <w:bidi w:val="0"/>
              <w:jc w:val="center"/>
              <w:rPr>
                <w:color w:val="auto"/>
                <w:spacing w:val="0"/>
                <w:w w:val="100"/>
                <w:position w:val="0"/>
                <w:highlight w:val="none"/>
              </w:rPr>
            </w:pPr>
          </w:p>
        </w:tc>
        <w:tc>
          <w:tcPr>
            <w:tcW w:w="1007" w:type="dxa"/>
            <w:vAlign w:val="center"/>
          </w:tcPr>
          <w:p w14:paraId="69E816F7">
            <w:pPr>
              <w:keepNext w:val="0"/>
              <w:keepLines w:val="0"/>
              <w:pageBreakBefore w:val="0"/>
              <w:kinsoku/>
              <w:bidi w:val="0"/>
              <w:jc w:val="center"/>
              <w:rPr>
                <w:color w:val="auto"/>
                <w:spacing w:val="0"/>
                <w:w w:val="100"/>
                <w:position w:val="0"/>
                <w:highlight w:val="none"/>
              </w:rPr>
            </w:pPr>
          </w:p>
        </w:tc>
        <w:tc>
          <w:tcPr>
            <w:tcW w:w="1007" w:type="dxa"/>
            <w:vAlign w:val="center"/>
          </w:tcPr>
          <w:p w14:paraId="07C5E889">
            <w:pPr>
              <w:keepNext w:val="0"/>
              <w:keepLines w:val="0"/>
              <w:pageBreakBefore w:val="0"/>
              <w:kinsoku/>
              <w:bidi w:val="0"/>
              <w:jc w:val="center"/>
              <w:rPr>
                <w:color w:val="auto"/>
                <w:spacing w:val="0"/>
                <w:w w:val="100"/>
                <w:position w:val="0"/>
                <w:highlight w:val="none"/>
              </w:rPr>
            </w:pPr>
          </w:p>
        </w:tc>
        <w:tc>
          <w:tcPr>
            <w:tcW w:w="1037" w:type="dxa"/>
            <w:vAlign w:val="center"/>
          </w:tcPr>
          <w:p w14:paraId="4E768B56">
            <w:pPr>
              <w:keepNext w:val="0"/>
              <w:keepLines w:val="0"/>
              <w:pageBreakBefore w:val="0"/>
              <w:kinsoku/>
              <w:bidi w:val="0"/>
              <w:jc w:val="center"/>
              <w:rPr>
                <w:color w:val="auto"/>
                <w:spacing w:val="0"/>
                <w:w w:val="100"/>
                <w:position w:val="0"/>
                <w:highlight w:val="none"/>
              </w:rPr>
            </w:pPr>
          </w:p>
        </w:tc>
      </w:tr>
      <w:tr w14:paraId="4856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557" w:type="dxa"/>
            <w:vAlign w:val="center"/>
          </w:tcPr>
          <w:p w14:paraId="1C7CC888">
            <w:pPr>
              <w:pStyle w:val="20"/>
              <w:keepNext w:val="0"/>
              <w:keepLines w:val="0"/>
              <w:pageBreakBefore w:val="0"/>
              <w:kinsoku/>
              <w:bidi w:val="0"/>
              <w:spacing w:before="65" w:line="228" w:lineRule="auto"/>
              <w:ind w:left="118"/>
              <w:jc w:val="center"/>
              <w:rPr>
                <w:color w:val="auto"/>
                <w:spacing w:val="0"/>
                <w:w w:val="100"/>
                <w:position w:val="0"/>
                <w:highlight w:val="none"/>
              </w:rPr>
            </w:pPr>
            <w:r>
              <w:rPr>
                <w:color w:val="auto"/>
                <w:spacing w:val="0"/>
                <w:w w:val="100"/>
                <w:position w:val="0"/>
                <w:highlight w:val="none"/>
              </w:rPr>
              <w:t>减分（A）</w:t>
            </w:r>
          </w:p>
        </w:tc>
        <w:tc>
          <w:tcPr>
            <w:tcW w:w="732" w:type="dxa"/>
            <w:vAlign w:val="center"/>
          </w:tcPr>
          <w:p w14:paraId="7A25D9BA">
            <w:pPr>
              <w:keepNext w:val="0"/>
              <w:keepLines w:val="0"/>
              <w:pageBreakBefore w:val="0"/>
              <w:kinsoku/>
              <w:bidi w:val="0"/>
              <w:jc w:val="center"/>
              <w:rPr>
                <w:color w:val="auto"/>
                <w:spacing w:val="0"/>
                <w:w w:val="100"/>
                <w:position w:val="0"/>
                <w:highlight w:val="none"/>
              </w:rPr>
            </w:pPr>
          </w:p>
        </w:tc>
        <w:tc>
          <w:tcPr>
            <w:tcW w:w="1007" w:type="dxa"/>
            <w:vAlign w:val="center"/>
          </w:tcPr>
          <w:p w14:paraId="191EA9FC">
            <w:pPr>
              <w:keepNext w:val="0"/>
              <w:keepLines w:val="0"/>
              <w:pageBreakBefore w:val="0"/>
              <w:kinsoku/>
              <w:bidi w:val="0"/>
              <w:jc w:val="center"/>
              <w:rPr>
                <w:color w:val="auto"/>
                <w:spacing w:val="0"/>
                <w:w w:val="100"/>
                <w:position w:val="0"/>
                <w:highlight w:val="none"/>
              </w:rPr>
            </w:pPr>
          </w:p>
        </w:tc>
        <w:tc>
          <w:tcPr>
            <w:tcW w:w="1008" w:type="dxa"/>
            <w:vAlign w:val="center"/>
          </w:tcPr>
          <w:p w14:paraId="486BF44D">
            <w:pPr>
              <w:keepNext w:val="0"/>
              <w:keepLines w:val="0"/>
              <w:pageBreakBefore w:val="0"/>
              <w:kinsoku/>
              <w:bidi w:val="0"/>
              <w:jc w:val="center"/>
              <w:rPr>
                <w:color w:val="auto"/>
                <w:spacing w:val="0"/>
                <w:w w:val="100"/>
                <w:position w:val="0"/>
                <w:highlight w:val="none"/>
              </w:rPr>
            </w:pPr>
          </w:p>
        </w:tc>
        <w:tc>
          <w:tcPr>
            <w:tcW w:w="1007" w:type="dxa"/>
            <w:vAlign w:val="center"/>
          </w:tcPr>
          <w:p w14:paraId="7087F9F3">
            <w:pPr>
              <w:keepNext w:val="0"/>
              <w:keepLines w:val="0"/>
              <w:pageBreakBefore w:val="0"/>
              <w:kinsoku/>
              <w:bidi w:val="0"/>
              <w:jc w:val="center"/>
              <w:rPr>
                <w:color w:val="auto"/>
                <w:spacing w:val="0"/>
                <w:w w:val="100"/>
                <w:position w:val="0"/>
                <w:highlight w:val="none"/>
              </w:rPr>
            </w:pPr>
          </w:p>
        </w:tc>
        <w:tc>
          <w:tcPr>
            <w:tcW w:w="1006" w:type="dxa"/>
            <w:vAlign w:val="center"/>
          </w:tcPr>
          <w:p w14:paraId="2B8CC029">
            <w:pPr>
              <w:keepNext w:val="0"/>
              <w:keepLines w:val="0"/>
              <w:pageBreakBefore w:val="0"/>
              <w:kinsoku/>
              <w:bidi w:val="0"/>
              <w:jc w:val="center"/>
              <w:rPr>
                <w:color w:val="auto"/>
                <w:spacing w:val="0"/>
                <w:w w:val="100"/>
                <w:position w:val="0"/>
                <w:highlight w:val="none"/>
              </w:rPr>
            </w:pPr>
          </w:p>
        </w:tc>
        <w:tc>
          <w:tcPr>
            <w:tcW w:w="1007" w:type="dxa"/>
            <w:vAlign w:val="center"/>
          </w:tcPr>
          <w:p w14:paraId="51B4B97D">
            <w:pPr>
              <w:keepNext w:val="0"/>
              <w:keepLines w:val="0"/>
              <w:pageBreakBefore w:val="0"/>
              <w:kinsoku/>
              <w:bidi w:val="0"/>
              <w:jc w:val="center"/>
              <w:rPr>
                <w:color w:val="auto"/>
                <w:spacing w:val="0"/>
                <w:w w:val="100"/>
                <w:position w:val="0"/>
                <w:highlight w:val="none"/>
              </w:rPr>
            </w:pPr>
          </w:p>
        </w:tc>
        <w:tc>
          <w:tcPr>
            <w:tcW w:w="1007" w:type="dxa"/>
            <w:vAlign w:val="center"/>
          </w:tcPr>
          <w:p w14:paraId="1D3CCD06">
            <w:pPr>
              <w:keepNext w:val="0"/>
              <w:keepLines w:val="0"/>
              <w:pageBreakBefore w:val="0"/>
              <w:kinsoku/>
              <w:bidi w:val="0"/>
              <w:jc w:val="center"/>
              <w:rPr>
                <w:color w:val="auto"/>
                <w:spacing w:val="0"/>
                <w:w w:val="100"/>
                <w:position w:val="0"/>
                <w:highlight w:val="none"/>
              </w:rPr>
            </w:pPr>
          </w:p>
        </w:tc>
        <w:tc>
          <w:tcPr>
            <w:tcW w:w="1007" w:type="dxa"/>
            <w:vAlign w:val="center"/>
          </w:tcPr>
          <w:p w14:paraId="40922623">
            <w:pPr>
              <w:keepNext w:val="0"/>
              <w:keepLines w:val="0"/>
              <w:pageBreakBefore w:val="0"/>
              <w:kinsoku/>
              <w:bidi w:val="0"/>
              <w:jc w:val="center"/>
              <w:rPr>
                <w:color w:val="auto"/>
                <w:spacing w:val="0"/>
                <w:w w:val="100"/>
                <w:position w:val="0"/>
                <w:highlight w:val="none"/>
              </w:rPr>
            </w:pPr>
          </w:p>
        </w:tc>
        <w:tc>
          <w:tcPr>
            <w:tcW w:w="1007" w:type="dxa"/>
            <w:vAlign w:val="center"/>
          </w:tcPr>
          <w:p w14:paraId="41CDE714">
            <w:pPr>
              <w:keepNext w:val="0"/>
              <w:keepLines w:val="0"/>
              <w:pageBreakBefore w:val="0"/>
              <w:kinsoku/>
              <w:bidi w:val="0"/>
              <w:jc w:val="center"/>
              <w:rPr>
                <w:color w:val="auto"/>
                <w:spacing w:val="0"/>
                <w:w w:val="100"/>
                <w:position w:val="0"/>
                <w:highlight w:val="none"/>
              </w:rPr>
            </w:pPr>
          </w:p>
        </w:tc>
        <w:tc>
          <w:tcPr>
            <w:tcW w:w="1007" w:type="dxa"/>
            <w:vAlign w:val="center"/>
          </w:tcPr>
          <w:p w14:paraId="1326C65B">
            <w:pPr>
              <w:keepNext w:val="0"/>
              <w:keepLines w:val="0"/>
              <w:pageBreakBefore w:val="0"/>
              <w:kinsoku/>
              <w:bidi w:val="0"/>
              <w:jc w:val="center"/>
              <w:rPr>
                <w:color w:val="auto"/>
                <w:spacing w:val="0"/>
                <w:w w:val="100"/>
                <w:position w:val="0"/>
                <w:highlight w:val="none"/>
              </w:rPr>
            </w:pPr>
          </w:p>
        </w:tc>
        <w:tc>
          <w:tcPr>
            <w:tcW w:w="1007" w:type="dxa"/>
            <w:vAlign w:val="center"/>
          </w:tcPr>
          <w:p w14:paraId="51944D9A">
            <w:pPr>
              <w:keepNext w:val="0"/>
              <w:keepLines w:val="0"/>
              <w:pageBreakBefore w:val="0"/>
              <w:kinsoku/>
              <w:bidi w:val="0"/>
              <w:jc w:val="center"/>
              <w:rPr>
                <w:color w:val="auto"/>
                <w:spacing w:val="0"/>
                <w:w w:val="100"/>
                <w:position w:val="0"/>
                <w:highlight w:val="none"/>
              </w:rPr>
            </w:pPr>
          </w:p>
        </w:tc>
        <w:tc>
          <w:tcPr>
            <w:tcW w:w="1037" w:type="dxa"/>
            <w:vAlign w:val="center"/>
          </w:tcPr>
          <w:p w14:paraId="4171DDCB">
            <w:pPr>
              <w:keepNext w:val="0"/>
              <w:keepLines w:val="0"/>
              <w:pageBreakBefore w:val="0"/>
              <w:kinsoku/>
              <w:bidi w:val="0"/>
              <w:jc w:val="center"/>
              <w:rPr>
                <w:color w:val="auto"/>
                <w:spacing w:val="0"/>
                <w:w w:val="100"/>
                <w:position w:val="0"/>
                <w:highlight w:val="none"/>
              </w:rPr>
            </w:pPr>
          </w:p>
        </w:tc>
      </w:tr>
      <w:tr w14:paraId="3E72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557" w:type="dxa"/>
            <w:vAlign w:val="center"/>
          </w:tcPr>
          <w:p w14:paraId="3B9A82D0">
            <w:pPr>
              <w:pStyle w:val="20"/>
              <w:keepNext w:val="0"/>
              <w:keepLines w:val="0"/>
              <w:pageBreakBefore w:val="0"/>
              <w:kinsoku/>
              <w:bidi w:val="0"/>
              <w:spacing w:before="65" w:line="228" w:lineRule="auto"/>
              <w:ind w:left="118"/>
              <w:jc w:val="center"/>
              <w:rPr>
                <w:color w:val="auto"/>
                <w:spacing w:val="0"/>
                <w:w w:val="100"/>
                <w:position w:val="0"/>
                <w:highlight w:val="none"/>
              </w:rPr>
            </w:pPr>
            <w:r>
              <w:rPr>
                <w:color w:val="auto"/>
                <w:spacing w:val="0"/>
                <w:w w:val="100"/>
                <w:position w:val="0"/>
                <w:highlight w:val="none"/>
              </w:rPr>
              <w:t>得分(I=100-A)</w:t>
            </w:r>
          </w:p>
        </w:tc>
        <w:tc>
          <w:tcPr>
            <w:tcW w:w="732" w:type="dxa"/>
            <w:vAlign w:val="center"/>
          </w:tcPr>
          <w:p w14:paraId="31992D32">
            <w:pPr>
              <w:keepNext w:val="0"/>
              <w:keepLines w:val="0"/>
              <w:pageBreakBefore w:val="0"/>
              <w:kinsoku/>
              <w:bidi w:val="0"/>
              <w:jc w:val="center"/>
              <w:rPr>
                <w:color w:val="auto"/>
                <w:spacing w:val="0"/>
                <w:w w:val="100"/>
                <w:position w:val="0"/>
                <w:highlight w:val="none"/>
              </w:rPr>
            </w:pPr>
          </w:p>
        </w:tc>
        <w:tc>
          <w:tcPr>
            <w:tcW w:w="1007" w:type="dxa"/>
            <w:vAlign w:val="center"/>
          </w:tcPr>
          <w:p w14:paraId="5C67A384">
            <w:pPr>
              <w:keepNext w:val="0"/>
              <w:keepLines w:val="0"/>
              <w:pageBreakBefore w:val="0"/>
              <w:kinsoku/>
              <w:bidi w:val="0"/>
              <w:jc w:val="center"/>
              <w:rPr>
                <w:color w:val="auto"/>
                <w:spacing w:val="0"/>
                <w:w w:val="100"/>
                <w:position w:val="0"/>
                <w:highlight w:val="none"/>
              </w:rPr>
            </w:pPr>
          </w:p>
        </w:tc>
        <w:tc>
          <w:tcPr>
            <w:tcW w:w="1008" w:type="dxa"/>
            <w:vAlign w:val="center"/>
          </w:tcPr>
          <w:p w14:paraId="0EF8DC51">
            <w:pPr>
              <w:keepNext w:val="0"/>
              <w:keepLines w:val="0"/>
              <w:pageBreakBefore w:val="0"/>
              <w:kinsoku/>
              <w:bidi w:val="0"/>
              <w:jc w:val="center"/>
              <w:rPr>
                <w:color w:val="auto"/>
                <w:spacing w:val="0"/>
                <w:w w:val="100"/>
                <w:position w:val="0"/>
                <w:highlight w:val="none"/>
              </w:rPr>
            </w:pPr>
          </w:p>
        </w:tc>
        <w:tc>
          <w:tcPr>
            <w:tcW w:w="1007" w:type="dxa"/>
            <w:vAlign w:val="center"/>
          </w:tcPr>
          <w:p w14:paraId="7C28CF56">
            <w:pPr>
              <w:keepNext w:val="0"/>
              <w:keepLines w:val="0"/>
              <w:pageBreakBefore w:val="0"/>
              <w:kinsoku/>
              <w:bidi w:val="0"/>
              <w:jc w:val="center"/>
              <w:rPr>
                <w:color w:val="auto"/>
                <w:spacing w:val="0"/>
                <w:w w:val="100"/>
                <w:position w:val="0"/>
                <w:highlight w:val="none"/>
              </w:rPr>
            </w:pPr>
          </w:p>
        </w:tc>
        <w:tc>
          <w:tcPr>
            <w:tcW w:w="1006" w:type="dxa"/>
            <w:vAlign w:val="center"/>
          </w:tcPr>
          <w:p w14:paraId="44A7141F">
            <w:pPr>
              <w:keepNext w:val="0"/>
              <w:keepLines w:val="0"/>
              <w:pageBreakBefore w:val="0"/>
              <w:kinsoku/>
              <w:bidi w:val="0"/>
              <w:jc w:val="center"/>
              <w:rPr>
                <w:color w:val="auto"/>
                <w:spacing w:val="0"/>
                <w:w w:val="100"/>
                <w:position w:val="0"/>
                <w:highlight w:val="none"/>
              </w:rPr>
            </w:pPr>
          </w:p>
        </w:tc>
        <w:tc>
          <w:tcPr>
            <w:tcW w:w="1007" w:type="dxa"/>
            <w:vAlign w:val="center"/>
          </w:tcPr>
          <w:p w14:paraId="58BBC918">
            <w:pPr>
              <w:keepNext w:val="0"/>
              <w:keepLines w:val="0"/>
              <w:pageBreakBefore w:val="0"/>
              <w:kinsoku/>
              <w:bidi w:val="0"/>
              <w:jc w:val="center"/>
              <w:rPr>
                <w:color w:val="auto"/>
                <w:spacing w:val="0"/>
                <w:w w:val="100"/>
                <w:position w:val="0"/>
                <w:highlight w:val="none"/>
              </w:rPr>
            </w:pPr>
          </w:p>
        </w:tc>
        <w:tc>
          <w:tcPr>
            <w:tcW w:w="1007" w:type="dxa"/>
            <w:vAlign w:val="center"/>
          </w:tcPr>
          <w:p w14:paraId="371E83C6">
            <w:pPr>
              <w:keepNext w:val="0"/>
              <w:keepLines w:val="0"/>
              <w:pageBreakBefore w:val="0"/>
              <w:kinsoku/>
              <w:bidi w:val="0"/>
              <w:jc w:val="center"/>
              <w:rPr>
                <w:color w:val="auto"/>
                <w:spacing w:val="0"/>
                <w:w w:val="100"/>
                <w:position w:val="0"/>
                <w:highlight w:val="none"/>
              </w:rPr>
            </w:pPr>
          </w:p>
        </w:tc>
        <w:tc>
          <w:tcPr>
            <w:tcW w:w="1007" w:type="dxa"/>
            <w:vAlign w:val="center"/>
          </w:tcPr>
          <w:p w14:paraId="28B2058B">
            <w:pPr>
              <w:keepNext w:val="0"/>
              <w:keepLines w:val="0"/>
              <w:pageBreakBefore w:val="0"/>
              <w:kinsoku/>
              <w:bidi w:val="0"/>
              <w:jc w:val="center"/>
              <w:rPr>
                <w:color w:val="auto"/>
                <w:spacing w:val="0"/>
                <w:w w:val="100"/>
                <w:position w:val="0"/>
                <w:highlight w:val="none"/>
              </w:rPr>
            </w:pPr>
          </w:p>
        </w:tc>
        <w:tc>
          <w:tcPr>
            <w:tcW w:w="1007" w:type="dxa"/>
            <w:vAlign w:val="center"/>
          </w:tcPr>
          <w:p w14:paraId="508B6B54">
            <w:pPr>
              <w:keepNext w:val="0"/>
              <w:keepLines w:val="0"/>
              <w:pageBreakBefore w:val="0"/>
              <w:kinsoku/>
              <w:bidi w:val="0"/>
              <w:jc w:val="center"/>
              <w:rPr>
                <w:color w:val="auto"/>
                <w:spacing w:val="0"/>
                <w:w w:val="100"/>
                <w:position w:val="0"/>
                <w:highlight w:val="none"/>
              </w:rPr>
            </w:pPr>
          </w:p>
        </w:tc>
        <w:tc>
          <w:tcPr>
            <w:tcW w:w="1007" w:type="dxa"/>
            <w:vAlign w:val="center"/>
          </w:tcPr>
          <w:p w14:paraId="0FA15A73">
            <w:pPr>
              <w:keepNext w:val="0"/>
              <w:keepLines w:val="0"/>
              <w:pageBreakBefore w:val="0"/>
              <w:kinsoku/>
              <w:bidi w:val="0"/>
              <w:jc w:val="center"/>
              <w:rPr>
                <w:color w:val="auto"/>
                <w:spacing w:val="0"/>
                <w:w w:val="100"/>
                <w:position w:val="0"/>
                <w:highlight w:val="none"/>
              </w:rPr>
            </w:pPr>
          </w:p>
        </w:tc>
        <w:tc>
          <w:tcPr>
            <w:tcW w:w="1007" w:type="dxa"/>
            <w:vAlign w:val="center"/>
          </w:tcPr>
          <w:p w14:paraId="3C179497">
            <w:pPr>
              <w:keepNext w:val="0"/>
              <w:keepLines w:val="0"/>
              <w:pageBreakBefore w:val="0"/>
              <w:kinsoku/>
              <w:bidi w:val="0"/>
              <w:jc w:val="center"/>
              <w:rPr>
                <w:color w:val="auto"/>
                <w:spacing w:val="0"/>
                <w:w w:val="100"/>
                <w:position w:val="0"/>
                <w:highlight w:val="none"/>
              </w:rPr>
            </w:pPr>
          </w:p>
        </w:tc>
        <w:tc>
          <w:tcPr>
            <w:tcW w:w="1037" w:type="dxa"/>
            <w:vAlign w:val="center"/>
          </w:tcPr>
          <w:p w14:paraId="6FAC4223">
            <w:pPr>
              <w:keepNext w:val="0"/>
              <w:keepLines w:val="0"/>
              <w:pageBreakBefore w:val="0"/>
              <w:kinsoku/>
              <w:bidi w:val="0"/>
              <w:jc w:val="center"/>
              <w:rPr>
                <w:color w:val="auto"/>
                <w:spacing w:val="0"/>
                <w:w w:val="100"/>
                <w:position w:val="0"/>
                <w:highlight w:val="none"/>
              </w:rPr>
            </w:pPr>
          </w:p>
        </w:tc>
      </w:tr>
    </w:tbl>
    <w:p w14:paraId="3FD0379A">
      <w:pPr>
        <w:keepNext w:val="0"/>
        <w:keepLines w:val="0"/>
        <w:pageBreakBefore w:val="0"/>
        <w:widowControl/>
        <w:kinsoku/>
        <w:wordWrap/>
        <w:overflowPunct/>
        <w:topLinePunct w:val="0"/>
        <w:autoSpaceDE w:val="0"/>
        <w:autoSpaceDN w:val="0"/>
        <w:bidi w:val="0"/>
        <w:adjustRightInd w:val="0"/>
        <w:snapToGrid w:val="0"/>
        <w:spacing w:line="312" w:lineRule="auto"/>
        <w:ind w:left="0" w:right="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注：（1）经评审的工程施工费投标报价低于成本警戒价的投标文件，不参加投标报价评分</w:t>
      </w:r>
      <w:r>
        <w:rPr>
          <w:rFonts w:hint="eastAsia" w:ascii="宋体" w:hAnsi="宋体" w:eastAsia="宋体" w:cs="宋体"/>
          <w:color w:val="auto"/>
          <w:spacing w:val="0"/>
          <w:w w:val="100"/>
          <w:position w:val="0"/>
          <w:sz w:val="20"/>
          <w:szCs w:val="20"/>
          <w:highlight w:val="none"/>
          <w:lang w:eastAsia="zh-CN"/>
        </w:rPr>
        <w:t>，其投标报价得分为0分</w:t>
      </w:r>
      <w:r>
        <w:rPr>
          <w:rFonts w:ascii="宋体" w:hAnsi="宋体" w:eastAsia="宋体" w:cs="宋体"/>
          <w:color w:val="auto"/>
          <w:spacing w:val="0"/>
          <w:w w:val="100"/>
          <w:position w:val="0"/>
          <w:sz w:val="20"/>
          <w:szCs w:val="20"/>
          <w:highlight w:val="none"/>
          <w:lang w:eastAsia="zh-CN"/>
        </w:rPr>
        <w:t>。</w:t>
      </w:r>
    </w:p>
    <w:p w14:paraId="3B0CA573">
      <w:pPr>
        <w:keepNext w:val="0"/>
        <w:keepLines w:val="0"/>
        <w:pageBreakBefore w:val="0"/>
        <w:widowControl/>
        <w:kinsoku/>
        <w:wordWrap/>
        <w:overflowPunct/>
        <w:topLinePunct w:val="0"/>
        <w:autoSpaceDE w:val="0"/>
        <w:autoSpaceDN w:val="0"/>
        <w:bidi w:val="0"/>
        <w:adjustRightInd w:val="0"/>
        <w:snapToGrid w:val="0"/>
        <w:spacing w:line="312"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2）确定定标参考价：以进入定标阶段的合格中标候选人的工程施工费投标报价中，设在[成本警戒价，工程施工费最高投标限价×95%]区间的投标报价数量为G,上述G个合格中标候选人的定标因素（指答辩因素+方案因素）详细评审的汇总得分由高至低排序，将定标因素（指答辩因素+方案因素）详细评审的汇总得分前H名的工程施工费投标报价的算术平均值作为定标参考价(如G≥7，则H=7；如1≤G&lt;7，则H=G)；若G=0的,则采用成本警戒价与“工程施工费最高投标限价×95%”的算术平均值为定标参考价。</w:t>
      </w:r>
    </w:p>
    <w:p w14:paraId="2953CEFE">
      <w:pPr>
        <w:keepNext w:val="0"/>
        <w:keepLines w:val="0"/>
        <w:pageBreakBefore w:val="0"/>
        <w:widowControl/>
        <w:kinsoku/>
        <w:wordWrap/>
        <w:overflowPunct/>
        <w:topLinePunct w:val="0"/>
        <w:autoSpaceDE w:val="0"/>
        <w:autoSpaceDN w:val="0"/>
        <w:bidi w:val="0"/>
        <w:adjustRightInd w:val="0"/>
        <w:snapToGrid w:val="0"/>
        <w:spacing w:line="312"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计算工程施工费投标报价得分：当工程施工费投标报价等于定标参考价时得100分，工程施工费投标报价每高于定标参考价1%，扣1.5分，每低于定标参考价1%，扣1分，最多扣100分，得出的工程施工费投标报价得分作为价格因素得分，精确到小数点后两位。</w:t>
      </w:r>
    </w:p>
    <w:p w14:paraId="0F38BD7E">
      <w:pPr>
        <w:keepNext w:val="0"/>
        <w:keepLines w:val="0"/>
        <w:pageBreakBefore w:val="0"/>
        <w:kinsoku/>
        <w:bidi w:val="0"/>
        <w:spacing w:before="232" w:line="228" w:lineRule="auto"/>
        <w:ind w:left="120"/>
        <w:rPr>
          <w:rFonts w:hint="eastAsia" w:ascii="宋体" w:hAnsi="宋体" w:eastAsia="宋体" w:cs="宋体"/>
          <w:b/>
          <w:bCs/>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t>评委签名：</w:t>
      </w:r>
      <w:r>
        <w:rPr>
          <w:rFonts w:ascii="宋体" w:hAnsi="宋体" w:eastAsia="宋体" w:cs="宋体"/>
          <w:color w:val="auto"/>
          <w:spacing w:val="0"/>
          <w:w w:val="100"/>
          <w:position w:val="0"/>
          <w:sz w:val="20"/>
          <w:szCs w:val="20"/>
          <w:highlight w:val="none"/>
          <w:lang w:eastAsia="zh-CN"/>
        </w:rPr>
        <w:t xml:space="preserve">                                          </w:t>
      </w:r>
      <w:r>
        <w:rPr>
          <w:rFonts w:ascii="宋体" w:hAnsi="宋体" w:eastAsia="宋体" w:cs="宋体"/>
          <w:b/>
          <w:bCs/>
          <w:color w:val="auto"/>
          <w:spacing w:val="0"/>
          <w:w w:val="100"/>
          <w:position w:val="0"/>
          <w:sz w:val="20"/>
          <w:szCs w:val="20"/>
          <w:highlight w:val="none"/>
          <w:lang w:eastAsia="zh-CN"/>
        </w:rPr>
        <w:t>日期</w:t>
      </w:r>
      <w:r>
        <w:rPr>
          <w:rFonts w:hint="eastAsia" w:ascii="宋体" w:hAnsi="宋体" w:eastAsia="宋体" w:cs="宋体"/>
          <w:b/>
          <w:bCs/>
          <w:color w:val="auto"/>
          <w:spacing w:val="0"/>
          <w:w w:val="100"/>
          <w:position w:val="0"/>
          <w:sz w:val="20"/>
          <w:szCs w:val="20"/>
          <w:highlight w:val="none"/>
          <w:lang w:eastAsia="zh-CN"/>
        </w:rPr>
        <w:t>：</w:t>
      </w:r>
    </w:p>
    <w:p w14:paraId="71DEA7B7">
      <w:pPr>
        <w:keepNext w:val="0"/>
        <w:keepLines w:val="0"/>
        <w:pageBreakBefore w:val="0"/>
        <w:kinsoku/>
        <w:bidi w:val="0"/>
        <w:spacing w:before="232" w:line="228" w:lineRule="auto"/>
        <w:ind w:left="120"/>
        <w:rPr>
          <w:rFonts w:hint="eastAsia" w:ascii="宋体" w:hAnsi="宋体" w:eastAsia="宋体" w:cs="宋体"/>
          <w:b/>
          <w:bCs/>
          <w:color w:val="auto"/>
          <w:spacing w:val="0"/>
          <w:w w:val="100"/>
          <w:position w:val="0"/>
          <w:sz w:val="20"/>
          <w:szCs w:val="20"/>
          <w:highlight w:val="none"/>
          <w:lang w:eastAsia="zh-CN"/>
        </w:rPr>
      </w:pPr>
    </w:p>
    <w:p w14:paraId="0ECA4EBD">
      <w:pPr>
        <w:keepNext w:val="0"/>
        <w:keepLines w:val="0"/>
        <w:pageBreakBefore w:val="0"/>
        <w:kinsoku/>
        <w:bidi w:val="0"/>
        <w:spacing w:line="228" w:lineRule="auto"/>
        <w:rPr>
          <w:rFonts w:ascii="宋体" w:hAnsi="宋体" w:eastAsia="宋体" w:cs="宋体"/>
          <w:color w:val="auto"/>
          <w:spacing w:val="0"/>
          <w:w w:val="100"/>
          <w:position w:val="0"/>
          <w:sz w:val="20"/>
          <w:szCs w:val="20"/>
          <w:highlight w:val="none"/>
          <w:lang w:eastAsia="zh-CN"/>
        </w:rPr>
        <w:sectPr>
          <w:headerReference r:id="rId10" w:type="default"/>
          <w:footerReference r:id="rId11" w:type="default"/>
          <w:pgSz w:w="16838" w:h="11905" w:orient="landscape"/>
          <w:pgMar w:top="1417" w:right="1417" w:bottom="1417" w:left="1417" w:header="850" w:footer="992" w:gutter="0"/>
          <w:pgNumType w:fmt="decimal"/>
          <w:cols w:space="0" w:num="1"/>
          <w:rtlGutter w:val="0"/>
          <w:docGrid w:linePitch="0" w:charSpace="0"/>
        </w:sectPr>
      </w:pPr>
    </w:p>
    <w:p w14:paraId="4BAD3AE9">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318" w:name="_Toc19649"/>
      <w:bookmarkStart w:id="319" w:name="_Toc11551"/>
      <w:bookmarkStart w:id="320" w:name="_Toc21180"/>
      <w:bookmarkStart w:id="321" w:name="_Toc7799"/>
      <w:bookmarkStart w:id="322" w:name="_Toc16695"/>
      <w:r>
        <w:rPr>
          <w:rFonts w:ascii="宋体" w:hAnsi="宋体" w:eastAsia="宋体" w:cs="宋体"/>
          <w:b/>
          <w:bCs/>
          <w:color w:val="auto"/>
          <w:spacing w:val="0"/>
          <w:w w:val="100"/>
          <w:position w:val="0"/>
          <w:sz w:val="43"/>
          <w:szCs w:val="43"/>
          <w:highlight w:val="none"/>
          <w:lang w:eastAsia="zh-CN"/>
        </w:rPr>
        <w:t>第四章 合同条款及格式（另册）</w:t>
      </w:r>
      <w:bookmarkEnd w:id="318"/>
      <w:bookmarkEnd w:id="319"/>
      <w:bookmarkEnd w:id="320"/>
      <w:bookmarkEnd w:id="321"/>
      <w:bookmarkEnd w:id="322"/>
    </w:p>
    <w:p w14:paraId="26B9AC7B">
      <w:pPr>
        <w:keepNext w:val="0"/>
        <w:keepLines w:val="0"/>
        <w:pageBreakBefore w:val="0"/>
        <w:kinsoku/>
        <w:bidi w:val="0"/>
        <w:rPr>
          <w:color w:val="auto"/>
          <w:spacing w:val="0"/>
          <w:w w:val="100"/>
          <w:position w:val="0"/>
          <w:highlight w:val="none"/>
          <w:lang w:eastAsia="zh-CN"/>
        </w:rPr>
      </w:pPr>
      <w:r>
        <w:rPr>
          <w:color w:val="auto"/>
          <w:spacing w:val="0"/>
          <w:w w:val="100"/>
          <w:position w:val="0"/>
          <w:highlight w:val="none"/>
          <w:lang w:eastAsia="zh-CN"/>
        </w:rPr>
        <w:br w:type="page"/>
      </w:r>
    </w:p>
    <w:p w14:paraId="4E07CE85">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4EAEEFF7">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4F4FD568">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5D1E0DF4">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3A8D229E">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7590F620">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78C77FF9">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5A603E2A">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3E3C4C69">
      <w:pPr>
        <w:keepNext w:val="0"/>
        <w:keepLines w:val="0"/>
        <w:pageBreakBefore w:val="0"/>
        <w:kinsoku/>
        <w:bidi w:val="0"/>
        <w:spacing w:before="140" w:line="223" w:lineRule="auto"/>
        <w:jc w:val="center"/>
        <w:outlineLvl w:val="0"/>
        <w:rPr>
          <w:rFonts w:ascii="宋体" w:hAnsi="宋体" w:eastAsia="宋体" w:cs="宋体"/>
          <w:b/>
          <w:bCs/>
          <w:color w:val="auto"/>
          <w:spacing w:val="0"/>
          <w:w w:val="100"/>
          <w:position w:val="0"/>
          <w:sz w:val="43"/>
          <w:szCs w:val="43"/>
          <w:highlight w:val="none"/>
          <w:lang w:eastAsia="zh-CN"/>
        </w:rPr>
      </w:pPr>
      <w:bookmarkStart w:id="323" w:name="_Toc30007"/>
      <w:bookmarkStart w:id="324" w:name="_Toc29964"/>
      <w:bookmarkStart w:id="325" w:name="_Toc19759"/>
      <w:bookmarkStart w:id="326" w:name="_Toc10623"/>
      <w:bookmarkStart w:id="327" w:name="_Toc21040"/>
      <w:r>
        <w:rPr>
          <w:rFonts w:ascii="宋体" w:hAnsi="宋体" w:eastAsia="宋体" w:cs="宋体"/>
          <w:b/>
          <w:bCs/>
          <w:color w:val="auto"/>
          <w:spacing w:val="0"/>
          <w:w w:val="100"/>
          <w:position w:val="0"/>
          <w:sz w:val="43"/>
          <w:szCs w:val="43"/>
          <w:highlight w:val="none"/>
          <w:lang w:eastAsia="zh-CN"/>
        </w:rPr>
        <w:t>第二卷</w:t>
      </w:r>
      <w:bookmarkEnd w:id="323"/>
      <w:bookmarkEnd w:id="324"/>
      <w:bookmarkEnd w:id="325"/>
      <w:bookmarkEnd w:id="326"/>
      <w:bookmarkEnd w:id="327"/>
    </w:p>
    <w:p w14:paraId="1C8A5FE8">
      <w:pPr>
        <w:keepNext w:val="0"/>
        <w:keepLines w:val="0"/>
        <w:pageBreakBefore w:val="0"/>
        <w:kinsoku/>
        <w:bidi w:val="0"/>
        <w:rPr>
          <w:rFonts w:ascii="宋体" w:hAnsi="宋体" w:eastAsia="宋体" w:cs="宋体"/>
          <w:b/>
          <w:bCs/>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br w:type="page"/>
      </w:r>
    </w:p>
    <w:p w14:paraId="3C02DA7E">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328" w:name="_Toc27954"/>
      <w:bookmarkStart w:id="329" w:name="_Toc16114"/>
      <w:bookmarkStart w:id="330" w:name="_Toc17944"/>
      <w:bookmarkStart w:id="331" w:name="_Toc4778"/>
      <w:bookmarkStart w:id="332" w:name="_Toc5183"/>
      <w:r>
        <w:rPr>
          <w:rFonts w:ascii="宋体" w:hAnsi="宋体" w:eastAsia="宋体" w:cs="宋体"/>
          <w:b/>
          <w:bCs/>
          <w:color w:val="auto"/>
          <w:spacing w:val="0"/>
          <w:w w:val="100"/>
          <w:position w:val="0"/>
          <w:sz w:val="43"/>
          <w:szCs w:val="43"/>
          <w:highlight w:val="none"/>
          <w:lang w:eastAsia="zh-CN"/>
        </w:rPr>
        <w:t>第五章 发包人要求 （另册）</w:t>
      </w:r>
      <w:bookmarkEnd w:id="328"/>
      <w:bookmarkEnd w:id="329"/>
      <w:bookmarkEnd w:id="330"/>
      <w:bookmarkEnd w:id="331"/>
      <w:bookmarkEnd w:id="332"/>
    </w:p>
    <w:p w14:paraId="5484F6C1">
      <w:pPr>
        <w:pStyle w:val="7"/>
        <w:keepNext w:val="0"/>
        <w:keepLines w:val="0"/>
        <w:pageBreakBefore w:val="0"/>
        <w:kinsoku/>
        <w:bidi w:val="0"/>
        <w:spacing w:line="256" w:lineRule="auto"/>
        <w:rPr>
          <w:color w:val="auto"/>
          <w:spacing w:val="0"/>
          <w:w w:val="100"/>
          <w:position w:val="0"/>
          <w:highlight w:val="none"/>
          <w:lang w:eastAsia="zh-CN"/>
        </w:rPr>
      </w:pPr>
    </w:p>
    <w:p w14:paraId="0BFB21EF">
      <w:pPr>
        <w:pStyle w:val="7"/>
        <w:keepNext w:val="0"/>
        <w:keepLines w:val="0"/>
        <w:pageBreakBefore w:val="0"/>
        <w:kinsoku/>
        <w:bidi w:val="0"/>
        <w:spacing w:line="256" w:lineRule="auto"/>
        <w:rPr>
          <w:color w:val="auto"/>
          <w:spacing w:val="0"/>
          <w:w w:val="100"/>
          <w:position w:val="0"/>
          <w:highlight w:val="none"/>
          <w:lang w:eastAsia="zh-CN"/>
        </w:rPr>
      </w:pPr>
    </w:p>
    <w:p w14:paraId="3C517CCE">
      <w:pPr>
        <w:keepNext w:val="0"/>
        <w:keepLines w:val="0"/>
        <w:pageBreakBefore w:val="0"/>
        <w:kinsoku/>
        <w:bidi w:val="0"/>
        <w:spacing w:before="66" w:line="228" w:lineRule="auto"/>
        <w:jc w:val="center"/>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注：施工现场建筑垃圾源头减量的具体要求和建筑垃圾综合利用产品的使用要求详见合同。</w:t>
      </w:r>
    </w:p>
    <w:p w14:paraId="54F1314F">
      <w:pPr>
        <w:keepNext w:val="0"/>
        <w:keepLines w:val="0"/>
        <w:pageBreakBefore w:val="0"/>
        <w:kinsoku/>
        <w:bidi w:val="0"/>
        <w:spacing w:before="66" w:line="228" w:lineRule="auto"/>
        <w:jc w:val="right"/>
        <w:rPr>
          <w:rFonts w:ascii="宋体" w:hAnsi="宋体" w:eastAsia="宋体" w:cs="宋体"/>
          <w:color w:val="auto"/>
          <w:spacing w:val="0"/>
          <w:w w:val="100"/>
          <w:position w:val="0"/>
          <w:sz w:val="20"/>
          <w:szCs w:val="20"/>
          <w:highlight w:val="none"/>
          <w:lang w:eastAsia="zh-CN"/>
        </w:rPr>
      </w:pPr>
    </w:p>
    <w:p w14:paraId="5861E4EA">
      <w:pPr>
        <w:keepNext w:val="0"/>
        <w:keepLines w:val="0"/>
        <w:pageBreakBefore w:val="0"/>
        <w:kinsoku/>
        <w:bidi w:val="0"/>
        <w:spacing w:before="66" w:line="228" w:lineRule="auto"/>
        <w:jc w:val="right"/>
        <w:rPr>
          <w:rFonts w:ascii="宋体" w:hAnsi="宋体" w:eastAsia="宋体" w:cs="宋体"/>
          <w:color w:val="auto"/>
          <w:spacing w:val="0"/>
          <w:w w:val="100"/>
          <w:position w:val="0"/>
          <w:sz w:val="20"/>
          <w:szCs w:val="20"/>
          <w:highlight w:val="none"/>
          <w:lang w:eastAsia="zh-CN"/>
        </w:rPr>
      </w:pPr>
    </w:p>
    <w:p w14:paraId="07DE600C">
      <w:pPr>
        <w:keepNext w:val="0"/>
        <w:keepLines w:val="0"/>
        <w:pageBreakBefore w:val="0"/>
        <w:kinsoku/>
        <w:bidi w:val="0"/>
        <w:spacing w:before="66" w:line="228" w:lineRule="auto"/>
        <w:jc w:val="right"/>
        <w:rPr>
          <w:rFonts w:ascii="宋体" w:hAnsi="宋体" w:eastAsia="宋体" w:cs="宋体"/>
          <w:color w:val="auto"/>
          <w:spacing w:val="0"/>
          <w:w w:val="100"/>
          <w:position w:val="0"/>
          <w:sz w:val="20"/>
          <w:szCs w:val="20"/>
          <w:highlight w:val="none"/>
          <w:lang w:eastAsia="zh-CN"/>
        </w:rPr>
      </w:pPr>
    </w:p>
    <w:p w14:paraId="14D710D3">
      <w:pPr>
        <w:keepNext w:val="0"/>
        <w:keepLines w:val="0"/>
        <w:pageBreakBefore w:val="0"/>
        <w:kinsoku/>
        <w:bidi w:val="0"/>
        <w:spacing w:before="66" w:line="228" w:lineRule="auto"/>
        <w:jc w:val="right"/>
        <w:rPr>
          <w:rFonts w:ascii="宋体" w:hAnsi="宋体" w:eastAsia="宋体" w:cs="宋体"/>
          <w:color w:val="auto"/>
          <w:spacing w:val="0"/>
          <w:w w:val="100"/>
          <w:position w:val="0"/>
          <w:sz w:val="20"/>
          <w:szCs w:val="20"/>
          <w:highlight w:val="none"/>
          <w:lang w:eastAsia="zh-CN"/>
        </w:rPr>
      </w:pPr>
    </w:p>
    <w:p w14:paraId="0BBDDEBD">
      <w:pPr>
        <w:keepNext w:val="0"/>
        <w:keepLines w:val="0"/>
        <w:pageBreakBefore w:val="0"/>
        <w:kinsoku/>
        <w:bidi w:val="0"/>
        <w:spacing w:before="66" w:line="228" w:lineRule="auto"/>
        <w:jc w:val="right"/>
        <w:rPr>
          <w:rFonts w:ascii="宋体" w:hAnsi="宋体" w:eastAsia="宋体" w:cs="宋体"/>
          <w:color w:val="auto"/>
          <w:spacing w:val="0"/>
          <w:w w:val="100"/>
          <w:position w:val="0"/>
          <w:sz w:val="20"/>
          <w:szCs w:val="20"/>
          <w:highlight w:val="none"/>
          <w:lang w:eastAsia="zh-CN"/>
        </w:rPr>
      </w:pPr>
    </w:p>
    <w:p w14:paraId="346CFC40">
      <w:pPr>
        <w:keepNext w:val="0"/>
        <w:keepLines w:val="0"/>
        <w:pageBreakBefore w:val="0"/>
        <w:kinsoku/>
        <w:bidi w:val="0"/>
        <w:spacing w:before="66" w:line="228" w:lineRule="auto"/>
        <w:jc w:val="right"/>
        <w:rPr>
          <w:rFonts w:ascii="宋体" w:hAnsi="宋体" w:eastAsia="宋体" w:cs="宋体"/>
          <w:color w:val="auto"/>
          <w:spacing w:val="0"/>
          <w:w w:val="100"/>
          <w:position w:val="0"/>
          <w:sz w:val="20"/>
          <w:szCs w:val="20"/>
          <w:highlight w:val="none"/>
          <w:lang w:eastAsia="zh-CN"/>
        </w:rPr>
      </w:pPr>
    </w:p>
    <w:p w14:paraId="021F7818">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br w:type="page"/>
      </w:r>
    </w:p>
    <w:p w14:paraId="4C3B42C0">
      <w:pPr>
        <w:keepNext w:val="0"/>
        <w:keepLines w:val="0"/>
        <w:pageBreakBefore w:val="0"/>
        <w:numPr>
          <w:ilvl w:val="0"/>
          <w:numId w:val="4"/>
        </w:numPr>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333" w:name="_Toc19667"/>
      <w:bookmarkStart w:id="334" w:name="_Toc5465"/>
      <w:bookmarkStart w:id="335" w:name="_Toc14575"/>
      <w:bookmarkStart w:id="336" w:name="_Toc14083"/>
      <w:bookmarkStart w:id="337" w:name="_Toc15065"/>
      <w:r>
        <w:rPr>
          <w:rFonts w:ascii="宋体" w:hAnsi="宋体" w:eastAsia="宋体" w:cs="宋体"/>
          <w:b/>
          <w:bCs/>
          <w:color w:val="auto"/>
          <w:spacing w:val="0"/>
          <w:w w:val="100"/>
          <w:position w:val="0"/>
          <w:sz w:val="43"/>
          <w:szCs w:val="43"/>
          <w:highlight w:val="none"/>
          <w:lang w:eastAsia="zh-CN"/>
        </w:rPr>
        <w:t xml:space="preserve">发包人提供的资料 </w:t>
      </w:r>
      <w:bookmarkEnd w:id="333"/>
      <w:bookmarkEnd w:id="334"/>
      <w:bookmarkEnd w:id="335"/>
      <w:bookmarkEnd w:id="336"/>
      <w:bookmarkEnd w:id="337"/>
    </w:p>
    <w:p w14:paraId="4653DF8B">
      <w:pPr>
        <w:pStyle w:val="3"/>
        <w:pageBreakBefore w:val="0"/>
        <w:numPr>
          <w:ilvl w:val="0"/>
          <w:numId w:val="0"/>
        </w:numPr>
        <w:kinsoku/>
        <w:wordWrap/>
        <w:overflowPunct/>
        <w:topLinePunct w:val="0"/>
        <w:autoSpaceDE/>
        <w:autoSpaceDN/>
        <w:bidi w:val="0"/>
        <w:adjustRightInd/>
        <w:snapToGrid/>
        <w:spacing w:beforeLines="0" w:afterLines="0" w:afterAutospacing="0" w:line="500" w:lineRule="exact"/>
        <w:ind w:leftChars="0" w:firstLine="880" w:firstLineChars="200"/>
        <w:jc w:val="center"/>
        <w:textAlignment w:val="auto"/>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lang w:val="en-US" w:eastAsia="zh-CN"/>
        </w:rPr>
        <w:t>室内</w:t>
      </w:r>
      <w:r>
        <w:rPr>
          <w:rFonts w:hint="eastAsia" w:ascii="微软雅黑" w:hAnsi="微软雅黑" w:eastAsia="微软雅黑" w:cs="微软雅黑"/>
          <w:sz w:val="44"/>
          <w:szCs w:val="44"/>
          <w:highlight w:val="none"/>
        </w:rPr>
        <w:t>设计任务书</w:t>
      </w:r>
    </w:p>
    <w:p w14:paraId="385C37C4">
      <w:pPr>
        <w:keepNext w:val="0"/>
        <w:keepLines w:val="0"/>
        <w:pageBreakBefore w:val="0"/>
        <w:numPr>
          <w:ilvl w:val="0"/>
          <w:numId w:val="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 xml:space="preserve"> 项目概况</w:t>
      </w:r>
    </w:p>
    <w:p w14:paraId="402FB4E8">
      <w:pPr>
        <w:keepNext w:val="0"/>
        <w:keepLines w:val="0"/>
        <w:pageBreakBefore w:val="0"/>
        <w:numPr>
          <w:ilvl w:val="0"/>
          <w:numId w:val="6"/>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bCs/>
          <w:sz w:val="24"/>
          <w:szCs w:val="24"/>
          <w:highlight w:val="none"/>
        </w:rPr>
        <w:t>项目名称：</w:t>
      </w:r>
      <w:r>
        <w:rPr>
          <w:rFonts w:hint="eastAsia" w:ascii="微软雅黑" w:hAnsi="微软雅黑" w:eastAsia="微软雅黑" w:cs="微软雅黑"/>
          <w:b w:val="0"/>
          <w:bCs w:val="0"/>
          <w:sz w:val="24"/>
          <w:szCs w:val="24"/>
          <w:highlight w:val="none"/>
        </w:rPr>
        <w:t>开投·智行产业空间研发中心和孵化器培育场地改造项目设计施工总承包</w:t>
      </w:r>
    </w:p>
    <w:p w14:paraId="16C59791">
      <w:pPr>
        <w:keepNext w:val="0"/>
        <w:keepLines w:val="0"/>
        <w:pageBreakBefore w:val="0"/>
        <w:numPr>
          <w:ilvl w:val="0"/>
          <w:numId w:val="6"/>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bCs/>
          <w:sz w:val="24"/>
          <w:szCs w:val="24"/>
          <w:highlight w:val="none"/>
        </w:rPr>
        <w:t>项目地点：</w:t>
      </w:r>
      <w:r>
        <w:rPr>
          <w:rFonts w:hint="eastAsia" w:ascii="微软雅黑" w:hAnsi="微软雅黑" w:eastAsia="微软雅黑" w:cs="微软雅黑"/>
          <w:b w:val="0"/>
          <w:bCs w:val="0"/>
          <w:sz w:val="24"/>
          <w:szCs w:val="24"/>
          <w:highlight w:val="none"/>
        </w:rPr>
        <w:t>广州市黄埔区萝岗街道新瑞路9号</w:t>
      </w:r>
    </w:p>
    <w:p w14:paraId="14B39C6D">
      <w:pPr>
        <w:keepNext w:val="0"/>
        <w:keepLines w:val="0"/>
        <w:pageBreakBefore w:val="0"/>
        <w:numPr>
          <w:ilvl w:val="0"/>
          <w:numId w:val="6"/>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rPr>
        <w:t>改造建筑面积：</w:t>
      </w:r>
      <w:r>
        <w:rPr>
          <w:rFonts w:hint="eastAsia" w:ascii="微软雅黑" w:hAnsi="微软雅黑" w:eastAsia="微软雅黑" w:cs="微软雅黑"/>
          <w:b/>
          <w:bCs/>
          <w:sz w:val="24"/>
          <w:szCs w:val="24"/>
          <w:highlight w:val="none"/>
          <w:lang w:val="en-US" w:eastAsia="zh-CN"/>
        </w:rPr>
        <w:t>总建筑面积</w:t>
      </w:r>
      <w:r>
        <w:rPr>
          <w:rFonts w:hint="eastAsia" w:ascii="微软雅黑" w:hAnsi="微软雅黑" w:eastAsia="微软雅黑" w:cs="微软雅黑"/>
          <w:b w:val="0"/>
          <w:bCs w:val="0"/>
          <w:sz w:val="24"/>
          <w:szCs w:val="24"/>
          <w:highlight w:val="none"/>
        </w:rPr>
        <w:t>约3240</w:t>
      </w:r>
      <w:r>
        <w:rPr>
          <w:rFonts w:hint="eastAsia" w:ascii="微软雅黑" w:hAnsi="微软雅黑" w:eastAsia="微软雅黑" w:cs="微软雅黑"/>
          <w:b w:val="0"/>
          <w:bCs w:val="0"/>
          <w:sz w:val="24"/>
          <w:szCs w:val="24"/>
          <w:highlight w:val="none"/>
          <w:lang w:val="en-US" w:eastAsia="zh-CN"/>
        </w:rPr>
        <w:t>㎡，共计两部分。</w:t>
      </w:r>
    </w:p>
    <w:p w14:paraId="1A470F9F">
      <w:pPr>
        <w:keepNext w:val="0"/>
        <w:keepLines w:val="0"/>
        <w:pageBreakBefore w:val="0"/>
        <w:numPr>
          <w:ilvl w:val="0"/>
          <w:numId w:val="7"/>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研发中心改造建筑面积约1400平方米（位于A3栋</w:t>
      </w:r>
      <w:r>
        <w:rPr>
          <w:rFonts w:hint="eastAsia" w:ascii="微软雅黑" w:hAnsi="微软雅黑" w:eastAsia="微软雅黑" w:cs="微软雅黑"/>
          <w:b w:val="0"/>
          <w:bCs w:val="0"/>
          <w:sz w:val="24"/>
          <w:szCs w:val="24"/>
          <w:highlight w:val="none"/>
          <w:lang w:val="en-US" w:eastAsia="zh-CN"/>
        </w:rPr>
        <w:t>二</w:t>
      </w:r>
      <w:r>
        <w:rPr>
          <w:rFonts w:hint="eastAsia" w:ascii="微软雅黑" w:hAnsi="微软雅黑" w:eastAsia="微软雅黑" w:cs="微软雅黑"/>
          <w:b w:val="0"/>
          <w:bCs w:val="0"/>
          <w:sz w:val="24"/>
          <w:szCs w:val="24"/>
          <w:highlight w:val="none"/>
        </w:rPr>
        <w:t>楼）；</w:t>
      </w:r>
    </w:p>
    <w:p w14:paraId="278847A7">
      <w:pPr>
        <w:keepNext w:val="0"/>
        <w:keepLines w:val="0"/>
        <w:pageBreakBefore w:val="0"/>
        <w:numPr>
          <w:ilvl w:val="0"/>
          <w:numId w:val="7"/>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孵化器培育场地改造建筑面积约1840平方米（位于A3栋三楼及六楼）。</w:t>
      </w:r>
    </w:p>
    <w:p w14:paraId="4B931C79">
      <w:pPr>
        <w:keepNext w:val="0"/>
        <w:keepLines w:val="0"/>
        <w:pageBreakBefore w:val="0"/>
        <w:numPr>
          <w:ilvl w:val="0"/>
          <w:numId w:val="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设计范围</w:t>
      </w:r>
      <w:r>
        <w:rPr>
          <w:rFonts w:hint="eastAsia" w:ascii="微软雅黑" w:hAnsi="微软雅黑" w:eastAsia="微软雅黑" w:cs="微软雅黑"/>
          <w:b/>
          <w:bCs/>
          <w:sz w:val="24"/>
          <w:szCs w:val="24"/>
          <w:highlight w:val="none"/>
          <w:lang w:val="en-US" w:eastAsia="zh-CN"/>
        </w:rPr>
        <w:t>与设计内容</w:t>
      </w:r>
    </w:p>
    <w:p w14:paraId="514B9416">
      <w:pPr>
        <w:keepNext w:val="0"/>
        <w:keepLines w:val="0"/>
        <w:pageBreakBefore w:val="0"/>
        <w:numPr>
          <w:ilvl w:val="0"/>
          <w:numId w:val="8"/>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bCs/>
          <w:sz w:val="24"/>
          <w:szCs w:val="24"/>
          <w:highlight w:val="none"/>
          <w:lang w:val="en-US" w:eastAsia="zh-CN"/>
        </w:rPr>
        <w:t>设计范围</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sz w:val="24"/>
          <w:szCs w:val="24"/>
          <w:highlight w:val="none"/>
        </w:rPr>
        <w:t>上述范围内的室内装饰方案设计及施工图设计</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含机电</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消防、幕墙等）</w:t>
      </w:r>
    </w:p>
    <w:p w14:paraId="5E2172EB">
      <w:pPr>
        <w:keepNext w:val="0"/>
        <w:keepLines w:val="0"/>
        <w:pageBreakBefore w:val="0"/>
        <w:numPr>
          <w:ilvl w:val="0"/>
          <w:numId w:val="8"/>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设计内容：</w:t>
      </w:r>
    </w:p>
    <w:p w14:paraId="17321E1B">
      <w:pPr>
        <w:keepNext w:val="0"/>
        <w:keepLines w:val="0"/>
        <w:pageBreakBefore w:val="0"/>
        <w:numPr>
          <w:ilvl w:val="0"/>
          <w:numId w:val="9"/>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bCs/>
          <w:sz w:val="24"/>
          <w:szCs w:val="24"/>
          <w:highlight w:val="none"/>
          <w:lang w:val="en-US" w:eastAsia="zh-CN"/>
        </w:rPr>
        <w:t>室内装饰设计</w:t>
      </w:r>
      <w:r>
        <w:rPr>
          <w:rFonts w:hint="eastAsia" w:ascii="微软雅黑" w:hAnsi="微软雅黑" w:eastAsia="微软雅黑" w:cs="微软雅黑"/>
          <w:b w:val="0"/>
          <w:bCs w:val="0"/>
          <w:sz w:val="24"/>
          <w:szCs w:val="24"/>
          <w:highlight w:val="none"/>
          <w:lang w:val="en-US" w:eastAsia="zh-CN"/>
        </w:rPr>
        <w:t>：概念方案设计、方案（深化）设计、施工图设计</w:t>
      </w:r>
    </w:p>
    <w:p w14:paraId="5AED6ACE">
      <w:pPr>
        <w:keepNext w:val="0"/>
        <w:keepLines w:val="0"/>
        <w:pageBreakBefore w:val="0"/>
        <w:numPr>
          <w:ilvl w:val="0"/>
          <w:numId w:val="9"/>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bCs/>
          <w:sz w:val="24"/>
          <w:szCs w:val="24"/>
          <w:highlight w:val="none"/>
          <w:lang w:val="en-US" w:eastAsia="zh-CN"/>
        </w:rPr>
        <w:t>专项配套设计</w:t>
      </w:r>
      <w:r>
        <w:rPr>
          <w:rFonts w:hint="eastAsia" w:ascii="微软雅黑" w:hAnsi="微软雅黑" w:eastAsia="微软雅黑" w:cs="微软雅黑"/>
          <w:b w:val="0"/>
          <w:bCs w:val="0"/>
          <w:sz w:val="24"/>
          <w:szCs w:val="24"/>
          <w:highlight w:val="none"/>
          <w:lang w:val="en-US" w:eastAsia="zh-CN"/>
        </w:rPr>
        <w:t>：与室内装饰相关的机电、消防、给排水、暖通、智能化、外立面目前改造等系统的协同设计。</w:t>
      </w:r>
    </w:p>
    <w:p w14:paraId="69F1DC0C">
      <w:pPr>
        <w:keepNext w:val="0"/>
        <w:keepLines w:val="0"/>
        <w:pageBreakBefore w:val="0"/>
        <w:numPr>
          <w:ilvl w:val="0"/>
          <w:numId w:val="9"/>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sz w:val="24"/>
          <w:szCs w:val="24"/>
          <w:highlight w:val="none"/>
          <w:lang w:val="en-US" w:eastAsia="zh-CN"/>
        </w:rPr>
        <w:t>工程内容概况：</w:t>
      </w:r>
      <w:r>
        <w:rPr>
          <w:rFonts w:hint="eastAsia" w:ascii="微软雅黑" w:hAnsi="微软雅黑" w:eastAsia="微软雅黑" w:cs="微软雅黑"/>
          <w:b w:val="0"/>
          <w:bCs w:val="0"/>
          <w:sz w:val="24"/>
          <w:szCs w:val="24"/>
          <w:highlight w:val="none"/>
          <w:lang w:val="en-US" w:eastAsia="zh-CN"/>
        </w:rPr>
        <w:t>装修工程、电气工程、给排水工程、暖通工程、消防工程、智能化工程、家具及软装配置。</w:t>
      </w:r>
    </w:p>
    <w:p w14:paraId="505EF490">
      <w:pPr>
        <w:keepNext w:val="0"/>
        <w:keepLines w:val="0"/>
        <w:pageBreakBefore w:val="0"/>
        <w:numPr>
          <w:ilvl w:val="0"/>
          <w:numId w:val="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设计定位及设计功能：</w:t>
      </w:r>
    </w:p>
    <w:p w14:paraId="78620A1C">
      <w:pPr>
        <w:keepNext w:val="0"/>
        <w:keepLines w:val="0"/>
        <w:pageBreakBefore w:val="0"/>
        <w:numPr>
          <w:ilvl w:val="0"/>
          <w:numId w:val="1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bCs/>
          <w:sz w:val="24"/>
          <w:szCs w:val="24"/>
          <w:highlight w:val="none"/>
          <w:lang w:val="en-US" w:eastAsia="zh-CN"/>
        </w:rPr>
        <w:t>研发中心设计定位及设计功能</w:t>
      </w:r>
      <w:r>
        <w:rPr>
          <w:rFonts w:hint="eastAsia" w:ascii="微软雅黑" w:hAnsi="微软雅黑" w:eastAsia="微软雅黑" w:cs="微软雅黑"/>
          <w:b/>
          <w:bCs/>
          <w:sz w:val="24"/>
          <w:szCs w:val="24"/>
          <w:highlight w:val="none"/>
        </w:rPr>
        <w:t>：</w:t>
      </w:r>
    </w:p>
    <w:p w14:paraId="48B70798">
      <w:pPr>
        <w:keepNext w:val="0"/>
        <w:keepLines w:val="0"/>
        <w:pageBreakBefore w:val="0"/>
        <w:numPr>
          <w:ilvl w:val="0"/>
          <w:numId w:val="11"/>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设计定位</w:t>
      </w:r>
      <w:r>
        <w:rPr>
          <w:rFonts w:hint="eastAsia" w:ascii="微软雅黑" w:hAnsi="微软雅黑" w:eastAsia="微软雅黑" w:cs="微软雅黑"/>
          <w:b w:val="0"/>
          <w:bCs w:val="0"/>
          <w:kern w:val="2"/>
          <w:sz w:val="24"/>
          <w:szCs w:val="24"/>
          <w:highlight w:val="none"/>
          <w:lang w:val="en-US" w:eastAsia="zh-CN" w:bidi="ar-SA"/>
        </w:rPr>
        <w:t>：研究、协作、展示与转化于一体的复合型功能空间，研发中心服务于园区孵化器以及园区内在园企业，核心目标是吸引高端人才、激发创新灵感、促进技术转化、展示企业实力。</w:t>
      </w:r>
    </w:p>
    <w:p w14:paraId="3BB03D48">
      <w:pPr>
        <w:keepNext w:val="0"/>
        <w:keepLines w:val="0"/>
        <w:pageBreakBefore w:val="0"/>
        <w:numPr>
          <w:ilvl w:val="0"/>
          <w:numId w:val="11"/>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设计功能：</w:t>
      </w:r>
    </w:p>
    <w:p w14:paraId="394E6904">
      <w:pPr>
        <w:pStyle w:val="2"/>
        <w:pageBreakBefore w:val="0"/>
        <w:numPr>
          <w:ilvl w:val="0"/>
          <w:numId w:val="12"/>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协作交流：为孵化企业、在园企业提供交流和协作的空间，包含正式及非正式交流场地。</w:t>
      </w:r>
    </w:p>
    <w:p w14:paraId="1F508787">
      <w:pPr>
        <w:pStyle w:val="2"/>
        <w:pageBreakBefore w:val="0"/>
        <w:numPr>
          <w:ilvl w:val="0"/>
          <w:numId w:val="12"/>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展示与转化：为孵化企业、在园企业提供技术展示、项目推介、成果发布空间。</w:t>
      </w:r>
    </w:p>
    <w:p w14:paraId="39470A5B">
      <w:pPr>
        <w:pStyle w:val="2"/>
        <w:pageBreakBefore w:val="0"/>
        <w:numPr>
          <w:ilvl w:val="0"/>
          <w:numId w:val="12"/>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配套服务：存放展示成果、相关展示物料存储空间及人性化配套服务空间。</w:t>
      </w:r>
    </w:p>
    <w:p w14:paraId="623B8DDA">
      <w:pPr>
        <w:keepNext w:val="0"/>
        <w:keepLines w:val="0"/>
        <w:pageBreakBefore w:val="0"/>
        <w:numPr>
          <w:ilvl w:val="0"/>
          <w:numId w:val="1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bCs/>
          <w:sz w:val="24"/>
          <w:szCs w:val="24"/>
          <w:highlight w:val="none"/>
          <w:lang w:val="en-US" w:eastAsia="zh-CN"/>
        </w:rPr>
        <w:t>孵化器培育场地设计定位及设计功能</w:t>
      </w:r>
      <w:r>
        <w:rPr>
          <w:rFonts w:hint="eastAsia" w:ascii="微软雅黑" w:hAnsi="微软雅黑" w:eastAsia="微软雅黑" w:cs="微软雅黑"/>
          <w:b/>
          <w:bCs/>
          <w:sz w:val="24"/>
          <w:szCs w:val="24"/>
          <w:highlight w:val="none"/>
        </w:rPr>
        <w:t>：</w:t>
      </w:r>
    </w:p>
    <w:p w14:paraId="0A4808CC">
      <w:pPr>
        <w:keepNext w:val="0"/>
        <w:keepLines w:val="0"/>
        <w:pageBreakBefore w:val="0"/>
        <w:numPr>
          <w:ilvl w:val="0"/>
          <w:numId w:val="13"/>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设计定位：</w:t>
      </w:r>
      <w:r>
        <w:rPr>
          <w:rFonts w:hint="eastAsia" w:ascii="微软雅黑" w:hAnsi="微软雅黑" w:eastAsia="微软雅黑" w:cs="微软雅黑"/>
          <w:b w:val="0"/>
          <w:bCs w:val="0"/>
          <w:kern w:val="2"/>
          <w:sz w:val="24"/>
          <w:szCs w:val="24"/>
          <w:highlight w:val="none"/>
          <w:lang w:val="en-US" w:eastAsia="zh-CN" w:bidi="ar-SA"/>
        </w:rPr>
        <w:t>构建一个动态适配、资源赋能、激发协作的小微企业创新成长空间。设计</w:t>
      </w:r>
      <w:r>
        <w:rPr>
          <w:rFonts w:hint="eastAsia" w:ascii="微软雅黑" w:hAnsi="微软雅黑" w:eastAsia="微软雅黑" w:cs="微软雅黑"/>
          <w:b w:val="0"/>
          <w:bCs w:val="0"/>
          <w:sz w:val="24"/>
          <w:szCs w:val="24"/>
          <w:highlight w:val="none"/>
          <w:lang w:val="en-US" w:eastAsia="zh-CN"/>
        </w:rPr>
        <w:t>应超越基础办公功能，通过高度灵活的空间组合与模块化家具，满足初创团队从萌芽、路演到扩张的全周期动态需求。必须深度整合智能办公、专业声光等系统，并重点打造如路演中心、开放协作区等核心节点，营造浓厚的创新创业氛围。最终形成一个低成本、高效率、高粘性的社区化培育平台，切实助力初创企业加速成长。</w:t>
      </w:r>
    </w:p>
    <w:p w14:paraId="36FD4183">
      <w:pPr>
        <w:keepNext w:val="0"/>
        <w:keepLines w:val="0"/>
        <w:pageBreakBefore w:val="0"/>
        <w:numPr>
          <w:ilvl w:val="0"/>
          <w:numId w:val="13"/>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设计功能：</w:t>
      </w:r>
    </w:p>
    <w:p w14:paraId="3AFFC4B9">
      <w:pPr>
        <w:pStyle w:val="2"/>
        <w:pageBreakBefore w:val="0"/>
        <w:numPr>
          <w:ilvl w:val="0"/>
          <w:numId w:val="14"/>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灵活办公模块：</w:t>
      </w:r>
      <w:r>
        <w:rPr>
          <w:rStyle w:val="17"/>
          <w:rFonts w:hint="eastAsia" w:ascii="微软雅黑" w:hAnsi="微软雅黑" w:eastAsia="微软雅黑" w:cs="微软雅黑"/>
          <w:b/>
          <w:bCs/>
          <w:i w:val="0"/>
          <w:iCs w:val="0"/>
          <w:caps w:val="0"/>
          <w:color w:val="0F1115"/>
          <w:spacing w:val="0"/>
          <w:sz w:val="24"/>
          <w:szCs w:val="24"/>
          <w:highlight w:val="none"/>
          <w:shd w:val="clear" w:fill="FFFFFF"/>
        </w:rPr>
        <w:t>开放式工位区</w:t>
      </w:r>
      <w:r>
        <w:rPr>
          <w:rStyle w:val="17"/>
          <w:rFonts w:hint="eastAsia" w:ascii="微软雅黑" w:hAnsi="微软雅黑" w:eastAsia="微软雅黑" w:cs="微软雅黑"/>
          <w:b/>
          <w:bCs/>
          <w:i w:val="0"/>
          <w:iCs w:val="0"/>
          <w:caps w:val="0"/>
          <w:color w:val="0F1115"/>
          <w:spacing w:val="0"/>
          <w:sz w:val="24"/>
          <w:szCs w:val="24"/>
          <w:highlight w:val="none"/>
          <w:shd w:val="clear" w:fill="FFFFFF"/>
          <w:lang w:eastAsia="zh-CN"/>
        </w:rPr>
        <w:t>、</w:t>
      </w:r>
      <w:r>
        <w:rPr>
          <w:rStyle w:val="17"/>
          <w:rFonts w:hint="eastAsia" w:ascii="微软雅黑" w:hAnsi="微软雅黑" w:eastAsia="微软雅黑" w:cs="微软雅黑"/>
          <w:b/>
          <w:bCs/>
          <w:i w:val="0"/>
          <w:iCs w:val="0"/>
          <w:caps w:val="0"/>
          <w:color w:val="0F1115"/>
          <w:spacing w:val="0"/>
          <w:sz w:val="24"/>
          <w:szCs w:val="24"/>
          <w:highlight w:val="none"/>
          <w:shd w:val="clear" w:fill="FFFFFF"/>
          <w:lang w:val="en-US" w:eastAsia="zh-CN"/>
        </w:rPr>
        <w:t>独立孵化单元、核心办公区域</w:t>
      </w:r>
    </w:p>
    <w:p w14:paraId="70BA83DF">
      <w:pPr>
        <w:pStyle w:val="2"/>
        <w:pageBreakBefore w:val="0"/>
        <w:numPr>
          <w:ilvl w:val="0"/>
          <w:numId w:val="14"/>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协作与交流模块：头脑风暴室、项目协作室、非正式交流室</w:t>
      </w:r>
    </w:p>
    <w:p w14:paraId="0C7BF0F1">
      <w:pPr>
        <w:pStyle w:val="2"/>
        <w:pageBreakBefore w:val="0"/>
        <w:numPr>
          <w:ilvl w:val="0"/>
          <w:numId w:val="14"/>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商业赋能模块：多功能会议室、专业培训室</w:t>
      </w:r>
    </w:p>
    <w:p w14:paraId="12CCDEB6">
      <w:pPr>
        <w:pStyle w:val="2"/>
        <w:pageBreakBefore w:val="0"/>
        <w:numPr>
          <w:ilvl w:val="0"/>
          <w:numId w:val="14"/>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公共服务模块：接待区、等候区域，共享空间</w:t>
      </w:r>
    </w:p>
    <w:p w14:paraId="1EAD3693">
      <w:pPr>
        <w:pStyle w:val="2"/>
        <w:pageBreakBefore w:val="0"/>
        <w:numPr>
          <w:ilvl w:val="0"/>
          <w:numId w:val="14"/>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生活与休闲模块：休闲区域、茶水间</w:t>
      </w:r>
    </w:p>
    <w:p w14:paraId="538BA363">
      <w:pPr>
        <w:keepNext w:val="0"/>
        <w:keepLines w:val="0"/>
        <w:pageBreakBefore w:val="0"/>
        <w:numPr>
          <w:ilvl w:val="0"/>
          <w:numId w:val="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设计阶段及提交成果要求</w:t>
      </w:r>
    </w:p>
    <w:p w14:paraId="081DC068">
      <w:pPr>
        <w:keepNext w:val="0"/>
        <w:keepLines w:val="0"/>
        <w:pageBreakBefore w:val="0"/>
        <w:numPr>
          <w:ilvl w:val="0"/>
          <w:numId w:val="1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概念设计阶段</w:t>
      </w:r>
    </w:p>
    <w:p w14:paraId="35C87277">
      <w:pPr>
        <w:keepNext w:val="0"/>
        <w:keepLines w:val="0"/>
        <w:pageBreakBefore w:val="0"/>
        <w:numPr>
          <w:ilvl w:val="0"/>
          <w:numId w:val="16"/>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阶段工作目标</w:t>
      </w:r>
      <w:r>
        <w:rPr>
          <w:rFonts w:hint="eastAsia" w:ascii="微软雅黑" w:hAnsi="微软雅黑" w:eastAsia="微软雅黑" w:cs="微软雅黑"/>
          <w:b w:val="0"/>
          <w:bCs w:val="0"/>
          <w:kern w:val="2"/>
          <w:sz w:val="24"/>
          <w:szCs w:val="24"/>
          <w:highlight w:val="none"/>
          <w:lang w:val="en-US" w:eastAsia="zh-CN" w:bidi="ar-SA"/>
        </w:rPr>
        <w:t>：确定项目的核心设计宗旨与空间关系。基于项目定位以及目标用户，完成对室内空间的功能、流线与使用模式的前瞻性规划，提出声学、照明、智能化系统与建筑空间一体化整合的设计策略与方向。</w:t>
      </w:r>
    </w:p>
    <w:p w14:paraId="56B89D42">
      <w:pPr>
        <w:keepNext w:val="0"/>
        <w:keepLines w:val="0"/>
        <w:pageBreakBefore w:val="0"/>
        <w:numPr>
          <w:ilvl w:val="0"/>
          <w:numId w:val="16"/>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工作成果体现：</w:t>
      </w:r>
    </w:p>
    <w:p w14:paraId="5DE8D28E">
      <w:pPr>
        <w:pStyle w:val="13"/>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概念设计说明书：含现场踏勘分析、设计主题阐述、目标用户与功能需求回应策略。</w:t>
      </w:r>
    </w:p>
    <w:p w14:paraId="3789AC61">
      <w:pPr>
        <w:pStyle w:val="13"/>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概念平面规划图：表达功能分区、核心流线组织及空间关系的初步布局。</w:t>
      </w:r>
    </w:p>
    <w:p w14:paraId="655AE777">
      <w:pPr>
        <w:pStyle w:val="13"/>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风格意向图集：通过影像资料，阐述空间氛围、美学调性及材料色彩的初步方向。</w:t>
      </w:r>
    </w:p>
    <w:p w14:paraId="78C87957">
      <w:pPr>
        <w:pStyle w:val="13"/>
        <w:keepNext w:val="0"/>
        <w:keepLines w:val="0"/>
        <w:pageBreakBefore w:val="0"/>
        <w:widowControl/>
        <w:numPr>
          <w:ilvl w:val="0"/>
          <w:numId w:val="17"/>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核心系统整合策略说明：简述声、光、智等系统如何支撑并提升空间展示体验的设计构想。</w:t>
      </w:r>
    </w:p>
    <w:p w14:paraId="2F7E15E8">
      <w:pPr>
        <w:keepNext w:val="0"/>
        <w:keepLines w:val="0"/>
        <w:pageBreakBefore w:val="0"/>
        <w:numPr>
          <w:ilvl w:val="0"/>
          <w:numId w:val="16"/>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成果提交要求：</w:t>
      </w:r>
      <w:r>
        <w:rPr>
          <w:rFonts w:hint="eastAsia" w:ascii="微软雅黑" w:hAnsi="微软雅黑" w:eastAsia="微软雅黑" w:cs="微软雅黑"/>
          <w:b w:val="0"/>
          <w:bCs w:val="0"/>
          <w:kern w:val="2"/>
          <w:sz w:val="24"/>
          <w:szCs w:val="24"/>
          <w:highlight w:val="none"/>
          <w:lang w:val="en-US" w:eastAsia="zh-CN" w:bidi="ar-SA"/>
        </w:rPr>
        <w:t>所有图纸文件需提供A3幅面彩色图册2套，相应的AutoCAD2004版本以下、0ffice2003版本以下电子文件存入u盘提交。</w:t>
      </w:r>
    </w:p>
    <w:p w14:paraId="26020D66">
      <w:pPr>
        <w:keepNext w:val="0"/>
        <w:keepLines w:val="0"/>
        <w:pageBreakBefore w:val="0"/>
        <w:numPr>
          <w:ilvl w:val="0"/>
          <w:numId w:val="1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方案(深化)设计阶段</w:t>
      </w:r>
    </w:p>
    <w:p w14:paraId="34A12A38">
      <w:pPr>
        <w:keepNext w:val="0"/>
        <w:keepLines w:val="0"/>
        <w:pageBreakBefore w:val="0"/>
        <w:numPr>
          <w:ilvl w:val="0"/>
          <w:numId w:val="18"/>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阶段工作目标：</w:t>
      </w:r>
    </w:p>
    <w:p w14:paraId="1A18F53E">
      <w:pPr>
        <w:pStyle w:val="2"/>
        <w:keepNext w:val="0"/>
        <w:keepLines w:val="0"/>
        <w:pageBreakBefore w:val="0"/>
        <w:numPr>
          <w:ilvl w:val="0"/>
          <w:numId w:val="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在获批概念方案基础上，进行全面技术深化与跨专业协同整合。将设计概念转化为可实施的空间形象，精确界定空间尺度、材质、色彩及关键部品，并确保各专业系统（机电、消防、智能化、暖通）与室内设计实现一体化深度融合，同步完成主要材料与设备的选型，确保设计理念的高品质落地。</w:t>
      </w:r>
    </w:p>
    <w:p w14:paraId="24D9D741">
      <w:pPr>
        <w:keepNext w:val="0"/>
        <w:keepLines w:val="0"/>
        <w:pageBreakBefore w:val="0"/>
        <w:numPr>
          <w:ilvl w:val="0"/>
          <w:numId w:val="18"/>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工作成果体现：</w:t>
      </w:r>
    </w:p>
    <w:p w14:paraId="5C107A5A">
      <w:pPr>
        <w:pStyle w:val="13"/>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kern w:val="2"/>
          <w:sz w:val="24"/>
          <w:szCs w:val="24"/>
          <w:highlight w:val="none"/>
          <w:lang w:val="en-US" w:eastAsia="zh-CN" w:bidi="ar-SA"/>
        </w:rPr>
        <w:t>深化设计图纸：包含精确的平面布置图、天花综合布置图、地面铺装图、家具布置图、室内竖向图、主要空间立面图及关键节点大样图。</w:t>
      </w:r>
    </w:p>
    <w:p w14:paraId="35ACB361">
      <w:pPr>
        <w:pStyle w:val="13"/>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kern w:val="2"/>
          <w:sz w:val="24"/>
          <w:szCs w:val="24"/>
          <w:highlight w:val="none"/>
          <w:lang w:val="en-US" w:eastAsia="zh-CN" w:bidi="ar-SA"/>
        </w:rPr>
        <w:t>空间效果图：真实反映主要空间落地后的整体效果、材质与光影关系。</w:t>
      </w:r>
    </w:p>
    <w:p w14:paraId="29475CA1">
      <w:pPr>
        <w:pStyle w:val="13"/>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kern w:val="2"/>
          <w:sz w:val="24"/>
          <w:szCs w:val="24"/>
          <w:highlight w:val="none"/>
          <w:lang w:val="en-US" w:eastAsia="zh-CN" w:bidi="ar-SA"/>
        </w:rPr>
        <w:t>材料清单与实物样板：提供主要装饰面料的编号、规格、应用部位及建议供应商信息的清单，并附关键材料实物样板。</w:t>
      </w:r>
    </w:p>
    <w:p w14:paraId="60561AF3">
      <w:pPr>
        <w:pStyle w:val="13"/>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综合天花规划图：集中体现灯具、空调风口、喷淋、烟感、音响等末端的综合定位，确保天花整洁美观。</w:t>
      </w:r>
    </w:p>
    <w:p w14:paraId="0A4D3887">
      <w:pPr>
        <w:pStyle w:val="13"/>
        <w:keepNext w:val="0"/>
        <w:keepLines w:val="0"/>
        <w:pageBreakBefore w:val="0"/>
        <w:widowControl/>
        <w:numPr>
          <w:ilvl w:val="0"/>
          <w:numId w:val="19"/>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造价控制：需要了解业主的造价限额，方案深化阶段要做限额设计。</w:t>
      </w:r>
    </w:p>
    <w:p w14:paraId="49DB60F3">
      <w:pPr>
        <w:keepNext w:val="0"/>
        <w:keepLines w:val="0"/>
        <w:pageBreakBefore w:val="0"/>
        <w:numPr>
          <w:ilvl w:val="0"/>
          <w:numId w:val="18"/>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成果提交要求：</w:t>
      </w:r>
      <w:r>
        <w:rPr>
          <w:rFonts w:hint="eastAsia" w:ascii="微软雅黑" w:hAnsi="微软雅黑" w:eastAsia="微软雅黑" w:cs="微软雅黑"/>
          <w:b w:val="0"/>
          <w:bCs w:val="0"/>
          <w:kern w:val="2"/>
          <w:sz w:val="24"/>
          <w:szCs w:val="24"/>
          <w:highlight w:val="none"/>
          <w:lang w:val="en-US" w:eastAsia="zh-CN" w:bidi="ar-SA"/>
        </w:rPr>
        <w:t>所有图纸文件需提供A3幅面彩色图册4套，相应的AutoCAD2004版本以下、0ffice2003版本以下电子文件存入u盘提交。</w:t>
      </w:r>
    </w:p>
    <w:p w14:paraId="0E19CF28">
      <w:pPr>
        <w:keepNext w:val="0"/>
        <w:keepLines w:val="0"/>
        <w:pageBreakBefore w:val="0"/>
        <w:numPr>
          <w:ilvl w:val="0"/>
          <w:numId w:val="18"/>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kern w:val="2"/>
          <w:sz w:val="24"/>
          <w:szCs w:val="24"/>
          <w:highlight w:val="none"/>
          <w:lang w:val="en-US" w:eastAsia="zh-CN" w:bidi="ar-SA"/>
        </w:rPr>
        <w:t>成果确认：</w:t>
      </w:r>
      <w:r>
        <w:rPr>
          <w:rFonts w:hint="eastAsia" w:ascii="微软雅黑" w:hAnsi="微软雅黑" w:eastAsia="微软雅黑" w:cs="微软雅黑"/>
          <w:b w:val="0"/>
          <w:bCs w:val="0"/>
          <w:kern w:val="2"/>
          <w:sz w:val="24"/>
          <w:szCs w:val="24"/>
          <w:highlight w:val="none"/>
          <w:lang w:val="en-US" w:eastAsia="zh-CN" w:bidi="ar-SA"/>
        </w:rPr>
        <w:t>经甲方及相关顾问书面认可后方可认为该阶段工作完成。</w:t>
      </w:r>
    </w:p>
    <w:p w14:paraId="1315E023">
      <w:pPr>
        <w:keepNext w:val="0"/>
        <w:keepLines w:val="0"/>
        <w:pageBreakBefore w:val="0"/>
        <w:numPr>
          <w:ilvl w:val="0"/>
          <w:numId w:val="15"/>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施工图设计阶段</w:t>
      </w:r>
    </w:p>
    <w:p w14:paraId="7DB1F150">
      <w:pPr>
        <w:keepNext w:val="0"/>
        <w:keepLines w:val="0"/>
        <w:pageBreakBefore w:val="0"/>
        <w:numPr>
          <w:ilvl w:val="0"/>
          <w:numId w:val="2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阶段工作目标：</w:t>
      </w:r>
    </w:p>
    <w:p w14:paraId="556D831C">
      <w:pPr>
        <w:pStyle w:val="2"/>
        <w:keepNext w:val="0"/>
        <w:keepLines w:val="0"/>
        <w:pageBreakBefore w:val="0"/>
        <w:numPr>
          <w:ilvl w:val="0"/>
          <w:numId w:val="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生成具备完全可实施性的全套施工图纸及技术文件。为施工实施、工程预算和现场作业提供精确、唯一的依据，确保设计成果的精准落地。图纸须深度协同各专业，明确所有构造、做法、尺寸、材质及接口，并完成全部装饰部品的选型定版。</w:t>
      </w:r>
    </w:p>
    <w:p w14:paraId="4E490D60">
      <w:pPr>
        <w:keepNext w:val="0"/>
        <w:keepLines w:val="0"/>
        <w:pageBreakBefore w:val="0"/>
        <w:numPr>
          <w:ilvl w:val="0"/>
          <w:numId w:val="2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bCs/>
          <w:kern w:val="2"/>
          <w:sz w:val="24"/>
          <w:szCs w:val="24"/>
          <w:highlight w:val="none"/>
          <w:lang w:val="en-US" w:eastAsia="zh-CN" w:bidi="ar-SA"/>
        </w:rPr>
        <w:t>工作成果体现：</w:t>
      </w:r>
    </w:p>
    <w:p w14:paraId="2D13E218">
      <w:pPr>
        <w:pStyle w:val="13"/>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kern w:val="2"/>
          <w:sz w:val="24"/>
          <w:szCs w:val="24"/>
          <w:highlight w:val="none"/>
          <w:lang w:val="en-US" w:eastAsia="zh-CN" w:bidi="ar-SA"/>
        </w:rPr>
        <w:t>全套施工蓝图：包含但不限于施工图设计说明、材料明细表、平面/天花/地坪/立面/节点大样等全系列图纸，尺寸标注详尽，索引清晰。</w:t>
      </w:r>
    </w:p>
    <w:p w14:paraId="2FD712B3">
      <w:pPr>
        <w:pStyle w:val="13"/>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ind w:left="0" w:leftChars="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kern w:val="2"/>
          <w:sz w:val="24"/>
          <w:szCs w:val="24"/>
          <w:highlight w:val="none"/>
          <w:lang w:val="en-US" w:eastAsia="zh-CN" w:bidi="ar-SA"/>
        </w:rPr>
        <w:t>专项配套设计图：指导机电点位、给排水、暖通、智能化布线等与装修界面衔接的综合图纸。</w:t>
      </w:r>
    </w:p>
    <w:p w14:paraId="4B27065C">
      <w:pPr>
        <w:pStyle w:val="13"/>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kern w:val="2"/>
          <w:sz w:val="24"/>
          <w:szCs w:val="24"/>
          <w:highlight w:val="none"/>
          <w:lang w:val="en-US" w:eastAsia="zh-CN" w:bidi="ar-SA"/>
        </w:rPr>
        <w:t>部品选型定版文件：提供经甲方确认的洁具、灯具、五金、门窗等部品的最终选型图册、技术参数及封样样板。</w:t>
      </w:r>
    </w:p>
    <w:p w14:paraId="559F0184">
      <w:pPr>
        <w:pStyle w:val="13"/>
        <w:keepNext w:val="0"/>
        <w:keepLines w:val="0"/>
        <w:pageBreakBefore w:val="0"/>
        <w:widowControl/>
        <w:numPr>
          <w:ilvl w:val="0"/>
          <w:numId w:val="21"/>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val="0"/>
          <w:bCs w:val="0"/>
          <w:kern w:val="2"/>
          <w:sz w:val="24"/>
          <w:szCs w:val="24"/>
          <w:highlight w:val="none"/>
          <w:lang w:val="en-US" w:eastAsia="zh-CN" w:bidi="ar-SA"/>
        </w:rPr>
        <w:t>家具固装设计图：所有固定家具及装饰构件的加工制作详图。</w:t>
      </w:r>
    </w:p>
    <w:p w14:paraId="7AFB3002">
      <w:pPr>
        <w:keepNext w:val="0"/>
        <w:keepLines w:val="0"/>
        <w:pageBreakBefore w:val="0"/>
        <w:numPr>
          <w:ilvl w:val="0"/>
          <w:numId w:val="2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成果提交要求：</w:t>
      </w:r>
      <w:r>
        <w:rPr>
          <w:rFonts w:hint="eastAsia" w:ascii="微软雅黑" w:hAnsi="微软雅黑" w:eastAsia="微软雅黑" w:cs="微软雅黑"/>
          <w:b w:val="0"/>
          <w:bCs w:val="0"/>
          <w:kern w:val="2"/>
          <w:sz w:val="24"/>
          <w:szCs w:val="24"/>
          <w:highlight w:val="none"/>
          <w:lang w:val="en-US" w:eastAsia="zh-CN" w:bidi="ar-SA"/>
        </w:rPr>
        <w:t>所有图纸文件需提供A3幅面彩色图册4套，相应的AutoCAD2004版本以下、0ffice2003版本以下电子文件存入u盘提交。</w:t>
      </w:r>
    </w:p>
    <w:p w14:paraId="4AA6C2AC">
      <w:pPr>
        <w:keepNext w:val="0"/>
        <w:keepLines w:val="0"/>
        <w:pageBreakBefore w:val="0"/>
        <w:numPr>
          <w:ilvl w:val="0"/>
          <w:numId w:val="20"/>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kern w:val="2"/>
          <w:sz w:val="24"/>
          <w:szCs w:val="24"/>
          <w:highlight w:val="none"/>
          <w:lang w:val="en-US" w:eastAsia="zh-CN" w:bidi="ar-SA"/>
        </w:rPr>
        <w:t>成果确认：</w:t>
      </w:r>
      <w:r>
        <w:rPr>
          <w:rFonts w:hint="eastAsia" w:ascii="微软雅黑" w:hAnsi="微软雅黑" w:eastAsia="微软雅黑" w:cs="微软雅黑"/>
          <w:b w:val="0"/>
          <w:bCs w:val="0"/>
          <w:kern w:val="2"/>
          <w:sz w:val="24"/>
          <w:szCs w:val="24"/>
          <w:highlight w:val="none"/>
          <w:lang w:val="en-US" w:eastAsia="zh-CN" w:bidi="ar-SA"/>
        </w:rPr>
        <w:t>经甲方及相关顾问书面认可后方可认为该阶段工作完成。</w:t>
      </w:r>
    </w:p>
    <w:p w14:paraId="3A0D5783">
      <w:pPr>
        <w:keepNext w:val="0"/>
        <w:keepLines w:val="0"/>
        <w:pageBreakBefore w:val="0"/>
        <w:numPr>
          <w:ilvl w:val="0"/>
          <w:numId w:val="22"/>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施工服务阶段</w:t>
      </w:r>
    </w:p>
    <w:p w14:paraId="67C70AD8">
      <w:pPr>
        <w:keepNext w:val="0"/>
        <w:keepLines w:val="0"/>
        <w:pageBreakBefore w:val="0"/>
        <w:numPr>
          <w:ilvl w:val="0"/>
          <w:numId w:val="23"/>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阶段工作目标：</w:t>
      </w:r>
      <w:r>
        <w:rPr>
          <w:rFonts w:hint="eastAsia" w:ascii="微软雅黑" w:hAnsi="微软雅黑" w:eastAsia="微软雅黑" w:cs="微软雅黑"/>
          <w:b w:val="0"/>
          <w:bCs w:val="0"/>
          <w:kern w:val="2"/>
          <w:sz w:val="24"/>
          <w:szCs w:val="24"/>
          <w:highlight w:val="none"/>
          <w:lang w:val="en-US" w:eastAsia="zh-CN" w:bidi="ar-SA"/>
        </w:rPr>
        <w:t>通过全过程现场技术服务，</w:t>
      </w:r>
      <w:r>
        <w:rPr>
          <w:rFonts w:hint="default" w:ascii="微软雅黑" w:hAnsi="微软雅黑" w:eastAsia="微软雅黑" w:cs="微软雅黑"/>
          <w:b w:val="0"/>
          <w:bCs w:val="0"/>
          <w:kern w:val="2"/>
          <w:sz w:val="24"/>
          <w:szCs w:val="24"/>
          <w:highlight w:val="none"/>
          <w:lang w:val="en-US" w:eastAsia="zh-CN" w:bidi="ar-SA"/>
        </w:rPr>
        <w:t>保障设计意图在施工环节得到忠实贯彻，解决现场技术问题，控制施工效果，确保最终成果与设计目标一致。</w:t>
      </w:r>
    </w:p>
    <w:p w14:paraId="7098446E">
      <w:pPr>
        <w:keepNext w:val="0"/>
        <w:keepLines w:val="0"/>
        <w:pageBreakBefore w:val="0"/>
        <w:numPr>
          <w:ilvl w:val="0"/>
          <w:numId w:val="23"/>
        </w:numPr>
        <w:kinsoku/>
        <w:wordWrap/>
        <w:overflowPunct/>
        <w:topLinePunct w:val="0"/>
        <w:autoSpaceDE/>
        <w:autoSpaceDN/>
        <w:bidi w:val="0"/>
        <w:adjustRightInd/>
        <w:snapToGrid/>
        <w:spacing w:afterAutospacing="0" w:line="500" w:lineRule="exact"/>
        <w:ind w:left="0" w:leftChars="0" w:firstLine="480" w:firstLineChars="200"/>
        <w:jc w:val="both"/>
        <w:textAlignment w:val="auto"/>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工作成果体现：</w:t>
      </w:r>
    </w:p>
    <w:p w14:paraId="1C1A6F45">
      <w:pPr>
        <w:pStyle w:val="13"/>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施工图技术交底会议纪要</w:t>
      </w:r>
      <w:r>
        <w:rPr>
          <w:rFonts w:hint="default" w:ascii="微软雅黑" w:hAnsi="微软雅黑" w:eastAsia="微软雅黑" w:cs="微软雅黑"/>
          <w:b w:val="0"/>
          <w:bCs w:val="0"/>
          <w:kern w:val="2"/>
          <w:sz w:val="24"/>
          <w:szCs w:val="24"/>
          <w:highlight w:val="none"/>
          <w:lang w:val="en-US" w:eastAsia="zh-CN" w:bidi="ar-SA"/>
        </w:rPr>
        <w:t>：向施工方全面阐释设计意图与施工要点。</w:t>
      </w:r>
    </w:p>
    <w:p w14:paraId="3DC5A357">
      <w:pPr>
        <w:pStyle w:val="13"/>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default" w:ascii="微软雅黑" w:hAnsi="微软雅黑" w:eastAsia="微软雅黑" w:cs="微软雅黑"/>
          <w:b w:val="0"/>
          <w:bCs w:val="0"/>
          <w:kern w:val="2"/>
          <w:sz w:val="24"/>
          <w:szCs w:val="24"/>
          <w:highlight w:val="none"/>
          <w:lang w:val="en-US" w:eastAsia="zh-CN" w:bidi="ar-SA"/>
        </w:rPr>
        <w:t>现场巡查报告及设计变更/洽商记录：记录现场服务情况，对偏离设计的情况提出整改意见，并及时以书面形式确认必要的设计调整。</w:t>
      </w:r>
    </w:p>
    <w:p w14:paraId="45DDD45F">
      <w:pPr>
        <w:pStyle w:val="13"/>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b w:val="0"/>
          <w:bCs w:val="0"/>
          <w:kern w:val="2"/>
          <w:sz w:val="24"/>
          <w:szCs w:val="24"/>
          <w:highlight w:val="none"/>
          <w:lang w:val="en-US" w:eastAsia="zh-CN" w:bidi="ar-SA"/>
        </w:rPr>
      </w:pPr>
      <w:r>
        <w:rPr>
          <w:rFonts w:hint="default" w:ascii="微软雅黑" w:hAnsi="微软雅黑" w:eastAsia="微软雅黑" w:cs="微软雅黑"/>
          <w:b w:val="0"/>
          <w:bCs w:val="0"/>
          <w:kern w:val="2"/>
          <w:sz w:val="24"/>
          <w:szCs w:val="24"/>
          <w:highlight w:val="none"/>
          <w:lang w:val="en-US" w:eastAsia="zh-CN" w:bidi="ar-SA"/>
        </w:rPr>
        <w:t>材料进场验收确认单：对进场主要材料进行核对，确保与封样样品一致。</w:t>
      </w:r>
    </w:p>
    <w:p w14:paraId="205C2841">
      <w:pPr>
        <w:pStyle w:val="13"/>
        <w:keepNext w:val="0"/>
        <w:keepLines w:val="0"/>
        <w:pageBreakBefore w:val="0"/>
        <w:widowControl/>
        <w:numPr>
          <w:ilvl w:val="0"/>
          <w:numId w:val="24"/>
        </w:numPr>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微软雅黑" w:hAnsi="微软雅黑" w:eastAsia="微软雅黑" w:cs="微软雅黑"/>
          <w:sz w:val="24"/>
          <w:szCs w:val="24"/>
          <w:highlight w:val="none"/>
          <w:lang w:eastAsia="zh-CN"/>
        </w:rPr>
      </w:pPr>
      <w:r>
        <w:rPr>
          <w:rFonts w:hint="default" w:ascii="微软雅黑" w:hAnsi="微软雅黑" w:eastAsia="微软雅黑" w:cs="微软雅黑"/>
          <w:b w:val="0"/>
          <w:bCs w:val="0"/>
          <w:kern w:val="2"/>
          <w:sz w:val="24"/>
          <w:szCs w:val="24"/>
          <w:highlight w:val="none"/>
          <w:lang w:val="en-US" w:eastAsia="zh-CN" w:bidi="ar-SA"/>
        </w:rPr>
        <w:t>竣工验收意见书：参</w:t>
      </w:r>
      <w:r>
        <w:rPr>
          <w:rFonts w:hint="default" w:ascii="微软雅黑" w:hAnsi="微软雅黑" w:eastAsia="微软雅黑" w:cs="微软雅黑"/>
          <w:i w:val="0"/>
          <w:iCs w:val="0"/>
          <w:caps w:val="0"/>
          <w:color w:val="auto"/>
          <w:spacing w:val="0"/>
          <w:sz w:val="24"/>
          <w:szCs w:val="24"/>
          <w:highlight w:val="none"/>
          <w:shd w:val="clear" w:fill="auto"/>
        </w:rPr>
        <w:t>与项目竣工验收，并从设计效果角度出具书面验收意见。</w:t>
      </w:r>
    </w:p>
    <w:p w14:paraId="0B85DA2E">
      <w:pPr>
        <w:pStyle w:val="18"/>
        <w:numPr>
          <w:ilvl w:val="-1"/>
          <w:numId w:val="0"/>
        </w:numPr>
        <w:ind w:firstLine="0" w:firstLineChars="0"/>
        <w:rPr>
          <w:lang w:eastAsia="zh-CN"/>
        </w:rPr>
      </w:pPr>
    </w:p>
    <w:p w14:paraId="1AED1BEA">
      <w:pPr>
        <w:keepNext w:val="0"/>
        <w:keepLines w:val="0"/>
        <w:pageBreakBefore w:val="0"/>
        <w:kinsoku/>
        <w:bidi w:val="0"/>
        <w:jc w:val="center"/>
        <w:rPr>
          <w:color w:val="auto"/>
          <w:spacing w:val="0"/>
          <w:w w:val="100"/>
          <w:position w:val="0"/>
          <w:highlight w:val="none"/>
          <w:lang w:eastAsia="zh-CN"/>
        </w:rPr>
      </w:pPr>
    </w:p>
    <w:p w14:paraId="64AD4DE5">
      <w:pPr>
        <w:keepNext w:val="0"/>
        <w:keepLines w:val="0"/>
        <w:pageBreakBefore w:val="0"/>
        <w:kinsoku/>
        <w:bidi w:val="0"/>
        <w:jc w:val="center"/>
        <w:rPr>
          <w:color w:val="auto"/>
          <w:spacing w:val="0"/>
          <w:w w:val="100"/>
          <w:position w:val="0"/>
          <w:highlight w:val="none"/>
          <w:lang w:eastAsia="zh-CN"/>
        </w:rPr>
      </w:pPr>
    </w:p>
    <w:p w14:paraId="7D625B71">
      <w:pPr>
        <w:keepNext w:val="0"/>
        <w:keepLines w:val="0"/>
        <w:pageBreakBefore w:val="0"/>
        <w:kinsoku/>
        <w:bidi w:val="0"/>
        <w:jc w:val="center"/>
        <w:rPr>
          <w:color w:val="auto"/>
          <w:spacing w:val="0"/>
          <w:w w:val="100"/>
          <w:position w:val="0"/>
          <w:highlight w:val="none"/>
          <w:lang w:eastAsia="zh-CN"/>
        </w:rPr>
      </w:pPr>
      <w:r>
        <w:rPr>
          <w:color w:val="auto"/>
          <w:spacing w:val="0"/>
          <w:w w:val="100"/>
          <w:position w:val="0"/>
          <w:highlight w:val="none"/>
          <w:lang w:eastAsia="zh-CN"/>
        </w:rPr>
        <w:br w:type="page"/>
      </w:r>
    </w:p>
    <w:p w14:paraId="00720584">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7C316F6C">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06410C90">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1E719931">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37692C93">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037547CC">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4D43B368">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1FCB2097">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9"/>
        <w:rPr>
          <w:rFonts w:ascii="宋体" w:hAnsi="宋体" w:eastAsia="宋体" w:cs="宋体"/>
          <w:b/>
          <w:bCs/>
          <w:color w:val="auto"/>
          <w:spacing w:val="0"/>
          <w:w w:val="100"/>
          <w:position w:val="0"/>
          <w:sz w:val="43"/>
          <w:szCs w:val="43"/>
          <w:highlight w:val="none"/>
          <w:lang w:eastAsia="zh-CN"/>
        </w:rPr>
      </w:pPr>
    </w:p>
    <w:p w14:paraId="650C7068">
      <w:pPr>
        <w:keepNext w:val="0"/>
        <w:keepLines w:val="0"/>
        <w:pageBreakBefore w:val="0"/>
        <w:kinsoku/>
        <w:bidi w:val="0"/>
        <w:spacing w:before="140" w:line="223" w:lineRule="auto"/>
        <w:jc w:val="center"/>
        <w:outlineLvl w:val="0"/>
        <w:rPr>
          <w:rFonts w:ascii="宋体" w:hAnsi="宋体" w:eastAsia="宋体" w:cs="宋体"/>
          <w:color w:val="auto"/>
          <w:spacing w:val="0"/>
          <w:w w:val="100"/>
          <w:position w:val="0"/>
          <w:sz w:val="43"/>
          <w:szCs w:val="43"/>
          <w:highlight w:val="none"/>
          <w:lang w:eastAsia="zh-CN"/>
        </w:rPr>
      </w:pPr>
      <w:bookmarkStart w:id="338" w:name="_Toc11776"/>
      <w:bookmarkStart w:id="339" w:name="_Toc24259"/>
      <w:bookmarkStart w:id="340" w:name="_Toc1249"/>
      <w:bookmarkStart w:id="341" w:name="_Toc12710"/>
      <w:bookmarkStart w:id="342" w:name="_Toc31827"/>
      <w:r>
        <w:rPr>
          <w:rFonts w:ascii="宋体" w:hAnsi="宋体" w:eastAsia="宋体" w:cs="宋体"/>
          <w:b/>
          <w:bCs/>
          <w:color w:val="auto"/>
          <w:spacing w:val="0"/>
          <w:w w:val="100"/>
          <w:position w:val="0"/>
          <w:sz w:val="43"/>
          <w:szCs w:val="43"/>
          <w:highlight w:val="none"/>
          <w:lang w:eastAsia="zh-CN"/>
        </w:rPr>
        <w:t>第三卷</w:t>
      </w:r>
      <w:bookmarkEnd w:id="338"/>
      <w:bookmarkEnd w:id="339"/>
      <w:bookmarkEnd w:id="340"/>
      <w:bookmarkEnd w:id="341"/>
      <w:bookmarkEnd w:id="342"/>
    </w:p>
    <w:p w14:paraId="02086507">
      <w:pPr>
        <w:keepNext w:val="0"/>
        <w:keepLines w:val="0"/>
        <w:pageBreakBefore w:val="0"/>
        <w:kinsoku/>
        <w:bidi w:val="0"/>
        <w:rPr>
          <w:rFonts w:ascii="宋体" w:hAnsi="宋体" w:eastAsia="宋体" w:cs="宋体"/>
          <w:b/>
          <w:bCs/>
          <w:color w:val="auto"/>
          <w:spacing w:val="0"/>
          <w:w w:val="100"/>
          <w:position w:val="0"/>
          <w:sz w:val="43"/>
          <w:szCs w:val="43"/>
          <w:highlight w:val="none"/>
          <w:lang w:eastAsia="zh-CN"/>
        </w:rPr>
      </w:pPr>
      <w:r>
        <w:rPr>
          <w:rFonts w:ascii="宋体" w:hAnsi="宋体" w:eastAsia="宋体" w:cs="宋体"/>
          <w:b/>
          <w:bCs/>
          <w:color w:val="auto"/>
          <w:spacing w:val="0"/>
          <w:w w:val="100"/>
          <w:position w:val="0"/>
          <w:sz w:val="43"/>
          <w:szCs w:val="43"/>
          <w:highlight w:val="none"/>
          <w:lang w:eastAsia="zh-CN"/>
        </w:rPr>
        <w:br w:type="page"/>
      </w:r>
    </w:p>
    <w:p w14:paraId="26251085">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343" w:name="_Toc22397"/>
      <w:bookmarkStart w:id="344" w:name="_Toc18829"/>
      <w:bookmarkStart w:id="345" w:name="_Toc15014"/>
      <w:bookmarkStart w:id="346" w:name="_Toc29950"/>
      <w:bookmarkStart w:id="347" w:name="_Toc28055"/>
      <w:r>
        <w:rPr>
          <w:rFonts w:ascii="宋体" w:hAnsi="宋体" w:eastAsia="宋体" w:cs="宋体"/>
          <w:b/>
          <w:bCs/>
          <w:color w:val="auto"/>
          <w:spacing w:val="0"/>
          <w:w w:val="100"/>
          <w:position w:val="0"/>
          <w:sz w:val="43"/>
          <w:szCs w:val="43"/>
          <w:highlight w:val="none"/>
          <w:lang w:eastAsia="zh-CN"/>
        </w:rPr>
        <w:t>第七章 投标文件格式</w:t>
      </w:r>
      <w:bookmarkEnd w:id="343"/>
      <w:bookmarkEnd w:id="344"/>
      <w:bookmarkEnd w:id="345"/>
      <w:bookmarkEnd w:id="346"/>
      <w:bookmarkEnd w:id="347"/>
    </w:p>
    <w:p w14:paraId="229B4909">
      <w:pPr>
        <w:keepNext w:val="0"/>
        <w:keepLines w:val="0"/>
        <w:pageBreakBefore w:val="0"/>
        <w:kinsoku/>
        <w:bidi w:val="0"/>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br w:type="page"/>
      </w:r>
    </w:p>
    <w:p w14:paraId="2A9BEEF6">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default" w:ascii="宋体" w:hAnsi="宋体" w:eastAsia="宋体" w:cs="宋体"/>
          <w:b/>
          <w:bCs/>
          <w:color w:val="auto"/>
          <w:spacing w:val="0"/>
          <w:w w:val="100"/>
          <w:position w:val="0"/>
          <w:sz w:val="35"/>
          <w:szCs w:val="35"/>
          <w:highlight w:val="none"/>
          <w:lang w:val="en-US" w:eastAsia="zh-CN"/>
        </w:rPr>
      </w:pPr>
      <w:bookmarkStart w:id="348" w:name="_Toc7189"/>
      <w:bookmarkStart w:id="349" w:name="_Toc19733"/>
      <w:bookmarkStart w:id="350" w:name="_Toc17534"/>
      <w:r>
        <w:rPr>
          <w:rFonts w:hint="eastAsia" w:ascii="宋体" w:hAnsi="宋体" w:eastAsia="宋体" w:cs="宋体"/>
          <w:b/>
          <w:bCs/>
          <w:color w:val="auto"/>
          <w:spacing w:val="0"/>
          <w:w w:val="100"/>
          <w:position w:val="0"/>
          <w:sz w:val="35"/>
          <w:szCs w:val="35"/>
          <w:highlight w:val="none"/>
        </w:rPr>
        <w:t>格式1</w:t>
      </w:r>
      <w:r>
        <w:rPr>
          <w:rFonts w:hint="eastAsia" w:ascii="宋体" w:hAnsi="宋体" w:eastAsia="宋体" w:cs="宋体"/>
          <w:b/>
          <w:bCs/>
          <w:color w:val="auto"/>
          <w:spacing w:val="0"/>
          <w:w w:val="100"/>
          <w:position w:val="0"/>
          <w:sz w:val="35"/>
          <w:szCs w:val="35"/>
          <w:highlight w:val="none"/>
          <w:lang w:eastAsia="zh-CN"/>
        </w:rPr>
        <w:t>：</w:t>
      </w:r>
      <w:r>
        <w:rPr>
          <w:rFonts w:ascii="宋体" w:hAnsi="宋体" w:eastAsia="宋体" w:cs="宋体"/>
          <w:b/>
          <w:bCs/>
          <w:color w:val="auto"/>
          <w:spacing w:val="0"/>
          <w:w w:val="100"/>
          <w:position w:val="0"/>
          <w:sz w:val="35"/>
          <w:szCs w:val="35"/>
          <w:highlight w:val="none"/>
        </w:rPr>
        <w:t>投标书</w:t>
      </w:r>
      <w:bookmarkEnd w:id="348"/>
      <w:bookmarkEnd w:id="349"/>
      <w:bookmarkEnd w:id="350"/>
    </w:p>
    <w:p w14:paraId="3B2B208B">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outlineLvl w:val="3"/>
        <w:rPr>
          <w:rFonts w:ascii="宋体" w:hAnsi="宋体" w:eastAsia="宋体" w:cs="宋体"/>
          <w:color w:val="auto"/>
          <w:spacing w:val="0"/>
          <w:w w:val="100"/>
          <w:position w:val="0"/>
          <w:sz w:val="35"/>
          <w:szCs w:val="35"/>
          <w:highlight w:val="none"/>
        </w:rPr>
      </w:pPr>
      <w:r>
        <w:rPr>
          <w:rFonts w:ascii="宋体" w:hAnsi="宋体" w:eastAsia="宋体" w:cs="宋体"/>
          <w:b/>
          <w:bCs/>
          <w:color w:val="auto"/>
          <w:spacing w:val="0"/>
          <w:w w:val="100"/>
          <w:position w:val="0"/>
          <w:sz w:val="35"/>
          <w:szCs w:val="35"/>
          <w:highlight w:val="none"/>
        </w:rPr>
        <w:t>投标书</w:t>
      </w:r>
    </w:p>
    <w:tbl>
      <w:tblPr>
        <w:tblStyle w:val="19"/>
        <w:tblW w:w="9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6"/>
        <w:gridCol w:w="2095"/>
        <w:gridCol w:w="4602"/>
      </w:tblGrid>
      <w:tr w14:paraId="26B66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546" w:type="dxa"/>
            <w:vAlign w:val="center"/>
          </w:tcPr>
          <w:p w14:paraId="222A44F8">
            <w:pPr>
              <w:pStyle w:val="20"/>
              <w:keepNext w:val="0"/>
              <w:keepLines w:val="0"/>
              <w:pageBreakBefore w:val="0"/>
              <w:widowControl/>
              <w:kinsoku/>
              <w:wordWrap/>
              <w:overflowPunct/>
              <w:topLinePunct w:val="0"/>
              <w:autoSpaceDE w:val="0"/>
              <w:autoSpaceDN w:val="0"/>
              <w:bidi w:val="0"/>
              <w:adjustRightInd w:val="0"/>
              <w:snapToGrid w:val="0"/>
              <w:spacing w:line="240" w:lineRule="auto"/>
              <w:ind w:left="862"/>
              <w:jc w:val="both"/>
              <w:textAlignment w:val="baseline"/>
              <w:rPr>
                <w:color w:val="auto"/>
                <w:spacing w:val="0"/>
                <w:w w:val="100"/>
                <w:position w:val="0"/>
                <w:highlight w:val="none"/>
              </w:rPr>
            </w:pPr>
            <w:r>
              <w:rPr>
                <w:b/>
                <w:bCs/>
                <w:color w:val="auto"/>
                <w:spacing w:val="0"/>
                <w:w w:val="100"/>
                <w:position w:val="0"/>
                <w:highlight w:val="none"/>
              </w:rPr>
              <w:t>项目名称</w:t>
            </w:r>
          </w:p>
        </w:tc>
        <w:tc>
          <w:tcPr>
            <w:tcW w:w="6697" w:type="dxa"/>
            <w:gridSpan w:val="2"/>
            <w:vAlign w:val="center"/>
          </w:tcPr>
          <w:p w14:paraId="4AA4935E">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27" w:rightChars="0" w:hanging="3"/>
              <w:jc w:val="both"/>
              <w:textAlignment w:val="baseline"/>
              <w:rPr>
                <w:color w:val="auto"/>
                <w:spacing w:val="0"/>
                <w:w w:val="100"/>
                <w:position w:val="0"/>
                <w:highlight w:val="none"/>
              </w:rPr>
            </w:pPr>
            <w:r>
              <w:rPr>
                <w:rFonts w:hint="eastAsia"/>
                <w:color w:val="auto"/>
                <w:spacing w:val="0"/>
                <w:w w:val="100"/>
                <w:position w:val="0"/>
                <w:highlight w:val="none"/>
                <w:lang w:eastAsia="zh-CN"/>
              </w:rPr>
              <w:t>开投·智行产业空间研发中心和孵化器培育场地改造项目</w:t>
            </w:r>
            <w:r>
              <w:rPr>
                <w:rFonts w:hint="eastAsia" w:ascii="宋体" w:hAnsi="宋体" w:eastAsia="宋体" w:cs="宋体"/>
                <w:color w:val="auto"/>
                <w:spacing w:val="0"/>
                <w:w w:val="100"/>
                <w:kern w:val="0"/>
                <w:position w:val="0"/>
                <w:sz w:val="20"/>
                <w:szCs w:val="20"/>
                <w:highlight w:val="none"/>
                <w:lang w:val="en-US" w:eastAsia="zh-CN" w:bidi="ar"/>
              </w:rPr>
              <w:t>设计施工总承包</w:t>
            </w:r>
          </w:p>
        </w:tc>
      </w:tr>
      <w:tr w14:paraId="14B3F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546" w:type="dxa"/>
            <w:vAlign w:val="center"/>
          </w:tcPr>
          <w:p w14:paraId="3EC4CBFE">
            <w:pPr>
              <w:pStyle w:val="20"/>
              <w:keepNext w:val="0"/>
              <w:keepLines w:val="0"/>
              <w:pageBreakBefore w:val="0"/>
              <w:widowControl/>
              <w:kinsoku/>
              <w:wordWrap/>
              <w:overflowPunct/>
              <w:topLinePunct w:val="0"/>
              <w:autoSpaceDE w:val="0"/>
              <w:autoSpaceDN w:val="0"/>
              <w:bidi w:val="0"/>
              <w:adjustRightInd w:val="0"/>
              <w:snapToGrid w:val="0"/>
              <w:spacing w:line="240" w:lineRule="auto"/>
              <w:ind w:left="753"/>
              <w:jc w:val="both"/>
              <w:textAlignment w:val="baseline"/>
              <w:rPr>
                <w:color w:val="auto"/>
                <w:spacing w:val="0"/>
                <w:w w:val="100"/>
                <w:position w:val="0"/>
                <w:highlight w:val="none"/>
              </w:rPr>
            </w:pPr>
            <w:r>
              <w:rPr>
                <w:b/>
                <w:bCs/>
                <w:color w:val="auto"/>
                <w:spacing w:val="0"/>
                <w:w w:val="100"/>
                <w:position w:val="0"/>
                <w:highlight w:val="none"/>
              </w:rPr>
              <w:t>投标总报价</w:t>
            </w:r>
          </w:p>
        </w:tc>
        <w:tc>
          <w:tcPr>
            <w:tcW w:w="6697" w:type="dxa"/>
            <w:gridSpan w:val="2"/>
            <w:vAlign w:val="center"/>
          </w:tcPr>
          <w:p w14:paraId="21D26047">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u w:val="single"/>
              </w:rPr>
            </w:pPr>
            <w:r>
              <w:rPr>
                <w:b/>
                <w:bCs/>
                <w:color w:val="auto"/>
                <w:spacing w:val="0"/>
                <w:w w:val="100"/>
                <w:position w:val="0"/>
                <w:highlight w:val="none"/>
              </w:rPr>
              <w:t>大写：</w:t>
            </w:r>
            <w:r>
              <w:rPr>
                <w:color w:val="auto"/>
                <w:spacing w:val="0"/>
                <w:w w:val="100"/>
                <w:position w:val="0"/>
                <w:highlight w:val="none"/>
                <w:u w:val="single"/>
              </w:rPr>
              <w:t xml:space="preserve">                    </w:t>
            </w:r>
          </w:p>
          <w:p w14:paraId="1ED2B69A">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r>
              <w:rPr>
                <w:b/>
                <w:bCs/>
                <w:color w:val="auto"/>
                <w:spacing w:val="0"/>
                <w:w w:val="100"/>
                <w:position w:val="0"/>
                <w:highlight w:val="none"/>
              </w:rPr>
              <w:t>小写：</w:t>
            </w:r>
            <w:r>
              <w:rPr>
                <w:color w:val="auto"/>
                <w:spacing w:val="0"/>
                <w:w w:val="100"/>
                <w:position w:val="0"/>
                <w:highlight w:val="none"/>
                <w:u w:val="single"/>
              </w:rPr>
              <w:t xml:space="preserve">              </w:t>
            </w:r>
            <w:r>
              <w:rPr>
                <w:b/>
                <w:bCs/>
                <w:color w:val="auto"/>
                <w:spacing w:val="0"/>
                <w:w w:val="100"/>
                <w:position w:val="0"/>
                <w:highlight w:val="none"/>
              </w:rPr>
              <w:t>元</w:t>
            </w:r>
          </w:p>
        </w:tc>
      </w:tr>
      <w:tr w14:paraId="5A753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2546" w:type="dxa"/>
            <w:vAlign w:val="center"/>
          </w:tcPr>
          <w:p w14:paraId="573B31F6">
            <w:pPr>
              <w:pStyle w:val="20"/>
              <w:keepNext w:val="0"/>
              <w:keepLines w:val="0"/>
              <w:pageBreakBefore w:val="0"/>
              <w:widowControl/>
              <w:kinsoku/>
              <w:wordWrap/>
              <w:overflowPunct/>
              <w:topLinePunct w:val="0"/>
              <w:autoSpaceDE w:val="0"/>
              <w:autoSpaceDN w:val="0"/>
              <w:bidi w:val="0"/>
              <w:adjustRightInd w:val="0"/>
              <w:snapToGrid w:val="0"/>
              <w:spacing w:line="240" w:lineRule="auto"/>
              <w:ind w:left="115"/>
              <w:jc w:val="both"/>
              <w:textAlignment w:val="baseline"/>
              <w:rPr>
                <w:color w:val="auto"/>
                <w:spacing w:val="0"/>
                <w:w w:val="100"/>
                <w:position w:val="0"/>
                <w:highlight w:val="none"/>
                <w:lang w:eastAsia="zh-CN"/>
              </w:rPr>
            </w:pPr>
            <w:r>
              <w:rPr>
                <w:b/>
                <w:bCs/>
                <w:color w:val="auto"/>
                <w:spacing w:val="0"/>
                <w:w w:val="100"/>
                <w:position w:val="0"/>
                <w:highlight w:val="none"/>
                <w:lang w:eastAsia="zh-CN"/>
              </w:rPr>
              <w:t>其中：工程施工费</w:t>
            </w:r>
          </w:p>
          <w:p w14:paraId="14F895AB">
            <w:pPr>
              <w:pStyle w:val="20"/>
              <w:keepNext w:val="0"/>
              <w:keepLines w:val="0"/>
              <w:pageBreakBefore w:val="0"/>
              <w:widowControl/>
              <w:kinsoku/>
              <w:wordWrap/>
              <w:overflowPunct/>
              <w:topLinePunct w:val="0"/>
              <w:autoSpaceDE w:val="0"/>
              <w:autoSpaceDN w:val="0"/>
              <w:bidi w:val="0"/>
              <w:adjustRightInd w:val="0"/>
              <w:snapToGrid w:val="0"/>
              <w:spacing w:line="240" w:lineRule="auto"/>
              <w:ind w:left="653"/>
              <w:jc w:val="both"/>
              <w:textAlignment w:val="baseline"/>
              <w:rPr>
                <w:color w:val="auto"/>
                <w:spacing w:val="0"/>
                <w:w w:val="100"/>
                <w:position w:val="0"/>
                <w:highlight w:val="none"/>
                <w:lang w:eastAsia="zh-CN"/>
              </w:rPr>
            </w:pPr>
            <w:r>
              <w:rPr>
                <w:b/>
                <w:bCs/>
                <w:color w:val="auto"/>
                <w:spacing w:val="0"/>
                <w:w w:val="100"/>
                <w:position w:val="0"/>
                <w:highlight w:val="none"/>
                <w:lang w:eastAsia="zh-CN"/>
              </w:rPr>
              <w:t>（施工部分）</w:t>
            </w:r>
          </w:p>
        </w:tc>
        <w:tc>
          <w:tcPr>
            <w:tcW w:w="6697" w:type="dxa"/>
            <w:gridSpan w:val="2"/>
            <w:vAlign w:val="center"/>
          </w:tcPr>
          <w:p w14:paraId="1B6BA074">
            <w:pPr>
              <w:pStyle w:val="20"/>
              <w:keepNext w:val="0"/>
              <w:keepLines w:val="0"/>
              <w:pageBreakBefore w:val="0"/>
              <w:widowControl/>
              <w:kinsoku/>
              <w:wordWrap/>
              <w:overflowPunct/>
              <w:topLinePunct w:val="0"/>
              <w:autoSpaceDE w:val="0"/>
              <w:autoSpaceDN w:val="0"/>
              <w:bidi w:val="0"/>
              <w:adjustRightInd w:val="0"/>
              <w:snapToGrid w:val="0"/>
              <w:spacing w:line="240" w:lineRule="auto"/>
              <w:ind w:left="127" w:right="896" w:hanging="9"/>
              <w:jc w:val="both"/>
              <w:textAlignment w:val="baseline"/>
              <w:rPr>
                <w:b/>
                <w:bCs/>
                <w:color w:val="auto"/>
                <w:spacing w:val="0"/>
                <w:w w:val="100"/>
                <w:position w:val="0"/>
                <w:highlight w:val="none"/>
                <w:lang w:eastAsia="zh-CN"/>
              </w:rPr>
            </w:pPr>
            <w:r>
              <w:rPr>
                <w:b/>
                <w:bCs/>
                <w:color w:val="auto"/>
                <w:spacing w:val="0"/>
                <w:w w:val="100"/>
                <w:position w:val="0"/>
                <w:highlight w:val="none"/>
                <w:lang w:eastAsia="zh-CN"/>
              </w:rPr>
              <w:t>小写：</w:t>
            </w:r>
            <w:r>
              <w:rPr>
                <w:color w:val="auto"/>
                <w:spacing w:val="0"/>
                <w:w w:val="100"/>
                <w:position w:val="0"/>
                <w:highlight w:val="none"/>
                <w:u w:val="single"/>
                <w:lang w:eastAsia="zh-CN"/>
              </w:rPr>
              <w:t xml:space="preserve">              </w:t>
            </w:r>
            <w:r>
              <w:rPr>
                <w:b/>
                <w:bCs/>
                <w:color w:val="auto"/>
                <w:spacing w:val="0"/>
                <w:w w:val="100"/>
                <w:position w:val="0"/>
                <w:highlight w:val="none"/>
                <w:lang w:eastAsia="zh-CN"/>
              </w:rPr>
              <w:t>元，</w:t>
            </w:r>
          </w:p>
          <w:p w14:paraId="4FB687FA">
            <w:pPr>
              <w:pStyle w:val="20"/>
              <w:keepNext w:val="0"/>
              <w:keepLines w:val="0"/>
              <w:pageBreakBefore w:val="0"/>
              <w:widowControl/>
              <w:kinsoku/>
              <w:wordWrap/>
              <w:overflowPunct/>
              <w:topLinePunct w:val="0"/>
              <w:autoSpaceDE w:val="0"/>
              <w:autoSpaceDN w:val="0"/>
              <w:bidi w:val="0"/>
              <w:adjustRightInd w:val="0"/>
              <w:snapToGrid w:val="0"/>
              <w:spacing w:line="240" w:lineRule="auto"/>
              <w:ind w:left="127" w:right="896" w:hanging="9"/>
              <w:jc w:val="both"/>
              <w:textAlignment w:val="baseline"/>
              <w:rPr>
                <w:color w:val="auto"/>
                <w:spacing w:val="0"/>
                <w:w w:val="100"/>
                <w:position w:val="0"/>
                <w:highlight w:val="none"/>
              </w:rPr>
            </w:pPr>
            <w:r>
              <w:rPr>
                <w:b/>
                <w:bCs/>
                <w:color w:val="auto"/>
                <w:spacing w:val="0"/>
                <w:w w:val="100"/>
                <w:position w:val="0"/>
                <w:highlight w:val="none"/>
              </w:rPr>
              <w:t>下浮率：</w:t>
            </w:r>
            <w:r>
              <w:rPr>
                <w:color w:val="auto"/>
                <w:spacing w:val="0"/>
                <w:w w:val="100"/>
                <w:position w:val="0"/>
                <w:highlight w:val="none"/>
                <w:u w:val="single"/>
              </w:rPr>
              <w:t xml:space="preserve">    </w:t>
            </w:r>
            <w:r>
              <w:rPr>
                <w:b/>
                <w:bCs/>
                <w:color w:val="auto"/>
                <w:spacing w:val="0"/>
                <w:w w:val="100"/>
                <w:position w:val="0"/>
                <w:highlight w:val="none"/>
              </w:rPr>
              <w:t>%</w:t>
            </w:r>
          </w:p>
        </w:tc>
      </w:tr>
      <w:tr w14:paraId="5BE2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546" w:type="dxa"/>
            <w:vAlign w:val="center"/>
          </w:tcPr>
          <w:p w14:paraId="7E9E2B45">
            <w:pPr>
              <w:pStyle w:val="20"/>
              <w:keepNext w:val="0"/>
              <w:keepLines w:val="0"/>
              <w:pageBreakBefore w:val="0"/>
              <w:widowControl/>
              <w:kinsoku/>
              <w:wordWrap/>
              <w:overflowPunct/>
              <w:topLinePunct w:val="0"/>
              <w:autoSpaceDE w:val="0"/>
              <w:autoSpaceDN w:val="0"/>
              <w:bidi w:val="0"/>
              <w:adjustRightInd w:val="0"/>
              <w:snapToGrid w:val="0"/>
              <w:spacing w:line="240" w:lineRule="auto"/>
              <w:ind w:left="115"/>
              <w:jc w:val="both"/>
              <w:textAlignment w:val="baseline"/>
              <w:rPr>
                <w:color w:val="auto"/>
                <w:spacing w:val="0"/>
                <w:w w:val="100"/>
                <w:position w:val="0"/>
                <w:highlight w:val="none"/>
                <w:lang w:eastAsia="zh-CN"/>
              </w:rPr>
            </w:pPr>
            <w:r>
              <w:rPr>
                <w:b/>
                <w:bCs/>
                <w:color w:val="auto"/>
                <w:spacing w:val="0"/>
                <w:w w:val="100"/>
                <w:position w:val="0"/>
                <w:highlight w:val="none"/>
                <w:lang w:eastAsia="zh-CN"/>
              </w:rPr>
              <w:t>其中：设计费</w:t>
            </w:r>
          </w:p>
        </w:tc>
        <w:tc>
          <w:tcPr>
            <w:tcW w:w="6697" w:type="dxa"/>
            <w:gridSpan w:val="2"/>
            <w:vAlign w:val="center"/>
          </w:tcPr>
          <w:p w14:paraId="14EEE56A">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jc w:val="both"/>
              <w:textAlignment w:val="baseline"/>
              <w:rPr>
                <w:color w:val="auto"/>
                <w:spacing w:val="0"/>
                <w:w w:val="100"/>
                <w:position w:val="0"/>
                <w:highlight w:val="none"/>
              </w:rPr>
            </w:pPr>
            <w:r>
              <w:rPr>
                <w:b/>
                <w:bCs/>
                <w:color w:val="auto"/>
                <w:spacing w:val="0"/>
                <w:w w:val="100"/>
                <w:position w:val="0"/>
                <w:highlight w:val="none"/>
              </w:rPr>
              <w:t>小写：</w:t>
            </w:r>
            <w:r>
              <w:rPr>
                <w:color w:val="auto"/>
                <w:spacing w:val="0"/>
                <w:w w:val="100"/>
                <w:position w:val="0"/>
                <w:highlight w:val="none"/>
                <w:u w:val="single"/>
              </w:rPr>
              <w:t xml:space="preserve">              </w:t>
            </w:r>
            <w:r>
              <w:rPr>
                <w:b/>
                <w:bCs/>
                <w:color w:val="auto"/>
                <w:spacing w:val="0"/>
                <w:w w:val="100"/>
                <w:position w:val="0"/>
                <w:highlight w:val="none"/>
              </w:rPr>
              <w:t>元</w:t>
            </w:r>
          </w:p>
          <w:p w14:paraId="2BE3C3FD">
            <w:pPr>
              <w:pStyle w:val="20"/>
              <w:keepNext w:val="0"/>
              <w:keepLines w:val="0"/>
              <w:pageBreakBefore w:val="0"/>
              <w:widowControl/>
              <w:kinsoku/>
              <w:wordWrap/>
              <w:overflowPunct/>
              <w:topLinePunct w:val="0"/>
              <w:autoSpaceDE w:val="0"/>
              <w:autoSpaceDN w:val="0"/>
              <w:bidi w:val="0"/>
              <w:adjustRightInd w:val="0"/>
              <w:snapToGrid w:val="0"/>
              <w:spacing w:line="240" w:lineRule="auto"/>
              <w:ind w:left="119"/>
              <w:jc w:val="both"/>
              <w:textAlignment w:val="baseline"/>
              <w:rPr>
                <w:color w:val="auto"/>
                <w:spacing w:val="0"/>
                <w:w w:val="100"/>
                <w:position w:val="0"/>
                <w:highlight w:val="none"/>
              </w:rPr>
            </w:pPr>
            <w:r>
              <w:rPr>
                <w:b/>
                <w:bCs/>
                <w:color w:val="auto"/>
                <w:spacing w:val="0"/>
                <w:w w:val="100"/>
                <w:position w:val="0"/>
                <w:highlight w:val="none"/>
              </w:rPr>
              <w:t>下浮率：</w:t>
            </w:r>
            <w:r>
              <w:rPr>
                <w:color w:val="auto"/>
                <w:spacing w:val="0"/>
                <w:w w:val="100"/>
                <w:position w:val="0"/>
                <w:highlight w:val="none"/>
                <w:u w:val="single"/>
              </w:rPr>
              <w:t xml:space="preserve">    </w:t>
            </w:r>
            <w:r>
              <w:rPr>
                <w:b/>
                <w:bCs/>
                <w:color w:val="auto"/>
                <w:spacing w:val="0"/>
                <w:w w:val="100"/>
                <w:position w:val="0"/>
                <w:highlight w:val="none"/>
              </w:rPr>
              <w:t>%</w:t>
            </w:r>
          </w:p>
        </w:tc>
      </w:tr>
      <w:tr w14:paraId="7C9A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46" w:type="dxa"/>
            <w:vAlign w:val="center"/>
          </w:tcPr>
          <w:p w14:paraId="287DE16B">
            <w:pPr>
              <w:pStyle w:val="20"/>
              <w:keepNext w:val="0"/>
              <w:keepLines w:val="0"/>
              <w:pageBreakBefore w:val="0"/>
              <w:widowControl/>
              <w:kinsoku/>
              <w:wordWrap/>
              <w:overflowPunct/>
              <w:topLinePunct w:val="0"/>
              <w:autoSpaceDE w:val="0"/>
              <w:autoSpaceDN w:val="0"/>
              <w:bidi w:val="0"/>
              <w:adjustRightInd w:val="0"/>
              <w:snapToGrid w:val="0"/>
              <w:spacing w:line="240" w:lineRule="auto"/>
              <w:ind w:left="858"/>
              <w:jc w:val="both"/>
              <w:textAlignment w:val="baseline"/>
              <w:rPr>
                <w:color w:val="auto"/>
                <w:spacing w:val="0"/>
                <w:w w:val="100"/>
                <w:position w:val="0"/>
                <w:highlight w:val="none"/>
              </w:rPr>
            </w:pPr>
            <w:r>
              <w:rPr>
                <w:rFonts w:hint="eastAsia"/>
                <w:b/>
                <w:bCs/>
                <w:color w:val="auto"/>
                <w:spacing w:val="0"/>
                <w:w w:val="100"/>
                <w:position w:val="0"/>
                <w:highlight w:val="none"/>
              </w:rPr>
              <w:t>投标总工期</w:t>
            </w:r>
          </w:p>
        </w:tc>
        <w:tc>
          <w:tcPr>
            <w:tcW w:w="6697" w:type="dxa"/>
            <w:gridSpan w:val="2"/>
            <w:vAlign w:val="center"/>
          </w:tcPr>
          <w:p w14:paraId="1BC99E13">
            <w:pPr>
              <w:pStyle w:val="20"/>
              <w:keepNext w:val="0"/>
              <w:keepLines w:val="0"/>
              <w:pageBreakBefore w:val="0"/>
              <w:widowControl/>
              <w:kinsoku/>
              <w:wordWrap/>
              <w:overflowPunct/>
              <w:topLinePunct w:val="0"/>
              <w:autoSpaceDE w:val="0"/>
              <w:autoSpaceDN w:val="0"/>
              <w:bidi w:val="0"/>
              <w:adjustRightInd w:val="0"/>
              <w:snapToGrid w:val="0"/>
              <w:spacing w:line="240" w:lineRule="auto"/>
              <w:ind w:left="114"/>
              <w:jc w:val="both"/>
              <w:textAlignment w:val="baseline"/>
              <w:rPr>
                <w:b w:val="0"/>
                <w:bCs w:val="0"/>
                <w:color w:val="0000FF"/>
                <w:spacing w:val="0"/>
                <w:w w:val="100"/>
                <w:position w:val="0"/>
                <w:highlight w:val="none"/>
              </w:rPr>
            </w:pPr>
          </w:p>
        </w:tc>
      </w:tr>
      <w:tr w14:paraId="1A1D1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46" w:type="dxa"/>
            <w:vAlign w:val="center"/>
          </w:tcPr>
          <w:p w14:paraId="41B5E570">
            <w:pPr>
              <w:pStyle w:val="20"/>
              <w:keepNext w:val="0"/>
              <w:keepLines w:val="0"/>
              <w:pageBreakBefore w:val="0"/>
              <w:widowControl/>
              <w:kinsoku/>
              <w:wordWrap/>
              <w:overflowPunct/>
              <w:topLinePunct w:val="0"/>
              <w:autoSpaceDE w:val="0"/>
              <w:autoSpaceDN w:val="0"/>
              <w:bidi w:val="0"/>
              <w:adjustRightInd w:val="0"/>
              <w:snapToGrid w:val="0"/>
              <w:spacing w:line="240" w:lineRule="auto"/>
              <w:ind w:left="859"/>
              <w:jc w:val="both"/>
              <w:textAlignment w:val="baseline"/>
              <w:rPr>
                <w:color w:val="auto"/>
                <w:spacing w:val="0"/>
                <w:w w:val="100"/>
                <w:position w:val="0"/>
                <w:highlight w:val="none"/>
              </w:rPr>
            </w:pPr>
            <w:r>
              <w:rPr>
                <w:b/>
                <w:bCs/>
                <w:color w:val="auto"/>
                <w:spacing w:val="0"/>
                <w:w w:val="100"/>
                <w:position w:val="0"/>
                <w:highlight w:val="none"/>
              </w:rPr>
              <w:t>质量标准</w:t>
            </w:r>
          </w:p>
        </w:tc>
        <w:tc>
          <w:tcPr>
            <w:tcW w:w="6697" w:type="dxa"/>
            <w:gridSpan w:val="2"/>
            <w:vAlign w:val="center"/>
          </w:tcPr>
          <w:p w14:paraId="7A2FE2CF">
            <w:pPr>
              <w:pStyle w:val="20"/>
              <w:keepNext w:val="0"/>
              <w:keepLines w:val="0"/>
              <w:pageBreakBefore w:val="0"/>
              <w:widowControl/>
              <w:kinsoku/>
              <w:wordWrap/>
              <w:overflowPunct/>
              <w:topLinePunct w:val="0"/>
              <w:autoSpaceDE w:val="0"/>
              <w:autoSpaceDN w:val="0"/>
              <w:bidi w:val="0"/>
              <w:adjustRightInd w:val="0"/>
              <w:snapToGrid w:val="0"/>
              <w:spacing w:line="240" w:lineRule="auto"/>
              <w:ind w:left="114"/>
              <w:jc w:val="both"/>
              <w:textAlignment w:val="baseline"/>
              <w:rPr>
                <w:color w:val="auto"/>
                <w:spacing w:val="0"/>
                <w:w w:val="100"/>
                <w:position w:val="0"/>
                <w:highlight w:val="none"/>
              </w:rPr>
            </w:pPr>
          </w:p>
        </w:tc>
      </w:tr>
      <w:tr w14:paraId="2093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46" w:type="dxa"/>
            <w:vAlign w:val="center"/>
          </w:tcPr>
          <w:p w14:paraId="6961AEB6">
            <w:pPr>
              <w:pStyle w:val="20"/>
              <w:keepNext w:val="0"/>
              <w:keepLines w:val="0"/>
              <w:pageBreakBefore w:val="0"/>
              <w:widowControl/>
              <w:kinsoku/>
              <w:wordWrap/>
              <w:overflowPunct/>
              <w:topLinePunct w:val="0"/>
              <w:autoSpaceDE w:val="0"/>
              <w:autoSpaceDN w:val="0"/>
              <w:bidi w:val="0"/>
              <w:adjustRightInd w:val="0"/>
              <w:snapToGrid w:val="0"/>
              <w:spacing w:line="240" w:lineRule="auto"/>
              <w:ind w:left="859"/>
              <w:jc w:val="both"/>
              <w:textAlignment w:val="baseline"/>
              <w:rPr>
                <w:color w:val="auto"/>
                <w:spacing w:val="0"/>
                <w:w w:val="100"/>
                <w:position w:val="0"/>
                <w:highlight w:val="none"/>
              </w:rPr>
            </w:pPr>
            <w:r>
              <w:rPr>
                <w:b/>
                <w:bCs/>
                <w:color w:val="auto"/>
                <w:spacing w:val="0"/>
                <w:w w:val="100"/>
                <w:position w:val="0"/>
                <w:highlight w:val="none"/>
              </w:rPr>
              <w:t>保修期限</w:t>
            </w:r>
          </w:p>
        </w:tc>
        <w:tc>
          <w:tcPr>
            <w:tcW w:w="6697" w:type="dxa"/>
            <w:gridSpan w:val="2"/>
            <w:vAlign w:val="center"/>
          </w:tcPr>
          <w:p w14:paraId="63787E57">
            <w:pPr>
              <w:pStyle w:val="20"/>
              <w:keepNext w:val="0"/>
              <w:keepLines w:val="0"/>
              <w:pageBreakBefore w:val="0"/>
              <w:widowControl/>
              <w:kinsoku/>
              <w:wordWrap/>
              <w:overflowPunct/>
              <w:topLinePunct w:val="0"/>
              <w:autoSpaceDE w:val="0"/>
              <w:autoSpaceDN w:val="0"/>
              <w:bidi w:val="0"/>
              <w:adjustRightInd w:val="0"/>
              <w:snapToGrid w:val="0"/>
              <w:spacing w:line="240" w:lineRule="auto"/>
              <w:ind w:left="114"/>
              <w:jc w:val="both"/>
              <w:textAlignment w:val="baseline"/>
              <w:rPr>
                <w:b/>
                <w:bCs/>
                <w:color w:val="auto"/>
                <w:spacing w:val="0"/>
                <w:w w:val="100"/>
                <w:position w:val="0"/>
                <w:highlight w:val="none"/>
                <w:lang w:eastAsia="zh-CN"/>
              </w:rPr>
            </w:pPr>
            <w:r>
              <w:rPr>
                <w:rFonts w:hint="eastAsia"/>
                <w:b/>
                <w:bCs/>
                <w:color w:val="auto"/>
                <w:spacing w:val="0"/>
                <w:w w:val="100"/>
                <w:position w:val="0"/>
                <w:highlight w:val="none"/>
                <w:lang w:eastAsia="zh-CN"/>
              </w:rPr>
              <w:t>按照《建设工程质量管理条例》规定</w:t>
            </w:r>
          </w:p>
        </w:tc>
      </w:tr>
      <w:tr w14:paraId="63B8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46" w:type="dxa"/>
            <w:vAlign w:val="center"/>
          </w:tcPr>
          <w:p w14:paraId="5FD1DE4E">
            <w:pPr>
              <w:pStyle w:val="20"/>
              <w:keepNext w:val="0"/>
              <w:keepLines w:val="0"/>
              <w:pageBreakBefore w:val="0"/>
              <w:widowControl/>
              <w:kinsoku/>
              <w:wordWrap/>
              <w:overflowPunct/>
              <w:topLinePunct w:val="0"/>
              <w:autoSpaceDE w:val="0"/>
              <w:autoSpaceDN w:val="0"/>
              <w:bidi w:val="0"/>
              <w:adjustRightInd w:val="0"/>
              <w:snapToGrid w:val="0"/>
              <w:spacing w:line="240" w:lineRule="auto"/>
              <w:ind w:right="14"/>
              <w:jc w:val="center"/>
              <w:textAlignment w:val="baseline"/>
              <w:rPr>
                <w:color w:val="auto"/>
                <w:spacing w:val="0"/>
                <w:w w:val="100"/>
                <w:position w:val="0"/>
                <w:highlight w:val="none"/>
                <w:lang w:eastAsia="zh-CN"/>
              </w:rPr>
            </w:pPr>
            <w:r>
              <w:rPr>
                <w:b/>
                <w:bCs/>
                <w:color w:val="auto"/>
                <w:spacing w:val="0"/>
                <w:w w:val="100"/>
                <w:position w:val="0"/>
                <w:highlight w:val="none"/>
                <w:lang w:eastAsia="zh-CN"/>
              </w:rPr>
              <w:t>项目负责人（施工负责人）</w:t>
            </w:r>
          </w:p>
        </w:tc>
        <w:tc>
          <w:tcPr>
            <w:tcW w:w="2095" w:type="dxa"/>
            <w:vAlign w:val="center"/>
          </w:tcPr>
          <w:p w14:paraId="114A2EAE">
            <w:pPr>
              <w:pStyle w:val="20"/>
              <w:keepNext w:val="0"/>
              <w:keepLines w:val="0"/>
              <w:pageBreakBefore w:val="0"/>
              <w:widowControl/>
              <w:kinsoku/>
              <w:wordWrap/>
              <w:overflowPunct/>
              <w:topLinePunct w:val="0"/>
              <w:autoSpaceDE w:val="0"/>
              <w:autoSpaceDN w:val="0"/>
              <w:bidi w:val="0"/>
              <w:adjustRightInd w:val="0"/>
              <w:snapToGrid w:val="0"/>
              <w:spacing w:line="240" w:lineRule="auto"/>
              <w:ind w:left="842"/>
              <w:jc w:val="both"/>
              <w:textAlignment w:val="baseline"/>
              <w:rPr>
                <w:color w:val="auto"/>
                <w:spacing w:val="0"/>
                <w:w w:val="100"/>
                <w:position w:val="0"/>
                <w:highlight w:val="none"/>
              </w:rPr>
            </w:pPr>
            <w:r>
              <w:rPr>
                <w:b/>
                <w:bCs/>
                <w:color w:val="auto"/>
                <w:spacing w:val="0"/>
                <w:w w:val="100"/>
                <w:position w:val="0"/>
                <w:highlight w:val="none"/>
              </w:rPr>
              <w:t>姓名</w:t>
            </w:r>
          </w:p>
        </w:tc>
        <w:tc>
          <w:tcPr>
            <w:tcW w:w="4602" w:type="dxa"/>
            <w:vAlign w:val="center"/>
          </w:tcPr>
          <w:p w14:paraId="65ED829B">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p>
        </w:tc>
      </w:tr>
      <w:tr w14:paraId="68F84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2546" w:type="dxa"/>
            <w:vAlign w:val="center"/>
          </w:tcPr>
          <w:p w14:paraId="3164106D">
            <w:pPr>
              <w:pStyle w:val="20"/>
              <w:keepNext w:val="0"/>
              <w:keepLines w:val="0"/>
              <w:pageBreakBefore w:val="0"/>
              <w:widowControl/>
              <w:kinsoku/>
              <w:wordWrap/>
              <w:overflowPunct/>
              <w:topLinePunct w:val="0"/>
              <w:autoSpaceDE w:val="0"/>
              <w:autoSpaceDN w:val="0"/>
              <w:bidi w:val="0"/>
              <w:adjustRightInd w:val="0"/>
              <w:snapToGrid w:val="0"/>
              <w:spacing w:line="240" w:lineRule="auto"/>
              <w:ind w:left="754"/>
              <w:jc w:val="both"/>
              <w:textAlignment w:val="baseline"/>
              <w:rPr>
                <w:color w:val="auto"/>
                <w:spacing w:val="0"/>
                <w:w w:val="100"/>
                <w:position w:val="0"/>
                <w:highlight w:val="none"/>
              </w:rPr>
            </w:pPr>
            <w:r>
              <w:rPr>
                <w:b/>
                <w:bCs/>
                <w:color w:val="auto"/>
                <w:spacing w:val="0"/>
                <w:w w:val="100"/>
                <w:position w:val="0"/>
                <w:highlight w:val="none"/>
              </w:rPr>
              <w:t>设计负责人</w:t>
            </w:r>
          </w:p>
        </w:tc>
        <w:tc>
          <w:tcPr>
            <w:tcW w:w="2095" w:type="dxa"/>
            <w:vAlign w:val="center"/>
          </w:tcPr>
          <w:p w14:paraId="66D6EB0E">
            <w:pPr>
              <w:pStyle w:val="20"/>
              <w:keepNext w:val="0"/>
              <w:keepLines w:val="0"/>
              <w:pageBreakBefore w:val="0"/>
              <w:widowControl/>
              <w:kinsoku/>
              <w:wordWrap/>
              <w:overflowPunct/>
              <w:topLinePunct w:val="0"/>
              <w:autoSpaceDE w:val="0"/>
              <w:autoSpaceDN w:val="0"/>
              <w:bidi w:val="0"/>
              <w:adjustRightInd w:val="0"/>
              <w:snapToGrid w:val="0"/>
              <w:spacing w:line="240" w:lineRule="auto"/>
              <w:ind w:left="842"/>
              <w:jc w:val="both"/>
              <w:textAlignment w:val="baseline"/>
              <w:rPr>
                <w:color w:val="auto"/>
                <w:spacing w:val="0"/>
                <w:w w:val="100"/>
                <w:position w:val="0"/>
                <w:highlight w:val="none"/>
              </w:rPr>
            </w:pPr>
            <w:r>
              <w:rPr>
                <w:b/>
                <w:bCs/>
                <w:color w:val="auto"/>
                <w:spacing w:val="0"/>
                <w:w w:val="100"/>
                <w:position w:val="0"/>
                <w:highlight w:val="none"/>
              </w:rPr>
              <w:t>姓名</w:t>
            </w:r>
          </w:p>
        </w:tc>
        <w:tc>
          <w:tcPr>
            <w:tcW w:w="4602" w:type="dxa"/>
            <w:vAlign w:val="center"/>
          </w:tcPr>
          <w:p w14:paraId="5E046089">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p>
        </w:tc>
      </w:tr>
      <w:tr w14:paraId="1580D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46" w:type="dxa"/>
            <w:vAlign w:val="center"/>
          </w:tcPr>
          <w:p w14:paraId="182A81A3">
            <w:pPr>
              <w:pStyle w:val="20"/>
              <w:keepNext w:val="0"/>
              <w:keepLines w:val="0"/>
              <w:pageBreakBefore w:val="0"/>
              <w:widowControl/>
              <w:kinsoku/>
              <w:wordWrap/>
              <w:overflowPunct/>
              <w:topLinePunct w:val="0"/>
              <w:autoSpaceDE w:val="0"/>
              <w:autoSpaceDN w:val="0"/>
              <w:bidi w:val="0"/>
              <w:adjustRightInd w:val="0"/>
              <w:snapToGrid w:val="0"/>
              <w:spacing w:line="240" w:lineRule="auto"/>
              <w:ind w:left="538"/>
              <w:jc w:val="both"/>
              <w:textAlignment w:val="baseline"/>
              <w:rPr>
                <w:color w:val="auto"/>
                <w:spacing w:val="0"/>
                <w:w w:val="100"/>
                <w:position w:val="0"/>
                <w:highlight w:val="none"/>
              </w:rPr>
            </w:pPr>
            <w:r>
              <w:rPr>
                <w:b/>
                <w:bCs/>
                <w:color w:val="auto"/>
                <w:spacing w:val="0"/>
                <w:w w:val="100"/>
                <w:position w:val="0"/>
                <w:highlight w:val="none"/>
              </w:rPr>
              <w:t>施工技术负责人</w:t>
            </w:r>
          </w:p>
        </w:tc>
        <w:tc>
          <w:tcPr>
            <w:tcW w:w="2095" w:type="dxa"/>
            <w:vAlign w:val="center"/>
          </w:tcPr>
          <w:p w14:paraId="31BC14C5">
            <w:pPr>
              <w:pStyle w:val="20"/>
              <w:keepNext w:val="0"/>
              <w:keepLines w:val="0"/>
              <w:pageBreakBefore w:val="0"/>
              <w:widowControl/>
              <w:kinsoku/>
              <w:wordWrap/>
              <w:overflowPunct/>
              <w:topLinePunct w:val="0"/>
              <w:autoSpaceDE w:val="0"/>
              <w:autoSpaceDN w:val="0"/>
              <w:bidi w:val="0"/>
              <w:adjustRightInd w:val="0"/>
              <w:snapToGrid w:val="0"/>
              <w:spacing w:line="240" w:lineRule="auto"/>
              <w:ind w:left="842"/>
              <w:jc w:val="both"/>
              <w:textAlignment w:val="baseline"/>
              <w:rPr>
                <w:color w:val="auto"/>
                <w:spacing w:val="0"/>
                <w:w w:val="100"/>
                <w:position w:val="0"/>
                <w:highlight w:val="none"/>
              </w:rPr>
            </w:pPr>
            <w:r>
              <w:rPr>
                <w:b/>
                <w:bCs/>
                <w:color w:val="auto"/>
                <w:spacing w:val="0"/>
                <w:w w:val="100"/>
                <w:position w:val="0"/>
                <w:highlight w:val="none"/>
              </w:rPr>
              <w:t>姓名</w:t>
            </w:r>
          </w:p>
        </w:tc>
        <w:tc>
          <w:tcPr>
            <w:tcW w:w="4602" w:type="dxa"/>
            <w:vAlign w:val="center"/>
          </w:tcPr>
          <w:p w14:paraId="17759925">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p>
        </w:tc>
      </w:tr>
      <w:tr w14:paraId="333AC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46" w:type="dxa"/>
            <w:vAlign w:val="center"/>
          </w:tcPr>
          <w:p w14:paraId="09BEF683">
            <w:pPr>
              <w:pStyle w:val="20"/>
              <w:keepNext w:val="0"/>
              <w:keepLines w:val="0"/>
              <w:pageBreakBefore w:val="0"/>
              <w:widowControl/>
              <w:kinsoku/>
              <w:wordWrap/>
              <w:overflowPunct/>
              <w:topLinePunct w:val="0"/>
              <w:autoSpaceDE w:val="0"/>
              <w:autoSpaceDN w:val="0"/>
              <w:bidi w:val="0"/>
              <w:adjustRightInd w:val="0"/>
              <w:snapToGrid w:val="0"/>
              <w:spacing w:line="240" w:lineRule="auto"/>
              <w:ind w:left="435"/>
              <w:jc w:val="both"/>
              <w:textAlignment w:val="baseline"/>
              <w:rPr>
                <w:color w:val="auto"/>
                <w:spacing w:val="0"/>
                <w:w w:val="100"/>
                <w:position w:val="0"/>
                <w:highlight w:val="none"/>
              </w:rPr>
            </w:pPr>
            <w:r>
              <w:rPr>
                <w:b/>
                <w:bCs/>
                <w:color w:val="auto"/>
                <w:spacing w:val="0"/>
                <w:w w:val="100"/>
                <w:position w:val="0"/>
                <w:highlight w:val="none"/>
              </w:rPr>
              <w:t>委派的专职安全员</w:t>
            </w:r>
          </w:p>
        </w:tc>
        <w:tc>
          <w:tcPr>
            <w:tcW w:w="2095" w:type="dxa"/>
            <w:vAlign w:val="center"/>
          </w:tcPr>
          <w:p w14:paraId="7E03C0D9">
            <w:pPr>
              <w:pStyle w:val="20"/>
              <w:keepNext w:val="0"/>
              <w:keepLines w:val="0"/>
              <w:pageBreakBefore w:val="0"/>
              <w:widowControl/>
              <w:kinsoku/>
              <w:wordWrap/>
              <w:overflowPunct/>
              <w:topLinePunct w:val="0"/>
              <w:autoSpaceDE w:val="0"/>
              <w:autoSpaceDN w:val="0"/>
              <w:bidi w:val="0"/>
              <w:adjustRightInd w:val="0"/>
              <w:snapToGrid w:val="0"/>
              <w:spacing w:line="240" w:lineRule="auto"/>
              <w:ind w:left="842"/>
              <w:jc w:val="both"/>
              <w:textAlignment w:val="baseline"/>
              <w:rPr>
                <w:color w:val="auto"/>
                <w:spacing w:val="0"/>
                <w:w w:val="100"/>
                <w:position w:val="0"/>
                <w:highlight w:val="none"/>
              </w:rPr>
            </w:pPr>
            <w:r>
              <w:rPr>
                <w:b/>
                <w:bCs/>
                <w:color w:val="auto"/>
                <w:spacing w:val="0"/>
                <w:w w:val="100"/>
                <w:position w:val="0"/>
                <w:highlight w:val="none"/>
              </w:rPr>
              <w:t>姓名</w:t>
            </w:r>
          </w:p>
        </w:tc>
        <w:tc>
          <w:tcPr>
            <w:tcW w:w="4602" w:type="dxa"/>
            <w:vAlign w:val="center"/>
          </w:tcPr>
          <w:p w14:paraId="710A4D0D">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p>
        </w:tc>
      </w:tr>
      <w:tr w14:paraId="43365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546" w:type="dxa"/>
            <w:vAlign w:val="center"/>
          </w:tcPr>
          <w:p w14:paraId="7207680E">
            <w:pPr>
              <w:pStyle w:val="20"/>
              <w:keepNext w:val="0"/>
              <w:keepLines w:val="0"/>
              <w:pageBreakBefore w:val="0"/>
              <w:widowControl/>
              <w:kinsoku/>
              <w:wordWrap/>
              <w:overflowPunct/>
              <w:topLinePunct w:val="0"/>
              <w:autoSpaceDE w:val="0"/>
              <w:autoSpaceDN w:val="0"/>
              <w:bidi w:val="0"/>
              <w:adjustRightInd w:val="0"/>
              <w:snapToGrid w:val="0"/>
              <w:spacing w:line="240" w:lineRule="auto"/>
              <w:ind w:left="753"/>
              <w:jc w:val="both"/>
              <w:textAlignment w:val="baseline"/>
              <w:rPr>
                <w:color w:val="auto"/>
                <w:spacing w:val="0"/>
                <w:w w:val="100"/>
                <w:position w:val="0"/>
                <w:highlight w:val="none"/>
              </w:rPr>
            </w:pPr>
            <w:r>
              <w:rPr>
                <w:b/>
                <w:bCs/>
                <w:color w:val="auto"/>
                <w:spacing w:val="0"/>
                <w:w w:val="100"/>
                <w:position w:val="0"/>
                <w:highlight w:val="none"/>
              </w:rPr>
              <w:t>投标有效期</w:t>
            </w:r>
          </w:p>
        </w:tc>
        <w:tc>
          <w:tcPr>
            <w:tcW w:w="6697" w:type="dxa"/>
            <w:gridSpan w:val="2"/>
            <w:vAlign w:val="center"/>
          </w:tcPr>
          <w:p w14:paraId="212FD620">
            <w:pPr>
              <w:pStyle w:val="20"/>
              <w:keepNext w:val="0"/>
              <w:keepLines w:val="0"/>
              <w:pageBreakBefore w:val="0"/>
              <w:widowControl/>
              <w:kinsoku/>
              <w:wordWrap/>
              <w:overflowPunct/>
              <w:topLinePunct w:val="0"/>
              <w:autoSpaceDE w:val="0"/>
              <w:autoSpaceDN w:val="0"/>
              <w:bidi w:val="0"/>
              <w:adjustRightInd w:val="0"/>
              <w:snapToGrid w:val="0"/>
              <w:spacing w:line="240" w:lineRule="auto"/>
              <w:ind w:left="2615"/>
              <w:jc w:val="both"/>
              <w:textAlignment w:val="baseline"/>
              <w:rPr>
                <w:color w:val="auto"/>
                <w:spacing w:val="0"/>
                <w:w w:val="100"/>
                <w:position w:val="0"/>
                <w:highlight w:val="none"/>
              </w:rPr>
            </w:pPr>
            <w:r>
              <w:rPr>
                <w:b/>
                <w:bCs/>
                <w:color w:val="auto"/>
                <w:spacing w:val="0"/>
                <w:w w:val="100"/>
                <w:position w:val="0"/>
                <w:highlight w:val="none"/>
              </w:rPr>
              <w:t>按招标文件要求</w:t>
            </w:r>
          </w:p>
        </w:tc>
      </w:tr>
      <w:tr w14:paraId="142A9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546" w:type="dxa"/>
            <w:vAlign w:val="center"/>
          </w:tcPr>
          <w:p w14:paraId="042C5759">
            <w:pPr>
              <w:pStyle w:val="20"/>
              <w:keepNext w:val="0"/>
              <w:keepLines w:val="0"/>
              <w:pageBreakBefore w:val="0"/>
              <w:widowControl/>
              <w:kinsoku/>
              <w:wordWrap/>
              <w:overflowPunct/>
              <w:topLinePunct w:val="0"/>
              <w:autoSpaceDE w:val="0"/>
              <w:autoSpaceDN w:val="0"/>
              <w:bidi w:val="0"/>
              <w:adjustRightInd w:val="0"/>
              <w:snapToGrid w:val="0"/>
              <w:spacing w:line="240" w:lineRule="auto"/>
              <w:ind w:left="120"/>
              <w:jc w:val="both"/>
              <w:textAlignment w:val="baseline"/>
              <w:rPr>
                <w:b/>
                <w:bCs/>
                <w:color w:val="auto"/>
                <w:spacing w:val="0"/>
                <w:w w:val="100"/>
                <w:position w:val="0"/>
                <w:highlight w:val="none"/>
              </w:rPr>
            </w:pPr>
            <w:r>
              <w:rPr>
                <w:b/>
                <w:bCs/>
                <w:color w:val="auto"/>
                <w:spacing w:val="0"/>
                <w:w w:val="100"/>
                <w:position w:val="0"/>
                <w:highlight w:val="none"/>
              </w:rPr>
              <w:t>法定代表人或其委托代理人</w:t>
            </w:r>
          </w:p>
          <w:p w14:paraId="7D3E979C">
            <w:pPr>
              <w:pStyle w:val="20"/>
              <w:keepNext w:val="0"/>
              <w:keepLines w:val="0"/>
              <w:pageBreakBefore w:val="0"/>
              <w:widowControl/>
              <w:kinsoku/>
              <w:wordWrap/>
              <w:overflowPunct/>
              <w:topLinePunct w:val="0"/>
              <w:autoSpaceDE w:val="0"/>
              <w:autoSpaceDN w:val="0"/>
              <w:bidi w:val="0"/>
              <w:adjustRightInd w:val="0"/>
              <w:snapToGrid w:val="0"/>
              <w:spacing w:line="240" w:lineRule="auto"/>
              <w:ind w:left="120"/>
              <w:jc w:val="center"/>
              <w:textAlignment w:val="baseline"/>
              <w:rPr>
                <w:color w:val="auto"/>
                <w:spacing w:val="0"/>
                <w:w w:val="100"/>
                <w:position w:val="0"/>
                <w:highlight w:val="none"/>
              </w:rPr>
            </w:pPr>
            <w:r>
              <w:rPr>
                <w:b/>
                <w:bCs/>
                <w:color w:val="auto"/>
                <w:spacing w:val="0"/>
                <w:w w:val="100"/>
                <w:position w:val="0"/>
                <w:highlight w:val="none"/>
              </w:rPr>
              <w:t>（签字或盖章）</w:t>
            </w:r>
          </w:p>
        </w:tc>
        <w:tc>
          <w:tcPr>
            <w:tcW w:w="6697" w:type="dxa"/>
            <w:gridSpan w:val="2"/>
            <w:vAlign w:val="center"/>
          </w:tcPr>
          <w:p w14:paraId="654B4889">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p>
        </w:tc>
      </w:tr>
      <w:tr w14:paraId="6405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546" w:type="dxa"/>
            <w:vAlign w:val="center"/>
          </w:tcPr>
          <w:p w14:paraId="41B6D745">
            <w:pPr>
              <w:pStyle w:val="20"/>
              <w:keepNext w:val="0"/>
              <w:keepLines w:val="0"/>
              <w:pageBreakBefore w:val="0"/>
              <w:widowControl/>
              <w:kinsoku/>
              <w:wordWrap/>
              <w:overflowPunct/>
              <w:topLinePunct w:val="0"/>
              <w:autoSpaceDE w:val="0"/>
              <w:autoSpaceDN w:val="0"/>
              <w:bidi w:val="0"/>
              <w:adjustRightInd w:val="0"/>
              <w:snapToGrid w:val="0"/>
              <w:spacing w:line="240" w:lineRule="auto"/>
              <w:ind w:left="439"/>
              <w:jc w:val="both"/>
              <w:textAlignment w:val="baseline"/>
              <w:rPr>
                <w:color w:val="auto"/>
                <w:spacing w:val="0"/>
                <w:w w:val="100"/>
                <w:position w:val="0"/>
                <w:highlight w:val="none"/>
              </w:rPr>
            </w:pPr>
            <w:r>
              <w:rPr>
                <w:b/>
                <w:bCs/>
                <w:color w:val="auto"/>
                <w:spacing w:val="0"/>
                <w:w w:val="100"/>
                <w:position w:val="0"/>
                <w:highlight w:val="none"/>
              </w:rPr>
              <w:t>投标单位（盖章）</w:t>
            </w:r>
          </w:p>
        </w:tc>
        <w:tc>
          <w:tcPr>
            <w:tcW w:w="6697" w:type="dxa"/>
            <w:gridSpan w:val="2"/>
            <w:vAlign w:val="center"/>
          </w:tcPr>
          <w:p w14:paraId="1E6D593F">
            <w:pPr>
              <w:pStyle w:val="20"/>
              <w:keepNext w:val="0"/>
              <w:keepLines w:val="0"/>
              <w:pageBreakBefore w:val="0"/>
              <w:widowControl/>
              <w:kinsoku/>
              <w:wordWrap/>
              <w:overflowPunct/>
              <w:topLinePunct w:val="0"/>
              <w:autoSpaceDE w:val="0"/>
              <w:autoSpaceDN w:val="0"/>
              <w:bidi w:val="0"/>
              <w:adjustRightInd w:val="0"/>
              <w:snapToGrid w:val="0"/>
              <w:spacing w:line="240" w:lineRule="auto"/>
              <w:ind w:left="118" w:right="3952" w:hanging="3"/>
              <w:jc w:val="both"/>
              <w:textAlignment w:val="baseline"/>
              <w:rPr>
                <w:color w:val="auto"/>
                <w:spacing w:val="0"/>
                <w:w w:val="100"/>
                <w:position w:val="0"/>
                <w:highlight w:val="none"/>
              </w:rPr>
            </w:pPr>
          </w:p>
        </w:tc>
      </w:tr>
    </w:tbl>
    <w:p w14:paraId="41BD0E91">
      <w:pPr>
        <w:pStyle w:val="7"/>
        <w:keepNext w:val="0"/>
        <w:keepLines w:val="0"/>
        <w:pageBreakBefore w:val="0"/>
        <w:kinsoku/>
        <w:bidi w:val="0"/>
        <w:spacing w:line="327" w:lineRule="auto"/>
        <w:rPr>
          <w:color w:val="auto"/>
          <w:spacing w:val="0"/>
          <w:w w:val="100"/>
          <w:position w:val="0"/>
          <w:highlight w:val="none"/>
        </w:rPr>
      </w:pPr>
    </w:p>
    <w:p w14:paraId="0CE4BB3A">
      <w:pPr>
        <w:keepNext w:val="0"/>
        <w:keepLines w:val="0"/>
        <w:pageBreakBefore w:val="0"/>
        <w:kinsoku/>
        <w:bidi w:val="0"/>
        <w:spacing w:before="59" w:line="219" w:lineRule="auto"/>
        <w:ind w:left="118"/>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color w:val="auto"/>
          <w:spacing w:val="0"/>
          <w:w w:val="100"/>
          <w:position w:val="0"/>
          <w:sz w:val="18"/>
          <w:szCs w:val="18"/>
          <w:highlight w:val="none"/>
          <w:lang w:eastAsia="zh-CN"/>
        </w:rPr>
        <w:t>注：</w:t>
      </w:r>
      <w:r>
        <w:rPr>
          <w:rFonts w:ascii="宋体" w:hAnsi="宋体" w:eastAsia="宋体" w:cs="宋体"/>
          <w:b w:val="0"/>
          <w:bCs w:val="0"/>
          <w:color w:val="auto"/>
          <w:spacing w:val="0"/>
          <w:w w:val="100"/>
          <w:position w:val="0"/>
          <w:sz w:val="18"/>
          <w:szCs w:val="18"/>
          <w:highlight w:val="none"/>
          <w:lang w:eastAsia="zh-CN"/>
        </w:rPr>
        <w:t>（1）联合体投标的，“投标单位”一栏需书写所有联合体成员的单位全称，可由主办方签署、盖章。</w:t>
      </w:r>
    </w:p>
    <w:p w14:paraId="3DEF5EC9">
      <w:pPr>
        <w:keepNext w:val="0"/>
        <w:keepLines w:val="0"/>
        <w:pageBreakBefore w:val="0"/>
        <w:kinsoku/>
        <w:bidi w:val="0"/>
        <w:spacing w:before="105" w:line="218" w:lineRule="auto"/>
        <w:ind w:left="488"/>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b w:val="0"/>
          <w:bCs w:val="0"/>
          <w:color w:val="auto"/>
          <w:spacing w:val="0"/>
          <w:w w:val="100"/>
          <w:position w:val="0"/>
          <w:sz w:val="18"/>
          <w:szCs w:val="18"/>
          <w:highlight w:val="none"/>
          <w:lang w:eastAsia="zh-CN"/>
        </w:rPr>
        <w:t>（2）投标总报价的大写金额和小写金额不一致的，以大写金额为准，投标报价精确到小数点后两位。</w:t>
      </w:r>
    </w:p>
    <w:p w14:paraId="23142022">
      <w:pPr>
        <w:keepNext w:val="0"/>
        <w:keepLines w:val="0"/>
        <w:pageBreakBefore w:val="0"/>
        <w:kinsoku/>
        <w:bidi w:val="0"/>
        <w:spacing w:before="107" w:line="218" w:lineRule="auto"/>
        <w:ind w:left="488"/>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b w:val="0"/>
          <w:bCs w:val="0"/>
          <w:color w:val="auto"/>
          <w:spacing w:val="0"/>
          <w:w w:val="100"/>
          <w:position w:val="0"/>
          <w:sz w:val="18"/>
          <w:szCs w:val="18"/>
          <w:highlight w:val="none"/>
          <w:lang w:eastAsia="zh-CN"/>
        </w:rPr>
        <w:t>（3）投标报价的要求详见投标须知前附表3.2.5。</w:t>
      </w:r>
    </w:p>
    <w:p w14:paraId="56218D65">
      <w:pPr>
        <w:keepNext w:val="0"/>
        <w:keepLines w:val="0"/>
        <w:pageBreakBefore w:val="0"/>
        <w:kinsoku/>
        <w:bidi w:val="0"/>
        <w:spacing w:before="106" w:line="218" w:lineRule="auto"/>
        <w:ind w:left="488"/>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b w:val="0"/>
          <w:bCs w:val="0"/>
          <w:color w:val="auto"/>
          <w:spacing w:val="0"/>
          <w:w w:val="100"/>
          <w:position w:val="0"/>
          <w:sz w:val="18"/>
          <w:szCs w:val="18"/>
          <w:highlight w:val="none"/>
          <w:lang w:eastAsia="zh-CN"/>
        </w:rPr>
        <w:t>（4）投标报价</w:t>
      </w:r>
      <w:r>
        <w:rPr>
          <w:rFonts w:hint="eastAsia" w:ascii="宋体" w:hAnsi="宋体" w:eastAsia="宋体" w:cs="宋体"/>
          <w:b w:val="0"/>
          <w:bCs w:val="0"/>
          <w:color w:val="auto"/>
          <w:spacing w:val="0"/>
          <w:w w:val="100"/>
          <w:position w:val="0"/>
          <w:sz w:val="18"/>
          <w:szCs w:val="18"/>
          <w:highlight w:val="none"/>
          <w:lang w:val="en-US" w:eastAsia="zh-CN"/>
        </w:rPr>
        <w:t>以元为单位，</w:t>
      </w:r>
      <w:r>
        <w:rPr>
          <w:rFonts w:ascii="宋体" w:hAnsi="宋体" w:eastAsia="宋体" w:cs="宋体"/>
          <w:b w:val="0"/>
          <w:bCs w:val="0"/>
          <w:color w:val="auto"/>
          <w:spacing w:val="0"/>
          <w:w w:val="100"/>
          <w:position w:val="0"/>
          <w:sz w:val="18"/>
          <w:szCs w:val="18"/>
          <w:highlight w:val="none"/>
          <w:lang w:eastAsia="zh-CN"/>
        </w:rPr>
        <w:t>小写保留小数点后2位数字，大写金额和小写金额不一致的，以大写金额为准。</w:t>
      </w:r>
    </w:p>
    <w:p w14:paraId="603A3BBF">
      <w:pPr>
        <w:keepNext w:val="0"/>
        <w:keepLines w:val="0"/>
        <w:pageBreakBefore w:val="0"/>
        <w:kinsoku/>
        <w:bidi w:val="0"/>
        <w:spacing w:before="106" w:line="218" w:lineRule="auto"/>
        <w:ind w:left="488"/>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b w:val="0"/>
          <w:bCs w:val="0"/>
          <w:color w:val="auto"/>
          <w:spacing w:val="0"/>
          <w:w w:val="100"/>
          <w:position w:val="0"/>
          <w:sz w:val="18"/>
          <w:szCs w:val="18"/>
          <w:highlight w:val="none"/>
          <w:lang w:eastAsia="zh-CN"/>
        </w:rPr>
        <w:t>（5）投标人须按招标文件要求报价，</w:t>
      </w:r>
      <w:r>
        <w:rPr>
          <w:rFonts w:hint="eastAsia" w:ascii="宋体" w:hAnsi="宋体" w:eastAsia="宋体" w:cs="宋体"/>
          <w:b w:val="0"/>
          <w:bCs w:val="0"/>
          <w:color w:val="auto"/>
          <w:spacing w:val="0"/>
          <w:w w:val="100"/>
          <w:position w:val="0"/>
          <w:sz w:val="18"/>
          <w:szCs w:val="18"/>
          <w:highlight w:val="none"/>
          <w:lang w:eastAsia="zh-CN"/>
        </w:rPr>
        <w:t>投标总报价不得超过最高投标限价，各分项的投标报价均不得超过相应分项的最高投标限价</w:t>
      </w:r>
      <w:r>
        <w:rPr>
          <w:rFonts w:ascii="宋体" w:hAnsi="宋体" w:eastAsia="宋体" w:cs="宋体"/>
          <w:b w:val="0"/>
          <w:bCs w:val="0"/>
          <w:color w:val="auto"/>
          <w:spacing w:val="0"/>
          <w:w w:val="100"/>
          <w:position w:val="0"/>
          <w:sz w:val="18"/>
          <w:szCs w:val="18"/>
          <w:highlight w:val="none"/>
          <w:lang w:eastAsia="zh-CN"/>
        </w:rPr>
        <w:t>，否则视为无效标。</w:t>
      </w:r>
    </w:p>
    <w:p w14:paraId="365A5195">
      <w:pPr>
        <w:keepNext w:val="0"/>
        <w:keepLines w:val="0"/>
        <w:pageBreakBefore w:val="0"/>
        <w:kinsoku/>
        <w:bidi w:val="0"/>
        <w:spacing w:before="107" w:line="271" w:lineRule="auto"/>
        <w:ind w:left="131" w:right="112" w:firstLine="357"/>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b w:val="0"/>
          <w:bCs w:val="0"/>
          <w:color w:val="auto"/>
          <w:spacing w:val="0"/>
          <w:w w:val="100"/>
          <w:position w:val="0"/>
          <w:sz w:val="18"/>
          <w:szCs w:val="18"/>
          <w:highlight w:val="none"/>
          <w:lang w:eastAsia="zh-CN"/>
        </w:rPr>
        <w:t>（</w:t>
      </w:r>
      <w:r>
        <w:rPr>
          <w:rFonts w:hint="eastAsia" w:ascii="宋体" w:hAnsi="宋体" w:eastAsia="宋体" w:cs="宋体"/>
          <w:b w:val="0"/>
          <w:bCs w:val="0"/>
          <w:color w:val="auto"/>
          <w:spacing w:val="0"/>
          <w:w w:val="100"/>
          <w:position w:val="0"/>
          <w:sz w:val="18"/>
          <w:szCs w:val="18"/>
          <w:highlight w:val="none"/>
          <w:lang w:val="en-US" w:eastAsia="zh-CN"/>
        </w:rPr>
        <w:t>6</w:t>
      </w:r>
      <w:r>
        <w:rPr>
          <w:rFonts w:ascii="宋体" w:hAnsi="宋体" w:eastAsia="宋体" w:cs="宋体"/>
          <w:b w:val="0"/>
          <w:bCs w:val="0"/>
          <w:color w:val="auto"/>
          <w:spacing w:val="0"/>
          <w:w w:val="100"/>
          <w:position w:val="0"/>
          <w:sz w:val="18"/>
          <w:szCs w:val="18"/>
          <w:highlight w:val="none"/>
          <w:lang w:eastAsia="zh-CN"/>
        </w:rPr>
        <w:t>）工程施工费下浮率=[1-（工程施工费投标报价÷工程施工费最高投标限价）]*100%。</w:t>
      </w:r>
    </w:p>
    <w:p w14:paraId="41F88816">
      <w:pPr>
        <w:keepNext w:val="0"/>
        <w:keepLines w:val="0"/>
        <w:pageBreakBefore w:val="0"/>
        <w:kinsoku/>
        <w:bidi w:val="0"/>
        <w:spacing w:before="107" w:line="218" w:lineRule="auto"/>
        <w:ind w:left="488"/>
        <w:rPr>
          <w:rFonts w:ascii="宋体" w:hAnsi="宋体" w:eastAsia="宋体" w:cs="宋体"/>
          <w:b w:val="0"/>
          <w:bCs w:val="0"/>
          <w:color w:val="auto"/>
          <w:spacing w:val="0"/>
          <w:w w:val="100"/>
          <w:position w:val="0"/>
          <w:sz w:val="18"/>
          <w:szCs w:val="18"/>
          <w:highlight w:val="none"/>
          <w:lang w:eastAsia="zh-CN"/>
        </w:rPr>
      </w:pPr>
      <w:r>
        <w:rPr>
          <w:rFonts w:ascii="宋体" w:hAnsi="宋体" w:eastAsia="宋体" w:cs="宋体"/>
          <w:b w:val="0"/>
          <w:bCs w:val="0"/>
          <w:color w:val="auto"/>
          <w:spacing w:val="0"/>
          <w:w w:val="100"/>
          <w:position w:val="0"/>
          <w:sz w:val="18"/>
          <w:szCs w:val="18"/>
          <w:highlight w:val="none"/>
          <w:lang w:eastAsia="zh-CN"/>
        </w:rPr>
        <w:t>（</w:t>
      </w:r>
      <w:r>
        <w:rPr>
          <w:rFonts w:hint="eastAsia" w:ascii="宋体" w:hAnsi="宋体" w:eastAsia="宋体" w:cs="宋体"/>
          <w:b w:val="0"/>
          <w:bCs w:val="0"/>
          <w:color w:val="auto"/>
          <w:spacing w:val="0"/>
          <w:w w:val="100"/>
          <w:position w:val="0"/>
          <w:sz w:val="18"/>
          <w:szCs w:val="18"/>
          <w:highlight w:val="none"/>
          <w:lang w:val="en-US" w:eastAsia="zh-CN"/>
        </w:rPr>
        <w:t>7</w:t>
      </w:r>
      <w:r>
        <w:rPr>
          <w:rFonts w:ascii="宋体" w:hAnsi="宋体" w:eastAsia="宋体" w:cs="宋体"/>
          <w:b w:val="0"/>
          <w:bCs w:val="0"/>
          <w:color w:val="auto"/>
          <w:spacing w:val="0"/>
          <w:w w:val="100"/>
          <w:position w:val="0"/>
          <w:sz w:val="18"/>
          <w:szCs w:val="18"/>
          <w:highlight w:val="none"/>
          <w:lang w:eastAsia="zh-CN"/>
        </w:rPr>
        <w:t>）设计费下浮率=（1-设计费报价÷设计费投标最高限价）×100%。</w:t>
      </w:r>
    </w:p>
    <w:p w14:paraId="40606548">
      <w:pPr>
        <w:keepNext w:val="0"/>
        <w:keepLines w:val="0"/>
        <w:pageBreakBefore w:val="0"/>
        <w:kinsoku/>
        <w:bidi w:val="0"/>
        <w:spacing w:before="107" w:line="218" w:lineRule="auto"/>
        <w:ind w:left="488"/>
        <w:rPr>
          <w:rFonts w:ascii="宋体" w:hAnsi="宋体" w:eastAsia="宋体" w:cs="宋体"/>
          <w:b w:val="0"/>
          <w:bCs w:val="0"/>
          <w:color w:val="auto"/>
          <w:spacing w:val="0"/>
          <w:w w:val="100"/>
          <w:position w:val="0"/>
          <w:sz w:val="18"/>
          <w:szCs w:val="18"/>
          <w:highlight w:val="none"/>
          <w:lang w:eastAsia="zh-CN"/>
        </w:rPr>
      </w:pPr>
      <w:r>
        <w:rPr>
          <w:rFonts w:hint="eastAsia" w:ascii="宋体" w:hAnsi="宋体" w:eastAsia="宋体" w:cs="宋体"/>
          <w:b w:val="0"/>
          <w:bCs w:val="0"/>
          <w:color w:val="auto"/>
          <w:spacing w:val="0"/>
          <w:w w:val="100"/>
          <w:position w:val="0"/>
          <w:sz w:val="18"/>
          <w:szCs w:val="18"/>
          <w:highlight w:val="none"/>
          <w:lang w:eastAsia="zh-CN"/>
        </w:rPr>
        <w:t>（</w:t>
      </w:r>
      <w:r>
        <w:rPr>
          <w:rFonts w:hint="eastAsia" w:ascii="宋体" w:hAnsi="宋体" w:eastAsia="宋体" w:cs="宋体"/>
          <w:b w:val="0"/>
          <w:bCs w:val="0"/>
          <w:color w:val="auto"/>
          <w:spacing w:val="0"/>
          <w:w w:val="100"/>
          <w:position w:val="0"/>
          <w:sz w:val="18"/>
          <w:szCs w:val="18"/>
          <w:highlight w:val="none"/>
          <w:lang w:val="en-US" w:eastAsia="zh-CN"/>
        </w:rPr>
        <w:t>8</w:t>
      </w:r>
      <w:r>
        <w:rPr>
          <w:rFonts w:hint="eastAsia" w:ascii="宋体" w:hAnsi="宋体" w:eastAsia="宋体" w:cs="宋体"/>
          <w:b w:val="0"/>
          <w:bCs w:val="0"/>
          <w:color w:val="auto"/>
          <w:spacing w:val="0"/>
          <w:w w:val="100"/>
          <w:position w:val="0"/>
          <w:sz w:val="18"/>
          <w:szCs w:val="18"/>
          <w:highlight w:val="none"/>
          <w:lang w:eastAsia="zh-CN"/>
        </w:rPr>
        <w:t>）“投标总工期”、“质量标准”可以填写“按招标文件要求”或按招标文件内容或按投标文件内容填写。</w:t>
      </w:r>
    </w:p>
    <w:p w14:paraId="64378259">
      <w:pPr>
        <w:keepNext w:val="0"/>
        <w:keepLines w:val="0"/>
        <w:pageBreakBefore w:val="0"/>
        <w:kinsoku/>
        <w:bidi w:val="0"/>
        <w:spacing w:line="273" w:lineRule="auto"/>
        <w:rPr>
          <w:rFonts w:ascii="宋体" w:hAnsi="宋体" w:eastAsia="宋体" w:cs="宋体"/>
          <w:color w:val="auto"/>
          <w:spacing w:val="0"/>
          <w:w w:val="100"/>
          <w:position w:val="0"/>
          <w:sz w:val="18"/>
          <w:szCs w:val="18"/>
          <w:highlight w:val="none"/>
          <w:lang w:eastAsia="zh-CN"/>
        </w:rPr>
      </w:pPr>
    </w:p>
    <w:p w14:paraId="5263B170">
      <w:pPr>
        <w:keepNext w:val="0"/>
        <w:keepLines w:val="0"/>
        <w:pageBreakBefore w:val="0"/>
        <w:kinsoku/>
        <w:bidi w:val="0"/>
        <w:spacing w:line="273" w:lineRule="auto"/>
        <w:rPr>
          <w:rFonts w:ascii="宋体" w:hAnsi="宋体" w:eastAsia="宋体" w:cs="宋体"/>
          <w:color w:val="auto"/>
          <w:spacing w:val="0"/>
          <w:w w:val="100"/>
          <w:position w:val="0"/>
          <w:sz w:val="18"/>
          <w:szCs w:val="18"/>
          <w:highlight w:val="none"/>
          <w:lang w:eastAsia="zh-CN"/>
        </w:rPr>
        <w:sectPr>
          <w:footerReference r:id="rId12" w:type="default"/>
          <w:pgSz w:w="11905" w:h="16838"/>
          <w:pgMar w:top="1417" w:right="1417" w:bottom="1417" w:left="1417" w:header="850" w:footer="992" w:gutter="0"/>
          <w:pgNumType w:fmt="decimal"/>
          <w:cols w:space="0" w:num="1"/>
          <w:rtlGutter w:val="0"/>
          <w:docGrid w:linePitch="0" w:charSpace="0"/>
        </w:sectPr>
      </w:pPr>
    </w:p>
    <w:p w14:paraId="2A3CAA98">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eastAsia" w:ascii="宋体" w:hAnsi="宋体" w:eastAsia="宋体" w:cs="宋体"/>
          <w:b/>
          <w:bCs/>
          <w:color w:val="auto"/>
          <w:spacing w:val="0"/>
          <w:w w:val="100"/>
          <w:position w:val="0"/>
          <w:sz w:val="35"/>
          <w:szCs w:val="35"/>
          <w:highlight w:val="none"/>
          <w:lang w:eastAsia="zh-CN"/>
        </w:rPr>
      </w:pPr>
      <w:bookmarkStart w:id="351" w:name="_Toc25371"/>
      <w:bookmarkStart w:id="352" w:name="_Toc25449"/>
      <w:bookmarkStart w:id="353" w:name="_Toc19874"/>
      <w:r>
        <w:rPr>
          <w:rFonts w:hint="eastAsia" w:ascii="宋体" w:hAnsi="宋体" w:eastAsia="宋体" w:cs="宋体"/>
          <w:b/>
          <w:bCs/>
          <w:color w:val="auto"/>
          <w:spacing w:val="0"/>
          <w:w w:val="100"/>
          <w:position w:val="0"/>
          <w:sz w:val="35"/>
          <w:szCs w:val="35"/>
          <w:highlight w:val="none"/>
          <w:lang w:eastAsia="zh-CN"/>
        </w:rPr>
        <w:t>格式2：</w:t>
      </w:r>
      <w:r>
        <w:rPr>
          <w:rFonts w:ascii="宋体" w:hAnsi="宋体" w:eastAsia="宋体" w:cs="宋体"/>
          <w:b/>
          <w:bCs/>
          <w:color w:val="auto"/>
          <w:spacing w:val="0"/>
          <w:w w:val="100"/>
          <w:position w:val="0"/>
          <w:sz w:val="31"/>
          <w:szCs w:val="31"/>
          <w:highlight w:val="none"/>
          <w:lang w:eastAsia="zh-CN"/>
        </w:rPr>
        <w:t>联合体投标协议书</w:t>
      </w:r>
      <w:bookmarkEnd w:id="351"/>
      <w:bookmarkEnd w:id="352"/>
      <w:bookmarkEnd w:id="353"/>
    </w:p>
    <w:p w14:paraId="74695CB0">
      <w:pPr>
        <w:keepNext w:val="0"/>
        <w:keepLines w:val="0"/>
        <w:pageBreakBefore w:val="0"/>
        <w:widowControl/>
        <w:kinsoku/>
        <w:wordWrap/>
        <w:overflowPunct/>
        <w:topLinePunct w:val="0"/>
        <w:autoSpaceDE w:val="0"/>
        <w:autoSpaceDN w:val="0"/>
        <w:bidi w:val="0"/>
        <w:adjustRightInd w:val="0"/>
        <w:snapToGrid w:val="0"/>
        <w:spacing w:before="235" w:line="224" w:lineRule="auto"/>
        <w:jc w:val="center"/>
        <w:textAlignment w:val="baseline"/>
        <w:outlineLvl w:val="3"/>
        <w:rPr>
          <w:rFonts w:ascii="宋体" w:hAnsi="宋体" w:eastAsia="宋体" w:cs="宋体"/>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联合体投标协议书</w:t>
      </w:r>
    </w:p>
    <w:p w14:paraId="0915B31E">
      <w:pPr>
        <w:keepNext w:val="0"/>
        <w:keepLines w:val="0"/>
        <w:pageBreakBefore w:val="0"/>
        <w:kinsoku/>
        <w:bidi w:val="0"/>
        <w:spacing w:before="262" w:line="223" w:lineRule="auto"/>
        <w:ind w:left="2602"/>
        <w:rPr>
          <w:rFonts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（格式详见招标公告附件）</w:t>
      </w:r>
    </w:p>
    <w:p w14:paraId="3312D560">
      <w:pPr>
        <w:keepNext w:val="0"/>
        <w:keepLines w:val="0"/>
        <w:pageBreakBefore w:val="0"/>
        <w:kinsoku/>
        <w:bidi w:val="0"/>
        <w:rPr>
          <w:color w:val="auto"/>
          <w:spacing w:val="0"/>
          <w:w w:val="100"/>
          <w:position w:val="0"/>
          <w:highlight w:val="none"/>
          <w:lang w:eastAsia="zh-CN"/>
        </w:rPr>
      </w:pPr>
    </w:p>
    <w:p w14:paraId="32A92188">
      <w:pPr>
        <w:keepNext w:val="0"/>
        <w:keepLines w:val="0"/>
        <w:pageBreakBefore w:val="0"/>
        <w:kinsoku/>
        <w:bidi w:val="0"/>
        <w:rPr>
          <w:color w:val="auto"/>
          <w:spacing w:val="0"/>
          <w:w w:val="100"/>
          <w:position w:val="0"/>
          <w:highlight w:val="none"/>
          <w:lang w:eastAsia="zh-CN"/>
        </w:rPr>
      </w:pPr>
      <w:r>
        <w:rPr>
          <w:color w:val="auto"/>
          <w:spacing w:val="0"/>
          <w:w w:val="100"/>
          <w:position w:val="0"/>
          <w:highlight w:val="none"/>
          <w:lang w:eastAsia="zh-CN"/>
        </w:rPr>
        <w:br w:type="page"/>
      </w:r>
    </w:p>
    <w:p w14:paraId="36D8C714">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eastAsia" w:ascii="宋体" w:hAnsi="宋体" w:eastAsia="宋体" w:cs="宋体"/>
          <w:b/>
          <w:bCs/>
          <w:color w:val="auto"/>
          <w:spacing w:val="0"/>
          <w:w w:val="100"/>
          <w:position w:val="0"/>
          <w:sz w:val="35"/>
          <w:szCs w:val="35"/>
          <w:highlight w:val="none"/>
          <w:lang w:eastAsia="zh-CN"/>
        </w:rPr>
      </w:pPr>
      <w:bookmarkStart w:id="354" w:name="_Toc13183"/>
      <w:bookmarkStart w:id="355" w:name="_Toc14911"/>
      <w:bookmarkStart w:id="356" w:name="_Toc22418"/>
      <w:r>
        <w:rPr>
          <w:rFonts w:hint="eastAsia" w:ascii="宋体" w:hAnsi="宋体" w:eastAsia="宋体" w:cs="宋体"/>
          <w:b/>
          <w:bCs/>
          <w:color w:val="auto"/>
          <w:spacing w:val="0"/>
          <w:w w:val="100"/>
          <w:position w:val="0"/>
          <w:sz w:val="35"/>
          <w:szCs w:val="35"/>
          <w:highlight w:val="none"/>
          <w:lang w:eastAsia="zh-CN"/>
        </w:rPr>
        <w:t>格式3：法定代表人证明书、</w:t>
      </w:r>
      <w:r>
        <w:rPr>
          <w:rFonts w:hint="eastAsia" w:ascii="宋体" w:hAnsi="宋体"/>
          <w:b/>
          <w:color w:val="auto"/>
          <w:sz w:val="32"/>
          <w:szCs w:val="32"/>
          <w:highlight w:val="none"/>
        </w:rPr>
        <w:t>法定代表人授权委托书</w:t>
      </w:r>
      <w:bookmarkEnd w:id="354"/>
      <w:bookmarkEnd w:id="355"/>
      <w:bookmarkEnd w:id="356"/>
    </w:p>
    <w:p w14:paraId="282A42D7">
      <w:pPr>
        <w:keepNext w:val="0"/>
        <w:keepLines w:val="0"/>
        <w:pageBreakBefore w:val="0"/>
        <w:kinsoku/>
        <w:bidi w:val="0"/>
        <w:spacing w:line="360" w:lineRule="auto"/>
        <w:jc w:val="center"/>
        <w:rPr>
          <w:rFonts w:ascii="宋体" w:hAnsi="宋体"/>
          <w:b/>
          <w:color w:val="auto"/>
          <w:sz w:val="24"/>
          <w:szCs w:val="24"/>
          <w:highlight w:val="none"/>
        </w:rPr>
      </w:pPr>
      <w:r>
        <w:rPr>
          <w:rFonts w:hint="eastAsia" w:ascii="宋体" w:hAnsi="宋体"/>
          <w:b/>
          <w:color w:val="auto"/>
          <w:sz w:val="32"/>
          <w:szCs w:val="32"/>
          <w:highlight w:val="none"/>
        </w:rPr>
        <w:t>法定代表人证明书</w:t>
      </w:r>
    </w:p>
    <w:p w14:paraId="2E72C162">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878E065">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F5317">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103BE113">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4386C82">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1FEE84D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附：法定代表人身份证扫描件。</w:t>
      </w:r>
    </w:p>
    <w:p w14:paraId="53F7B4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1C3EB39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3348927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0379DE0E">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7548065">
      <w:pPr>
        <w:keepNext w:val="0"/>
        <w:keepLines w:val="0"/>
        <w:pageBreakBefore w:val="0"/>
        <w:widowControl/>
        <w:kinsoku/>
        <w:wordWrap/>
        <w:overflowPunct/>
        <w:topLinePunct w:val="0"/>
        <w:autoSpaceDE w:val="0"/>
        <w:autoSpaceDN w:val="0"/>
        <w:bidi w:val="0"/>
        <w:adjustRightInd w:val="0"/>
        <w:snapToGrid w:val="0"/>
        <w:spacing w:line="360" w:lineRule="auto"/>
        <w:ind w:firstLine="5280" w:firstLineChars="220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97DE07">
      <w:pPr>
        <w:keepNext w:val="0"/>
        <w:keepLines w:val="0"/>
        <w:pageBreakBefore w:val="0"/>
        <w:kinsoku/>
        <w:bidi w:val="0"/>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br w:type="page"/>
      </w:r>
    </w:p>
    <w:p w14:paraId="7CB941C7">
      <w:pPr>
        <w:keepNext w:val="0"/>
        <w:keepLines w:val="0"/>
        <w:pageBreakBefore w:val="0"/>
        <w:kinsoku/>
        <w:bidi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4A59C484">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lang w:eastAsia="zh-CN"/>
        </w:rPr>
        <w:t>开投·智行产业空间研发中心和孵化器培育场地改造项目设计施工总承包</w:t>
      </w:r>
      <w:r>
        <w:rPr>
          <w:rFonts w:hint="eastAsia" w:ascii="宋体" w:hAnsi="宋体" w:eastAsia="宋体" w:cs="宋体"/>
          <w:color w:val="auto"/>
          <w:sz w:val="24"/>
          <w:szCs w:val="24"/>
          <w:highlight w:val="none"/>
        </w:rPr>
        <w:t>招标项目投标文件、签订合同和处理有关事宜，其法律后果由我方承担。</w:t>
      </w:r>
    </w:p>
    <w:p w14:paraId="0DD3B31C">
      <w:pPr>
        <w:keepNext w:val="0"/>
        <w:keepLines w:val="0"/>
        <w:pageBreakBefore w:val="0"/>
        <w:widowControl/>
        <w:kinsoku/>
        <w:wordWrap/>
        <w:overflow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154990">
      <w:pPr>
        <w:keepNext w:val="0"/>
        <w:keepLines w:val="0"/>
        <w:pageBreakBefore w:val="0"/>
        <w:widowControl/>
        <w:kinsoku/>
        <w:wordWrap/>
        <w:overflow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7F605E62">
      <w:pPr>
        <w:keepNext w:val="0"/>
        <w:keepLines w:val="0"/>
        <w:pageBreakBefore w:val="0"/>
        <w:widowControl/>
        <w:kinsoku/>
        <w:wordWrap/>
        <w:overflow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7A88622D">
      <w:pPr>
        <w:keepNext w:val="0"/>
        <w:keepLines w:val="0"/>
        <w:pageBreakBefore w:val="0"/>
        <w:widowControl/>
        <w:kinsoku/>
        <w:wordWrap/>
        <w:overflowPunct/>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w:t>
      </w:r>
      <w:r>
        <w:rPr>
          <w:rFonts w:hint="eastAsia" w:ascii="宋体" w:hAnsi="宋体" w:eastAsia="宋体" w:cs="宋体"/>
          <w:color w:val="auto"/>
          <w:sz w:val="24"/>
          <w:szCs w:val="24"/>
          <w:highlight w:val="none"/>
          <w:lang w:val="en-US" w:eastAsia="zh-CN"/>
        </w:rPr>
        <w:t>及社保</w:t>
      </w:r>
      <w:r>
        <w:rPr>
          <w:rFonts w:hint="eastAsia" w:ascii="宋体" w:hAnsi="宋体" w:eastAsia="宋体" w:cs="宋体"/>
          <w:color w:val="auto"/>
          <w:sz w:val="24"/>
          <w:szCs w:val="24"/>
          <w:highlight w:val="none"/>
        </w:rPr>
        <w:t>扫描件</w:t>
      </w:r>
    </w:p>
    <w:p w14:paraId="746D0CE7">
      <w:pPr>
        <w:keepNext w:val="0"/>
        <w:keepLines w:val="0"/>
        <w:pageBreakBefore w:val="0"/>
        <w:kinsoku/>
        <w:bidi w:val="0"/>
        <w:spacing w:line="440" w:lineRule="exact"/>
        <w:rPr>
          <w:rFonts w:hint="eastAsia" w:ascii="宋体" w:hAnsi="宋体" w:eastAsia="宋体" w:cs="宋体"/>
          <w:color w:val="auto"/>
          <w:sz w:val="24"/>
          <w:szCs w:val="24"/>
          <w:highlight w:val="none"/>
        </w:rPr>
      </w:pPr>
    </w:p>
    <w:p w14:paraId="29E96D5D">
      <w:pPr>
        <w:keepNext w:val="0"/>
        <w:keepLines w:val="0"/>
        <w:pageBreakBefore w:val="0"/>
        <w:kinsoku/>
        <w:bidi w:val="0"/>
        <w:spacing w:line="440" w:lineRule="exact"/>
        <w:rPr>
          <w:rFonts w:hint="eastAsia" w:ascii="宋体" w:hAnsi="宋体" w:eastAsia="宋体" w:cs="宋体"/>
          <w:color w:val="auto"/>
          <w:sz w:val="24"/>
          <w:szCs w:val="24"/>
          <w:highlight w:val="none"/>
        </w:rPr>
      </w:pPr>
    </w:p>
    <w:p w14:paraId="57E99C41">
      <w:pPr>
        <w:keepNext w:val="0"/>
        <w:keepLines w:val="0"/>
        <w:pageBreakBefore w:val="0"/>
        <w:widowControl/>
        <w:kinsoku/>
        <w:wordWrap/>
        <w:overflowPunct/>
        <w:topLinePunct w:val="0"/>
        <w:autoSpaceDE w:val="0"/>
        <w:autoSpaceDN w:val="0"/>
        <w:bidi w:val="0"/>
        <w:adjustRightInd w:val="0"/>
        <w:snapToGrid w:val="0"/>
        <w:spacing w:line="360" w:lineRule="auto"/>
        <w:ind w:firstLine="3076" w:firstLineChars="12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522F8996">
      <w:pPr>
        <w:keepNext w:val="0"/>
        <w:keepLines w:val="0"/>
        <w:pageBreakBefore w:val="0"/>
        <w:widowControl/>
        <w:kinsoku/>
        <w:wordWrap/>
        <w:overflowPunct/>
        <w:topLinePunct w:val="0"/>
        <w:autoSpaceDE w:val="0"/>
        <w:autoSpaceDN w:val="0"/>
        <w:bidi w:val="0"/>
        <w:adjustRightInd w:val="0"/>
        <w:snapToGrid w:val="0"/>
        <w:spacing w:line="360" w:lineRule="auto"/>
        <w:ind w:firstLine="3074" w:firstLineChars="12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0844D0A2">
      <w:pPr>
        <w:keepNext w:val="0"/>
        <w:keepLines w:val="0"/>
        <w:pageBreakBefore w:val="0"/>
        <w:widowControl/>
        <w:kinsoku/>
        <w:wordWrap/>
        <w:overflowPunct/>
        <w:topLinePunct w:val="0"/>
        <w:autoSpaceDE w:val="0"/>
        <w:autoSpaceDN w:val="0"/>
        <w:bidi w:val="0"/>
        <w:adjustRightInd w:val="0"/>
        <w:snapToGrid w:val="0"/>
        <w:spacing w:line="360" w:lineRule="auto"/>
        <w:ind w:firstLine="3076" w:firstLineChars="12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p>
    <w:p w14:paraId="5410DFC1">
      <w:pPr>
        <w:keepNext w:val="0"/>
        <w:keepLines w:val="0"/>
        <w:pageBreakBefore w:val="0"/>
        <w:widowControl/>
        <w:kinsoku/>
        <w:wordWrap/>
        <w:overflowPunct/>
        <w:topLinePunct w:val="0"/>
        <w:autoSpaceDE w:val="0"/>
        <w:autoSpaceDN w:val="0"/>
        <w:bidi w:val="0"/>
        <w:adjustRightInd w:val="0"/>
        <w:snapToGrid w:val="0"/>
        <w:spacing w:line="360" w:lineRule="auto"/>
        <w:ind w:firstLine="3076" w:firstLineChars="12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A503EF4">
      <w:pPr>
        <w:keepNext w:val="0"/>
        <w:keepLines w:val="0"/>
        <w:pageBreakBefore w:val="0"/>
        <w:widowControl/>
        <w:kinsoku/>
        <w:wordWrap/>
        <w:overflowPunct/>
        <w:topLinePunct w:val="0"/>
        <w:autoSpaceDE w:val="0"/>
        <w:autoSpaceDN w:val="0"/>
        <w:bidi w:val="0"/>
        <w:adjustRightInd w:val="0"/>
        <w:snapToGrid w:val="0"/>
        <w:spacing w:line="360" w:lineRule="auto"/>
        <w:ind w:firstLine="3076" w:firstLineChars="12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p>
    <w:p w14:paraId="582D8197">
      <w:pPr>
        <w:keepNext w:val="0"/>
        <w:keepLines w:val="0"/>
        <w:pageBreakBefore w:val="0"/>
        <w:widowControl/>
        <w:kinsoku/>
        <w:wordWrap/>
        <w:overflowPunct/>
        <w:topLinePunct w:val="0"/>
        <w:autoSpaceDE w:val="0"/>
        <w:autoSpaceDN w:val="0"/>
        <w:bidi w:val="0"/>
        <w:adjustRightInd w:val="0"/>
        <w:snapToGrid w:val="0"/>
        <w:spacing w:line="360" w:lineRule="auto"/>
        <w:ind w:firstLine="4636" w:firstLineChars="1932"/>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2A7BC00">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p>
    <w:p w14:paraId="3F04E540">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p>
    <w:p w14:paraId="52377F20">
      <w:pPr>
        <w:keepNext w:val="0"/>
        <w:keepLines w:val="0"/>
        <w:pageBreakBefore w:val="0"/>
        <w:kinsoku/>
        <w:bidi w:val="0"/>
        <w:rPr>
          <w:rFonts w:hint="eastAsia"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eastAsia="zh-CN"/>
        </w:rPr>
        <w:t>注：</w:t>
      </w:r>
      <w:r>
        <w:rPr>
          <w:rFonts w:hint="eastAsia" w:ascii="宋体" w:hAnsi="宋体" w:eastAsia="宋体" w:cs="宋体"/>
          <w:color w:val="auto"/>
          <w:spacing w:val="0"/>
          <w:w w:val="100"/>
          <w:position w:val="0"/>
          <w:sz w:val="20"/>
          <w:szCs w:val="20"/>
          <w:highlight w:val="none"/>
          <w:lang w:val="en-US" w:eastAsia="zh-CN"/>
        </w:rPr>
        <w:t>1、</w:t>
      </w:r>
      <w:r>
        <w:rPr>
          <w:rFonts w:hint="eastAsia" w:ascii="宋体" w:hAnsi="宋体" w:eastAsia="宋体" w:cs="宋体"/>
          <w:color w:val="auto"/>
          <w:spacing w:val="0"/>
          <w:w w:val="100"/>
          <w:position w:val="0"/>
          <w:sz w:val="20"/>
          <w:szCs w:val="20"/>
          <w:highlight w:val="none"/>
          <w:lang w:eastAsia="zh-CN"/>
        </w:rPr>
        <w:t>法定代表人证明书、法定代表人授权委托书也可以采用工商行政管理局统一印制的格式。</w:t>
      </w:r>
    </w:p>
    <w:p w14:paraId="2FC49EF9">
      <w:pPr>
        <w:keepNext w:val="0"/>
        <w:keepLines w:val="0"/>
        <w:pageBreakBefore w:val="0"/>
        <w:kinsoku/>
        <w:bidi w:val="0"/>
        <w:ind w:firstLine="400" w:firstLineChars="200"/>
        <w:rPr>
          <w:rFonts w:hint="default"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2、联合体投标的，法定代表人证明书、法定代表人授权委托书由联合体主办方落款出具，并由主办方签字或盖章。</w:t>
      </w:r>
    </w:p>
    <w:p w14:paraId="00F1F74B">
      <w:pPr>
        <w:keepNext w:val="0"/>
        <w:keepLines w:val="0"/>
        <w:pageBreakBefore w:val="0"/>
        <w:kinsoku/>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10FD55F">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eastAsia" w:ascii="宋体" w:hAnsi="宋体" w:eastAsia="宋体" w:cs="宋体"/>
          <w:b/>
          <w:bCs/>
          <w:color w:val="auto"/>
          <w:spacing w:val="0"/>
          <w:w w:val="100"/>
          <w:position w:val="0"/>
          <w:sz w:val="35"/>
          <w:szCs w:val="35"/>
          <w:highlight w:val="none"/>
          <w:lang w:eastAsia="zh-CN"/>
        </w:rPr>
      </w:pPr>
      <w:bookmarkStart w:id="357" w:name="_Toc23752"/>
      <w:bookmarkStart w:id="358" w:name="_Toc1311"/>
      <w:bookmarkStart w:id="359" w:name="_Toc28818"/>
      <w:r>
        <w:rPr>
          <w:rFonts w:hint="eastAsia" w:ascii="宋体" w:hAnsi="宋体" w:eastAsia="宋体" w:cs="宋体"/>
          <w:b/>
          <w:bCs/>
          <w:color w:val="auto"/>
          <w:spacing w:val="0"/>
          <w:w w:val="100"/>
          <w:position w:val="0"/>
          <w:sz w:val="35"/>
          <w:szCs w:val="35"/>
          <w:highlight w:val="none"/>
          <w:lang w:eastAsia="zh-CN"/>
        </w:rPr>
        <w:t>格式4：投标承诺书</w:t>
      </w:r>
      <w:bookmarkEnd w:id="357"/>
      <w:bookmarkEnd w:id="358"/>
      <w:bookmarkEnd w:id="359"/>
    </w:p>
    <w:p w14:paraId="323785D4">
      <w:pPr>
        <w:keepNext w:val="0"/>
        <w:keepLines w:val="0"/>
        <w:pageBreakBefore w:val="0"/>
        <w:widowControl/>
        <w:kinsoku/>
        <w:wordWrap/>
        <w:overflowPunct/>
        <w:topLinePunct w:val="0"/>
        <w:autoSpaceDE w:val="0"/>
        <w:autoSpaceDN w:val="0"/>
        <w:bidi w:val="0"/>
        <w:adjustRightInd w:val="0"/>
        <w:snapToGrid w:val="0"/>
        <w:spacing w:after="0" w:afterLines="50" w:line="360" w:lineRule="auto"/>
        <w:jc w:val="center"/>
        <w:textAlignment w:val="baseline"/>
        <w:outlineLvl w:val="3"/>
        <w:rPr>
          <w:rFonts w:ascii="宋体" w:hAnsi="宋体" w:eastAsia="宋体" w:cs="宋体"/>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投标承诺书</w:t>
      </w:r>
    </w:p>
    <w:p w14:paraId="2A6DE74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致：</w:t>
      </w:r>
      <w:r>
        <w:rPr>
          <w:rFonts w:hint="eastAsia" w:ascii="宋体" w:hAnsi="宋体" w:eastAsia="宋体" w:cs="宋体"/>
          <w:color w:val="auto"/>
          <w:spacing w:val="0"/>
          <w:w w:val="100"/>
          <w:position w:val="0"/>
          <w:sz w:val="20"/>
          <w:szCs w:val="20"/>
          <w:highlight w:val="none"/>
          <w:u w:val="single"/>
          <w:lang w:eastAsia="zh-CN"/>
        </w:rPr>
        <w:t>汉成（广州）电子有限公司、广州开发区建设投资有限公司</w:t>
      </w:r>
    </w:p>
    <w:p w14:paraId="231AE00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我公司确认收到招标人提供的</w:t>
      </w:r>
      <w:r>
        <w:rPr>
          <w:rFonts w:hint="eastAsia" w:ascii="宋体" w:hAnsi="宋体" w:eastAsia="宋体" w:cs="宋体"/>
          <w:color w:val="auto"/>
          <w:spacing w:val="0"/>
          <w:w w:val="100"/>
          <w:position w:val="0"/>
          <w:sz w:val="20"/>
          <w:szCs w:val="20"/>
          <w:highlight w:val="none"/>
          <w:u w:val="single"/>
          <w:lang w:val="en-US" w:eastAsia="zh-CN"/>
        </w:rPr>
        <w:t xml:space="preserve"> 开投·智行产业空间研发中心和孵化器培育场地改造项目设计施工总承包</w:t>
      </w:r>
      <w:r>
        <w:rPr>
          <w:rFonts w:ascii="宋体" w:hAnsi="宋体" w:eastAsia="宋体" w:cs="宋体"/>
          <w:color w:val="auto"/>
          <w:spacing w:val="0"/>
          <w:w w:val="100"/>
          <w:position w:val="0"/>
          <w:sz w:val="20"/>
          <w:szCs w:val="20"/>
          <w:highlight w:val="none"/>
          <w:u w:val="none"/>
          <w:lang w:eastAsia="zh-CN"/>
        </w:rPr>
        <w:t>（项目名称）</w:t>
      </w:r>
      <w:r>
        <w:rPr>
          <w:rFonts w:ascii="宋体" w:hAnsi="宋体" w:eastAsia="宋体" w:cs="宋体"/>
          <w:color w:val="auto"/>
          <w:spacing w:val="0"/>
          <w:w w:val="100"/>
          <w:position w:val="0"/>
          <w:sz w:val="20"/>
          <w:szCs w:val="20"/>
          <w:highlight w:val="none"/>
          <w:lang w:eastAsia="zh-CN"/>
        </w:rPr>
        <w:t>招标文件的全部内容，我公司已完全明白和接受招标文件的所有条款要求，并重申以下几点：</w:t>
      </w:r>
    </w:p>
    <w:p w14:paraId="5910CB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我公司已详细研究并理解招标人提供的所有资料内容，同意招标文件的内容，对招标文件内容和约束无异议，充分了解了现场条件对可能存在的所有风险都已充分考虑，我公司放弃在此方面提出含糊意见或误解的一切权力，承认招标文件的所有条款，按招标文件规定条款完成本次招标项目的内容。</w:t>
      </w:r>
    </w:p>
    <w:p w14:paraId="744D64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2.我公司已充分阅读了本项目招标文件并充分了解有关报价方式及变更、结算方式，我公司完全响应招标文件的规定。</w:t>
      </w:r>
    </w:p>
    <w:p w14:paraId="5802BB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3．本投标文件的有效期为投标截止日后</w:t>
      </w:r>
      <w:r>
        <w:rPr>
          <w:rFonts w:ascii="宋体" w:hAnsi="宋体" w:eastAsia="宋体" w:cs="宋体"/>
          <w:color w:val="auto"/>
          <w:spacing w:val="0"/>
          <w:w w:val="100"/>
          <w:position w:val="0"/>
          <w:sz w:val="20"/>
          <w:szCs w:val="20"/>
          <w:highlight w:val="none"/>
          <w:u w:val="single"/>
          <w:lang w:eastAsia="zh-CN"/>
        </w:rPr>
        <w:t>120</w:t>
      </w:r>
      <w:r>
        <w:rPr>
          <w:rFonts w:ascii="宋体" w:hAnsi="宋体" w:eastAsia="宋体" w:cs="宋体"/>
          <w:color w:val="auto"/>
          <w:spacing w:val="0"/>
          <w:w w:val="100"/>
          <w:position w:val="0"/>
          <w:sz w:val="20"/>
          <w:szCs w:val="20"/>
          <w:highlight w:val="none"/>
          <w:lang w:eastAsia="zh-CN"/>
        </w:rPr>
        <w:t>天内有效，如出现异议或投诉，则投标有效期自动延长至异议或投诉处理结束，确定中标人并发放中标通知书为止；</w:t>
      </w:r>
    </w:p>
    <w:p w14:paraId="7BE6CD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我公司承诺投标文件中的一切资料、数据是真实的，并承担由此引起的一切责任。如在本项目招投标法定期间，若招标人（或招投标监管部门）收到任何针对我司的异议和投诉，我司应依法举证，否则愿意承担举证不能的法律后果。</w:t>
      </w:r>
    </w:p>
    <w:p w14:paraId="6134C21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5．我公司明白若在规定的投标截止时间之后至投标有效期之内撤回投标，给招标人造成损失的，我公司愿意予以赔偿。</w:t>
      </w:r>
    </w:p>
    <w:p w14:paraId="29226B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6．我公司同意按照招标人可能提出的要求而提供与投标有关的任何</w:t>
      </w:r>
      <w:r>
        <w:rPr>
          <w:rFonts w:hint="eastAsia" w:ascii="宋体" w:hAnsi="宋体" w:eastAsia="宋体" w:cs="宋体"/>
          <w:color w:val="auto"/>
          <w:spacing w:val="0"/>
          <w:w w:val="100"/>
          <w:position w:val="0"/>
          <w:sz w:val="20"/>
          <w:szCs w:val="20"/>
          <w:highlight w:val="none"/>
          <w:lang w:val="en-US" w:eastAsia="zh-CN"/>
        </w:rPr>
        <w:t>其他</w:t>
      </w:r>
      <w:r>
        <w:rPr>
          <w:rFonts w:ascii="宋体" w:hAnsi="宋体" w:eastAsia="宋体" w:cs="宋体"/>
          <w:color w:val="auto"/>
          <w:spacing w:val="0"/>
          <w:w w:val="100"/>
          <w:position w:val="0"/>
          <w:sz w:val="20"/>
          <w:szCs w:val="20"/>
          <w:highlight w:val="none"/>
          <w:lang w:eastAsia="zh-CN"/>
        </w:rPr>
        <w:t>数据或信息。</w:t>
      </w:r>
    </w:p>
    <w:p w14:paraId="2C4B89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7．我公司如果中标，我公司保证：</w:t>
      </w:r>
    </w:p>
    <w:p w14:paraId="68E5DA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7.1</w:t>
      </w:r>
      <w:r>
        <w:rPr>
          <w:rFonts w:hint="eastAsia" w:ascii="宋体" w:hAnsi="宋体" w:eastAsia="宋体" w:cs="宋体"/>
          <w:color w:val="auto"/>
          <w:spacing w:val="0"/>
          <w:w w:val="100"/>
          <w:position w:val="0"/>
          <w:sz w:val="20"/>
          <w:szCs w:val="20"/>
          <w:highlight w:val="none"/>
          <w:lang w:val="en-US" w:eastAsia="zh-CN"/>
        </w:rPr>
        <w:t xml:space="preserve"> </w:t>
      </w:r>
      <w:r>
        <w:rPr>
          <w:rFonts w:ascii="宋体" w:hAnsi="宋体" w:eastAsia="宋体" w:cs="宋体"/>
          <w:color w:val="auto"/>
          <w:spacing w:val="0"/>
          <w:w w:val="100"/>
          <w:position w:val="0"/>
          <w:sz w:val="20"/>
          <w:szCs w:val="20"/>
          <w:highlight w:val="none"/>
          <w:lang w:eastAsia="zh-CN"/>
        </w:rPr>
        <w:t>保证履行招标文件以及招标文件修改书（如有）中的全部责任和义务，在招标文件规定的时间内签订合同，并严格</w:t>
      </w:r>
      <w:r>
        <w:rPr>
          <w:rFonts w:hint="eastAsia" w:ascii="宋体" w:hAnsi="宋体" w:eastAsia="宋体" w:cs="宋体"/>
          <w:color w:val="auto"/>
          <w:spacing w:val="0"/>
          <w:w w:val="100"/>
          <w:position w:val="0"/>
          <w:sz w:val="20"/>
          <w:szCs w:val="20"/>
          <w:highlight w:val="none"/>
          <w:lang w:val="en-US" w:eastAsia="zh-CN"/>
        </w:rPr>
        <w:t>按照</w:t>
      </w:r>
      <w:r>
        <w:rPr>
          <w:rFonts w:ascii="宋体" w:hAnsi="宋体" w:eastAsia="宋体" w:cs="宋体"/>
          <w:color w:val="auto"/>
          <w:spacing w:val="0"/>
          <w:w w:val="100"/>
          <w:position w:val="0"/>
          <w:sz w:val="20"/>
          <w:szCs w:val="20"/>
          <w:highlight w:val="none"/>
          <w:lang w:eastAsia="zh-CN"/>
        </w:rPr>
        <w:t>国家有关法规履行我公司的全部责任，按质、按量、按期完成合同约定的全部任务。同时，承诺遵守招标人提出的限额设计、限额施工相关要求。</w:t>
      </w:r>
    </w:p>
    <w:p w14:paraId="6DC8D4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7.2</w:t>
      </w:r>
      <w:r>
        <w:rPr>
          <w:rFonts w:hint="eastAsia" w:ascii="宋体" w:hAnsi="宋体" w:eastAsia="宋体" w:cs="宋体"/>
          <w:color w:val="auto"/>
          <w:spacing w:val="0"/>
          <w:w w:val="100"/>
          <w:position w:val="0"/>
          <w:sz w:val="20"/>
          <w:szCs w:val="20"/>
          <w:highlight w:val="none"/>
          <w:lang w:val="en-US" w:eastAsia="zh-CN"/>
        </w:rPr>
        <w:t xml:space="preserve"> </w:t>
      </w:r>
      <w:r>
        <w:rPr>
          <w:rFonts w:ascii="宋体" w:hAnsi="宋体" w:eastAsia="宋体" w:cs="宋体"/>
          <w:color w:val="auto"/>
          <w:spacing w:val="0"/>
          <w:w w:val="100"/>
          <w:position w:val="0"/>
          <w:sz w:val="20"/>
          <w:szCs w:val="20"/>
          <w:highlight w:val="none"/>
          <w:lang w:eastAsia="zh-CN"/>
        </w:rPr>
        <w:t>保证将我公司的资质承包范围不能涵盖或不具备相应能力（该能力须保证进度和质量且须获得发包人认可）的部分专业工程（如果有），委托获得招标人批准的具备相应专业资质和能力的单位实施，确保项目质量及进度。</w:t>
      </w:r>
    </w:p>
    <w:p w14:paraId="0935BF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7.3</w:t>
      </w:r>
      <w:r>
        <w:rPr>
          <w:rFonts w:hint="eastAsia" w:ascii="宋体" w:hAnsi="宋体" w:eastAsia="宋体" w:cs="宋体"/>
          <w:color w:val="auto"/>
          <w:spacing w:val="0"/>
          <w:w w:val="100"/>
          <w:position w:val="0"/>
          <w:sz w:val="20"/>
          <w:szCs w:val="20"/>
          <w:highlight w:val="none"/>
          <w:lang w:val="en-US" w:eastAsia="zh-CN"/>
        </w:rPr>
        <w:t xml:space="preserve"> </w:t>
      </w:r>
      <w:r>
        <w:rPr>
          <w:rFonts w:ascii="宋体" w:hAnsi="宋体" w:eastAsia="宋体" w:cs="宋体"/>
          <w:color w:val="auto"/>
          <w:spacing w:val="0"/>
          <w:w w:val="100"/>
          <w:position w:val="0"/>
          <w:sz w:val="20"/>
          <w:szCs w:val="20"/>
          <w:highlight w:val="none"/>
          <w:lang w:eastAsia="zh-CN"/>
        </w:rPr>
        <w:t>保证所完成的设计将完全符合国家相关规范要求，符合或优于招标文件、技术条件、合同条款的要求。若我公司完成的设计文件未能达到发包人（或相关政府部门）的要求，我公司将无条件根据要求进行修改设计文件，直至得到招标人（及相关政府部门）的认可为止。方案及初步设计必须经招标人及咨询单位同意。</w:t>
      </w:r>
    </w:p>
    <w:p w14:paraId="6E0B8A6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7.4 承诺严格遵守本合同工期，保证尽一切力量确保投标承诺的竣工日期，承担本项目的方案深化及初步设计、施工图设计、施工图审查、用地规划及施工报建等各项报批工作。各项报建报批工作所需的时间已包含在本项目总工期内，并承担各项报建工作中存在的审批缓慢，审批不通过等风险，因设计施工总承包报建工作程序与现有报建流程不相符所带来的报建延误等风险，由我公司承担。若我公司未能按投标承诺的工期完成本项目，除承担合同约定的违约责任外，招标人有权解除合同，我公司承担由于违约解除合同退场造成的对招标人的一切损失。</w:t>
      </w:r>
    </w:p>
    <w:p w14:paraId="4BC8E8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7.5 接受招标人为本项目委派的工程监理、造价咨询、工程设计咨询、项目代建等咨询管理单位的管理及监督。接受这些监督并不免除投标人（设计施工总承包单位）作为合同方所应承担的责任。</w:t>
      </w:r>
    </w:p>
    <w:p w14:paraId="7583F6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7.6 保证投标所报的设计负责人、施工负责人在本项目合同签订后7日内到职，全过程服务于本项目，在过程中非不可抗力或招标人要求不得更换。我公司违反以上承诺的，同意按合同条款的规定承担违约责任。</w:t>
      </w:r>
    </w:p>
    <w:p w14:paraId="629F54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7.7 我单位郑重承诺：中标后，我司将按不低于招标合同要求的《承包人拟投入本工程主要工程管理人员一览表》《主要设计人员及驻场人员配备表》配置人员，并根据工程的实际情况委派符合要求（相应等级及数量）的注册建造师及专职安全人员，负责相应工程的报建报批及具体实施，委派的注册建造师及专职安全员须经招标人同意。</w:t>
      </w:r>
    </w:p>
    <w:p w14:paraId="1580AB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7.8 保证所投入本项目的主要材料、设备质量符合或优于招标文件要求，不低于黄埔现行同类项目标准。所投入本项目的辅助设备、材料与主要材料、设备质量一致并有良好的配套性。</w:t>
      </w:r>
    </w:p>
    <w:p w14:paraId="043FEC8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7.9 保证按照招标文件的要求确保安全生产及文明施工，如有违反，我公司愿意按合同约定承担违约责任，并为此负相关的法律责任。</w:t>
      </w:r>
    </w:p>
    <w:p w14:paraId="23618BC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7.10 保证按国家的有关规定制订保证民工工资支付的方案及保证措施，否则，我公司愿按合同条款规定承担违约责任并赔偿招标人的全部损失。</w:t>
      </w:r>
    </w:p>
    <w:p w14:paraId="7DE8A040">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pacing w:val="0"/>
          <w:w w:val="100"/>
          <w:position w:val="0"/>
          <w:highlight w:val="none"/>
          <w:lang w:eastAsia="zh-CN"/>
        </w:rPr>
      </w:pPr>
    </w:p>
    <w:p w14:paraId="61E9B6D8">
      <w:pPr>
        <w:keepNext w:val="0"/>
        <w:keepLines w:val="0"/>
        <w:pageBreakBefore w:val="0"/>
        <w:kinsoku/>
        <w:bidi w:val="0"/>
        <w:spacing w:before="66" w:line="227" w:lineRule="auto"/>
        <w:ind w:left="3362"/>
        <w:rPr>
          <w:rFonts w:hint="default" w:ascii="宋体" w:hAnsi="宋体" w:eastAsia="宋体" w:cs="宋体"/>
          <w:color w:val="auto"/>
          <w:spacing w:val="0"/>
          <w:w w:val="100"/>
          <w:position w:val="0"/>
          <w:sz w:val="20"/>
          <w:szCs w:val="20"/>
          <w:highlight w:val="none"/>
          <w:lang w:val="en-US" w:eastAsia="zh-CN"/>
        </w:rPr>
      </w:pPr>
      <w:r>
        <w:rPr>
          <w:rFonts w:ascii="宋体" w:hAnsi="宋体" w:eastAsia="宋体" w:cs="宋体"/>
          <w:color w:val="auto"/>
          <w:spacing w:val="0"/>
          <w:w w:val="100"/>
          <w:position w:val="0"/>
          <w:sz w:val="20"/>
          <w:szCs w:val="20"/>
          <w:highlight w:val="none"/>
          <w:lang w:eastAsia="zh-CN"/>
        </w:rPr>
        <w:t>投标人：</w:t>
      </w:r>
      <w:r>
        <w:rPr>
          <w:rFonts w:hint="eastAsia" w:ascii="宋体" w:hAnsi="宋体" w:eastAsia="宋体" w:cs="宋体"/>
          <w:color w:val="auto"/>
          <w:spacing w:val="0"/>
          <w:w w:val="100"/>
          <w:position w:val="0"/>
          <w:sz w:val="20"/>
          <w:szCs w:val="20"/>
          <w:highlight w:val="none"/>
          <w:u w:val="single"/>
          <w:lang w:val="en-US" w:eastAsia="zh-CN"/>
        </w:rPr>
        <w:t xml:space="preserve">                      </w:t>
      </w:r>
    </w:p>
    <w:p w14:paraId="7026B506">
      <w:pPr>
        <w:keepNext w:val="0"/>
        <w:keepLines w:val="0"/>
        <w:pageBreakBefore w:val="0"/>
        <w:kinsoku/>
        <w:bidi w:val="0"/>
        <w:spacing w:before="232" w:line="227" w:lineRule="auto"/>
        <w:ind w:left="3360"/>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法定代表人或其授权委托人：</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（签名或盖章）</w:t>
      </w:r>
    </w:p>
    <w:p w14:paraId="0A4081A7">
      <w:pPr>
        <w:keepNext w:val="0"/>
        <w:keepLines w:val="0"/>
        <w:pageBreakBefore w:val="0"/>
        <w:kinsoku/>
        <w:bidi w:val="0"/>
        <w:spacing w:before="232" w:line="227" w:lineRule="auto"/>
        <w:ind w:left="3360"/>
        <w:rPr>
          <w:color w:val="auto"/>
          <w:spacing w:val="0"/>
          <w:w w:val="100"/>
          <w:position w:val="0"/>
          <w:highlight w:val="none"/>
          <w:lang w:eastAsia="zh-CN"/>
        </w:rPr>
      </w:pPr>
      <w:r>
        <w:rPr>
          <w:rFonts w:ascii="宋体" w:hAnsi="宋体" w:eastAsia="宋体" w:cs="宋体"/>
          <w:color w:val="auto"/>
          <w:spacing w:val="0"/>
          <w:w w:val="100"/>
          <w:position w:val="0"/>
          <w:sz w:val="20"/>
          <w:szCs w:val="20"/>
          <w:highlight w:val="none"/>
          <w:lang w:eastAsia="zh-CN"/>
        </w:rPr>
        <w:t>日期：</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年</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月</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lang w:eastAsia="zh-CN"/>
        </w:rPr>
        <w:t>日</w:t>
      </w:r>
    </w:p>
    <w:p w14:paraId="7F44B594">
      <w:pPr>
        <w:pStyle w:val="7"/>
        <w:keepNext w:val="0"/>
        <w:keepLines w:val="0"/>
        <w:pageBreakBefore w:val="0"/>
        <w:kinsoku/>
        <w:bidi w:val="0"/>
        <w:spacing w:line="265" w:lineRule="auto"/>
        <w:rPr>
          <w:color w:val="auto"/>
          <w:spacing w:val="0"/>
          <w:w w:val="100"/>
          <w:position w:val="0"/>
          <w:highlight w:val="none"/>
          <w:lang w:eastAsia="zh-CN"/>
        </w:rPr>
      </w:pPr>
    </w:p>
    <w:p w14:paraId="09F6FABC">
      <w:pPr>
        <w:pStyle w:val="7"/>
        <w:keepNext w:val="0"/>
        <w:keepLines w:val="0"/>
        <w:pageBreakBefore w:val="0"/>
        <w:kinsoku/>
        <w:bidi w:val="0"/>
        <w:spacing w:line="266" w:lineRule="auto"/>
        <w:rPr>
          <w:color w:val="auto"/>
          <w:spacing w:val="0"/>
          <w:w w:val="100"/>
          <w:position w:val="0"/>
          <w:highlight w:val="none"/>
          <w:lang w:eastAsia="zh-CN"/>
        </w:rPr>
      </w:pPr>
    </w:p>
    <w:p w14:paraId="62FDBD76">
      <w:pPr>
        <w:pStyle w:val="7"/>
        <w:keepNext w:val="0"/>
        <w:keepLines w:val="0"/>
        <w:pageBreakBefore w:val="0"/>
        <w:kinsoku/>
        <w:bidi w:val="0"/>
        <w:spacing w:line="266" w:lineRule="auto"/>
        <w:rPr>
          <w:color w:val="auto"/>
          <w:spacing w:val="0"/>
          <w:w w:val="100"/>
          <w:position w:val="0"/>
          <w:highlight w:val="none"/>
          <w:lang w:eastAsia="zh-CN"/>
        </w:rPr>
      </w:pPr>
    </w:p>
    <w:p w14:paraId="3B5A366D">
      <w:pPr>
        <w:pStyle w:val="7"/>
        <w:keepNext w:val="0"/>
        <w:keepLines w:val="0"/>
        <w:pageBreakBefore w:val="0"/>
        <w:kinsoku/>
        <w:bidi w:val="0"/>
        <w:spacing w:line="266" w:lineRule="auto"/>
        <w:rPr>
          <w:color w:val="auto"/>
          <w:spacing w:val="0"/>
          <w:w w:val="100"/>
          <w:position w:val="0"/>
          <w:highlight w:val="none"/>
          <w:lang w:eastAsia="zh-CN"/>
        </w:rPr>
      </w:pPr>
    </w:p>
    <w:p w14:paraId="0EE6D648">
      <w:pPr>
        <w:keepNext w:val="0"/>
        <w:keepLines w:val="0"/>
        <w:pageBreakBefore w:val="0"/>
        <w:kinsoku/>
        <w:bidi w:val="0"/>
        <w:spacing w:before="65" w:line="227" w:lineRule="auto"/>
        <w:jc w:val="center"/>
        <w:rPr>
          <w:rFonts w:ascii="宋体" w:hAnsi="宋体" w:eastAsia="宋体" w:cs="宋体"/>
          <w:b/>
          <w:bCs/>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t>注：联合体投标的，“投标人”一栏需书写所有联合体成员的单位全称，可由主办方签署、盖章。</w:t>
      </w:r>
    </w:p>
    <w:p w14:paraId="1DFC222E">
      <w:pPr>
        <w:keepNext w:val="0"/>
        <w:keepLines w:val="0"/>
        <w:pageBreakBefore w:val="0"/>
        <w:kinsoku/>
        <w:bidi w:val="0"/>
        <w:spacing w:before="65" w:line="227" w:lineRule="auto"/>
        <w:jc w:val="right"/>
        <w:rPr>
          <w:rFonts w:ascii="宋体" w:hAnsi="宋体" w:eastAsia="宋体" w:cs="宋体"/>
          <w:b/>
          <w:bCs/>
          <w:color w:val="auto"/>
          <w:spacing w:val="0"/>
          <w:w w:val="100"/>
          <w:position w:val="0"/>
          <w:sz w:val="20"/>
          <w:szCs w:val="20"/>
          <w:highlight w:val="none"/>
          <w:lang w:eastAsia="zh-CN"/>
        </w:rPr>
      </w:pPr>
    </w:p>
    <w:p w14:paraId="622D9699">
      <w:pPr>
        <w:keepNext w:val="0"/>
        <w:keepLines w:val="0"/>
        <w:pageBreakBefore w:val="0"/>
        <w:kinsoku/>
        <w:bidi w:val="0"/>
        <w:rPr>
          <w:rFonts w:ascii="宋体" w:hAnsi="宋体" w:eastAsia="宋体" w:cs="宋体"/>
          <w:b/>
          <w:bCs/>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br w:type="page"/>
      </w:r>
    </w:p>
    <w:p w14:paraId="0D7E4C86">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eastAsia" w:ascii="宋体" w:hAnsi="宋体" w:eastAsia="宋体" w:cs="宋体"/>
          <w:b/>
          <w:bCs/>
          <w:color w:val="auto"/>
          <w:spacing w:val="0"/>
          <w:w w:val="100"/>
          <w:position w:val="0"/>
          <w:sz w:val="35"/>
          <w:szCs w:val="35"/>
          <w:highlight w:val="none"/>
          <w:lang w:eastAsia="zh-CN"/>
        </w:rPr>
      </w:pPr>
      <w:bookmarkStart w:id="360" w:name="_Toc27332"/>
      <w:bookmarkStart w:id="361" w:name="_Toc8134"/>
      <w:bookmarkStart w:id="362" w:name="_Toc4808"/>
      <w:r>
        <w:rPr>
          <w:rFonts w:hint="eastAsia" w:ascii="宋体" w:hAnsi="宋体" w:eastAsia="宋体" w:cs="宋体"/>
          <w:b/>
          <w:bCs/>
          <w:color w:val="auto"/>
          <w:spacing w:val="0"/>
          <w:w w:val="100"/>
          <w:position w:val="0"/>
          <w:sz w:val="35"/>
          <w:szCs w:val="35"/>
          <w:highlight w:val="none"/>
          <w:lang w:eastAsia="zh-CN"/>
        </w:rPr>
        <w:t>格式5：工程总承包项目管理机构配备表</w:t>
      </w:r>
      <w:bookmarkEnd w:id="360"/>
      <w:bookmarkEnd w:id="361"/>
      <w:bookmarkEnd w:id="362"/>
    </w:p>
    <w:p w14:paraId="414A6401">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工程总承包项目管理机构配备表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26"/>
        <w:gridCol w:w="1327"/>
        <w:gridCol w:w="1327"/>
        <w:gridCol w:w="1327"/>
        <w:gridCol w:w="1327"/>
        <w:gridCol w:w="1327"/>
      </w:tblGrid>
      <w:tr w14:paraId="2221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14:paraId="30FAB1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序号</w:t>
            </w:r>
          </w:p>
        </w:tc>
        <w:tc>
          <w:tcPr>
            <w:tcW w:w="1326" w:type="dxa"/>
            <w:vAlign w:val="center"/>
          </w:tcPr>
          <w:p w14:paraId="448E30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拟在本项目任职岗位</w:t>
            </w:r>
          </w:p>
        </w:tc>
        <w:tc>
          <w:tcPr>
            <w:tcW w:w="1327" w:type="dxa"/>
            <w:vAlign w:val="center"/>
          </w:tcPr>
          <w:p w14:paraId="365F55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姓名</w:t>
            </w:r>
          </w:p>
        </w:tc>
        <w:tc>
          <w:tcPr>
            <w:tcW w:w="1327" w:type="dxa"/>
            <w:vAlign w:val="center"/>
          </w:tcPr>
          <w:p w14:paraId="5BDF8BC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年龄</w:t>
            </w:r>
          </w:p>
        </w:tc>
        <w:tc>
          <w:tcPr>
            <w:tcW w:w="1327" w:type="dxa"/>
            <w:vAlign w:val="center"/>
          </w:tcPr>
          <w:p w14:paraId="7B0F3F4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身份证号码</w:t>
            </w:r>
          </w:p>
        </w:tc>
        <w:tc>
          <w:tcPr>
            <w:tcW w:w="1327" w:type="dxa"/>
            <w:vAlign w:val="center"/>
          </w:tcPr>
          <w:p w14:paraId="7871BE2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专业</w:t>
            </w:r>
          </w:p>
        </w:tc>
        <w:tc>
          <w:tcPr>
            <w:tcW w:w="1327" w:type="dxa"/>
            <w:vAlign w:val="center"/>
          </w:tcPr>
          <w:p w14:paraId="7045A1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r>
              <w:rPr>
                <w:color w:val="auto"/>
                <w:spacing w:val="0"/>
                <w:w w:val="100"/>
                <w:position w:val="0"/>
                <w:highlight w:val="none"/>
              </w:rPr>
              <w:t>职称或职业资格</w:t>
            </w:r>
          </w:p>
        </w:tc>
      </w:tr>
      <w:tr w14:paraId="4A27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648936A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76870E7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200C260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4D8A99C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5FBB4B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5B52817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72DB031">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1993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7C0F34F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11CFB07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05F473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7BD7E6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5F25751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F2DF54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B1733C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3587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1435813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2D8004B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40DFEC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BD1E62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5DAC159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4C9CE0A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0AE8A19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684F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7A4E587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6D306E2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A46A69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AAD7AA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3099D2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67BBFB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075A05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5439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01E6749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45E0173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A01D9D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7B693DF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2951372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711C285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5116C22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0D91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77B0025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3F49342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346D7B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4AB98BD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B2ACE8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012E7D2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4783483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0D98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1C89652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1B22515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5D062A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19C56D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D71988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258C6F7F">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712CE9E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0E8F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70063A2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7F0E0C9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0FA58CD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26CFEDE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6473D6D">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ED57AD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941FFA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2D50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2ADACCD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2BE6897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5E7C582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0B92BB7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A594F2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0919832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183090B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r w14:paraId="61DB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Pr>
          <w:p w14:paraId="51DAEB6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6" w:type="dxa"/>
          </w:tcPr>
          <w:p w14:paraId="7AE186E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77EF98C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441A1F5C">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36C72BC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08893E7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c>
          <w:tcPr>
            <w:tcW w:w="1327" w:type="dxa"/>
          </w:tcPr>
          <w:p w14:paraId="67EF7177">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宋体" w:hAnsi="宋体" w:eastAsia="宋体" w:cs="宋体"/>
                <w:b/>
                <w:bCs/>
                <w:color w:val="auto"/>
                <w:spacing w:val="0"/>
                <w:w w:val="100"/>
                <w:position w:val="0"/>
                <w:sz w:val="31"/>
                <w:szCs w:val="31"/>
                <w:highlight w:val="none"/>
                <w:vertAlign w:val="baseline"/>
                <w:lang w:eastAsia="zh-CN"/>
              </w:rPr>
            </w:pPr>
          </w:p>
        </w:tc>
      </w:tr>
    </w:tbl>
    <w:p w14:paraId="6A9BD66C">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注：1、本表结合项目管理的实际需要和投标人的自身实际填写并附相关证明材料。本表为项目实施组织方案的组成部分。须同时附上自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p>
    <w:p w14:paraId="777DF03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2"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t>2、“岗位”要求根据项目管理需要及招标文件要求填报，如：项目负责人（项目经理）、设计负责人、技术负责人、质量负责人、安全负责人、造价负责人、专职安全员等。以上项目管理团队人员信息将由交易系统提取后供各相关单位在履约时比对、查核。</w:t>
      </w:r>
    </w:p>
    <w:p w14:paraId="35750E9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3、“投标人应根据本表中的“岗位”要求，填写本表“拟在本项目任职岗位”栏和相关人员“姓名”、“职称或职业资格”栏。</w:t>
      </w:r>
    </w:p>
    <w:p w14:paraId="7451DE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w:t>
      </w:r>
      <w:r>
        <w:rPr>
          <w:rFonts w:ascii="宋体" w:hAnsi="宋体" w:eastAsia="宋体" w:cs="宋体"/>
          <w:b w:val="0"/>
          <w:bCs w:val="0"/>
          <w:color w:val="auto"/>
          <w:spacing w:val="0"/>
          <w:w w:val="100"/>
          <w:position w:val="0"/>
          <w:sz w:val="20"/>
          <w:szCs w:val="20"/>
          <w:highlight w:val="none"/>
          <w:lang w:eastAsia="zh-CN"/>
        </w:rPr>
        <w:t>招标文件投</w:t>
      </w:r>
      <w:r>
        <w:rPr>
          <w:rFonts w:ascii="宋体" w:hAnsi="宋体" w:eastAsia="宋体" w:cs="宋体"/>
          <w:color w:val="auto"/>
          <w:spacing w:val="0"/>
          <w:w w:val="100"/>
          <w:position w:val="0"/>
          <w:sz w:val="20"/>
          <w:szCs w:val="20"/>
          <w:highlight w:val="none"/>
          <w:lang w:eastAsia="zh-CN"/>
        </w:rPr>
        <w:t>标人合格条件及评标办法评分表中涉及的人员，投标时需按招标文件要求提供人员的相关证明资料；其他人员投标时可按招标文件投标承诺书的格式承诺，中标人在收到中标通知书后签订合同前，按发包人要求将实际投入的人员报给发包人，作为签约合同的附件。</w:t>
      </w:r>
    </w:p>
    <w:p w14:paraId="60BFC7E1">
      <w:pPr>
        <w:keepNext w:val="0"/>
        <w:keepLines w:val="0"/>
        <w:pageBreakBefore w:val="0"/>
        <w:kinsoku/>
        <w:bidi w:val="0"/>
        <w:rPr>
          <w:rFonts w:ascii="宋体" w:hAnsi="宋体" w:eastAsia="宋体" w:cs="宋体"/>
          <w:b/>
          <w:bCs/>
          <w:color w:val="auto"/>
          <w:spacing w:val="0"/>
          <w:w w:val="100"/>
          <w:position w:val="0"/>
          <w:sz w:val="20"/>
          <w:szCs w:val="20"/>
          <w:highlight w:val="none"/>
          <w:lang w:eastAsia="zh-CN"/>
        </w:rPr>
      </w:pPr>
      <w:r>
        <w:rPr>
          <w:rFonts w:ascii="宋体" w:hAnsi="宋体" w:eastAsia="宋体" w:cs="宋体"/>
          <w:b/>
          <w:bCs/>
          <w:color w:val="auto"/>
          <w:spacing w:val="0"/>
          <w:w w:val="100"/>
          <w:position w:val="0"/>
          <w:sz w:val="20"/>
          <w:szCs w:val="20"/>
          <w:highlight w:val="none"/>
          <w:lang w:eastAsia="zh-CN"/>
        </w:rPr>
        <w:br w:type="page"/>
      </w:r>
    </w:p>
    <w:p w14:paraId="07E80D76">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eastAsia" w:ascii="宋体" w:hAnsi="宋体" w:eastAsia="宋体" w:cs="宋体"/>
          <w:b/>
          <w:bCs/>
          <w:color w:val="auto"/>
          <w:spacing w:val="0"/>
          <w:w w:val="100"/>
          <w:position w:val="0"/>
          <w:sz w:val="35"/>
          <w:szCs w:val="35"/>
          <w:highlight w:val="none"/>
          <w:lang w:eastAsia="zh-CN"/>
        </w:rPr>
      </w:pPr>
      <w:bookmarkStart w:id="363" w:name="_Toc22890"/>
      <w:bookmarkStart w:id="364" w:name="_Toc28550"/>
      <w:bookmarkStart w:id="365" w:name="_Toc24553"/>
      <w:r>
        <w:rPr>
          <w:rFonts w:hint="eastAsia" w:ascii="宋体" w:hAnsi="宋体" w:eastAsia="宋体" w:cs="宋体"/>
          <w:b/>
          <w:bCs/>
          <w:color w:val="auto"/>
          <w:spacing w:val="0"/>
          <w:w w:val="100"/>
          <w:position w:val="0"/>
          <w:sz w:val="35"/>
          <w:szCs w:val="35"/>
          <w:highlight w:val="none"/>
          <w:lang w:eastAsia="zh-CN"/>
        </w:rPr>
        <w:t>格式6：参与编制工程总承包实施方案投标文件人员名单</w:t>
      </w:r>
      <w:bookmarkEnd w:id="363"/>
      <w:bookmarkEnd w:id="364"/>
      <w:bookmarkEnd w:id="365"/>
    </w:p>
    <w:p w14:paraId="6C592B60">
      <w:pPr>
        <w:keepNext w:val="0"/>
        <w:keepLines w:val="0"/>
        <w:pageBreakBefore w:val="0"/>
        <w:widowControl/>
        <w:kinsoku/>
        <w:wordWrap/>
        <w:overflowPunct/>
        <w:topLinePunct w:val="0"/>
        <w:autoSpaceDE w:val="0"/>
        <w:autoSpaceDN w:val="0"/>
        <w:bidi w:val="0"/>
        <w:adjustRightInd w:val="0"/>
        <w:snapToGrid w:val="0"/>
        <w:spacing w:before="235" w:line="224" w:lineRule="auto"/>
        <w:jc w:val="center"/>
        <w:textAlignment w:val="baseline"/>
        <w:outlineLvl w:val="3"/>
        <w:rPr>
          <w:rFonts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参与编制工程总承包实施方案投标文件人员名单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554"/>
        <w:gridCol w:w="2200"/>
        <w:gridCol w:w="2668"/>
        <w:gridCol w:w="1858"/>
      </w:tblGrid>
      <w:tr w14:paraId="268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6E711AFC">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姓名</w:t>
            </w:r>
          </w:p>
        </w:tc>
        <w:tc>
          <w:tcPr>
            <w:tcW w:w="1554" w:type="dxa"/>
            <w:vAlign w:val="center"/>
          </w:tcPr>
          <w:p w14:paraId="138E1449">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职务</w:t>
            </w:r>
          </w:p>
        </w:tc>
        <w:tc>
          <w:tcPr>
            <w:tcW w:w="2200" w:type="dxa"/>
            <w:vAlign w:val="center"/>
          </w:tcPr>
          <w:p w14:paraId="2B3A2930">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所承担工作</w:t>
            </w:r>
          </w:p>
        </w:tc>
        <w:tc>
          <w:tcPr>
            <w:tcW w:w="2668" w:type="dxa"/>
            <w:vAlign w:val="center"/>
          </w:tcPr>
          <w:p w14:paraId="6EF9032E">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身份证号码</w:t>
            </w:r>
          </w:p>
        </w:tc>
        <w:tc>
          <w:tcPr>
            <w:tcW w:w="1858" w:type="dxa"/>
            <w:vAlign w:val="center"/>
          </w:tcPr>
          <w:p w14:paraId="7683F4C6">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本人签名栏</w:t>
            </w:r>
          </w:p>
        </w:tc>
      </w:tr>
      <w:tr w14:paraId="72A9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1E4A6F65">
            <w:pPr>
              <w:keepNext w:val="0"/>
              <w:keepLines w:val="0"/>
              <w:pageBreakBefore w:val="0"/>
              <w:widowControl w:val="0"/>
              <w:kinsoku/>
              <w:bidi w:val="0"/>
              <w:jc w:val="center"/>
              <w:rPr>
                <w:color w:val="auto"/>
                <w:highlight w:val="none"/>
                <w:lang w:eastAsia="zh-CN"/>
              </w:rPr>
            </w:pPr>
          </w:p>
        </w:tc>
        <w:tc>
          <w:tcPr>
            <w:tcW w:w="1554" w:type="dxa"/>
            <w:vAlign w:val="center"/>
          </w:tcPr>
          <w:p w14:paraId="734BD6F5">
            <w:pPr>
              <w:keepNext w:val="0"/>
              <w:keepLines w:val="0"/>
              <w:pageBreakBefore w:val="0"/>
              <w:widowControl w:val="0"/>
              <w:kinsoku/>
              <w:bidi w:val="0"/>
              <w:jc w:val="center"/>
              <w:rPr>
                <w:color w:val="auto"/>
                <w:highlight w:val="none"/>
                <w:lang w:eastAsia="zh-CN"/>
              </w:rPr>
            </w:pPr>
          </w:p>
        </w:tc>
        <w:tc>
          <w:tcPr>
            <w:tcW w:w="2200" w:type="dxa"/>
            <w:vAlign w:val="center"/>
          </w:tcPr>
          <w:p w14:paraId="7167F9B2">
            <w:pPr>
              <w:keepNext w:val="0"/>
              <w:keepLines w:val="0"/>
              <w:pageBreakBefore w:val="0"/>
              <w:widowControl w:val="0"/>
              <w:kinsoku/>
              <w:bidi w:val="0"/>
              <w:jc w:val="center"/>
              <w:rPr>
                <w:color w:val="auto"/>
                <w:highlight w:val="none"/>
                <w:lang w:eastAsia="zh-CN"/>
              </w:rPr>
            </w:pPr>
          </w:p>
        </w:tc>
        <w:tc>
          <w:tcPr>
            <w:tcW w:w="2668" w:type="dxa"/>
            <w:vAlign w:val="center"/>
          </w:tcPr>
          <w:p w14:paraId="39F30041">
            <w:pPr>
              <w:keepNext w:val="0"/>
              <w:keepLines w:val="0"/>
              <w:pageBreakBefore w:val="0"/>
              <w:widowControl w:val="0"/>
              <w:kinsoku/>
              <w:bidi w:val="0"/>
              <w:jc w:val="center"/>
              <w:rPr>
                <w:color w:val="auto"/>
                <w:highlight w:val="none"/>
                <w:lang w:eastAsia="zh-CN"/>
              </w:rPr>
            </w:pPr>
          </w:p>
        </w:tc>
        <w:tc>
          <w:tcPr>
            <w:tcW w:w="1858" w:type="dxa"/>
            <w:vAlign w:val="center"/>
          </w:tcPr>
          <w:p w14:paraId="233ED4E2">
            <w:pPr>
              <w:keepNext w:val="0"/>
              <w:keepLines w:val="0"/>
              <w:pageBreakBefore w:val="0"/>
              <w:widowControl w:val="0"/>
              <w:kinsoku/>
              <w:bidi w:val="0"/>
              <w:jc w:val="center"/>
              <w:rPr>
                <w:color w:val="auto"/>
                <w:highlight w:val="none"/>
                <w:lang w:eastAsia="zh-CN"/>
              </w:rPr>
            </w:pPr>
          </w:p>
        </w:tc>
      </w:tr>
      <w:tr w14:paraId="145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50F30E5C">
            <w:pPr>
              <w:keepNext w:val="0"/>
              <w:keepLines w:val="0"/>
              <w:pageBreakBefore w:val="0"/>
              <w:widowControl w:val="0"/>
              <w:kinsoku/>
              <w:bidi w:val="0"/>
              <w:jc w:val="center"/>
              <w:rPr>
                <w:color w:val="auto"/>
                <w:highlight w:val="none"/>
                <w:lang w:eastAsia="zh-CN"/>
              </w:rPr>
            </w:pPr>
          </w:p>
        </w:tc>
        <w:tc>
          <w:tcPr>
            <w:tcW w:w="1554" w:type="dxa"/>
            <w:vAlign w:val="center"/>
          </w:tcPr>
          <w:p w14:paraId="4EB58DC6">
            <w:pPr>
              <w:keepNext w:val="0"/>
              <w:keepLines w:val="0"/>
              <w:pageBreakBefore w:val="0"/>
              <w:widowControl w:val="0"/>
              <w:kinsoku/>
              <w:bidi w:val="0"/>
              <w:jc w:val="center"/>
              <w:rPr>
                <w:color w:val="auto"/>
                <w:highlight w:val="none"/>
                <w:lang w:eastAsia="zh-CN"/>
              </w:rPr>
            </w:pPr>
          </w:p>
        </w:tc>
        <w:tc>
          <w:tcPr>
            <w:tcW w:w="2200" w:type="dxa"/>
            <w:vAlign w:val="center"/>
          </w:tcPr>
          <w:p w14:paraId="1581A487">
            <w:pPr>
              <w:keepNext w:val="0"/>
              <w:keepLines w:val="0"/>
              <w:pageBreakBefore w:val="0"/>
              <w:widowControl w:val="0"/>
              <w:kinsoku/>
              <w:bidi w:val="0"/>
              <w:jc w:val="center"/>
              <w:rPr>
                <w:color w:val="auto"/>
                <w:highlight w:val="none"/>
                <w:lang w:eastAsia="zh-CN"/>
              </w:rPr>
            </w:pPr>
          </w:p>
        </w:tc>
        <w:tc>
          <w:tcPr>
            <w:tcW w:w="2668" w:type="dxa"/>
            <w:vAlign w:val="center"/>
          </w:tcPr>
          <w:p w14:paraId="125F48B4">
            <w:pPr>
              <w:keepNext w:val="0"/>
              <w:keepLines w:val="0"/>
              <w:pageBreakBefore w:val="0"/>
              <w:widowControl w:val="0"/>
              <w:kinsoku/>
              <w:bidi w:val="0"/>
              <w:jc w:val="center"/>
              <w:rPr>
                <w:color w:val="auto"/>
                <w:highlight w:val="none"/>
                <w:lang w:eastAsia="zh-CN"/>
              </w:rPr>
            </w:pPr>
          </w:p>
        </w:tc>
        <w:tc>
          <w:tcPr>
            <w:tcW w:w="1858" w:type="dxa"/>
            <w:vAlign w:val="center"/>
          </w:tcPr>
          <w:p w14:paraId="35086A92">
            <w:pPr>
              <w:keepNext w:val="0"/>
              <w:keepLines w:val="0"/>
              <w:pageBreakBefore w:val="0"/>
              <w:widowControl w:val="0"/>
              <w:kinsoku/>
              <w:bidi w:val="0"/>
              <w:jc w:val="center"/>
              <w:rPr>
                <w:color w:val="auto"/>
                <w:highlight w:val="none"/>
                <w:lang w:eastAsia="zh-CN"/>
              </w:rPr>
            </w:pPr>
          </w:p>
        </w:tc>
      </w:tr>
      <w:tr w14:paraId="7FF7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47418E7A">
            <w:pPr>
              <w:keepNext w:val="0"/>
              <w:keepLines w:val="0"/>
              <w:pageBreakBefore w:val="0"/>
              <w:widowControl w:val="0"/>
              <w:kinsoku/>
              <w:bidi w:val="0"/>
              <w:jc w:val="center"/>
              <w:rPr>
                <w:color w:val="auto"/>
                <w:highlight w:val="none"/>
                <w:lang w:eastAsia="zh-CN"/>
              </w:rPr>
            </w:pPr>
          </w:p>
        </w:tc>
        <w:tc>
          <w:tcPr>
            <w:tcW w:w="1554" w:type="dxa"/>
            <w:vAlign w:val="center"/>
          </w:tcPr>
          <w:p w14:paraId="7B9D3190">
            <w:pPr>
              <w:keepNext w:val="0"/>
              <w:keepLines w:val="0"/>
              <w:pageBreakBefore w:val="0"/>
              <w:widowControl w:val="0"/>
              <w:kinsoku/>
              <w:bidi w:val="0"/>
              <w:jc w:val="center"/>
              <w:rPr>
                <w:color w:val="auto"/>
                <w:highlight w:val="none"/>
                <w:lang w:eastAsia="zh-CN"/>
              </w:rPr>
            </w:pPr>
          </w:p>
        </w:tc>
        <w:tc>
          <w:tcPr>
            <w:tcW w:w="2200" w:type="dxa"/>
            <w:vAlign w:val="center"/>
          </w:tcPr>
          <w:p w14:paraId="2683515C">
            <w:pPr>
              <w:keepNext w:val="0"/>
              <w:keepLines w:val="0"/>
              <w:pageBreakBefore w:val="0"/>
              <w:widowControl w:val="0"/>
              <w:kinsoku/>
              <w:bidi w:val="0"/>
              <w:jc w:val="center"/>
              <w:rPr>
                <w:color w:val="auto"/>
                <w:highlight w:val="none"/>
                <w:lang w:eastAsia="zh-CN"/>
              </w:rPr>
            </w:pPr>
          </w:p>
        </w:tc>
        <w:tc>
          <w:tcPr>
            <w:tcW w:w="2668" w:type="dxa"/>
            <w:vAlign w:val="center"/>
          </w:tcPr>
          <w:p w14:paraId="60B383BC">
            <w:pPr>
              <w:keepNext w:val="0"/>
              <w:keepLines w:val="0"/>
              <w:pageBreakBefore w:val="0"/>
              <w:widowControl w:val="0"/>
              <w:kinsoku/>
              <w:bidi w:val="0"/>
              <w:jc w:val="center"/>
              <w:rPr>
                <w:color w:val="auto"/>
                <w:highlight w:val="none"/>
                <w:lang w:eastAsia="zh-CN"/>
              </w:rPr>
            </w:pPr>
          </w:p>
        </w:tc>
        <w:tc>
          <w:tcPr>
            <w:tcW w:w="1858" w:type="dxa"/>
            <w:vAlign w:val="center"/>
          </w:tcPr>
          <w:p w14:paraId="1EDDA054">
            <w:pPr>
              <w:keepNext w:val="0"/>
              <w:keepLines w:val="0"/>
              <w:pageBreakBefore w:val="0"/>
              <w:widowControl w:val="0"/>
              <w:kinsoku/>
              <w:bidi w:val="0"/>
              <w:jc w:val="center"/>
              <w:rPr>
                <w:color w:val="auto"/>
                <w:highlight w:val="none"/>
                <w:lang w:eastAsia="zh-CN"/>
              </w:rPr>
            </w:pPr>
          </w:p>
        </w:tc>
      </w:tr>
      <w:tr w14:paraId="4A26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2B531B0D">
            <w:pPr>
              <w:keepNext w:val="0"/>
              <w:keepLines w:val="0"/>
              <w:pageBreakBefore w:val="0"/>
              <w:widowControl w:val="0"/>
              <w:kinsoku/>
              <w:bidi w:val="0"/>
              <w:jc w:val="center"/>
              <w:rPr>
                <w:color w:val="auto"/>
                <w:highlight w:val="none"/>
                <w:lang w:eastAsia="zh-CN"/>
              </w:rPr>
            </w:pPr>
          </w:p>
        </w:tc>
        <w:tc>
          <w:tcPr>
            <w:tcW w:w="1554" w:type="dxa"/>
            <w:vAlign w:val="center"/>
          </w:tcPr>
          <w:p w14:paraId="2EB2A2DE">
            <w:pPr>
              <w:keepNext w:val="0"/>
              <w:keepLines w:val="0"/>
              <w:pageBreakBefore w:val="0"/>
              <w:widowControl w:val="0"/>
              <w:kinsoku/>
              <w:bidi w:val="0"/>
              <w:jc w:val="center"/>
              <w:rPr>
                <w:color w:val="auto"/>
                <w:highlight w:val="none"/>
                <w:lang w:eastAsia="zh-CN"/>
              </w:rPr>
            </w:pPr>
          </w:p>
        </w:tc>
        <w:tc>
          <w:tcPr>
            <w:tcW w:w="2200" w:type="dxa"/>
            <w:vAlign w:val="center"/>
          </w:tcPr>
          <w:p w14:paraId="0BBBF1EA">
            <w:pPr>
              <w:keepNext w:val="0"/>
              <w:keepLines w:val="0"/>
              <w:pageBreakBefore w:val="0"/>
              <w:widowControl w:val="0"/>
              <w:kinsoku/>
              <w:bidi w:val="0"/>
              <w:jc w:val="center"/>
              <w:rPr>
                <w:color w:val="auto"/>
                <w:highlight w:val="none"/>
                <w:lang w:eastAsia="zh-CN"/>
              </w:rPr>
            </w:pPr>
          </w:p>
        </w:tc>
        <w:tc>
          <w:tcPr>
            <w:tcW w:w="2668" w:type="dxa"/>
            <w:vAlign w:val="center"/>
          </w:tcPr>
          <w:p w14:paraId="7BE631AE">
            <w:pPr>
              <w:keepNext w:val="0"/>
              <w:keepLines w:val="0"/>
              <w:pageBreakBefore w:val="0"/>
              <w:widowControl w:val="0"/>
              <w:kinsoku/>
              <w:bidi w:val="0"/>
              <w:jc w:val="center"/>
              <w:rPr>
                <w:color w:val="auto"/>
                <w:highlight w:val="none"/>
                <w:lang w:eastAsia="zh-CN"/>
              </w:rPr>
            </w:pPr>
          </w:p>
        </w:tc>
        <w:tc>
          <w:tcPr>
            <w:tcW w:w="1858" w:type="dxa"/>
            <w:vAlign w:val="center"/>
          </w:tcPr>
          <w:p w14:paraId="7DEB8D2C">
            <w:pPr>
              <w:keepNext w:val="0"/>
              <w:keepLines w:val="0"/>
              <w:pageBreakBefore w:val="0"/>
              <w:widowControl w:val="0"/>
              <w:kinsoku/>
              <w:bidi w:val="0"/>
              <w:jc w:val="center"/>
              <w:rPr>
                <w:color w:val="auto"/>
                <w:highlight w:val="none"/>
                <w:lang w:eastAsia="zh-CN"/>
              </w:rPr>
            </w:pPr>
          </w:p>
        </w:tc>
      </w:tr>
      <w:tr w14:paraId="5794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27E826FA">
            <w:pPr>
              <w:keepNext w:val="0"/>
              <w:keepLines w:val="0"/>
              <w:pageBreakBefore w:val="0"/>
              <w:widowControl w:val="0"/>
              <w:kinsoku/>
              <w:bidi w:val="0"/>
              <w:jc w:val="center"/>
              <w:rPr>
                <w:color w:val="auto"/>
                <w:highlight w:val="none"/>
                <w:lang w:eastAsia="zh-CN"/>
              </w:rPr>
            </w:pPr>
          </w:p>
        </w:tc>
        <w:tc>
          <w:tcPr>
            <w:tcW w:w="1554" w:type="dxa"/>
            <w:vAlign w:val="center"/>
          </w:tcPr>
          <w:p w14:paraId="5991A9C2">
            <w:pPr>
              <w:keepNext w:val="0"/>
              <w:keepLines w:val="0"/>
              <w:pageBreakBefore w:val="0"/>
              <w:widowControl w:val="0"/>
              <w:kinsoku/>
              <w:bidi w:val="0"/>
              <w:jc w:val="center"/>
              <w:rPr>
                <w:color w:val="auto"/>
                <w:highlight w:val="none"/>
                <w:lang w:eastAsia="zh-CN"/>
              </w:rPr>
            </w:pPr>
          </w:p>
        </w:tc>
        <w:tc>
          <w:tcPr>
            <w:tcW w:w="2200" w:type="dxa"/>
            <w:vAlign w:val="center"/>
          </w:tcPr>
          <w:p w14:paraId="41455B99">
            <w:pPr>
              <w:keepNext w:val="0"/>
              <w:keepLines w:val="0"/>
              <w:pageBreakBefore w:val="0"/>
              <w:widowControl w:val="0"/>
              <w:kinsoku/>
              <w:bidi w:val="0"/>
              <w:jc w:val="center"/>
              <w:rPr>
                <w:color w:val="auto"/>
                <w:highlight w:val="none"/>
                <w:lang w:eastAsia="zh-CN"/>
              </w:rPr>
            </w:pPr>
          </w:p>
        </w:tc>
        <w:tc>
          <w:tcPr>
            <w:tcW w:w="2668" w:type="dxa"/>
            <w:vAlign w:val="center"/>
          </w:tcPr>
          <w:p w14:paraId="34FAE8F2">
            <w:pPr>
              <w:keepNext w:val="0"/>
              <w:keepLines w:val="0"/>
              <w:pageBreakBefore w:val="0"/>
              <w:widowControl w:val="0"/>
              <w:kinsoku/>
              <w:bidi w:val="0"/>
              <w:jc w:val="center"/>
              <w:rPr>
                <w:color w:val="auto"/>
                <w:highlight w:val="none"/>
                <w:lang w:eastAsia="zh-CN"/>
              </w:rPr>
            </w:pPr>
          </w:p>
        </w:tc>
        <w:tc>
          <w:tcPr>
            <w:tcW w:w="1858" w:type="dxa"/>
            <w:vAlign w:val="center"/>
          </w:tcPr>
          <w:p w14:paraId="5D15F841">
            <w:pPr>
              <w:keepNext w:val="0"/>
              <w:keepLines w:val="0"/>
              <w:pageBreakBefore w:val="0"/>
              <w:widowControl w:val="0"/>
              <w:kinsoku/>
              <w:bidi w:val="0"/>
              <w:jc w:val="center"/>
              <w:rPr>
                <w:color w:val="auto"/>
                <w:highlight w:val="none"/>
                <w:lang w:eastAsia="zh-CN"/>
              </w:rPr>
            </w:pPr>
          </w:p>
        </w:tc>
      </w:tr>
      <w:tr w14:paraId="7157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56B2093E">
            <w:pPr>
              <w:keepNext w:val="0"/>
              <w:keepLines w:val="0"/>
              <w:pageBreakBefore w:val="0"/>
              <w:widowControl w:val="0"/>
              <w:kinsoku/>
              <w:bidi w:val="0"/>
              <w:jc w:val="center"/>
              <w:rPr>
                <w:color w:val="auto"/>
                <w:highlight w:val="none"/>
                <w:lang w:eastAsia="zh-CN"/>
              </w:rPr>
            </w:pPr>
          </w:p>
        </w:tc>
        <w:tc>
          <w:tcPr>
            <w:tcW w:w="1554" w:type="dxa"/>
            <w:vAlign w:val="center"/>
          </w:tcPr>
          <w:p w14:paraId="5F875B13">
            <w:pPr>
              <w:keepNext w:val="0"/>
              <w:keepLines w:val="0"/>
              <w:pageBreakBefore w:val="0"/>
              <w:widowControl w:val="0"/>
              <w:kinsoku/>
              <w:bidi w:val="0"/>
              <w:jc w:val="center"/>
              <w:rPr>
                <w:color w:val="auto"/>
                <w:highlight w:val="none"/>
                <w:lang w:eastAsia="zh-CN"/>
              </w:rPr>
            </w:pPr>
          </w:p>
        </w:tc>
        <w:tc>
          <w:tcPr>
            <w:tcW w:w="2200" w:type="dxa"/>
            <w:vAlign w:val="center"/>
          </w:tcPr>
          <w:p w14:paraId="4281D003">
            <w:pPr>
              <w:keepNext w:val="0"/>
              <w:keepLines w:val="0"/>
              <w:pageBreakBefore w:val="0"/>
              <w:widowControl w:val="0"/>
              <w:kinsoku/>
              <w:bidi w:val="0"/>
              <w:jc w:val="center"/>
              <w:rPr>
                <w:color w:val="auto"/>
                <w:highlight w:val="none"/>
                <w:lang w:eastAsia="zh-CN"/>
              </w:rPr>
            </w:pPr>
          </w:p>
        </w:tc>
        <w:tc>
          <w:tcPr>
            <w:tcW w:w="2668" w:type="dxa"/>
            <w:vAlign w:val="center"/>
          </w:tcPr>
          <w:p w14:paraId="0A44E2F1">
            <w:pPr>
              <w:keepNext w:val="0"/>
              <w:keepLines w:val="0"/>
              <w:pageBreakBefore w:val="0"/>
              <w:widowControl w:val="0"/>
              <w:kinsoku/>
              <w:bidi w:val="0"/>
              <w:jc w:val="center"/>
              <w:rPr>
                <w:color w:val="auto"/>
                <w:highlight w:val="none"/>
                <w:lang w:eastAsia="zh-CN"/>
              </w:rPr>
            </w:pPr>
          </w:p>
        </w:tc>
        <w:tc>
          <w:tcPr>
            <w:tcW w:w="1858" w:type="dxa"/>
            <w:vAlign w:val="center"/>
          </w:tcPr>
          <w:p w14:paraId="67EE00E3">
            <w:pPr>
              <w:keepNext w:val="0"/>
              <w:keepLines w:val="0"/>
              <w:pageBreakBefore w:val="0"/>
              <w:widowControl w:val="0"/>
              <w:kinsoku/>
              <w:bidi w:val="0"/>
              <w:jc w:val="center"/>
              <w:rPr>
                <w:color w:val="auto"/>
                <w:highlight w:val="none"/>
                <w:lang w:eastAsia="zh-CN"/>
              </w:rPr>
            </w:pPr>
          </w:p>
        </w:tc>
      </w:tr>
    </w:tbl>
    <w:p w14:paraId="3BDA19FE">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w:t>
      </w:r>
      <w:r>
        <w:rPr>
          <w:rFonts w:hint="eastAsia" w:ascii="宋体" w:hAnsi="宋体" w:eastAsia="宋体" w:cs="宋体"/>
          <w:color w:val="auto"/>
          <w:spacing w:val="0"/>
          <w:w w:val="100"/>
          <w:position w:val="0"/>
          <w:sz w:val="20"/>
          <w:szCs w:val="20"/>
          <w:highlight w:val="none"/>
          <w:lang w:val="en-US" w:eastAsia="zh-CN"/>
        </w:rPr>
        <w:t>1、</w:t>
      </w:r>
      <w:r>
        <w:rPr>
          <w:rFonts w:ascii="宋体" w:hAnsi="宋体" w:eastAsia="宋体" w:cs="宋体"/>
          <w:color w:val="auto"/>
          <w:spacing w:val="0"/>
          <w:w w:val="100"/>
          <w:position w:val="0"/>
          <w:sz w:val="20"/>
          <w:szCs w:val="20"/>
          <w:highlight w:val="none"/>
          <w:lang w:eastAsia="zh-CN"/>
        </w:rPr>
        <w:t>参与编制标书所有人员名单应包括如编制工程总承包实施方案、负责清样校对、负责打印及复印等所有人员在内的人员名单。</w:t>
      </w:r>
    </w:p>
    <w:p w14:paraId="137CCB32">
      <w:pPr>
        <w:keepNext w:val="0"/>
        <w:keepLines w:val="0"/>
        <w:pageBreakBefore w:val="0"/>
        <w:widowControl/>
        <w:kinsoku/>
        <w:wordWrap/>
        <w:overflowPunct/>
        <w:topLinePunct w:val="0"/>
        <w:autoSpaceDE w:val="0"/>
        <w:autoSpaceDN w:val="0"/>
        <w:bidi w:val="0"/>
        <w:adjustRightInd w:val="0"/>
        <w:snapToGrid w:val="0"/>
        <w:spacing w:line="360" w:lineRule="auto"/>
        <w:ind w:firstLine="800" w:firstLineChars="4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2、人员</w:t>
      </w:r>
      <w:r>
        <w:rPr>
          <w:rFonts w:ascii="宋体" w:hAnsi="宋体" w:eastAsia="宋体" w:cs="宋体"/>
          <w:color w:val="auto"/>
          <w:spacing w:val="0"/>
          <w:w w:val="100"/>
          <w:position w:val="0"/>
          <w:sz w:val="20"/>
          <w:szCs w:val="20"/>
          <w:highlight w:val="none"/>
          <w:lang w:eastAsia="zh-CN"/>
        </w:rPr>
        <w:t>须同时附上自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p>
    <w:p w14:paraId="20BE13AD">
      <w:pPr>
        <w:keepNext w:val="0"/>
        <w:keepLines w:val="0"/>
        <w:pageBreakBefore w:val="0"/>
        <w:kinsoku/>
        <w:bidi w:val="0"/>
        <w:spacing w:before="134" w:line="444" w:lineRule="auto"/>
        <w:ind w:left="182" w:firstLine="235"/>
        <w:rPr>
          <w:rFonts w:ascii="宋体" w:hAnsi="宋体" w:eastAsia="宋体" w:cs="宋体"/>
          <w:color w:val="auto"/>
          <w:spacing w:val="0"/>
          <w:w w:val="100"/>
          <w:position w:val="0"/>
          <w:sz w:val="20"/>
          <w:szCs w:val="20"/>
          <w:highlight w:val="none"/>
          <w:lang w:eastAsia="zh-CN"/>
        </w:rPr>
      </w:pPr>
    </w:p>
    <w:p w14:paraId="7E7A39D7">
      <w:pPr>
        <w:keepNext w:val="0"/>
        <w:keepLines w:val="0"/>
        <w:pageBreakBefore w:val="0"/>
        <w:kinsoku/>
        <w:bidi w:val="0"/>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br w:type="page"/>
      </w:r>
    </w:p>
    <w:p w14:paraId="043FFCF0">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eastAsia" w:ascii="宋体" w:hAnsi="宋体" w:eastAsia="宋体" w:cs="宋体"/>
          <w:b/>
          <w:bCs/>
          <w:color w:val="auto"/>
          <w:spacing w:val="0"/>
          <w:w w:val="100"/>
          <w:position w:val="0"/>
          <w:sz w:val="35"/>
          <w:szCs w:val="35"/>
          <w:highlight w:val="none"/>
          <w:lang w:eastAsia="zh-CN"/>
        </w:rPr>
      </w:pPr>
      <w:bookmarkStart w:id="366" w:name="_Toc24606"/>
      <w:bookmarkStart w:id="367" w:name="_Toc31583"/>
      <w:bookmarkStart w:id="368" w:name="_Toc23909"/>
      <w:r>
        <w:rPr>
          <w:rFonts w:hint="eastAsia" w:ascii="宋体" w:hAnsi="宋体" w:eastAsia="宋体" w:cs="宋体"/>
          <w:b/>
          <w:bCs/>
          <w:color w:val="auto"/>
          <w:spacing w:val="0"/>
          <w:w w:val="100"/>
          <w:position w:val="0"/>
          <w:sz w:val="35"/>
          <w:szCs w:val="35"/>
          <w:highlight w:val="none"/>
          <w:lang w:eastAsia="zh-CN"/>
        </w:rPr>
        <w:t>格式7：参与编制经济标投标文件人员名单</w:t>
      </w:r>
      <w:bookmarkEnd w:id="366"/>
      <w:bookmarkEnd w:id="367"/>
      <w:bookmarkEnd w:id="368"/>
    </w:p>
    <w:p w14:paraId="25D7407B">
      <w:pPr>
        <w:keepNext w:val="0"/>
        <w:keepLines w:val="0"/>
        <w:pageBreakBefore w:val="0"/>
        <w:widowControl/>
        <w:kinsoku/>
        <w:wordWrap/>
        <w:overflowPunct/>
        <w:topLinePunct w:val="0"/>
        <w:autoSpaceDE w:val="0"/>
        <w:autoSpaceDN w:val="0"/>
        <w:bidi w:val="0"/>
        <w:adjustRightInd w:val="0"/>
        <w:snapToGrid w:val="0"/>
        <w:spacing w:before="235" w:line="224" w:lineRule="auto"/>
        <w:jc w:val="center"/>
        <w:textAlignment w:val="baseline"/>
        <w:outlineLvl w:val="3"/>
        <w:rPr>
          <w:rFonts w:ascii="宋体" w:hAnsi="宋体" w:eastAsia="宋体" w:cs="宋体"/>
          <w:b/>
          <w:bCs/>
          <w:color w:val="auto"/>
          <w:spacing w:val="0"/>
          <w:w w:val="100"/>
          <w:position w:val="0"/>
          <w:sz w:val="31"/>
          <w:szCs w:val="31"/>
          <w:highlight w:val="none"/>
          <w:lang w:eastAsia="zh-CN"/>
        </w:rPr>
      </w:pPr>
      <w:r>
        <w:rPr>
          <w:rFonts w:ascii="宋体" w:hAnsi="宋体" w:eastAsia="宋体" w:cs="宋体"/>
          <w:b/>
          <w:bCs/>
          <w:color w:val="auto"/>
          <w:spacing w:val="0"/>
          <w:w w:val="100"/>
          <w:position w:val="0"/>
          <w:sz w:val="31"/>
          <w:szCs w:val="31"/>
          <w:highlight w:val="none"/>
          <w:lang w:eastAsia="zh-CN"/>
        </w:rPr>
        <w:t>参与编制经济标投标文件人员名单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554"/>
        <w:gridCol w:w="2200"/>
        <w:gridCol w:w="2668"/>
        <w:gridCol w:w="1858"/>
      </w:tblGrid>
      <w:tr w14:paraId="568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36529060">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姓名</w:t>
            </w:r>
          </w:p>
        </w:tc>
        <w:tc>
          <w:tcPr>
            <w:tcW w:w="1554" w:type="dxa"/>
            <w:vAlign w:val="center"/>
          </w:tcPr>
          <w:p w14:paraId="20BEF9B3">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职务</w:t>
            </w:r>
          </w:p>
        </w:tc>
        <w:tc>
          <w:tcPr>
            <w:tcW w:w="2200" w:type="dxa"/>
            <w:vAlign w:val="center"/>
          </w:tcPr>
          <w:p w14:paraId="41081DD4">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所承担工作</w:t>
            </w:r>
          </w:p>
        </w:tc>
        <w:tc>
          <w:tcPr>
            <w:tcW w:w="2668" w:type="dxa"/>
            <w:vAlign w:val="center"/>
          </w:tcPr>
          <w:p w14:paraId="4EC0F3E6">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身份证号码</w:t>
            </w:r>
          </w:p>
        </w:tc>
        <w:tc>
          <w:tcPr>
            <w:tcW w:w="1858" w:type="dxa"/>
            <w:vAlign w:val="center"/>
          </w:tcPr>
          <w:p w14:paraId="742506B8">
            <w:pPr>
              <w:keepNext w:val="0"/>
              <w:keepLines w:val="0"/>
              <w:pageBreakBefore w:val="0"/>
              <w:widowControl w:val="0"/>
              <w:kinsoku/>
              <w:bidi w:val="0"/>
              <w:jc w:val="center"/>
              <w:rPr>
                <w:color w:val="auto"/>
                <w:highlight w:val="none"/>
                <w:lang w:eastAsia="zh-CN"/>
              </w:rPr>
            </w:pPr>
            <w:r>
              <w:rPr>
                <w:color w:val="auto"/>
                <w:spacing w:val="0"/>
                <w:w w:val="100"/>
                <w:position w:val="0"/>
                <w:highlight w:val="none"/>
              </w:rPr>
              <w:t>本人签名栏</w:t>
            </w:r>
          </w:p>
        </w:tc>
      </w:tr>
      <w:tr w14:paraId="382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07FB1F46">
            <w:pPr>
              <w:keepNext w:val="0"/>
              <w:keepLines w:val="0"/>
              <w:pageBreakBefore w:val="0"/>
              <w:widowControl w:val="0"/>
              <w:kinsoku/>
              <w:bidi w:val="0"/>
              <w:jc w:val="center"/>
              <w:rPr>
                <w:color w:val="auto"/>
                <w:highlight w:val="none"/>
                <w:lang w:eastAsia="zh-CN"/>
              </w:rPr>
            </w:pPr>
          </w:p>
        </w:tc>
        <w:tc>
          <w:tcPr>
            <w:tcW w:w="1554" w:type="dxa"/>
            <w:vAlign w:val="center"/>
          </w:tcPr>
          <w:p w14:paraId="0F8EDAA3">
            <w:pPr>
              <w:keepNext w:val="0"/>
              <w:keepLines w:val="0"/>
              <w:pageBreakBefore w:val="0"/>
              <w:widowControl w:val="0"/>
              <w:kinsoku/>
              <w:bidi w:val="0"/>
              <w:jc w:val="center"/>
              <w:rPr>
                <w:color w:val="auto"/>
                <w:highlight w:val="none"/>
                <w:lang w:eastAsia="zh-CN"/>
              </w:rPr>
            </w:pPr>
          </w:p>
        </w:tc>
        <w:tc>
          <w:tcPr>
            <w:tcW w:w="2200" w:type="dxa"/>
            <w:vAlign w:val="center"/>
          </w:tcPr>
          <w:p w14:paraId="293D87DC">
            <w:pPr>
              <w:keepNext w:val="0"/>
              <w:keepLines w:val="0"/>
              <w:pageBreakBefore w:val="0"/>
              <w:widowControl w:val="0"/>
              <w:kinsoku/>
              <w:bidi w:val="0"/>
              <w:jc w:val="center"/>
              <w:rPr>
                <w:color w:val="auto"/>
                <w:highlight w:val="none"/>
                <w:lang w:eastAsia="zh-CN"/>
              </w:rPr>
            </w:pPr>
          </w:p>
        </w:tc>
        <w:tc>
          <w:tcPr>
            <w:tcW w:w="2668" w:type="dxa"/>
            <w:vAlign w:val="center"/>
          </w:tcPr>
          <w:p w14:paraId="6539BB75">
            <w:pPr>
              <w:keepNext w:val="0"/>
              <w:keepLines w:val="0"/>
              <w:pageBreakBefore w:val="0"/>
              <w:widowControl w:val="0"/>
              <w:kinsoku/>
              <w:bidi w:val="0"/>
              <w:jc w:val="center"/>
              <w:rPr>
                <w:color w:val="auto"/>
                <w:highlight w:val="none"/>
                <w:lang w:eastAsia="zh-CN"/>
              </w:rPr>
            </w:pPr>
          </w:p>
        </w:tc>
        <w:tc>
          <w:tcPr>
            <w:tcW w:w="1858" w:type="dxa"/>
            <w:vAlign w:val="center"/>
          </w:tcPr>
          <w:p w14:paraId="03A42CF8">
            <w:pPr>
              <w:keepNext w:val="0"/>
              <w:keepLines w:val="0"/>
              <w:pageBreakBefore w:val="0"/>
              <w:widowControl w:val="0"/>
              <w:kinsoku/>
              <w:bidi w:val="0"/>
              <w:jc w:val="center"/>
              <w:rPr>
                <w:color w:val="auto"/>
                <w:highlight w:val="none"/>
                <w:lang w:eastAsia="zh-CN"/>
              </w:rPr>
            </w:pPr>
          </w:p>
        </w:tc>
      </w:tr>
      <w:tr w14:paraId="6D8B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6CA8D793">
            <w:pPr>
              <w:keepNext w:val="0"/>
              <w:keepLines w:val="0"/>
              <w:pageBreakBefore w:val="0"/>
              <w:widowControl w:val="0"/>
              <w:kinsoku/>
              <w:bidi w:val="0"/>
              <w:jc w:val="center"/>
              <w:rPr>
                <w:color w:val="auto"/>
                <w:highlight w:val="none"/>
                <w:lang w:eastAsia="zh-CN"/>
              </w:rPr>
            </w:pPr>
          </w:p>
        </w:tc>
        <w:tc>
          <w:tcPr>
            <w:tcW w:w="1554" w:type="dxa"/>
            <w:vAlign w:val="center"/>
          </w:tcPr>
          <w:p w14:paraId="56AE7930">
            <w:pPr>
              <w:keepNext w:val="0"/>
              <w:keepLines w:val="0"/>
              <w:pageBreakBefore w:val="0"/>
              <w:widowControl w:val="0"/>
              <w:kinsoku/>
              <w:bidi w:val="0"/>
              <w:jc w:val="center"/>
              <w:rPr>
                <w:color w:val="auto"/>
                <w:highlight w:val="none"/>
                <w:lang w:eastAsia="zh-CN"/>
              </w:rPr>
            </w:pPr>
          </w:p>
        </w:tc>
        <w:tc>
          <w:tcPr>
            <w:tcW w:w="2200" w:type="dxa"/>
            <w:vAlign w:val="center"/>
          </w:tcPr>
          <w:p w14:paraId="7AA92E3D">
            <w:pPr>
              <w:keepNext w:val="0"/>
              <w:keepLines w:val="0"/>
              <w:pageBreakBefore w:val="0"/>
              <w:widowControl w:val="0"/>
              <w:kinsoku/>
              <w:bidi w:val="0"/>
              <w:jc w:val="center"/>
              <w:rPr>
                <w:color w:val="auto"/>
                <w:highlight w:val="none"/>
                <w:lang w:eastAsia="zh-CN"/>
              </w:rPr>
            </w:pPr>
          </w:p>
        </w:tc>
        <w:tc>
          <w:tcPr>
            <w:tcW w:w="2668" w:type="dxa"/>
            <w:vAlign w:val="center"/>
          </w:tcPr>
          <w:p w14:paraId="026896A0">
            <w:pPr>
              <w:keepNext w:val="0"/>
              <w:keepLines w:val="0"/>
              <w:pageBreakBefore w:val="0"/>
              <w:widowControl w:val="0"/>
              <w:kinsoku/>
              <w:bidi w:val="0"/>
              <w:jc w:val="center"/>
              <w:rPr>
                <w:color w:val="auto"/>
                <w:highlight w:val="none"/>
                <w:lang w:eastAsia="zh-CN"/>
              </w:rPr>
            </w:pPr>
          </w:p>
        </w:tc>
        <w:tc>
          <w:tcPr>
            <w:tcW w:w="1858" w:type="dxa"/>
            <w:vAlign w:val="center"/>
          </w:tcPr>
          <w:p w14:paraId="7E35D58F">
            <w:pPr>
              <w:keepNext w:val="0"/>
              <w:keepLines w:val="0"/>
              <w:pageBreakBefore w:val="0"/>
              <w:widowControl w:val="0"/>
              <w:kinsoku/>
              <w:bidi w:val="0"/>
              <w:jc w:val="center"/>
              <w:rPr>
                <w:color w:val="auto"/>
                <w:highlight w:val="none"/>
                <w:lang w:eastAsia="zh-CN"/>
              </w:rPr>
            </w:pPr>
          </w:p>
        </w:tc>
      </w:tr>
      <w:tr w14:paraId="4166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08ACE00C">
            <w:pPr>
              <w:keepNext w:val="0"/>
              <w:keepLines w:val="0"/>
              <w:pageBreakBefore w:val="0"/>
              <w:widowControl w:val="0"/>
              <w:kinsoku/>
              <w:bidi w:val="0"/>
              <w:jc w:val="center"/>
              <w:rPr>
                <w:color w:val="auto"/>
                <w:highlight w:val="none"/>
                <w:lang w:eastAsia="zh-CN"/>
              </w:rPr>
            </w:pPr>
          </w:p>
        </w:tc>
        <w:tc>
          <w:tcPr>
            <w:tcW w:w="1554" w:type="dxa"/>
            <w:vAlign w:val="center"/>
          </w:tcPr>
          <w:p w14:paraId="69F3211F">
            <w:pPr>
              <w:keepNext w:val="0"/>
              <w:keepLines w:val="0"/>
              <w:pageBreakBefore w:val="0"/>
              <w:widowControl w:val="0"/>
              <w:kinsoku/>
              <w:bidi w:val="0"/>
              <w:jc w:val="center"/>
              <w:rPr>
                <w:color w:val="auto"/>
                <w:highlight w:val="none"/>
                <w:lang w:eastAsia="zh-CN"/>
              </w:rPr>
            </w:pPr>
          </w:p>
        </w:tc>
        <w:tc>
          <w:tcPr>
            <w:tcW w:w="2200" w:type="dxa"/>
            <w:vAlign w:val="center"/>
          </w:tcPr>
          <w:p w14:paraId="67C4009B">
            <w:pPr>
              <w:keepNext w:val="0"/>
              <w:keepLines w:val="0"/>
              <w:pageBreakBefore w:val="0"/>
              <w:widowControl w:val="0"/>
              <w:kinsoku/>
              <w:bidi w:val="0"/>
              <w:jc w:val="center"/>
              <w:rPr>
                <w:color w:val="auto"/>
                <w:highlight w:val="none"/>
                <w:lang w:eastAsia="zh-CN"/>
              </w:rPr>
            </w:pPr>
          </w:p>
        </w:tc>
        <w:tc>
          <w:tcPr>
            <w:tcW w:w="2668" w:type="dxa"/>
            <w:vAlign w:val="center"/>
          </w:tcPr>
          <w:p w14:paraId="57F2CD93">
            <w:pPr>
              <w:keepNext w:val="0"/>
              <w:keepLines w:val="0"/>
              <w:pageBreakBefore w:val="0"/>
              <w:widowControl w:val="0"/>
              <w:kinsoku/>
              <w:bidi w:val="0"/>
              <w:jc w:val="center"/>
              <w:rPr>
                <w:color w:val="auto"/>
                <w:highlight w:val="none"/>
                <w:lang w:eastAsia="zh-CN"/>
              </w:rPr>
            </w:pPr>
          </w:p>
        </w:tc>
        <w:tc>
          <w:tcPr>
            <w:tcW w:w="1858" w:type="dxa"/>
            <w:vAlign w:val="center"/>
          </w:tcPr>
          <w:p w14:paraId="3B0E6487">
            <w:pPr>
              <w:keepNext w:val="0"/>
              <w:keepLines w:val="0"/>
              <w:pageBreakBefore w:val="0"/>
              <w:widowControl w:val="0"/>
              <w:kinsoku/>
              <w:bidi w:val="0"/>
              <w:jc w:val="center"/>
              <w:rPr>
                <w:color w:val="auto"/>
                <w:highlight w:val="none"/>
                <w:lang w:eastAsia="zh-CN"/>
              </w:rPr>
            </w:pPr>
          </w:p>
        </w:tc>
      </w:tr>
      <w:tr w14:paraId="10A8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476B4575">
            <w:pPr>
              <w:keepNext w:val="0"/>
              <w:keepLines w:val="0"/>
              <w:pageBreakBefore w:val="0"/>
              <w:widowControl w:val="0"/>
              <w:kinsoku/>
              <w:bidi w:val="0"/>
              <w:jc w:val="center"/>
              <w:rPr>
                <w:color w:val="auto"/>
                <w:highlight w:val="none"/>
                <w:lang w:eastAsia="zh-CN"/>
              </w:rPr>
            </w:pPr>
          </w:p>
        </w:tc>
        <w:tc>
          <w:tcPr>
            <w:tcW w:w="1554" w:type="dxa"/>
            <w:vAlign w:val="center"/>
          </w:tcPr>
          <w:p w14:paraId="728FD25D">
            <w:pPr>
              <w:keepNext w:val="0"/>
              <w:keepLines w:val="0"/>
              <w:pageBreakBefore w:val="0"/>
              <w:widowControl w:val="0"/>
              <w:kinsoku/>
              <w:bidi w:val="0"/>
              <w:jc w:val="center"/>
              <w:rPr>
                <w:color w:val="auto"/>
                <w:highlight w:val="none"/>
                <w:lang w:eastAsia="zh-CN"/>
              </w:rPr>
            </w:pPr>
          </w:p>
        </w:tc>
        <w:tc>
          <w:tcPr>
            <w:tcW w:w="2200" w:type="dxa"/>
            <w:vAlign w:val="center"/>
          </w:tcPr>
          <w:p w14:paraId="5ADE85B6">
            <w:pPr>
              <w:keepNext w:val="0"/>
              <w:keepLines w:val="0"/>
              <w:pageBreakBefore w:val="0"/>
              <w:widowControl w:val="0"/>
              <w:kinsoku/>
              <w:bidi w:val="0"/>
              <w:jc w:val="center"/>
              <w:rPr>
                <w:color w:val="auto"/>
                <w:highlight w:val="none"/>
                <w:lang w:eastAsia="zh-CN"/>
              </w:rPr>
            </w:pPr>
          </w:p>
        </w:tc>
        <w:tc>
          <w:tcPr>
            <w:tcW w:w="2668" w:type="dxa"/>
            <w:vAlign w:val="center"/>
          </w:tcPr>
          <w:p w14:paraId="29C0D065">
            <w:pPr>
              <w:keepNext w:val="0"/>
              <w:keepLines w:val="0"/>
              <w:pageBreakBefore w:val="0"/>
              <w:widowControl w:val="0"/>
              <w:kinsoku/>
              <w:bidi w:val="0"/>
              <w:jc w:val="center"/>
              <w:rPr>
                <w:color w:val="auto"/>
                <w:highlight w:val="none"/>
                <w:lang w:eastAsia="zh-CN"/>
              </w:rPr>
            </w:pPr>
          </w:p>
        </w:tc>
        <w:tc>
          <w:tcPr>
            <w:tcW w:w="1858" w:type="dxa"/>
            <w:vAlign w:val="center"/>
          </w:tcPr>
          <w:p w14:paraId="043DCD0D">
            <w:pPr>
              <w:keepNext w:val="0"/>
              <w:keepLines w:val="0"/>
              <w:pageBreakBefore w:val="0"/>
              <w:widowControl w:val="0"/>
              <w:kinsoku/>
              <w:bidi w:val="0"/>
              <w:jc w:val="center"/>
              <w:rPr>
                <w:color w:val="auto"/>
                <w:highlight w:val="none"/>
                <w:lang w:eastAsia="zh-CN"/>
              </w:rPr>
            </w:pPr>
          </w:p>
        </w:tc>
      </w:tr>
      <w:tr w14:paraId="64C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19BAFF6D">
            <w:pPr>
              <w:keepNext w:val="0"/>
              <w:keepLines w:val="0"/>
              <w:pageBreakBefore w:val="0"/>
              <w:widowControl w:val="0"/>
              <w:kinsoku/>
              <w:bidi w:val="0"/>
              <w:jc w:val="center"/>
              <w:rPr>
                <w:color w:val="auto"/>
                <w:highlight w:val="none"/>
                <w:lang w:eastAsia="zh-CN"/>
              </w:rPr>
            </w:pPr>
          </w:p>
        </w:tc>
        <w:tc>
          <w:tcPr>
            <w:tcW w:w="1554" w:type="dxa"/>
            <w:vAlign w:val="center"/>
          </w:tcPr>
          <w:p w14:paraId="133E9558">
            <w:pPr>
              <w:keepNext w:val="0"/>
              <w:keepLines w:val="0"/>
              <w:pageBreakBefore w:val="0"/>
              <w:widowControl w:val="0"/>
              <w:kinsoku/>
              <w:bidi w:val="0"/>
              <w:jc w:val="center"/>
              <w:rPr>
                <w:color w:val="auto"/>
                <w:highlight w:val="none"/>
                <w:lang w:eastAsia="zh-CN"/>
              </w:rPr>
            </w:pPr>
          </w:p>
        </w:tc>
        <w:tc>
          <w:tcPr>
            <w:tcW w:w="2200" w:type="dxa"/>
            <w:vAlign w:val="center"/>
          </w:tcPr>
          <w:p w14:paraId="70F08EC0">
            <w:pPr>
              <w:keepNext w:val="0"/>
              <w:keepLines w:val="0"/>
              <w:pageBreakBefore w:val="0"/>
              <w:widowControl w:val="0"/>
              <w:kinsoku/>
              <w:bidi w:val="0"/>
              <w:jc w:val="center"/>
              <w:rPr>
                <w:color w:val="auto"/>
                <w:highlight w:val="none"/>
                <w:lang w:eastAsia="zh-CN"/>
              </w:rPr>
            </w:pPr>
          </w:p>
        </w:tc>
        <w:tc>
          <w:tcPr>
            <w:tcW w:w="2668" w:type="dxa"/>
            <w:vAlign w:val="center"/>
          </w:tcPr>
          <w:p w14:paraId="4451A943">
            <w:pPr>
              <w:keepNext w:val="0"/>
              <w:keepLines w:val="0"/>
              <w:pageBreakBefore w:val="0"/>
              <w:widowControl w:val="0"/>
              <w:kinsoku/>
              <w:bidi w:val="0"/>
              <w:jc w:val="center"/>
              <w:rPr>
                <w:color w:val="auto"/>
                <w:highlight w:val="none"/>
                <w:lang w:eastAsia="zh-CN"/>
              </w:rPr>
            </w:pPr>
          </w:p>
        </w:tc>
        <w:tc>
          <w:tcPr>
            <w:tcW w:w="1858" w:type="dxa"/>
            <w:vAlign w:val="center"/>
          </w:tcPr>
          <w:p w14:paraId="4F866CAC">
            <w:pPr>
              <w:keepNext w:val="0"/>
              <w:keepLines w:val="0"/>
              <w:pageBreakBefore w:val="0"/>
              <w:widowControl w:val="0"/>
              <w:kinsoku/>
              <w:bidi w:val="0"/>
              <w:jc w:val="center"/>
              <w:rPr>
                <w:color w:val="auto"/>
                <w:highlight w:val="none"/>
                <w:lang w:eastAsia="zh-CN"/>
              </w:rPr>
            </w:pPr>
          </w:p>
        </w:tc>
      </w:tr>
      <w:tr w14:paraId="6324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14:paraId="28B78A30">
            <w:pPr>
              <w:keepNext w:val="0"/>
              <w:keepLines w:val="0"/>
              <w:pageBreakBefore w:val="0"/>
              <w:widowControl w:val="0"/>
              <w:kinsoku/>
              <w:bidi w:val="0"/>
              <w:jc w:val="center"/>
              <w:rPr>
                <w:color w:val="auto"/>
                <w:highlight w:val="none"/>
                <w:lang w:eastAsia="zh-CN"/>
              </w:rPr>
            </w:pPr>
          </w:p>
        </w:tc>
        <w:tc>
          <w:tcPr>
            <w:tcW w:w="1554" w:type="dxa"/>
            <w:vAlign w:val="center"/>
          </w:tcPr>
          <w:p w14:paraId="4F66BDD9">
            <w:pPr>
              <w:keepNext w:val="0"/>
              <w:keepLines w:val="0"/>
              <w:pageBreakBefore w:val="0"/>
              <w:widowControl w:val="0"/>
              <w:kinsoku/>
              <w:bidi w:val="0"/>
              <w:jc w:val="center"/>
              <w:rPr>
                <w:color w:val="auto"/>
                <w:highlight w:val="none"/>
                <w:lang w:eastAsia="zh-CN"/>
              </w:rPr>
            </w:pPr>
          </w:p>
        </w:tc>
        <w:tc>
          <w:tcPr>
            <w:tcW w:w="2200" w:type="dxa"/>
            <w:vAlign w:val="center"/>
          </w:tcPr>
          <w:p w14:paraId="1B2BBE9D">
            <w:pPr>
              <w:keepNext w:val="0"/>
              <w:keepLines w:val="0"/>
              <w:pageBreakBefore w:val="0"/>
              <w:widowControl w:val="0"/>
              <w:kinsoku/>
              <w:bidi w:val="0"/>
              <w:jc w:val="center"/>
              <w:rPr>
                <w:color w:val="auto"/>
                <w:highlight w:val="none"/>
                <w:lang w:eastAsia="zh-CN"/>
              </w:rPr>
            </w:pPr>
          </w:p>
        </w:tc>
        <w:tc>
          <w:tcPr>
            <w:tcW w:w="2668" w:type="dxa"/>
            <w:vAlign w:val="center"/>
          </w:tcPr>
          <w:p w14:paraId="75032EE0">
            <w:pPr>
              <w:keepNext w:val="0"/>
              <w:keepLines w:val="0"/>
              <w:pageBreakBefore w:val="0"/>
              <w:widowControl w:val="0"/>
              <w:kinsoku/>
              <w:bidi w:val="0"/>
              <w:jc w:val="center"/>
              <w:rPr>
                <w:color w:val="auto"/>
                <w:highlight w:val="none"/>
                <w:lang w:eastAsia="zh-CN"/>
              </w:rPr>
            </w:pPr>
          </w:p>
        </w:tc>
        <w:tc>
          <w:tcPr>
            <w:tcW w:w="1858" w:type="dxa"/>
            <w:vAlign w:val="center"/>
          </w:tcPr>
          <w:p w14:paraId="6D14CD60">
            <w:pPr>
              <w:keepNext w:val="0"/>
              <w:keepLines w:val="0"/>
              <w:pageBreakBefore w:val="0"/>
              <w:widowControl w:val="0"/>
              <w:kinsoku/>
              <w:bidi w:val="0"/>
              <w:jc w:val="center"/>
              <w:rPr>
                <w:color w:val="auto"/>
                <w:highlight w:val="none"/>
                <w:lang w:eastAsia="zh-CN"/>
              </w:rPr>
            </w:pPr>
          </w:p>
        </w:tc>
      </w:tr>
    </w:tbl>
    <w:p w14:paraId="69BFACC0">
      <w:pPr>
        <w:keepNext w:val="0"/>
        <w:keepLines w:val="0"/>
        <w:pageBreakBefore w:val="0"/>
        <w:widowControl/>
        <w:kinsoku/>
        <w:wordWrap/>
        <w:overflowPunct/>
        <w:topLinePunct w:val="0"/>
        <w:autoSpaceDE w:val="0"/>
        <w:autoSpaceDN w:val="0"/>
        <w:bidi w:val="0"/>
        <w:adjustRightInd w:val="0"/>
        <w:snapToGrid w:val="0"/>
        <w:spacing w:before="0" w:beforeLines="50" w:line="360" w:lineRule="auto"/>
        <w:ind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注：</w:t>
      </w:r>
      <w:r>
        <w:rPr>
          <w:rFonts w:hint="eastAsia" w:ascii="宋体" w:hAnsi="宋体" w:eastAsia="宋体" w:cs="宋体"/>
          <w:color w:val="auto"/>
          <w:spacing w:val="0"/>
          <w:w w:val="100"/>
          <w:position w:val="0"/>
          <w:sz w:val="20"/>
          <w:szCs w:val="20"/>
          <w:highlight w:val="none"/>
          <w:lang w:val="en-US" w:eastAsia="zh-CN"/>
        </w:rPr>
        <w:t>1、</w:t>
      </w:r>
      <w:r>
        <w:rPr>
          <w:color w:val="auto"/>
          <w:sz w:val="20"/>
          <w:szCs w:val="20"/>
          <w:highlight w:val="none"/>
          <w:lang w:eastAsia="zh-CN"/>
        </w:rPr>
        <w:t>参与编制标书所有人员名单应包括编制投标报价、负责清样校对、负责打印及复印等所有人员在内的人员名单。</w:t>
      </w:r>
    </w:p>
    <w:p w14:paraId="43F88E17">
      <w:pPr>
        <w:keepNext w:val="0"/>
        <w:keepLines w:val="0"/>
        <w:pageBreakBefore w:val="0"/>
        <w:widowControl/>
        <w:kinsoku/>
        <w:wordWrap/>
        <w:overflowPunct/>
        <w:topLinePunct w:val="0"/>
        <w:autoSpaceDE w:val="0"/>
        <w:autoSpaceDN w:val="0"/>
        <w:bidi w:val="0"/>
        <w:adjustRightInd w:val="0"/>
        <w:snapToGrid w:val="0"/>
        <w:spacing w:line="360" w:lineRule="auto"/>
        <w:ind w:firstLine="800" w:firstLineChars="400"/>
        <w:textAlignment w:val="baseline"/>
        <w:rPr>
          <w:rFonts w:ascii="宋体" w:hAnsi="宋体" w:eastAsia="宋体" w:cs="宋体"/>
          <w:color w:val="auto"/>
          <w:spacing w:val="0"/>
          <w:w w:val="100"/>
          <w:position w:val="0"/>
          <w:sz w:val="20"/>
          <w:szCs w:val="20"/>
          <w:highlight w:val="none"/>
          <w:lang w:eastAsia="zh-CN"/>
        </w:rPr>
      </w:pPr>
      <w:r>
        <w:rPr>
          <w:rFonts w:hint="eastAsia" w:ascii="宋体" w:hAnsi="宋体" w:eastAsia="宋体" w:cs="宋体"/>
          <w:color w:val="auto"/>
          <w:spacing w:val="0"/>
          <w:w w:val="100"/>
          <w:position w:val="0"/>
          <w:sz w:val="20"/>
          <w:szCs w:val="20"/>
          <w:highlight w:val="none"/>
          <w:lang w:val="en-US" w:eastAsia="zh-CN"/>
        </w:rPr>
        <w:t>2、人员</w:t>
      </w:r>
      <w:r>
        <w:rPr>
          <w:rFonts w:ascii="宋体" w:hAnsi="宋体" w:eastAsia="宋体" w:cs="宋体"/>
          <w:color w:val="auto"/>
          <w:spacing w:val="0"/>
          <w:w w:val="100"/>
          <w:position w:val="0"/>
          <w:sz w:val="20"/>
          <w:szCs w:val="20"/>
          <w:highlight w:val="none"/>
          <w:lang w:eastAsia="zh-CN"/>
        </w:rPr>
        <w:t>须同时附上自</w:t>
      </w:r>
      <w:r>
        <w:rPr>
          <w:rFonts w:hint="eastAsia" w:ascii="宋体" w:hAnsi="宋体" w:eastAsia="宋体" w:cs="宋体"/>
          <w:color w:val="auto"/>
          <w:spacing w:val="0"/>
          <w:w w:val="100"/>
          <w:position w:val="0"/>
          <w:sz w:val="20"/>
          <w:szCs w:val="20"/>
          <w:highlight w:val="none"/>
          <w:lang w:eastAsia="zh-CN"/>
        </w:rPr>
        <w:t>2025年6月份（含6月份）</w:t>
      </w:r>
      <w:r>
        <w:rPr>
          <w:rFonts w:ascii="宋体" w:hAnsi="宋体" w:eastAsia="宋体" w:cs="宋体"/>
          <w:color w:val="auto"/>
          <w:spacing w:val="0"/>
          <w:w w:val="100"/>
          <w:position w:val="0"/>
          <w:sz w:val="20"/>
          <w:szCs w:val="20"/>
          <w:highlight w:val="none"/>
          <w:lang w:eastAsia="zh-CN"/>
        </w:rPr>
        <w:t>以来任意一个月份在本单位（不含投标人的子公司，含分公司或分支机构）购买</w:t>
      </w:r>
      <w:r>
        <w:rPr>
          <w:rFonts w:hint="eastAsia" w:ascii="宋体" w:hAnsi="宋体" w:eastAsia="宋体" w:cs="宋体"/>
          <w:color w:val="auto"/>
          <w:spacing w:val="0"/>
          <w:w w:val="100"/>
          <w:position w:val="0"/>
          <w:sz w:val="20"/>
          <w:szCs w:val="20"/>
          <w:highlight w:val="none"/>
          <w:lang w:eastAsia="zh-CN"/>
        </w:rPr>
        <w:t>的社保证明（包括社会保险个人缴费证明或社会保险个人参保证明或电子税务局申报缴款个人明细查询等）扫描件</w:t>
      </w:r>
      <w:r>
        <w:rPr>
          <w:rFonts w:ascii="宋体" w:hAnsi="宋体" w:eastAsia="宋体" w:cs="宋体"/>
          <w:color w:val="auto"/>
          <w:spacing w:val="0"/>
          <w:w w:val="100"/>
          <w:position w:val="0"/>
          <w:sz w:val="20"/>
          <w:szCs w:val="20"/>
          <w:highlight w:val="none"/>
          <w:lang w:eastAsia="zh-CN"/>
        </w:rPr>
        <w:t>；因改制或重组的企业或事业单位人员社保由上级主管部门缴纳的，除提供上级主管部门缴纳社保证明扫描件外，需由上级主管部门出具证明说明。</w:t>
      </w:r>
    </w:p>
    <w:p w14:paraId="6E9E1A63">
      <w:pPr>
        <w:keepNext w:val="0"/>
        <w:keepLines w:val="0"/>
        <w:pageBreakBefore w:val="0"/>
        <w:kinsoku/>
        <w:bidi w:val="0"/>
        <w:rPr>
          <w:rFonts w:ascii="黑体" w:hAnsi="黑体" w:eastAsia="黑体" w:cs="黑体"/>
          <w:b/>
          <w:bCs/>
          <w:color w:val="auto"/>
          <w:spacing w:val="0"/>
          <w:w w:val="100"/>
          <w:position w:val="0"/>
          <w:sz w:val="31"/>
          <w:szCs w:val="31"/>
          <w:highlight w:val="none"/>
          <w:lang w:eastAsia="zh-CN"/>
        </w:rPr>
      </w:pPr>
      <w:r>
        <w:rPr>
          <w:rFonts w:ascii="黑体" w:hAnsi="黑体" w:eastAsia="黑体" w:cs="黑体"/>
          <w:b/>
          <w:bCs/>
          <w:color w:val="auto"/>
          <w:spacing w:val="0"/>
          <w:w w:val="100"/>
          <w:position w:val="0"/>
          <w:sz w:val="31"/>
          <w:szCs w:val="31"/>
          <w:highlight w:val="none"/>
          <w:lang w:eastAsia="zh-CN"/>
        </w:rPr>
        <w:br w:type="page"/>
      </w:r>
    </w:p>
    <w:p w14:paraId="53409E5F">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default" w:ascii="宋体" w:hAnsi="宋体" w:eastAsia="宋体" w:cs="宋体"/>
          <w:b/>
          <w:bCs/>
          <w:color w:val="auto"/>
          <w:spacing w:val="0"/>
          <w:w w:val="100"/>
          <w:position w:val="0"/>
          <w:sz w:val="35"/>
          <w:szCs w:val="35"/>
          <w:highlight w:val="none"/>
          <w:lang w:val="en-US" w:eastAsia="zh-CN"/>
        </w:rPr>
      </w:pPr>
      <w:bookmarkStart w:id="369" w:name="_Toc18191"/>
      <w:bookmarkStart w:id="370" w:name="_Toc28602"/>
      <w:bookmarkStart w:id="371" w:name="_Toc5546"/>
      <w:r>
        <w:rPr>
          <w:rFonts w:hint="eastAsia" w:ascii="宋体" w:hAnsi="宋体" w:eastAsia="宋体" w:cs="宋体"/>
          <w:b/>
          <w:bCs/>
          <w:color w:val="auto"/>
          <w:spacing w:val="0"/>
          <w:w w:val="100"/>
          <w:position w:val="0"/>
          <w:sz w:val="35"/>
          <w:szCs w:val="35"/>
          <w:highlight w:val="none"/>
          <w:lang w:eastAsia="zh-CN"/>
        </w:rPr>
        <w:t>格式</w:t>
      </w:r>
      <w:r>
        <w:rPr>
          <w:rFonts w:hint="eastAsia" w:ascii="宋体" w:hAnsi="宋体" w:eastAsia="宋体" w:cs="宋体"/>
          <w:b/>
          <w:bCs/>
          <w:color w:val="auto"/>
          <w:spacing w:val="0"/>
          <w:w w:val="100"/>
          <w:position w:val="0"/>
          <w:sz w:val="35"/>
          <w:szCs w:val="35"/>
          <w:highlight w:val="none"/>
          <w:lang w:val="en-US" w:eastAsia="zh-CN"/>
        </w:rPr>
        <w:t>8</w:t>
      </w:r>
      <w:r>
        <w:rPr>
          <w:rFonts w:hint="eastAsia" w:ascii="宋体" w:hAnsi="宋体" w:eastAsia="宋体" w:cs="宋体"/>
          <w:b/>
          <w:bCs/>
          <w:color w:val="auto"/>
          <w:spacing w:val="0"/>
          <w:w w:val="100"/>
          <w:position w:val="0"/>
          <w:sz w:val="35"/>
          <w:szCs w:val="35"/>
          <w:highlight w:val="none"/>
          <w:lang w:eastAsia="zh-CN"/>
        </w:rPr>
        <w:t>：危险性较大的分部分项工程清单及超过一定规模的危险性较大的分部分项工程清单</w:t>
      </w:r>
      <w:bookmarkEnd w:id="369"/>
      <w:bookmarkEnd w:id="370"/>
      <w:bookmarkEnd w:id="371"/>
    </w:p>
    <w:p w14:paraId="7458865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9"/>
        <w:rPr>
          <w:rFonts w:ascii="黑体" w:hAnsi="黑体" w:eastAsia="黑体" w:cs="黑体"/>
          <w:b/>
          <w:bCs/>
          <w:color w:val="auto"/>
          <w:spacing w:val="0"/>
          <w:w w:val="100"/>
          <w:position w:val="0"/>
          <w:sz w:val="31"/>
          <w:szCs w:val="31"/>
          <w:highlight w:val="none"/>
          <w:lang w:eastAsia="zh-CN"/>
        </w:rPr>
      </w:pPr>
    </w:p>
    <w:p w14:paraId="06591956">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3"/>
        <w:rPr>
          <w:rFonts w:ascii="黑体" w:hAnsi="黑体" w:eastAsia="黑体" w:cs="黑体"/>
          <w:color w:val="auto"/>
          <w:spacing w:val="0"/>
          <w:w w:val="100"/>
          <w:position w:val="0"/>
          <w:sz w:val="31"/>
          <w:szCs w:val="31"/>
          <w:highlight w:val="none"/>
          <w:lang w:eastAsia="zh-CN"/>
        </w:rPr>
      </w:pPr>
      <w:r>
        <w:rPr>
          <w:rFonts w:ascii="黑体" w:hAnsi="黑体" w:eastAsia="黑体" w:cs="黑体"/>
          <w:b/>
          <w:bCs/>
          <w:color w:val="auto"/>
          <w:spacing w:val="0"/>
          <w:w w:val="100"/>
          <w:position w:val="0"/>
          <w:sz w:val="31"/>
          <w:szCs w:val="31"/>
          <w:highlight w:val="none"/>
          <w:lang w:eastAsia="zh-CN"/>
        </w:rPr>
        <w:t>危险性</w:t>
      </w:r>
      <w:r>
        <w:rPr>
          <w:rFonts w:ascii="宋体" w:hAnsi="宋体" w:eastAsia="宋体" w:cs="宋体"/>
          <w:b/>
          <w:bCs/>
          <w:color w:val="auto"/>
          <w:spacing w:val="0"/>
          <w:w w:val="100"/>
          <w:position w:val="0"/>
          <w:sz w:val="31"/>
          <w:szCs w:val="31"/>
          <w:highlight w:val="none"/>
          <w:lang w:eastAsia="zh-CN"/>
        </w:rPr>
        <w:t>较大</w:t>
      </w:r>
      <w:r>
        <w:rPr>
          <w:rFonts w:ascii="黑体" w:hAnsi="黑体" w:eastAsia="黑体" w:cs="黑体"/>
          <w:b/>
          <w:bCs/>
          <w:color w:val="auto"/>
          <w:spacing w:val="0"/>
          <w:w w:val="100"/>
          <w:position w:val="0"/>
          <w:sz w:val="31"/>
          <w:szCs w:val="31"/>
          <w:highlight w:val="none"/>
          <w:lang w:eastAsia="zh-CN"/>
        </w:rPr>
        <w:t>的分部分项工程清单及超过一定规模的危险性较大的</w:t>
      </w:r>
    </w:p>
    <w:p w14:paraId="232DA713">
      <w:pPr>
        <w:keepNext w:val="0"/>
        <w:keepLines w:val="0"/>
        <w:pageBreakBefore w:val="0"/>
        <w:widowControl/>
        <w:kinsoku/>
        <w:wordWrap/>
        <w:overflowPunct/>
        <w:topLinePunct w:val="0"/>
        <w:autoSpaceDE w:val="0"/>
        <w:autoSpaceDN w:val="0"/>
        <w:bidi w:val="0"/>
        <w:adjustRightInd w:val="0"/>
        <w:snapToGrid w:val="0"/>
        <w:spacing w:line="360" w:lineRule="auto"/>
        <w:ind w:left="3360"/>
        <w:textAlignment w:val="baseline"/>
        <w:rPr>
          <w:rFonts w:ascii="黑体" w:hAnsi="黑体" w:eastAsia="黑体" w:cs="黑体"/>
          <w:color w:val="auto"/>
          <w:spacing w:val="0"/>
          <w:w w:val="100"/>
          <w:position w:val="0"/>
          <w:sz w:val="31"/>
          <w:szCs w:val="31"/>
          <w:highlight w:val="none"/>
          <w:lang w:eastAsia="zh-CN"/>
        </w:rPr>
      </w:pPr>
      <w:r>
        <w:rPr>
          <w:rFonts w:ascii="黑体" w:hAnsi="黑体" w:eastAsia="黑体" w:cs="黑体"/>
          <w:b/>
          <w:bCs/>
          <w:color w:val="auto"/>
          <w:spacing w:val="0"/>
          <w:w w:val="100"/>
          <w:position w:val="0"/>
          <w:sz w:val="31"/>
          <w:szCs w:val="31"/>
          <w:highlight w:val="none"/>
          <w:lang w:eastAsia="zh-CN"/>
        </w:rPr>
        <w:t>分部分项工程清单</w:t>
      </w:r>
    </w:p>
    <w:p w14:paraId="296F4B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1、根据中华人民共和国住房和城乡建设部令第37号《危险性较大的分部分项工程安全管理规定》（以下简称“37号文”），投标人在投标时须补充完善危大工程清单并明确相应的安全管理措施。</w:t>
      </w:r>
    </w:p>
    <w:p w14:paraId="2DB1931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2、招标人根据设计文件的要求及37号文的规定列出“危险性较大的分部分项工程清单及超过一定规模的危险性较大的分部分项工程清单”中与本招标项目相关的清单项，具体详见第5点“打√”标识。</w:t>
      </w:r>
    </w:p>
    <w:p w14:paraId="1065E9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（1）投标单位同意建设单位在清单中标识的该项请在对应项打“√”标识，</w:t>
      </w:r>
      <w:r>
        <w:rPr>
          <w:rFonts w:hint="eastAsia" w:ascii="宋体" w:hAnsi="宋体" w:eastAsia="宋体" w:cs="宋体"/>
          <w:color w:val="auto"/>
          <w:spacing w:val="0"/>
          <w:w w:val="100"/>
          <w:position w:val="0"/>
          <w:sz w:val="20"/>
          <w:szCs w:val="20"/>
          <w:highlight w:val="none"/>
          <w:lang w:val="en-US" w:eastAsia="zh-CN"/>
        </w:rPr>
        <w:t>并于</w:t>
      </w:r>
      <w:r>
        <w:rPr>
          <w:rFonts w:ascii="宋体" w:hAnsi="宋体" w:eastAsia="宋体" w:cs="宋体"/>
          <w:color w:val="auto"/>
          <w:spacing w:val="0"/>
          <w:w w:val="100"/>
          <w:position w:val="0"/>
          <w:sz w:val="20"/>
          <w:szCs w:val="20"/>
          <w:highlight w:val="none"/>
          <w:lang w:eastAsia="zh-CN"/>
        </w:rPr>
        <w:t>投标文件中提供相应的安全管理措施。</w:t>
      </w:r>
    </w:p>
    <w:p w14:paraId="30C05F0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（2）投标单位对清单中认为需要补充的该项请在对应项打“√”标识，</w:t>
      </w:r>
      <w:r>
        <w:rPr>
          <w:rFonts w:hint="eastAsia" w:ascii="宋体" w:hAnsi="宋体" w:eastAsia="宋体" w:cs="宋体"/>
          <w:color w:val="auto"/>
          <w:spacing w:val="0"/>
          <w:w w:val="100"/>
          <w:position w:val="0"/>
          <w:sz w:val="20"/>
          <w:szCs w:val="20"/>
          <w:highlight w:val="none"/>
          <w:lang w:val="en-US" w:eastAsia="zh-CN"/>
        </w:rPr>
        <w:t>并于</w:t>
      </w:r>
      <w:r>
        <w:rPr>
          <w:rFonts w:ascii="宋体" w:hAnsi="宋体" w:eastAsia="宋体" w:cs="宋体"/>
          <w:color w:val="auto"/>
          <w:spacing w:val="0"/>
          <w:w w:val="100"/>
          <w:position w:val="0"/>
          <w:sz w:val="20"/>
          <w:szCs w:val="20"/>
          <w:highlight w:val="none"/>
          <w:lang w:eastAsia="zh-CN"/>
        </w:rPr>
        <w:t>投标文件中提供相应的安全管理措施。</w:t>
      </w:r>
    </w:p>
    <w:p w14:paraId="5F0ADA2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（3）投标单位不同意建设单位在清单中标识的该项请在对应项打“×”标识，并在备注栏填上相关说明。</w:t>
      </w:r>
    </w:p>
    <w:p w14:paraId="3E5FC3A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3、投标单位应当在投标时根据招标人提供的下述第5点清单，在中标后提供的施工组织中编制专项施工方案。</w:t>
      </w:r>
    </w:p>
    <w:p w14:paraId="7AE12A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B1F5B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0" w:firstLineChars="200"/>
        <w:textAlignment w:val="baseline"/>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5、危险性较大的分部分项工程清单及超过一定规模的危险性较大的分部分项工程清单：</w:t>
      </w:r>
    </w:p>
    <w:tbl>
      <w:tblPr>
        <w:tblStyle w:val="1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3"/>
        <w:gridCol w:w="1191"/>
        <w:gridCol w:w="1159"/>
        <w:gridCol w:w="1012"/>
      </w:tblGrid>
      <w:tr w14:paraId="1BB2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52C237E">
            <w:pPr>
              <w:keepNext w:val="0"/>
              <w:keepLines w:val="0"/>
              <w:pageBreakBefore w:val="0"/>
              <w:suppressLineNumbers w:val="0"/>
              <w:kinsoku/>
              <w:bidi w:val="0"/>
              <w:spacing w:before="40" w:beforeAutospacing="0" w:after="40" w:afterAutospacing="0" w:line="300" w:lineRule="exact"/>
              <w:ind w:left="0" w:right="0"/>
              <w:jc w:val="both"/>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一、危险性较大的分部分项工程清单</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2BAB40A">
            <w:pPr>
              <w:keepNext w:val="0"/>
              <w:keepLines w:val="0"/>
              <w:pageBreakBefore w:val="0"/>
              <w:suppressLineNumbers w:val="0"/>
              <w:kinsoku/>
              <w:bidi w:val="0"/>
              <w:spacing w:before="40" w:beforeAutospacing="0" w:after="40" w:afterAutospacing="0" w:line="30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建设单位</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9A7993C">
            <w:pPr>
              <w:keepNext w:val="0"/>
              <w:keepLines w:val="0"/>
              <w:pageBreakBefore w:val="0"/>
              <w:suppressLineNumbers w:val="0"/>
              <w:kinsoku/>
              <w:bidi w:val="0"/>
              <w:spacing w:before="40" w:beforeAutospacing="0" w:after="40" w:afterAutospacing="0" w:line="30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投标单位</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77ECF34">
            <w:pPr>
              <w:keepNext w:val="0"/>
              <w:keepLines w:val="0"/>
              <w:pageBreakBefore w:val="0"/>
              <w:suppressLineNumbers w:val="0"/>
              <w:kinsoku/>
              <w:bidi w:val="0"/>
              <w:spacing w:before="40" w:beforeAutospacing="0" w:after="40" w:afterAutospacing="0" w:line="300" w:lineRule="exac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65DD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3B4E56E8">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一、基坑支护</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E0656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8193525">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66F6BF2">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2D9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7FEE53BE">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（一）开挖深度超过3m（含3m）的基坑（槽）的土方开挖、支护、降水工程。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3AD2C8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47F3E1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127B41F">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5B6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F3B29A9">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（二）开挖深度虽未超过3m，但地质条件、周围环境和地下管线复杂，或影响毗邻建、构筑物安全的基坑（槽）的土方开挖、支护、降水工程。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BE2D50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D069D1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15C5CE6">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5DB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7025BBAF">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二、模板工程及支撑体系</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52A8B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D9FE7D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C7E60AA">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0C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0F3E0EB">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（一）各类工具式模板工程：包括滑模、爬模、飞模、隧道模等工程。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B0FAD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7FE3A6F">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DE7015C">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465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168EC105">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25340E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13286E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98A588D">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AA6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3F6A07B6">
            <w:pPr>
              <w:keepNext w:val="0"/>
              <w:keepLines w:val="0"/>
              <w:pageBreakBefore w:val="0"/>
              <w:widowControl/>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（三）承重支撑体系：用于钢结构安装等满堂支撑体系。</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C3FEE6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3000EE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C4A70F9">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595C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03705B9">
            <w:pPr>
              <w:keepNext w:val="0"/>
              <w:keepLines w:val="0"/>
              <w:pageBreakBefore w:val="0"/>
              <w:widowControl/>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三、起重吊装及起重机械安装拆卸工程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CFE635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61D7B24">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0935BB3">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0895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FA5BE16">
            <w:pPr>
              <w:keepNext w:val="0"/>
              <w:keepLines w:val="0"/>
              <w:pageBreakBefore w:val="0"/>
              <w:widowControl/>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（一）采用非常规起重设备、方法，且单件起吊重量在10kN及以上的起重吊装工程。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817503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37BC23F">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A406CF1">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584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1804338D">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（二）采用起重机械进行安装的工程。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1454F8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cs="宋体"/>
                <w:color w:val="auto"/>
                <w:szCs w:val="21"/>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ED35D0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DB4FC5B">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8D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E39C314">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（三）起重机械安装和拆卸工程。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C289B9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cs="宋体"/>
                <w:color w:val="auto"/>
                <w:szCs w:val="21"/>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8EABF4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678E062">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653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3949EC51">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C6743E8">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D1D69E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BE3C427">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CDC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57FF6A7">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（一）搭设高度24m及以上的落地式钢管脚手架工程（包括采光井、电梯井脚手架）。</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3BD664B">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486232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C50100B">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127D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24376FA">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（二）附着式升降脚手架工程。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A9816C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EAECC85">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754EBAE">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09B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02BB491">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（三）悬挑式脚手架工程。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DC003A8">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3FF6FFF">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84A6CA9">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DD1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4786EA3">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（四）高处作业吊篮。</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18E411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2BB749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E19C1B6">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4F99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D5084ED">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（五）卸料平台、操作平台工程。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32A7F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9AF78D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6F8BA36">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1DA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5BA85352">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（六）异型脚手架工程。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D2B3D8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B40AD8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8133CCE">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554B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1D33169">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五、拆除工程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4978986">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8CC84A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C829160">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C90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52E767BC">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可能影响行人、交通、电力设施、通讯设施或其它建、构筑物安全的拆除工程。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8437FB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cs="宋体"/>
                <w:color w:val="auto"/>
                <w:szCs w:val="21"/>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9D09D98">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3A392AA">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A58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0DD098E">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六、暗挖工程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B9FCF8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141696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90D4B70">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51F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90C0B1E">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采用矿山法、盾构法、顶管法施工的隧道、洞室工程。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3B35B1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392E52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29AECF0">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4F6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DA5B7B5">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七、其它</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866916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73EEA4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5409516">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6A7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929A341">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（一）建筑幕墙安装工程。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589446B">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9E46C4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E140BA3">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91D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1C2B03D1">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（二）钢结构、网架和索膜结构安装工程。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06A012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FA48EF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B8C30BB">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5CC9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6A9A11E">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（三）人工挖孔桩工程。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CE6AEA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2EFBD2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F3411A5">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45FF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3181EDD4">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（四）水下作业工程。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044522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FF87F38">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BB5C224">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0ED2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4A00240">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（五）装配式建筑混凝土预制构件安装工程。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924F2A5">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C77953D">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4D36C60">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999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59F211D">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（六）采用新技术、新工艺、新材料、新设备可能影响工程施工安全，尚无国家、行业及地方技术标准的分部分项工程。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468A54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4AA08C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BD027C4">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81D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3C1FE36">
            <w:pPr>
              <w:keepNext w:val="0"/>
              <w:keepLines w:val="0"/>
              <w:pageBreakBefore w:val="0"/>
              <w:widowControl/>
              <w:suppressLineNumbers w:val="0"/>
              <w:kinsoku/>
              <w:bidi w:val="0"/>
              <w:spacing w:before="0" w:beforeAutospacing="0" w:after="0" w:afterAutospacing="0" w:line="240" w:lineRule="auto"/>
              <w:ind w:left="0" w:right="0"/>
              <w:rPr>
                <w:rFonts w:hint="eastAsia" w:ascii="宋体" w:hAnsi="宋体" w:eastAsia="宋体" w:cs="宋体"/>
                <w:b/>
                <w:color w:val="auto"/>
                <w:sz w:val="20"/>
                <w:szCs w:val="20"/>
                <w:highlight w:val="none"/>
              </w:rPr>
            </w:pPr>
            <w:r>
              <w:rPr>
                <w:rFonts w:hint="eastAsia" w:ascii="宋体" w:hAnsi="宋体" w:eastAsia="宋体" w:cs="宋体"/>
                <w:b/>
                <w:bCs/>
                <w:color w:val="auto"/>
                <w:sz w:val="20"/>
                <w:szCs w:val="20"/>
                <w:highlight w:val="none"/>
              </w:rPr>
              <w:t>二、超过一定规模的危险性较大的分部分项工程清单</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4E36E1F">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4A3CF6A">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AF17150">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B37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72BFF520">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一、深基坑工程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544534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5E35D5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BB68357">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050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E4F8813">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开挖深度超过5m（含5m）的基坑（槽）的土方开挖、支护、降水工程。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B75D68B">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EE2D59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791D229">
            <w:pPr>
              <w:keepNext w:val="0"/>
              <w:keepLines w:val="0"/>
              <w:pageBreakBefore w:val="0"/>
              <w:suppressLineNumbers w:val="0"/>
              <w:kinsoku/>
              <w:bidi w:val="0"/>
              <w:spacing w:before="0" w:beforeAutospacing="0" w:after="0" w:afterAutospacing="0" w:line="240" w:lineRule="auto"/>
              <w:ind w:left="0" w:right="0" w:firstLine="480"/>
              <w:jc w:val="center"/>
              <w:rPr>
                <w:rFonts w:hint="eastAsia" w:ascii="宋体" w:hAnsi="宋体" w:eastAsia="宋体" w:cs="宋体"/>
                <w:color w:val="auto"/>
                <w:sz w:val="20"/>
                <w:szCs w:val="20"/>
                <w:highlight w:val="none"/>
              </w:rPr>
            </w:pPr>
          </w:p>
        </w:tc>
      </w:tr>
      <w:tr w14:paraId="0525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10AAF33D">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二、模板工程及支撑体系</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8FE0A9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C2911F6">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568ADFF">
            <w:pPr>
              <w:keepNext w:val="0"/>
              <w:keepLines w:val="0"/>
              <w:pageBreakBefore w:val="0"/>
              <w:suppressLineNumbers w:val="0"/>
              <w:kinsoku/>
              <w:bidi w:val="0"/>
              <w:spacing w:before="0" w:beforeAutospacing="0" w:after="0" w:afterAutospacing="0" w:line="240" w:lineRule="auto"/>
              <w:ind w:left="0" w:right="0" w:firstLine="480"/>
              <w:jc w:val="center"/>
              <w:rPr>
                <w:rFonts w:hint="eastAsia" w:ascii="宋体" w:hAnsi="宋体" w:eastAsia="宋体" w:cs="宋体"/>
                <w:color w:val="auto"/>
                <w:sz w:val="20"/>
                <w:szCs w:val="20"/>
                <w:highlight w:val="none"/>
              </w:rPr>
            </w:pPr>
          </w:p>
        </w:tc>
      </w:tr>
      <w:tr w14:paraId="1AEA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F563C5C">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（一）各类工具式模板工程：包括滑模、爬模、飞模、隧道模等工程。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B6C18C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BF912B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3BE7490">
            <w:pPr>
              <w:keepNext w:val="0"/>
              <w:keepLines w:val="0"/>
              <w:pageBreakBefore w:val="0"/>
              <w:suppressLineNumbers w:val="0"/>
              <w:kinsoku/>
              <w:bidi w:val="0"/>
              <w:spacing w:before="0" w:beforeAutospacing="0" w:after="0" w:afterAutospacing="0" w:line="240" w:lineRule="auto"/>
              <w:ind w:left="0" w:right="0" w:firstLine="480"/>
              <w:jc w:val="center"/>
              <w:rPr>
                <w:rFonts w:hint="eastAsia" w:ascii="宋体" w:hAnsi="宋体" w:eastAsia="宋体" w:cs="宋体"/>
                <w:color w:val="auto"/>
                <w:sz w:val="20"/>
                <w:szCs w:val="20"/>
                <w:highlight w:val="none"/>
              </w:rPr>
            </w:pPr>
          </w:p>
        </w:tc>
      </w:tr>
      <w:tr w14:paraId="2CB5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4D77DB8">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（二）混凝土模板支撑工程：搭设高度8m及以上，或搭设跨度18m及以上，或施工总荷载（设计值）15kN/m2及以上，或集中线荷载（设计值）20kN/m及以上。</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5E9456D">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168246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FFA15BD">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0E38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E40F057">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（三）承重支撑体系：用于钢结构安装等满堂支撑体系，承受单点集中荷载7kN及以上。</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0F98DC6">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1FADB36">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6FBC3E7">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6E3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59BBB64">
            <w:pPr>
              <w:keepNext w:val="0"/>
              <w:keepLines w:val="0"/>
              <w:pageBreakBefore w:val="0"/>
              <w:suppressLineNumbers w:val="0"/>
              <w:kinsoku/>
              <w:bidi w:val="0"/>
              <w:spacing w:before="0" w:beforeAutospacing="0" w:after="0" w:afterAutospacing="0" w:line="240" w:lineRule="auto"/>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三、起重吊装及起重机械安装拆卸工程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DA15E3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ACDB616">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D898DCD">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0DD2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5B76AA1">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（一）采用非常规起重设备、方法，且单件起吊重量在100kN及以上的起重吊装工程。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8FDBC84">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0135C9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A130FD3">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52A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1EE7CC5B">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（二）起重量300kN及以上，或搭设总高度200m及以上，或搭设基础标高在200m及以上的起重机械安装和拆卸工程。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EA295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13788B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AE66E98">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7F7D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735FD6E">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74288E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80B541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E763E53">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FAA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6681E0C8">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（一）搭设高度50m及以上的落地式钢管脚手架工程。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D234699">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7651ED8">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B5BB36C">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8D4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7E61BB3">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（二）提升高度在150m及以上的附着式升降脚手架工程或附着式升降操作平台工程。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77C4F3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6D9556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B7B4E7C">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BF4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3D144183">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（三）分段架体搭设高度20m及以上的悬挑式脚手架工程。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5CC0074">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EDD3FE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7965523">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92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1ED4C976">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五、拆除工程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F8DC5B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4ED6B6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0F280C5">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5A29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FF841DB">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（一）码头、桥梁、高架、烟囱、水塔或拆除中容易引起有毒有害气（液）体或粉尘扩散、易燃易爆事故发生的特殊建、构筑物的拆除工程。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8AB95D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8FD75CB">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080015B">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787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0EE73B4">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（二）文物保护建筑、优秀历史建筑或历史文化风貌区影响范围内的拆除工程。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0EE5D9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CFAA09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700216D">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86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71B891B8">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六、暗挖工程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3C93CC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5E94C7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3ED1F32">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27C9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BF6EB13">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采用矿山法、盾构法、顶管法施工的隧道、洞室工程。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44FA6D7">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C7CF79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076D533">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58F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3FF371C">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七、其它</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F142461">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FCBD23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161270B">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3F1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2F1114B9">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（一）施工高度50m及以上的建筑幕墙安装工程。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B98250C">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242237A">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EE9038F">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A48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D4C3F92">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（二）跨度36m及以上的钢结构安装工程，或跨度60m及以上的网架和索膜结构安装工程。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34D2E8">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321981E">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D254B07">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575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176D27F">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（三）开挖深度16m及以上的人工挖孔桩工程。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CD87C80">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D21D67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D70F085">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6698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0ED30C19">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（四）水下作业工程。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95802F3">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B1A0976">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827112E">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33A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76A05F38">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（五）重量1000kN及以上的大型结构整体顶升、平移、转体等施工工艺。</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B3E6DC5">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9EE23D4">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8C44AD8">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r w14:paraId="047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3" w:type="dxa"/>
            <w:tcBorders>
              <w:top w:val="single" w:color="auto" w:sz="4" w:space="0"/>
              <w:left w:val="single" w:color="auto" w:sz="4" w:space="0"/>
              <w:bottom w:val="single" w:color="auto" w:sz="4" w:space="0"/>
              <w:right w:val="single" w:color="auto" w:sz="4" w:space="0"/>
            </w:tcBorders>
            <w:noWrap w:val="0"/>
            <w:vAlign w:val="center"/>
          </w:tcPr>
          <w:p w14:paraId="44209F70">
            <w:pPr>
              <w:keepNext w:val="0"/>
              <w:keepLines w:val="0"/>
              <w:pageBreakBefore w:val="0"/>
              <w:suppressLineNumbers w:val="0"/>
              <w:kinsoku/>
              <w:bidi w:val="0"/>
              <w:spacing w:before="0" w:beforeAutospacing="0" w:after="0" w:afterAutospacing="0" w:line="240" w:lineRule="auto"/>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（六）采用新技术、新工艺、新材料、新设备可能影响工程施工安全，尚无国家、行业及地方技术标准的分部分项工程。</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691A94">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157CC92">
            <w:pPr>
              <w:keepNext w:val="0"/>
              <w:keepLines w:val="0"/>
              <w:pageBreakBefore w:val="0"/>
              <w:suppressLineNumbers w:val="0"/>
              <w:kinsoku/>
              <w:bidi w:val="0"/>
              <w:spacing w:before="0" w:beforeAutospacing="0" w:after="0" w:afterAutospacing="0" w:line="240" w:lineRule="auto"/>
              <w:ind w:left="0" w:leftChars="0" w:right="0" w:right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1D7BCD9">
            <w:pPr>
              <w:keepNext w:val="0"/>
              <w:keepLines w:val="0"/>
              <w:pageBreakBefore w:val="0"/>
              <w:suppressLineNumbers w:val="0"/>
              <w:kinsoku/>
              <w:bidi w:val="0"/>
              <w:spacing w:before="0" w:beforeAutospacing="0" w:after="0" w:afterAutospacing="0" w:line="240" w:lineRule="auto"/>
              <w:ind w:left="0" w:right="0"/>
              <w:jc w:val="center"/>
              <w:rPr>
                <w:rFonts w:hint="eastAsia" w:ascii="宋体" w:hAnsi="宋体" w:eastAsia="宋体" w:cs="宋体"/>
                <w:color w:val="auto"/>
                <w:sz w:val="20"/>
                <w:szCs w:val="20"/>
                <w:highlight w:val="none"/>
              </w:rPr>
            </w:pPr>
          </w:p>
        </w:tc>
      </w:tr>
    </w:tbl>
    <w:p w14:paraId="5B176A6B">
      <w:pPr>
        <w:pStyle w:val="7"/>
        <w:keepNext w:val="0"/>
        <w:keepLines w:val="0"/>
        <w:pageBreakBefore w:val="0"/>
        <w:kinsoku/>
        <w:bidi w:val="0"/>
        <w:spacing w:line="272" w:lineRule="auto"/>
        <w:rPr>
          <w:color w:val="auto"/>
          <w:spacing w:val="0"/>
          <w:w w:val="100"/>
          <w:position w:val="0"/>
          <w:highlight w:val="none"/>
        </w:rPr>
      </w:pPr>
    </w:p>
    <w:p w14:paraId="0EED51A2">
      <w:pPr>
        <w:pStyle w:val="7"/>
        <w:keepNext w:val="0"/>
        <w:keepLines w:val="0"/>
        <w:pageBreakBefore w:val="0"/>
        <w:kinsoku/>
        <w:bidi w:val="0"/>
        <w:spacing w:line="272" w:lineRule="auto"/>
        <w:rPr>
          <w:color w:val="auto"/>
          <w:spacing w:val="0"/>
          <w:w w:val="100"/>
          <w:position w:val="0"/>
          <w:highlight w:val="none"/>
        </w:rPr>
      </w:pPr>
    </w:p>
    <w:p w14:paraId="41615CD6">
      <w:pPr>
        <w:keepNext w:val="0"/>
        <w:keepLines w:val="0"/>
        <w:pageBreakBefore w:val="0"/>
        <w:kinsoku/>
        <w:bidi w:val="0"/>
        <w:spacing w:before="65" w:line="227" w:lineRule="auto"/>
        <w:ind w:left="3797"/>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投标人（盖章）：</w:t>
      </w:r>
      <w:r>
        <w:rPr>
          <w:rFonts w:hint="eastAsia" w:ascii="宋体" w:hAnsi="宋体" w:eastAsia="宋体" w:cs="宋体"/>
          <w:color w:val="auto"/>
          <w:spacing w:val="0"/>
          <w:w w:val="100"/>
          <w:position w:val="0"/>
          <w:sz w:val="20"/>
          <w:szCs w:val="20"/>
          <w:highlight w:val="none"/>
          <w:u w:val="single"/>
          <w:lang w:val="en-US" w:eastAsia="zh-CN"/>
        </w:rPr>
        <w:t xml:space="preserve">                      </w:t>
      </w:r>
    </w:p>
    <w:p w14:paraId="01C1C923">
      <w:pPr>
        <w:keepNext w:val="0"/>
        <w:keepLines w:val="0"/>
        <w:pageBreakBefore w:val="0"/>
        <w:kinsoku/>
        <w:bidi w:val="0"/>
        <w:spacing w:before="231" w:line="228" w:lineRule="auto"/>
        <w:ind w:left="3828"/>
        <w:rPr>
          <w:rFonts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lang w:eastAsia="zh-CN"/>
        </w:rPr>
        <w:t>日期：</w:t>
      </w:r>
      <w:r>
        <w:rPr>
          <w:rFonts w:ascii="宋体" w:hAnsi="宋体" w:eastAsia="宋体" w:cs="宋体"/>
          <w:color w:val="auto"/>
          <w:spacing w:val="0"/>
          <w:w w:val="100"/>
          <w:position w:val="0"/>
          <w:sz w:val="20"/>
          <w:szCs w:val="20"/>
          <w:highlight w:val="none"/>
          <w:u w:val="single"/>
          <w:lang w:eastAsia="zh-CN"/>
        </w:rPr>
        <w:t xml:space="preserve">  </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u w:val="single"/>
          <w:lang w:eastAsia="zh-CN"/>
        </w:rPr>
        <w:t xml:space="preserve"> </w:t>
      </w:r>
      <w:r>
        <w:rPr>
          <w:rFonts w:ascii="宋体" w:hAnsi="宋体" w:eastAsia="宋体" w:cs="宋体"/>
          <w:color w:val="auto"/>
          <w:spacing w:val="0"/>
          <w:w w:val="100"/>
          <w:position w:val="0"/>
          <w:sz w:val="20"/>
          <w:szCs w:val="20"/>
          <w:highlight w:val="none"/>
          <w:lang w:eastAsia="zh-CN"/>
        </w:rPr>
        <w:t>年</w:t>
      </w:r>
      <w:r>
        <w:rPr>
          <w:rFonts w:ascii="宋体" w:hAnsi="宋体" w:eastAsia="宋体" w:cs="宋体"/>
          <w:color w:val="auto"/>
          <w:spacing w:val="0"/>
          <w:w w:val="100"/>
          <w:position w:val="0"/>
          <w:sz w:val="20"/>
          <w:szCs w:val="20"/>
          <w:highlight w:val="none"/>
          <w:u w:val="single"/>
          <w:lang w:eastAsia="zh-CN"/>
        </w:rPr>
        <w:t xml:space="preserve"> </w:t>
      </w:r>
      <w:r>
        <w:rPr>
          <w:rFonts w:hint="eastAsia" w:ascii="宋体" w:hAnsi="宋体" w:eastAsia="宋体" w:cs="宋体"/>
          <w:color w:val="auto"/>
          <w:spacing w:val="0"/>
          <w:w w:val="100"/>
          <w:position w:val="0"/>
          <w:sz w:val="20"/>
          <w:szCs w:val="20"/>
          <w:highlight w:val="none"/>
          <w:u w:val="single"/>
          <w:lang w:val="en-US" w:eastAsia="zh-CN"/>
        </w:rPr>
        <w:t xml:space="preserve"> </w:t>
      </w:r>
      <w:r>
        <w:rPr>
          <w:rFonts w:ascii="宋体" w:hAnsi="宋体" w:eastAsia="宋体" w:cs="宋体"/>
          <w:color w:val="auto"/>
          <w:spacing w:val="0"/>
          <w:w w:val="100"/>
          <w:position w:val="0"/>
          <w:sz w:val="20"/>
          <w:szCs w:val="20"/>
          <w:highlight w:val="none"/>
          <w:u w:val="single"/>
          <w:lang w:eastAsia="zh-CN"/>
        </w:rPr>
        <w:t xml:space="preserve"> </w:t>
      </w:r>
      <w:r>
        <w:rPr>
          <w:rFonts w:ascii="宋体" w:hAnsi="宋体" w:eastAsia="宋体" w:cs="宋体"/>
          <w:color w:val="auto"/>
          <w:spacing w:val="0"/>
          <w:w w:val="100"/>
          <w:position w:val="0"/>
          <w:sz w:val="20"/>
          <w:szCs w:val="20"/>
          <w:highlight w:val="none"/>
          <w:lang w:eastAsia="zh-CN"/>
        </w:rPr>
        <w:t>月</w:t>
      </w:r>
      <w:r>
        <w:rPr>
          <w:rFonts w:ascii="宋体" w:hAnsi="宋体" w:eastAsia="宋体" w:cs="宋体"/>
          <w:color w:val="auto"/>
          <w:spacing w:val="0"/>
          <w:w w:val="100"/>
          <w:position w:val="0"/>
          <w:sz w:val="20"/>
          <w:szCs w:val="20"/>
          <w:highlight w:val="none"/>
          <w:u w:val="single"/>
          <w:lang w:eastAsia="zh-CN"/>
        </w:rPr>
        <w:t xml:space="preserve">  </w:t>
      </w:r>
      <w:r>
        <w:rPr>
          <w:rFonts w:ascii="宋体" w:hAnsi="宋体" w:eastAsia="宋体" w:cs="宋体"/>
          <w:color w:val="auto"/>
          <w:spacing w:val="0"/>
          <w:w w:val="100"/>
          <w:position w:val="0"/>
          <w:sz w:val="20"/>
          <w:szCs w:val="20"/>
          <w:highlight w:val="none"/>
          <w:lang w:eastAsia="zh-CN"/>
        </w:rPr>
        <w:t>日</w:t>
      </w:r>
    </w:p>
    <w:p w14:paraId="63AADACC">
      <w:pPr>
        <w:keepNext w:val="0"/>
        <w:keepLines w:val="0"/>
        <w:pageBreakBefore w:val="0"/>
        <w:kinsoku/>
        <w:bidi w:val="0"/>
        <w:spacing w:before="231" w:line="228" w:lineRule="auto"/>
        <w:ind w:left="3828"/>
        <w:rPr>
          <w:rFonts w:ascii="宋体" w:hAnsi="宋体" w:eastAsia="宋体" w:cs="宋体"/>
          <w:color w:val="auto"/>
          <w:spacing w:val="0"/>
          <w:w w:val="100"/>
          <w:position w:val="0"/>
          <w:sz w:val="20"/>
          <w:szCs w:val="20"/>
          <w:highlight w:val="none"/>
          <w:lang w:eastAsia="zh-CN"/>
        </w:rPr>
      </w:pPr>
    </w:p>
    <w:p w14:paraId="05F6AE9F">
      <w:pPr>
        <w:keepNext w:val="0"/>
        <w:keepLines w:val="0"/>
        <w:pageBreakBefore w:val="0"/>
        <w:kinsoku/>
        <w:bidi w:val="0"/>
        <w:rPr>
          <w:color w:val="auto"/>
          <w:spacing w:val="0"/>
          <w:w w:val="100"/>
          <w:position w:val="0"/>
          <w:highlight w:val="none"/>
          <w:lang w:eastAsia="zh-CN"/>
        </w:rPr>
      </w:pPr>
      <w:r>
        <w:rPr>
          <w:color w:val="auto"/>
          <w:spacing w:val="0"/>
          <w:w w:val="100"/>
          <w:position w:val="0"/>
          <w:highlight w:val="none"/>
          <w:lang w:eastAsia="zh-CN"/>
        </w:rPr>
        <w:br w:type="page"/>
      </w:r>
    </w:p>
    <w:p w14:paraId="0D301BDA">
      <w:pPr>
        <w:keepNext w:val="0"/>
        <w:keepLines w:val="0"/>
        <w:pageBreakBefore w:val="0"/>
        <w:widowControl/>
        <w:kinsoku/>
        <w:wordWrap/>
        <w:overflowPunct/>
        <w:topLinePunct w:val="0"/>
        <w:autoSpaceDE w:val="0"/>
        <w:autoSpaceDN w:val="0"/>
        <w:bidi w:val="0"/>
        <w:adjustRightInd w:val="0"/>
        <w:snapToGrid w:val="0"/>
        <w:spacing w:line="360" w:lineRule="auto"/>
        <w:ind w:left="0"/>
        <w:jc w:val="both"/>
        <w:textAlignment w:val="baseline"/>
        <w:outlineLvl w:val="2"/>
        <w:rPr>
          <w:rFonts w:hint="default" w:ascii="宋体" w:hAnsi="宋体" w:eastAsia="宋体" w:cs="宋体"/>
          <w:b/>
          <w:bCs/>
          <w:color w:val="auto"/>
          <w:spacing w:val="0"/>
          <w:w w:val="100"/>
          <w:position w:val="0"/>
          <w:sz w:val="35"/>
          <w:szCs w:val="35"/>
          <w:highlight w:val="none"/>
          <w:lang w:val="en-US" w:eastAsia="zh-CN"/>
        </w:rPr>
      </w:pPr>
      <w:bookmarkStart w:id="372" w:name="_Toc16507"/>
      <w:bookmarkStart w:id="373" w:name="_Toc23403"/>
      <w:bookmarkStart w:id="374" w:name="_Toc22569"/>
      <w:r>
        <w:rPr>
          <w:rFonts w:hint="eastAsia" w:ascii="宋体" w:hAnsi="宋体" w:eastAsia="宋体" w:cs="宋体"/>
          <w:b/>
          <w:bCs/>
          <w:color w:val="auto"/>
          <w:spacing w:val="0"/>
          <w:w w:val="100"/>
          <w:position w:val="0"/>
          <w:sz w:val="35"/>
          <w:szCs w:val="35"/>
          <w:highlight w:val="none"/>
          <w:lang w:eastAsia="zh-CN"/>
        </w:rPr>
        <w:t>格式</w:t>
      </w:r>
      <w:r>
        <w:rPr>
          <w:rFonts w:hint="eastAsia" w:ascii="宋体" w:hAnsi="宋体" w:eastAsia="宋体" w:cs="宋体"/>
          <w:b/>
          <w:bCs/>
          <w:color w:val="auto"/>
          <w:spacing w:val="0"/>
          <w:w w:val="100"/>
          <w:position w:val="0"/>
          <w:sz w:val="35"/>
          <w:szCs w:val="35"/>
          <w:highlight w:val="none"/>
          <w:lang w:val="en-US" w:eastAsia="zh-CN"/>
        </w:rPr>
        <w:t>9</w:t>
      </w:r>
      <w:r>
        <w:rPr>
          <w:rFonts w:hint="eastAsia" w:ascii="宋体" w:hAnsi="宋体" w:eastAsia="宋体" w:cs="宋体"/>
          <w:b/>
          <w:bCs/>
          <w:color w:val="auto"/>
          <w:spacing w:val="0"/>
          <w:w w:val="100"/>
          <w:position w:val="0"/>
          <w:sz w:val="35"/>
          <w:szCs w:val="35"/>
          <w:highlight w:val="none"/>
          <w:lang w:eastAsia="zh-CN"/>
        </w:rPr>
        <w:t>：</w:t>
      </w:r>
      <w:bookmarkEnd w:id="372"/>
      <w:bookmarkEnd w:id="373"/>
      <w:r>
        <w:rPr>
          <w:rFonts w:hint="eastAsia" w:ascii="宋体" w:hAnsi="宋体" w:eastAsia="宋体" w:cs="宋体"/>
          <w:b/>
          <w:bCs/>
          <w:color w:val="auto"/>
          <w:spacing w:val="0"/>
          <w:w w:val="100"/>
          <w:position w:val="0"/>
          <w:sz w:val="35"/>
          <w:szCs w:val="35"/>
          <w:highlight w:val="none"/>
          <w:lang w:val="en-US" w:eastAsia="zh-CN"/>
        </w:rPr>
        <w:t>封面格式（格式可自定）</w:t>
      </w:r>
      <w:bookmarkEnd w:id="374"/>
    </w:p>
    <w:p w14:paraId="09A940A2">
      <w:pPr>
        <w:pStyle w:val="7"/>
        <w:keepNext w:val="0"/>
        <w:keepLines w:val="0"/>
        <w:pageBreakBefore w:val="0"/>
        <w:kinsoku/>
        <w:bidi w:val="0"/>
        <w:spacing w:line="265" w:lineRule="auto"/>
        <w:rPr>
          <w:color w:val="auto"/>
          <w:spacing w:val="0"/>
          <w:w w:val="100"/>
          <w:position w:val="0"/>
          <w:highlight w:val="none"/>
          <w:lang w:eastAsia="zh-CN"/>
        </w:rPr>
      </w:pPr>
    </w:p>
    <w:p w14:paraId="3D213070">
      <w:pPr>
        <w:pStyle w:val="7"/>
        <w:keepNext w:val="0"/>
        <w:keepLines w:val="0"/>
        <w:pageBreakBefore w:val="0"/>
        <w:kinsoku/>
        <w:bidi w:val="0"/>
        <w:spacing w:line="265" w:lineRule="auto"/>
        <w:rPr>
          <w:color w:val="auto"/>
          <w:spacing w:val="0"/>
          <w:w w:val="100"/>
          <w:position w:val="0"/>
          <w:highlight w:val="none"/>
          <w:lang w:eastAsia="zh-CN"/>
        </w:rPr>
      </w:pPr>
    </w:p>
    <w:p w14:paraId="3D4C0B42">
      <w:pPr>
        <w:pStyle w:val="7"/>
        <w:keepNext w:val="0"/>
        <w:keepLines w:val="0"/>
        <w:pageBreakBefore w:val="0"/>
        <w:kinsoku/>
        <w:bidi w:val="0"/>
        <w:spacing w:line="265" w:lineRule="auto"/>
        <w:rPr>
          <w:color w:val="auto"/>
          <w:spacing w:val="0"/>
          <w:w w:val="100"/>
          <w:position w:val="0"/>
          <w:highlight w:val="none"/>
          <w:lang w:eastAsia="zh-CN"/>
        </w:rPr>
      </w:pPr>
    </w:p>
    <w:p w14:paraId="2958C343">
      <w:pPr>
        <w:pStyle w:val="7"/>
        <w:keepNext w:val="0"/>
        <w:keepLines w:val="0"/>
        <w:pageBreakBefore w:val="0"/>
        <w:kinsoku/>
        <w:bidi w:val="0"/>
        <w:spacing w:line="265" w:lineRule="auto"/>
        <w:rPr>
          <w:color w:val="auto"/>
          <w:spacing w:val="0"/>
          <w:w w:val="100"/>
          <w:position w:val="0"/>
          <w:highlight w:val="none"/>
          <w:lang w:eastAsia="zh-CN"/>
        </w:rPr>
      </w:pPr>
    </w:p>
    <w:p w14:paraId="4D47A47A">
      <w:pPr>
        <w:pStyle w:val="7"/>
        <w:keepNext w:val="0"/>
        <w:keepLines w:val="0"/>
        <w:pageBreakBefore w:val="0"/>
        <w:kinsoku/>
        <w:bidi w:val="0"/>
        <w:spacing w:line="265" w:lineRule="auto"/>
        <w:rPr>
          <w:color w:val="auto"/>
          <w:spacing w:val="0"/>
          <w:w w:val="100"/>
          <w:position w:val="0"/>
          <w:highlight w:val="none"/>
          <w:lang w:eastAsia="zh-CN"/>
        </w:rPr>
      </w:pPr>
    </w:p>
    <w:p w14:paraId="507DAC91">
      <w:pPr>
        <w:pStyle w:val="7"/>
        <w:keepNext w:val="0"/>
        <w:keepLines w:val="0"/>
        <w:pageBreakBefore w:val="0"/>
        <w:kinsoku/>
        <w:bidi w:val="0"/>
        <w:spacing w:line="266" w:lineRule="auto"/>
        <w:rPr>
          <w:color w:val="auto"/>
          <w:spacing w:val="0"/>
          <w:w w:val="100"/>
          <w:position w:val="0"/>
          <w:highlight w:val="none"/>
          <w:lang w:eastAsia="zh-CN"/>
        </w:rPr>
      </w:pPr>
    </w:p>
    <w:p w14:paraId="00522520">
      <w:pPr>
        <w:pStyle w:val="7"/>
        <w:keepNext w:val="0"/>
        <w:keepLines w:val="0"/>
        <w:pageBreakBefore w:val="0"/>
        <w:kinsoku/>
        <w:bidi w:val="0"/>
        <w:spacing w:line="266" w:lineRule="auto"/>
        <w:rPr>
          <w:color w:val="auto"/>
          <w:spacing w:val="0"/>
          <w:w w:val="100"/>
          <w:position w:val="0"/>
          <w:highlight w:val="none"/>
          <w:lang w:eastAsia="zh-CN"/>
        </w:rPr>
      </w:pPr>
    </w:p>
    <w:p w14:paraId="6A66E60F">
      <w:pPr>
        <w:keepNext w:val="0"/>
        <w:keepLines w:val="0"/>
        <w:pageBreakBefore w:val="0"/>
        <w:widowControl/>
        <w:kinsoku/>
        <w:wordWrap/>
        <w:overflowPunct/>
        <w:topLinePunct w:val="0"/>
        <w:autoSpaceDE w:val="0"/>
        <w:autoSpaceDN w:val="0"/>
        <w:bidi w:val="0"/>
        <w:adjustRightInd w:val="0"/>
        <w:snapToGrid w:val="0"/>
        <w:spacing w:line="288" w:lineRule="auto"/>
        <w:jc w:val="center"/>
        <w:textAlignment w:val="baseline"/>
        <w:rPr>
          <w:rFonts w:ascii="宋体" w:hAnsi="宋体" w:eastAsia="宋体" w:cs="宋体"/>
          <w:b/>
          <w:bCs/>
          <w:color w:val="auto"/>
          <w:spacing w:val="0"/>
          <w:w w:val="100"/>
          <w:position w:val="0"/>
          <w:sz w:val="43"/>
          <w:szCs w:val="43"/>
          <w:highlight w:val="none"/>
          <w:lang w:eastAsia="zh-CN"/>
        </w:rPr>
      </w:pPr>
      <w:r>
        <w:rPr>
          <w:rFonts w:hint="eastAsia" w:ascii="宋体" w:hAnsi="宋体" w:eastAsia="宋体" w:cs="宋体"/>
          <w:b/>
          <w:bCs/>
          <w:color w:val="auto"/>
          <w:spacing w:val="0"/>
          <w:w w:val="100"/>
          <w:position w:val="0"/>
          <w:sz w:val="43"/>
          <w:szCs w:val="43"/>
          <w:highlight w:val="none"/>
          <w:u w:val="single"/>
          <w:lang w:eastAsia="zh-CN"/>
        </w:rPr>
        <w:t>开投·智行产业空间研发中心和孵化器培育场地改造项目设计施工总承包</w:t>
      </w:r>
      <w:r>
        <w:rPr>
          <w:rFonts w:hint="eastAsia" w:ascii="宋体" w:hAnsi="宋体" w:eastAsia="宋体" w:cs="宋体"/>
          <w:b/>
          <w:bCs/>
          <w:color w:val="auto"/>
          <w:spacing w:val="0"/>
          <w:w w:val="100"/>
          <w:position w:val="0"/>
          <w:sz w:val="43"/>
          <w:szCs w:val="43"/>
          <w:highlight w:val="none"/>
          <w:lang w:eastAsia="zh-CN"/>
        </w:rPr>
        <w:t>（</w:t>
      </w:r>
      <w:r>
        <w:rPr>
          <w:rFonts w:ascii="宋体" w:hAnsi="宋体" w:eastAsia="宋体" w:cs="宋体"/>
          <w:b/>
          <w:bCs/>
          <w:color w:val="auto"/>
          <w:spacing w:val="0"/>
          <w:w w:val="100"/>
          <w:position w:val="0"/>
          <w:sz w:val="43"/>
          <w:szCs w:val="43"/>
          <w:highlight w:val="none"/>
          <w:lang w:eastAsia="zh-CN"/>
        </w:rPr>
        <w:t>项目名称</w:t>
      </w:r>
      <w:r>
        <w:rPr>
          <w:rFonts w:hint="eastAsia" w:ascii="宋体" w:hAnsi="宋体" w:eastAsia="宋体" w:cs="宋体"/>
          <w:b/>
          <w:bCs/>
          <w:color w:val="auto"/>
          <w:spacing w:val="0"/>
          <w:w w:val="100"/>
          <w:position w:val="0"/>
          <w:sz w:val="43"/>
          <w:szCs w:val="43"/>
          <w:highlight w:val="none"/>
          <w:lang w:eastAsia="zh-CN"/>
        </w:rPr>
        <w:t>）</w:t>
      </w:r>
    </w:p>
    <w:p w14:paraId="0F50856C">
      <w:pPr>
        <w:pStyle w:val="7"/>
        <w:keepNext w:val="0"/>
        <w:keepLines w:val="0"/>
        <w:pageBreakBefore w:val="0"/>
        <w:kinsoku/>
        <w:bidi w:val="0"/>
        <w:spacing w:line="241" w:lineRule="auto"/>
        <w:rPr>
          <w:color w:val="auto"/>
          <w:spacing w:val="0"/>
          <w:w w:val="100"/>
          <w:position w:val="0"/>
          <w:highlight w:val="none"/>
          <w:lang w:eastAsia="zh-CN"/>
        </w:rPr>
      </w:pPr>
    </w:p>
    <w:p w14:paraId="174E3BF1">
      <w:pPr>
        <w:pStyle w:val="7"/>
        <w:keepNext w:val="0"/>
        <w:keepLines w:val="0"/>
        <w:pageBreakBefore w:val="0"/>
        <w:kinsoku/>
        <w:bidi w:val="0"/>
        <w:spacing w:line="241" w:lineRule="auto"/>
        <w:rPr>
          <w:color w:val="auto"/>
          <w:spacing w:val="0"/>
          <w:w w:val="100"/>
          <w:position w:val="0"/>
          <w:highlight w:val="none"/>
          <w:lang w:eastAsia="zh-CN"/>
        </w:rPr>
      </w:pPr>
    </w:p>
    <w:p w14:paraId="6A6FA522">
      <w:pPr>
        <w:pStyle w:val="7"/>
        <w:keepNext w:val="0"/>
        <w:keepLines w:val="0"/>
        <w:pageBreakBefore w:val="0"/>
        <w:kinsoku/>
        <w:bidi w:val="0"/>
        <w:spacing w:line="241" w:lineRule="auto"/>
        <w:rPr>
          <w:color w:val="auto"/>
          <w:spacing w:val="0"/>
          <w:w w:val="100"/>
          <w:position w:val="0"/>
          <w:highlight w:val="none"/>
          <w:lang w:eastAsia="zh-CN"/>
        </w:rPr>
      </w:pPr>
    </w:p>
    <w:p w14:paraId="616DB4E4">
      <w:pPr>
        <w:pStyle w:val="7"/>
        <w:keepNext w:val="0"/>
        <w:keepLines w:val="0"/>
        <w:pageBreakBefore w:val="0"/>
        <w:kinsoku/>
        <w:bidi w:val="0"/>
        <w:spacing w:line="241" w:lineRule="auto"/>
        <w:rPr>
          <w:color w:val="auto"/>
          <w:spacing w:val="0"/>
          <w:w w:val="100"/>
          <w:position w:val="0"/>
          <w:highlight w:val="none"/>
          <w:lang w:eastAsia="zh-CN"/>
        </w:rPr>
      </w:pPr>
    </w:p>
    <w:p w14:paraId="3A4E7D89">
      <w:pPr>
        <w:pStyle w:val="7"/>
        <w:keepNext w:val="0"/>
        <w:keepLines w:val="0"/>
        <w:pageBreakBefore w:val="0"/>
        <w:kinsoku/>
        <w:bidi w:val="0"/>
        <w:spacing w:line="241" w:lineRule="auto"/>
        <w:rPr>
          <w:color w:val="auto"/>
          <w:spacing w:val="0"/>
          <w:w w:val="100"/>
          <w:position w:val="0"/>
          <w:highlight w:val="none"/>
          <w:lang w:eastAsia="zh-CN"/>
        </w:rPr>
      </w:pPr>
    </w:p>
    <w:p w14:paraId="091122C7">
      <w:pPr>
        <w:pStyle w:val="7"/>
        <w:keepNext w:val="0"/>
        <w:keepLines w:val="0"/>
        <w:pageBreakBefore w:val="0"/>
        <w:kinsoku/>
        <w:bidi w:val="0"/>
        <w:spacing w:line="241" w:lineRule="auto"/>
        <w:rPr>
          <w:color w:val="auto"/>
          <w:spacing w:val="0"/>
          <w:w w:val="100"/>
          <w:position w:val="0"/>
          <w:highlight w:val="none"/>
          <w:lang w:eastAsia="zh-CN"/>
        </w:rPr>
      </w:pPr>
    </w:p>
    <w:p w14:paraId="51D90F05">
      <w:pPr>
        <w:pStyle w:val="7"/>
        <w:keepNext w:val="0"/>
        <w:keepLines w:val="0"/>
        <w:pageBreakBefore w:val="0"/>
        <w:kinsoku/>
        <w:bidi w:val="0"/>
        <w:spacing w:line="241" w:lineRule="auto"/>
        <w:rPr>
          <w:color w:val="auto"/>
          <w:spacing w:val="0"/>
          <w:w w:val="100"/>
          <w:position w:val="0"/>
          <w:highlight w:val="none"/>
          <w:lang w:eastAsia="zh-CN"/>
        </w:rPr>
      </w:pPr>
    </w:p>
    <w:p w14:paraId="6902AC65">
      <w:pPr>
        <w:pStyle w:val="7"/>
        <w:keepNext w:val="0"/>
        <w:keepLines w:val="0"/>
        <w:pageBreakBefore w:val="0"/>
        <w:kinsoku/>
        <w:bidi w:val="0"/>
        <w:spacing w:line="241" w:lineRule="auto"/>
        <w:rPr>
          <w:color w:val="auto"/>
          <w:spacing w:val="0"/>
          <w:w w:val="100"/>
          <w:position w:val="0"/>
          <w:highlight w:val="none"/>
          <w:lang w:eastAsia="zh-CN"/>
        </w:rPr>
      </w:pPr>
    </w:p>
    <w:p w14:paraId="7AC586D4">
      <w:pPr>
        <w:pStyle w:val="7"/>
        <w:keepNext w:val="0"/>
        <w:keepLines w:val="0"/>
        <w:pageBreakBefore w:val="0"/>
        <w:kinsoku/>
        <w:bidi w:val="0"/>
        <w:spacing w:line="304" w:lineRule="auto"/>
        <w:rPr>
          <w:color w:val="auto"/>
          <w:spacing w:val="0"/>
          <w:w w:val="100"/>
          <w:position w:val="0"/>
          <w:highlight w:val="none"/>
          <w:lang w:eastAsia="zh-CN"/>
        </w:rPr>
      </w:pPr>
    </w:p>
    <w:p w14:paraId="4C74E453">
      <w:pPr>
        <w:pStyle w:val="7"/>
        <w:keepNext w:val="0"/>
        <w:keepLines w:val="0"/>
        <w:pageBreakBefore w:val="0"/>
        <w:kinsoku/>
        <w:bidi w:val="0"/>
        <w:spacing w:line="305" w:lineRule="auto"/>
        <w:rPr>
          <w:color w:val="auto"/>
          <w:spacing w:val="0"/>
          <w:w w:val="100"/>
          <w:position w:val="0"/>
          <w:highlight w:val="none"/>
          <w:lang w:eastAsia="zh-CN"/>
        </w:rPr>
      </w:pPr>
    </w:p>
    <w:p w14:paraId="3B68281B">
      <w:pPr>
        <w:keepNext w:val="0"/>
        <w:keepLines w:val="0"/>
        <w:pageBreakBefore w:val="0"/>
        <w:kinsoku/>
        <w:bidi w:val="0"/>
        <w:spacing w:before="140" w:line="223" w:lineRule="auto"/>
        <w:ind w:left="3644"/>
        <w:rPr>
          <w:rFonts w:ascii="宋体" w:hAnsi="宋体" w:eastAsia="宋体" w:cs="宋体"/>
          <w:color w:val="auto"/>
          <w:spacing w:val="0"/>
          <w:w w:val="100"/>
          <w:position w:val="0"/>
          <w:sz w:val="43"/>
          <w:szCs w:val="43"/>
          <w:highlight w:val="none"/>
          <w:lang w:eastAsia="zh-CN"/>
        </w:rPr>
      </w:pPr>
      <w:r>
        <w:rPr>
          <w:rFonts w:ascii="宋体" w:hAnsi="宋体" w:eastAsia="宋体" w:cs="宋体"/>
          <w:color w:val="auto"/>
          <w:spacing w:val="0"/>
          <w:w w:val="100"/>
          <w:position w:val="0"/>
          <w:sz w:val="43"/>
          <w:szCs w:val="43"/>
          <w:highlight w:val="none"/>
          <w:lang w:eastAsia="zh-CN"/>
        </w:rPr>
        <w:t>投标文件</w:t>
      </w:r>
    </w:p>
    <w:p w14:paraId="25D7797D">
      <w:pPr>
        <w:pStyle w:val="7"/>
        <w:keepNext w:val="0"/>
        <w:keepLines w:val="0"/>
        <w:pageBreakBefore w:val="0"/>
        <w:kinsoku/>
        <w:bidi w:val="0"/>
        <w:spacing w:line="308" w:lineRule="auto"/>
        <w:rPr>
          <w:color w:val="auto"/>
          <w:spacing w:val="0"/>
          <w:w w:val="100"/>
          <w:position w:val="0"/>
          <w:highlight w:val="none"/>
          <w:lang w:eastAsia="zh-CN"/>
        </w:rPr>
      </w:pPr>
    </w:p>
    <w:p w14:paraId="565C768B">
      <w:pPr>
        <w:pStyle w:val="7"/>
        <w:keepNext w:val="0"/>
        <w:keepLines w:val="0"/>
        <w:pageBreakBefore w:val="0"/>
        <w:kinsoku/>
        <w:bidi w:val="0"/>
        <w:spacing w:line="308" w:lineRule="auto"/>
        <w:rPr>
          <w:color w:val="auto"/>
          <w:spacing w:val="0"/>
          <w:w w:val="100"/>
          <w:position w:val="0"/>
          <w:highlight w:val="none"/>
          <w:lang w:eastAsia="zh-CN"/>
        </w:rPr>
      </w:pPr>
    </w:p>
    <w:p w14:paraId="343C8CF0">
      <w:pPr>
        <w:keepNext w:val="0"/>
        <w:keepLines w:val="0"/>
        <w:pageBreakBefore w:val="0"/>
        <w:kinsoku/>
        <w:bidi w:val="0"/>
        <w:spacing w:before="78" w:line="219" w:lineRule="auto"/>
        <w:ind w:left="743"/>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（资格审查文件/工程总承包实施方案/经济标/</w:t>
      </w:r>
      <w:r>
        <w:rPr>
          <w:rFonts w:hint="eastAsia" w:ascii="宋体" w:hAnsi="宋体" w:eastAsia="宋体" w:cs="宋体"/>
          <w:color w:val="auto"/>
          <w:spacing w:val="0"/>
          <w:w w:val="100"/>
          <w:position w:val="0"/>
          <w:sz w:val="24"/>
          <w:szCs w:val="24"/>
          <w:highlight w:val="none"/>
          <w:lang w:val="en-US" w:eastAsia="zh-CN"/>
        </w:rPr>
        <w:t>定标文件</w:t>
      </w:r>
      <w:r>
        <w:rPr>
          <w:rFonts w:ascii="宋体" w:hAnsi="宋体" w:eastAsia="宋体" w:cs="宋体"/>
          <w:color w:val="auto"/>
          <w:spacing w:val="0"/>
          <w:w w:val="100"/>
          <w:position w:val="0"/>
          <w:sz w:val="24"/>
          <w:szCs w:val="24"/>
          <w:highlight w:val="none"/>
          <w:lang w:eastAsia="zh-CN"/>
        </w:rPr>
        <w:t>）</w:t>
      </w:r>
    </w:p>
    <w:p w14:paraId="11F78FE2">
      <w:pPr>
        <w:pStyle w:val="7"/>
        <w:keepNext w:val="0"/>
        <w:keepLines w:val="0"/>
        <w:pageBreakBefore w:val="0"/>
        <w:kinsoku/>
        <w:bidi w:val="0"/>
        <w:spacing w:line="241" w:lineRule="auto"/>
        <w:rPr>
          <w:color w:val="auto"/>
          <w:spacing w:val="0"/>
          <w:w w:val="100"/>
          <w:position w:val="0"/>
          <w:highlight w:val="none"/>
          <w:lang w:eastAsia="zh-CN"/>
        </w:rPr>
      </w:pPr>
    </w:p>
    <w:p w14:paraId="61578985">
      <w:pPr>
        <w:pStyle w:val="7"/>
        <w:keepNext w:val="0"/>
        <w:keepLines w:val="0"/>
        <w:pageBreakBefore w:val="0"/>
        <w:kinsoku/>
        <w:bidi w:val="0"/>
        <w:spacing w:line="241" w:lineRule="auto"/>
        <w:rPr>
          <w:color w:val="auto"/>
          <w:spacing w:val="0"/>
          <w:w w:val="100"/>
          <w:position w:val="0"/>
          <w:highlight w:val="none"/>
          <w:lang w:eastAsia="zh-CN"/>
        </w:rPr>
      </w:pPr>
    </w:p>
    <w:p w14:paraId="7643AAE6">
      <w:pPr>
        <w:pStyle w:val="7"/>
        <w:keepNext w:val="0"/>
        <w:keepLines w:val="0"/>
        <w:pageBreakBefore w:val="0"/>
        <w:kinsoku/>
        <w:bidi w:val="0"/>
        <w:spacing w:line="241" w:lineRule="auto"/>
        <w:rPr>
          <w:color w:val="auto"/>
          <w:spacing w:val="0"/>
          <w:w w:val="100"/>
          <w:position w:val="0"/>
          <w:highlight w:val="none"/>
          <w:lang w:eastAsia="zh-CN"/>
        </w:rPr>
      </w:pPr>
    </w:p>
    <w:p w14:paraId="1D0035DD">
      <w:pPr>
        <w:pStyle w:val="7"/>
        <w:keepNext w:val="0"/>
        <w:keepLines w:val="0"/>
        <w:pageBreakBefore w:val="0"/>
        <w:kinsoku/>
        <w:bidi w:val="0"/>
        <w:spacing w:line="241" w:lineRule="auto"/>
        <w:rPr>
          <w:color w:val="auto"/>
          <w:spacing w:val="0"/>
          <w:w w:val="100"/>
          <w:position w:val="0"/>
          <w:highlight w:val="none"/>
          <w:lang w:eastAsia="zh-CN"/>
        </w:rPr>
      </w:pPr>
    </w:p>
    <w:p w14:paraId="2C1F1FF3">
      <w:pPr>
        <w:pStyle w:val="7"/>
        <w:keepNext w:val="0"/>
        <w:keepLines w:val="0"/>
        <w:pageBreakBefore w:val="0"/>
        <w:kinsoku/>
        <w:bidi w:val="0"/>
        <w:spacing w:line="241" w:lineRule="auto"/>
        <w:rPr>
          <w:color w:val="auto"/>
          <w:spacing w:val="0"/>
          <w:w w:val="100"/>
          <w:position w:val="0"/>
          <w:highlight w:val="none"/>
          <w:lang w:eastAsia="zh-CN"/>
        </w:rPr>
      </w:pPr>
    </w:p>
    <w:p w14:paraId="436CC007">
      <w:pPr>
        <w:pStyle w:val="7"/>
        <w:keepNext w:val="0"/>
        <w:keepLines w:val="0"/>
        <w:pageBreakBefore w:val="0"/>
        <w:kinsoku/>
        <w:bidi w:val="0"/>
        <w:spacing w:line="241" w:lineRule="auto"/>
        <w:rPr>
          <w:color w:val="auto"/>
          <w:spacing w:val="0"/>
          <w:w w:val="100"/>
          <w:position w:val="0"/>
          <w:highlight w:val="none"/>
          <w:lang w:eastAsia="zh-CN"/>
        </w:rPr>
      </w:pPr>
    </w:p>
    <w:p w14:paraId="3E0FAD80">
      <w:pPr>
        <w:pStyle w:val="7"/>
        <w:keepNext w:val="0"/>
        <w:keepLines w:val="0"/>
        <w:pageBreakBefore w:val="0"/>
        <w:kinsoku/>
        <w:bidi w:val="0"/>
        <w:spacing w:line="241" w:lineRule="auto"/>
        <w:rPr>
          <w:color w:val="auto"/>
          <w:spacing w:val="0"/>
          <w:w w:val="100"/>
          <w:position w:val="0"/>
          <w:highlight w:val="none"/>
          <w:lang w:eastAsia="zh-CN"/>
        </w:rPr>
      </w:pPr>
    </w:p>
    <w:p w14:paraId="7A7FE2FC">
      <w:pPr>
        <w:pStyle w:val="7"/>
        <w:keepNext w:val="0"/>
        <w:keepLines w:val="0"/>
        <w:pageBreakBefore w:val="0"/>
        <w:kinsoku/>
        <w:bidi w:val="0"/>
        <w:spacing w:line="241" w:lineRule="auto"/>
        <w:rPr>
          <w:color w:val="auto"/>
          <w:spacing w:val="0"/>
          <w:w w:val="100"/>
          <w:position w:val="0"/>
          <w:highlight w:val="none"/>
          <w:lang w:eastAsia="zh-CN"/>
        </w:rPr>
      </w:pPr>
    </w:p>
    <w:p w14:paraId="1733D56F">
      <w:pPr>
        <w:pStyle w:val="7"/>
        <w:keepNext w:val="0"/>
        <w:keepLines w:val="0"/>
        <w:pageBreakBefore w:val="0"/>
        <w:kinsoku/>
        <w:bidi w:val="0"/>
        <w:spacing w:line="241" w:lineRule="auto"/>
        <w:rPr>
          <w:color w:val="auto"/>
          <w:spacing w:val="0"/>
          <w:w w:val="100"/>
          <w:position w:val="0"/>
          <w:highlight w:val="none"/>
          <w:lang w:eastAsia="zh-CN"/>
        </w:rPr>
      </w:pPr>
    </w:p>
    <w:p w14:paraId="3A8FCEC7">
      <w:pPr>
        <w:pStyle w:val="7"/>
        <w:keepNext w:val="0"/>
        <w:keepLines w:val="0"/>
        <w:pageBreakBefore w:val="0"/>
        <w:kinsoku/>
        <w:bidi w:val="0"/>
        <w:spacing w:line="242" w:lineRule="auto"/>
        <w:rPr>
          <w:color w:val="auto"/>
          <w:spacing w:val="0"/>
          <w:w w:val="100"/>
          <w:position w:val="0"/>
          <w:highlight w:val="none"/>
          <w:lang w:eastAsia="zh-CN"/>
        </w:rPr>
      </w:pPr>
    </w:p>
    <w:p w14:paraId="39FC7EC3">
      <w:pPr>
        <w:pStyle w:val="7"/>
        <w:keepNext w:val="0"/>
        <w:keepLines w:val="0"/>
        <w:pageBreakBefore w:val="0"/>
        <w:kinsoku/>
        <w:bidi w:val="0"/>
        <w:spacing w:line="242" w:lineRule="auto"/>
        <w:rPr>
          <w:color w:val="auto"/>
          <w:spacing w:val="0"/>
          <w:w w:val="100"/>
          <w:position w:val="0"/>
          <w:highlight w:val="none"/>
          <w:lang w:eastAsia="zh-CN"/>
        </w:rPr>
      </w:pPr>
    </w:p>
    <w:p w14:paraId="2697C9D8">
      <w:pPr>
        <w:pStyle w:val="7"/>
        <w:keepNext w:val="0"/>
        <w:keepLines w:val="0"/>
        <w:pageBreakBefore w:val="0"/>
        <w:kinsoku/>
        <w:bidi w:val="0"/>
        <w:spacing w:line="242" w:lineRule="auto"/>
        <w:rPr>
          <w:color w:val="auto"/>
          <w:spacing w:val="0"/>
          <w:w w:val="100"/>
          <w:position w:val="0"/>
          <w:highlight w:val="none"/>
          <w:lang w:eastAsia="zh-CN"/>
        </w:rPr>
      </w:pPr>
    </w:p>
    <w:p w14:paraId="2827367E">
      <w:pPr>
        <w:pStyle w:val="7"/>
        <w:keepNext w:val="0"/>
        <w:keepLines w:val="0"/>
        <w:pageBreakBefore w:val="0"/>
        <w:kinsoku/>
        <w:bidi w:val="0"/>
        <w:spacing w:line="242" w:lineRule="auto"/>
        <w:rPr>
          <w:color w:val="auto"/>
          <w:spacing w:val="0"/>
          <w:w w:val="100"/>
          <w:position w:val="0"/>
          <w:highlight w:val="none"/>
          <w:lang w:eastAsia="zh-CN"/>
        </w:rPr>
      </w:pPr>
    </w:p>
    <w:p w14:paraId="4DF724C5">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60" w:lineRule="auto"/>
        <w:ind w:firstLine="1120" w:firstLineChars="400"/>
        <w:jc w:val="both"/>
        <w:textAlignment w:val="baseline"/>
        <w:rPr>
          <w:rFonts w:ascii="宋体" w:hAnsi="宋体" w:eastAsia="宋体" w:cs="宋体"/>
          <w:color w:val="auto"/>
          <w:spacing w:val="0"/>
          <w:w w:val="100"/>
          <w:position w:val="0"/>
          <w:sz w:val="28"/>
          <w:szCs w:val="28"/>
          <w:highlight w:val="none"/>
          <w:lang w:eastAsia="zh-CN"/>
        </w:rPr>
      </w:pPr>
      <w:r>
        <w:rPr>
          <w:rFonts w:ascii="宋体" w:hAnsi="宋体" w:eastAsia="宋体" w:cs="宋体"/>
          <w:color w:val="auto"/>
          <w:spacing w:val="0"/>
          <w:w w:val="100"/>
          <w:position w:val="0"/>
          <w:sz w:val="28"/>
          <w:szCs w:val="28"/>
          <w:highlight w:val="none"/>
          <w:lang w:eastAsia="zh-CN"/>
        </w:rPr>
        <w:t>投标人：</w:t>
      </w:r>
      <w:r>
        <w:rPr>
          <w:rFonts w:hint="eastAsia" w:ascii="宋体" w:hAnsi="宋体" w:eastAsia="宋体" w:cs="宋体"/>
          <w:color w:val="auto"/>
          <w:spacing w:val="0"/>
          <w:w w:val="100"/>
          <w:position w:val="0"/>
          <w:sz w:val="28"/>
          <w:szCs w:val="28"/>
          <w:highlight w:val="none"/>
          <w:u w:val="single"/>
          <w:lang w:val="en-US" w:eastAsia="zh-CN"/>
        </w:rPr>
        <w:t xml:space="preserve">                       </w:t>
      </w:r>
      <w:r>
        <w:rPr>
          <w:rFonts w:ascii="宋体" w:hAnsi="宋体" w:eastAsia="宋体" w:cs="宋体"/>
          <w:color w:val="auto"/>
          <w:spacing w:val="0"/>
          <w:w w:val="100"/>
          <w:position w:val="0"/>
          <w:sz w:val="28"/>
          <w:szCs w:val="28"/>
          <w:highlight w:val="none"/>
          <w:lang w:eastAsia="zh-CN"/>
        </w:rPr>
        <w:t>（盖单位章）</w:t>
      </w:r>
    </w:p>
    <w:p w14:paraId="6A060A1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60" w:lineRule="auto"/>
        <w:ind w:firstLine="1120" w:firstLineChars="400"/>
        <w:jc w:val="both"/>
        <w:textAlignment w:val="baseline"/>
        <w:rPr>
          <w:rFonts w:ascii="宋体" w:hAnsi="宋体" w:eastAsia="宋体" w:cs="宋体"/>
          <w:color w:val="auto"/>
          <w:spacing w:val="0"/>
          <w:w w:val="100"/>
          <w:position w:val="0"/>
          <w:sz w:val="28"/>
          <w:szCs w:val="28"/>
          <w:highlight w:val="none"/>
          <w:lang w:eastAsia="zh-CN"/>
        </w:rPr>
      </w:pPr>
      <w:r>
        <w:rPr>
          <w:rFonts w:ascii="宋体" w:hAnsi="宋体" w:eastAsia="宋体" w:cs="宋体"/>
          <w:color w:val="auto"/>
          <w:spacing w:val="0"/>
          <w:w w:val="100"/>
          <w:position w:val="0"/>
          <w:sz w:val="28"/>
          <w:szCs w:val="28"/>
          <w:highlight w:val="none"/>
          <w:lang w:eastAsia="zh-CN"/>
        </w:rPr>
        <w:t>法定代表人或其委托代理人：</w:t>
      </w:r>
      <w:r>
        <w:rPr>
          <w:rFonts w:hint="eastAsia" w:ascii="宋体" w:hAnsi="宋体" w:eastAsia="宋体" w:cs="宋体"/>
          <w:color w:val="auto"/>
          <w:spacing w:val="0"/>
          <w:w w:val="100"/>
          <w:position w:val="0"/>
          <w:sz w:val="28"/>
          <w:szCs w:val="28"/>
          <w:highlight w:val="none"/>
          <w:u w:val="single"/>
          <w:lang w:val="en-US" w:eastAsia="zh-CN"/>
        </w:rPr>
        <w:t xml:space="preserve">             </w:t>
      </w:r>
      <w:r>
        <w:rPr>
          <w:rFonts w:ascii="宋体" w:hAnsi="宋体" w:eastAsia="宋体" w:cs="宋体"/>
          <w:color w:val="auto"/>
          <w:spacing w:val="0"/>
          <w:w w:val="100"/>
          <w:position w:val="0"/>
          <w:sz w:val="28"/>
          <w:szCs w:val="28"/>
          <w:highlight w:val="none"/>
          <w:lang w:eastAsia="zh-CN"/>
        </w:rPr>
        <w:t>（签字或盖章）</w:t>
      </w:r>
    </w:p>
    <w:p w14:paraId="56D3A3B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360" w:lineRule="auto"/>
        <w:ind w:firstLine="1120" w:firstLineChars="400"/>
        <w:jc w:val="both"/>
        <w:textAlignment w:val="baseline"/>
        <w:rPr>
          <w:rFonts w:ascii="宋体" w:hAnsi="宋体" w:eastAsia="宋体" w:cs="宋体"/>
          <w:color w:val="auto"/>
          <w:spacing w:val="0"/>
          <w:w w:val="100"/>
          <w:position w:val="0"/>
          <w:sz w:val="28"/>
          <w:szCs w:val="28"/>
          <w:highlight w:val="none"/>
          <w:lang w:eastAsia="zh-CN"/>
        </w:rPr>
      </w:pPr>
      <w:r>
        <w:rPr>
          <w:rFonts w:hint="eastAsia" w:ascii="宋体" w:hAnsi="宋体" w:eastAsia="宋体" w:cs="宋体"/>
          <w:color w:val="auto"/>
          <w:spacing w:val="0"/>
          <w:w w:val="100"/>
          <w:position w:val="0"/>
          <w:sz w:val="28"/>
          <w:szCs w:val="28"/>
          <w:highlight w:val="none"/>
          <w:u w:val="single"/>
          <w:lang w:val="en-US" w:eastAsia="zh-CN"/>
        </w:rPr>
        <w:t xml:space="preserve">         </w:t>
      </w:r>
      <w:r>
        <w:rPr>
          <w:rFonts w:ascii="宋体" w:hAnsi="宋体" w:eastAsia="宋体" w:cs="宋体"/>
          <w:color w:val="auto"/>
          <w:spacing w:val="0"/>
          <w:w w:val="100"/>
          <w:position w:val="0"/>
          <w:sz w:val="28"/>
          <w:szCs w:val="28"/>
          <w:highlight w:val="none"/>
          <w:lang w:eastAsia="zh-CN"/>
        </w:rPr>
        <w:t>年</w:t>
      </w:r>
      <w:r>
        <w:rPr>
          <w:rFonts w:hint="eastAsia" w:ascii="宋体" w:hAnsi="宋体" w:eastAsia="宋体" w:cs="宋体"/>
          <w:color w:val="auto"/>
          <w:spacing w:val="0"/>
          <w:w w:val="100"/>
          <w:position w:val="0"/>
          <w:sz w:val="28"/>
          <w:szCs w:val="28"/>
          <w:highlight w:val="none"/>
          <w:u w:val="single"/>
          <w:lang w:val="en-US" w:eastAsia="zh-CN"/>
        </w:rPr>
        <w:t xml:space="preserve">         </w:t>
      </w:r>
      <w:r>
        <w:rPr>
          <w:rFonts w:ascii="宋体" w:hAnsi="宋体" w:eastAsia="宋体" w:cs="宋体"/>
          <w:color w:val="auto"/>
          <w:spacing w:val="0"/>
          <w:w w:val="100"/>
          <w:position w:val="0"/>
          <w:sz w:val="28"/>
          <w:szCs w:val="28"/>
          <w:highlight w:val="none"/>
          <w:lang w:eastAsia="zh-CN"/>
        </w:rPr>
        <w:t>月</w:t>
      </w:r>
      <w:r>
        <w:rPr>
          <w:rFonts w:hint="eastAsia" w:ascii="宋体" w:hAnsi="宋体" w:eastAsia="宋体" w:cs="宋体"/>
          <w:color w:val="auto"/>
          <w:spacing w:val="0"/>
          <w:w w:val="100"/>
          <w:position w:val="0"/>
          <w:sz w:val="28"/>
          <w:szCs w:val="28"/>
          <w:highlight w:val="none"/>
          <w:u w:val="single"/>
          <w:lang w:val="en-US" w:eastAsia="zh-CN"/>
        </w:rPr>
        <w:t xml:space="preserve">         </w:t>
      </w:r>
      <w:r>
        <w:rPr>
          <w:rFonts w:ascii="宋体" w:hAnsi="宋体" w:eastAsia="宋体" w:cs="宋体"/>
          <w:color w:val="auto"/>
          <w:spacing w:val="0"/>
          <w:w w:val="100"/>
          <w:position w:val="0"/>
          <w:sz w:val="28"/>
          <w:szCs w:val="28"/>
          <w:highlight w:val="none"/>
          <w:lang w:eastAsia="zh-CN"/>
        </w:rPr>
        <w:t>日</w:t>
      </w:r>
    </w:p>
    <w:p w14:paraId="5910D286">
      <w:pPr>
        <w:keepNext w:val="0"/>
        <w:keepLines w:val="0"/>
        <w:pageBreakBefore w:val="0"/>
        <w:kinsoku/>
        <w:bidi w:val="0"/>
        <w:rPr>
          <w:color w:val="auto"/>
          <w:spacing w:val="0"/>
          <w:w w:val="100"/>
          <w:position w:val="0"/>
          <w:highlight w:val="none"/>
          <w:lang w:eastAsia="zh-CN"/>
        </w:rPr>
      </w:pPr>
      <w:r>
        <w:rPr>
          <w:color w:val="auto"/>
          <w:spacing w:val="0"/>
          <w:w w:val="100"/>
          <w:position w:val="0"/>
          <w:highlight w:val="none"/>
          <w:lang w:eastAsia="zh-CN"/>
        </w:rPr>
        <w:br w:type="page"/>
      </w:r>
    </w:p>
    <w:p w14:paraId="3130EDEB">
      <w:pPr>
        <w:keepNext w:val="0"/>
        <w:keepLines w:val="0"/>
        <w:pageBreakBefore w:val="0"/>
        <w:kinsoku/>
        <w:bidi w:val="0"/>
        <w:spacing w:before="140" w:line="346" w:lineRule="auto"/>
        <w:ind w:right="31" w:rightChars="0"/>
        <w:jc w:val="center"/>
        <w:outlineLvl w:val="0"/>
        <w:rPr>
          <w:rFonts w:ascii="宋体" w:hAnsi="宋体" w:eastAsia="宋体" w:cs="宋体"/>
          <w:b/>
          <w:bCs/>
          <w:color w:val="auto"/>
          <w:spacing w:val="0"/>
          <w:w w:val="100"/>
          <w:position w:val="0"/>
          <w:sz w:val="43"/>
          <w:szCs w:val="43"/>
          <w:highlight w:val="none"/>
          <w:lang w:eastAsia="zh-CN"/>
        </w:rPr>
      </w:pPr>
      <w:bookmarkStart w:id="375" w:name="_Toc25885"/>
      <w:bookmarkStart w:id="376" w:name="_Toc19686"/>
      <w:bookmarkStart w:id="377" w:name="_Toc46"/>
      <w:bookmarkStart w:id="378" w:name="_Toc26846"/>
      <w:bookmarkStart w:id="379" w:name="_Toc1474"/>
      <w:r>
        <w:rPr>
          <w:rFonts w:ascii="宋体" w:hAnsi="宋体" w:eastAsia="宋体" w:cs="宋体"/>
          <w:b/>
          <w:bCs/>
          <w:color w:val="auto"/>
          <w:spacing w:val="0"/>
          <w:w w:val="100"/>
          <w:position w:val="0"/>
          <w:sz w:val="43"/>
          <w:szCs w:val="43"/>
          <w:highlight w:val="none"/>
          <w:lang w:eastAsia="zh-CN"/>
        </w:rPr>
        <w:t>第八章 其他资料</w:t>
      </w:r>
      <w:bookmarkEnd w:id="375"/>
      <w:bookmarkEnd w:id="376"/>
      <w:bookmarkEnd w:id="377"/>
      <w:bookmarkEnd w:id="378"/>
      <w:bookmarkEnd w:id="379"/>
    </w:p>
    <w:sectPr>
      <w:headerReference r:id="rId13" w:type="default"/>
      <w:footerReference r:id="rId14" w:type="default"/>
      <w:pgSz w:w="11905" w:h="16838"/>
      <w:pgMar w:top="1417" w:right="1417" w:bottom="1417" w:left="1417" w:header="850" w:footer="99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B4A6">
    <w:pPr>
      <w:spacing w:line="176" w:lineRule="auto"/>
      <w:ind w:left="4417"/>
      <w:jc w:val="right"/>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4437">
    <w:pPr>
      <w:spacing w:line="173" w:lineRule="auto"/>
      <w:ind w:left="4081"/>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E4F22">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FE4F22">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0573">
    <w:pPr>
      <w:spacing w:line="176" w:lineRule="auto"/>
      <w:ind w:left="4417"/>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CCD4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CCD4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34FB">
    <w:pPr>
      <w:spacing w:line="176" w:lineRule="auto"/>
      <w:ind w:left="4417"/>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9FF7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59FF7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C9D3">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319DA">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7319DA">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4563">
    <w:pPr>
      <w:spacing w:line="176" w:lineRule="auto"/>
      <w:ind w:left="7001"/>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81C1C">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F81C1C">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ED17">
    <w:pPr>
      <w:spacing w:line="176" w:lineRule="auto"/>
      <w:ind w:left="4417"/>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20B02">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120B02">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22AC">
    <w:pPr>
      <w:spacing w:line="176" w:lineRule="auto"/>
      <w:ind w:left="4539"/>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A929A">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6A929A">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1F14B">
    <w:pPr>
      <w:spacing w:line="176" w:lineRule="auto"/>
      <w:ind w:left="7009"/>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1F867">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111F867">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84A7">
    <w:pPr>
      <w:spacing w:line="176" w:lineRule="auto"/>
      <w:ind w:left="4541"/>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CA152">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CA152">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D77A">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3799">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E4A8C"/>
    <w:multiLevelType w:val="singleLevel"/>
    <w:tmpl w:val="A50E4A8C"/>
    <w:lvl w:ilvl="0" w:tentative="0">
      <w:start w:val="1"/>
      <w:numFmt w:val="decimalEnclosedCircleChinese"/>
      <w:suff w:val="nothing"/>
      <w:lvlText w:val="%1　"/>
      <w:lvlJc w:val="left"/>
      <w:pPr>
        <w:ind w:left="0" w:firstLine="400"/>
      </w:pPr>
      <w:rPr>
        <w:rFonts w:hint="eastAsia"/>
      </w:rPr>
    </w:lvl>
  </w:abstractNum>
  <w:abstractNum w:abstractNumId="1">
    <w:nsid w:val="B2CCC5D5"/>
    <w:multiLevelType w:val="singleLevel"/>
    <w:tmpl w:val="B2CCC5D5"/>
    <w:lvl w:ilvl="0" w:tentative="0">
      <w:start w:val="1"/>
      <w:numFmt w:val="decimal"/>
      <w:lvlText w:val="%1."/>
      <w:lvlJc w:val="left"/>
      <w:pPr>
        <w:ind w:left="425" w:hanging="425"/>
      </w:pPr>
      <w:rPr>
        <w:rFonts w:hint="default"/>
        <w:b/>
        <w:bCs/>
      </w:rPr>
    </w:lvl>
  </w:abstractNum>
  <w:abstractNum w:abstractNumId="2">
    <w:nsid w:val="B56DAC5A"/>
    <w:multiLevelType w:val="singleLevel"/>
    <w:tmpl w:val="B56DAC5A"/>
    <w:lvl w:ilvl="0" w:tentative="0">
      <w:start w:val="1"/>
      <w:numFmt w:val="decimal"/>
      <w:lvlText w:val="(%1)"/>
      <w:lvlJc w:val="left"/>
      <w:pPr>
        <w:ind w:left="425" w:hanging="425"/>
      </w:pPr>
      <w:rPr>
        <w:rFonts w:hint="default"/>
        <w:b/>
        <w:bCs/>
      </w:rPr>
    </w:lvl>
  </w:abstractNum>
  <w:abstractNum w:abstractNumId="3">
    <w:nsid w:val="BDCDEFDD"/>
    <w:multiLevelType w:val="singleLevel"/>
    <w:tmpl w:val="BDCDEFDD"/>
    <w:lvl w:ilvl="0" w:tentative="0">
      <w:start w:val="1"/>
      <w:numFmt w:val="decimalEnclosedCircleChinese"/>
      <w:suff w:val="nothing"/>
      <w:lvlText w:val="%1　"/>
      <w:lvlJc w:val="left"/>
      <w:pPr>
        <w:ind w:left="0" w:firstLine="400"/>
      </w:pPr>
      <w:rPr>
        <w:rFonts w:hint="eastAsia"/>
      </w:rPr>
    </w:lvl>
  </w:abstractNum>
  <w:abstractNum w:abstractNumId="4">
    <w:nsid w:val="BE8BD952"/>
    <w:multiLevelType w:val="singleLevel"/>
    <w:tmpl w:val="BE8BD952"/>
    <w:lvl w:ilvl="0" w:tentative="0">
      <w:start w:val="1"/>
      <w:numFmt w:val="decimalEnclosedCircleChinese"/>
      <w:suff w:val="nothing"/>
      <w:lvlText w:val="%1　"/>
      <w:lvlJc w:val="left"/>
      <w:pPr>
        <w:ind w:left="0" w:firstLine="400"/>
      </w:pPr>
      <w:rPr>
        <w:rFonts w:hint="eastAsia"/>
      </w:rPr>
    </w:lvl>
  </w:abstractNum>
  <w:abstractNum w:abstractNumId="5">
    <w:nsid w:val="C94744B5"/>
    <w:multiLevelType w:val="singleLevel"/>
    <w:tmpl w:val="C94744B5"/>
    <w:lvl w:ilvl="0" w:tentative="0">
      <w:start w:val="1"/>
      <w:numFmt w:val="chineseCounting"/>
      <w:suff w:val="nothing"/>
      <w:lvlText w:val="%1、"/>
      <w:lvlJc w:val="left"/>
      <w:pPr>
        <w:ind w:left="0" w:firstLine="420"/>
      </w:pPr>
      <w:rPr>
        <w:rFonts w:hint="eastAsia"/>
      </w:rPr>
    </w:lvl>
  </w:abstractNum>
  <w:abstractNum w:abstractNumId="6">
    <w:nsid w:val="C983456F"/>
    <w:multiLevelType w:val="singleLevel"/>
    <w:tmpl w:val="C983456F"/>
    <w:lvl w:ilvl="0" w:tentative="0">
      <w:start w:val="1"/>
      <w:numFmt w:val="decimal"/>
      <w:lvlText w:val="%1."/>
      <w:lvlJc w:val="left"/>
      <w:pPr>
        <w:ind w:left="425" w:hanging="425"/>
      </w:pPr>
      <w:rPr>
        <w:rFonts w:hint="default"/>
        <w:b/>
        <w:bCs/>
      </w:rPr>
    </w:lvl>
  </w:abstractNum>
  <w:abstractNum w:abstractNumId="7">
    <w:nsid w:val="CF60F07E"/>
    <w:multiLevelType w:val="singleLevel"/>
    <w:tmpl w:val="CF60F07E"/>
    <w:lvl w:ilvl="0" w:tentative="0">
      <w:start w:val="1"/>
      <w:numFmt w:val="chineseCounting"/>
      <w:pStyle w:val="28"/>
      <w:suff w:val="nothing"/>
      <w:lvlText w:val="%1、"/>
      <w:lvlJc w:val="left"/>
      <w:pPr>
        <w:ind w:left="0" w:firstLine="420"/>
      </w:pPr>
      <w:rPr>
        <w:rFonts w:hint="eastAsia"/>
      </w:rPr>
    </w:lvl>
  </w:abstractNum>
  <w:abstractNum w:abstractNumId="8">
    <w:nsid w:val="D821D47F"/>
    <w:multiLevelType w:val="multilevel"/>
    <w:tmpl w:val="D821D47F"/>
    <w:lvl w:ilvl="0" w:tentative="0">
      <w:start w:val="1"/>
      <w:numFmt w:val="chineseCounting"/>
      <w:pStyle w:val="3"/>
      <w:suff w:val="nothing"/>
      <w:lvlText w:val="%1、"/>
      <w:lvlJc w:val="left"/>
      <w:pPr>
        <w:ind w:left="0" w:firstLine="0"/>
      </w:pPr>
      <w:rPr>
        <w:rFonts w:hint="eastAsia" w:ascii="宋体" w:hAnsi="宋体" w:eastAsia="宋体" w:cs="宋体"/>
      </w:rPr>
    </w:lvl>
    <w:lvl w:ilvl="1" w:tentative="0">
      <w:start w:val="1"/>
      <w:numFmt w:val="chineseCounting"/>
      <w:suff w:val="nothing"/>
      <w:lvlText w:val="（%2）"/>
      <w:lvlJc w:val="left"/>
      <w:pPr>
        <w:tabs>
          <w:tab w:val="left" w:pos="0"/>
        </w:tabs>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D8620015"/>
    <w:multiLevelType w:val="singleLevel"/>
    <w:tmpl w:val="D8620015"/>
    <w:lvl w:ilvl="0" w:tentative="0">
      <w:start w:val="1"/>
      <w:numFmt w:val="decimalEnclosedCircleChinese"/>
      <w:suff w:val="nothing"/>
      <w:lvlText w:val="%1　"/>
      <w:lvlJc w:val="left"/>
      <w:pPr>
        <w:ind w:left="0" w:firstLine="400"/>
      </w:pPr>
      <w:rPr>
        <w:rFonts w:hint="eastAsia"/>
      </w:rPr>
    </w:lvl>
  </w:abstractNum>
  <w:abstractNum w:abstractNumId="10">
    <w:nsid w:val="D92B8CC5"/>
    <w:multiLevelType w:val="singleLevel"/>
    <w:tmpl w:val="D92B8CC5"/>
    <w:lvl w:ilvl="0" w:tentative="0">
      <w:start w:val="1"/>
      <w:numFmt w:val="decimal"/>
      <w:lvlText w:val="(%1)"/>
      <w:lvlJc w:val="left"/>
      <w:pPr>
        <w:ind w:left="425" w:hanging="425"/>
      </w:pPr>
      <w:rPr>
        <w:rFonts w:hint="default"/>
        <w:b/>
        <w:bCs/>
      </w:rPr>
    </w:lvl>
  </w:abstractNum>
  <w:abstractNum w:abstractNumId="11">
    <w:nsid w:val="E6414578"/>
    <w:multiLevelType w:val="singleLevel"/>
    <w:tmpl w:val="E6414578"/>
    <w:lvl w:ilvl="0" w:tentative="0">
      <w:start w:val="1"/>
      <w:numFmt w:val="decimal"/>
      <w:lvlText w:val="(%1)"/>
      <w:lvlJc w:val="left"/>
      <w:pPr>
        <w:ind w:left="425" w:hanging="425"/>
      </w:pPr>
      <w:rPr>
        <w:rFonts w:hint="default" w:ascii="微软雅黑" w:hAnsi="微软雅黑" w:eastAsia="微软雅黑" w:cs="微软雅黑"/>
        <w:b/>
        <w:bCs/>
        <w:sz w:val="24"/>
        <w:szCs w:val="24"/>
      </w:rPr>
    </w:lvl>
  </w:abstractNum>
  <w:abstractNum w:abstractNumId="12">
    <w:nsid w:val="0AC5E1F3"/>
    <w:multiLevelType w:val="singleLevel"/>
    <w:tmpl w:val="0AC5E1F3"/>
    <w:lvl w:ilvl="0" w:tentative="0">
      <w:start w:val="1"/>
      <w:numFmt w:val="decimal"/>
      <w:lvlText w:val="(%1)"/>
      <w:lvlJc w:val="left"/>
      <w:pPr>
        <w:ind w:left="425" w:hanging="425"/>
      </w:pPr>
      <w:rPr>
        <w:rFonts w:hint="default"/>
      </w:rPr>
    </w:lvl>
  </w:abstractNum>
  <w:abstractNum w:abstractNumId="13">
    <w:nsid w:val="185B7871"/>
    <w:multiLevelType w:val="singleLevel"/>
    <w:tmpl w:val="185B7871"/>
    <w:lvl w:ilvl="0" w:tentative="0">
      <w:start w:val="1"/>
      <w:numFmt w:val="decimalEnclosedCircleChinese"/>
      <w:suff w:val="nothing"/>
      <w:lvlText w:val="%1　"/>
      <w:lvlJc w:val="left"/>
      <w:pPr>
        <w:ind w:left="0" w:firstLine="400"/>
      </w:pPr>
      <w:rPr>
        <w:rFonts w:hint="eastAsia"/>
      </w:rPr>
    </w:lvl>
  </w:abstractNum>
  <w:abstractNum w:abstractNumId="14">
    <w:nsid w:val="203A84FD"/>
    <w:multiLevelType w:val="singleLevel"/>
    <w:tmpl w:val="203A84FD"/>
    <w:lvl w:ilvl="0" w:tentative="0">
      <w:start w:val="1"/>
      <w:numFmt w:val="decimalEnclosedCircleChinese"/>
      <w:suff w:val="nothing"/>
      <w:lvlText w:val="%1　"/>
      <w:lvlJc w:val="left"/>
      <w:pPr>
        <w:ind w:left="0" w:firstLine="400"/>
      </w:pPr>
      <w:rPr>
        <w:rFonts w:hint="eastAsia"/>
      </w:rPr>
    </w:lvl>
  </w:abstractNum>
  <w:abstractNum w:abstractNumId="15">
    <w:nsid w:val="39F77CD0"/>
    <w:multiLevelType w:val="singleLevel"/>
    <w:tmpl w:val="39F77CD0"/>
    <w:lvl w:ilvl="0" w:tentative="0">
      <w:start w:val="1"/>
      <w:numFmt w:val="decimal"/>
      <w:lvlText w:val="(%1)"/>
      <w:lvlJc w:val="left"/>
      <w:pPr>
        <w:ind w:left="425" w:hanging="425"/>
      </w:pPr>
      <w:rPr>
        <w:rFonts w:hint="default" w:ascii="微软雅黑" w:hAnsi="微软雅黑" w:eastAsia="微软雅黑" w:cs="微软雅黑"/>
        <w:b/>
        <w:bCs/>
        <w:sz w:val="24"/>
        <w:szCs w:val="24"/>
      </w:rPr>
    </w:lvl>
  </w:abstractNum>
  <w:abstractNum w:abstractNumId="16">
    <w:nsid w:val="42B4F6F1"/>
    <w:multiLevelType w:val="singleLevel"/>
    <w:tmpl w:val="42B4F6F1"/>
    <w:lvl w:ilvl="0" w:tentative="0">
      <w:start w:val="4"/>
      <w:numFmt w:val="chineseCounting"/>
      <w:lvlText w:val="(%1)"/>
      <w:lvlJc w:val="left"/>
      <w:pPr>
        <w:tabs>
          <w:tab w:val="left" w:pos="312"/>
        </w:tabs>
      </w:pPr>
      <w:rPr>
        <w:rFonts w:hint="eastAsia"/>
      </w:rPr>
    </w:lvl>
  </w:abstractNum>
  <w:abstractNum w:abstractNumId="17">
    <w:nsid w:val="4D54C1FA"/>
    <w:multiLevelType w:val="singleLevel"/>
    <w:tmpl w:val="4D54C1FA"/>
    <w:lvl w:ilvl="0" w:tentative="0">
      <w:start w:val="1"/>
      <w:numFmt w:val="decimal"/>
      <w:lvlText w:val="(%1)"/>
      <w:lvlJc w:val="left"/>
      <w:pPr>
        <w:ind w:left="425" w:hanging="425"/>
      </w:pPr>
      <w:rPr>
        <w:rFonts w:hint="default"/>
      </w:rPr>
    </w:lvl>
  </w:abstractNum>
  <w:abstractNum w:abstractNumId="18">
    <w:nsid w:val="5B08A85D"/>
    <w:multiLevelType w:val="singleLevel"/>
    <w:tmpl w:val="5B08A85D"/>
    <w:lvl w:ilvl="0" w:tentative="0">
      <w:start w:val="1"/>
      <w:numFmt w:val="decimal"/>
      <w:lvlText w:val="%1."/>
      <w:lvlJc w:val="left"/>
      <w:pPr>
        <w:ind w:left="425" w:hanging="425"/>
      </w:pPr>
      <w:rPr>
        <w:rFonts w:hint="default"/>
        <w:b/>
        <w:bCs/>
      </w:rPr>
    </w:lvl>
  </w:abstractNum>
  <w:abstractNum w:abstractNumId="19">
    <w:nsid w:val="5C2945EB"/>
    <w:multiLevelType w:val="singleLevel"/>
    <w:tmpl w:val="5C2945EB"/>
    <w:lvl w:ilvl="0" w:tentative="0">
      <w:start w:val="1"/>
      <w:numFmt w:val="decimal"/>
      <w:lvlText w:val="(%1)"/>
      <w:lvlJc w:val="left"/>
      <w:pPr>
        <w:ind w:left="425" w:hanging="425"/>
      </w:pPr>
      <w:rPr>
        <w:rFonts w:hint="default"/>
      </w:rPr>
    </w:lvl>
  </w:abstractNum>
  <w:abstractNum w:abstractNumId="20">
    <w:nsid w:val="5FCAA7D5"/>
    <w:multiLevelType w:val="singleLevel"/>
    <w:tmpl w:val="5FCAA7D5"/>
    <w:lvl w:ilvl="0" w:tentative="0">
      <w:start w:val="1"/>
      <w:numFmt w:val="decimal"/>
      <w:lvlText w:val="%1."/>
      <w:lvlJc w:val="left"/>
      <w:pPr>
        <w:ind w:left="425" w:hanging="425"/>
      </w:pPr>
      <w:rPr>
        <w:rFonts w:hint="default"/>
        <w:b/>
        <w:bCs/>
      </w:rPr>
    </w:lvl>
  </w:abstractNum>
  <w:abstractNum w:abstractNumId="21">
    <w:nsid w:val="697272F7"/>
    <w:multiLevelType w:val="singleLevel"/>
    <w:tmpl w:val="697272F7"/>
    <w:lvl w:ilvl="0" w:tentative="0">
      <w:start w:val="1"/>
      <w:numFmt w:val="decimal"/>
      <w:lvlText w:val="(%1)"/>
      <w:lvlJc w:val="left"/>
      <w:pPr>
        <w:ind w:left="425" w:hanging="425"/>
      </w:pPr>
      <w:rPr>
        <w:rFonts w:hint="default" w:ascii="微软雅黑" w:hAnsi="微软雅黑" w:eastAsia="微软雅黑" w:cs="微软雅黑"/>
        <w:b/>
        <w:bCs/>
        <w:sz w:val="24"/>
        <w:szCs w:val="24"/>
      </w:rPr>
    </w:lvl>
  </w:abstractNum>
  <w:abstractNum w:abstractNumId="22">
    <w:nsid w:val="793D7D28"/>
    <w:multiLevelType w:val="singleLevel"/>
    <w:tmpl w:val="793D7D28"/>
    <w:lvl w:ilvl="0" w:tentative="0">
      <w:start w:val="1"/>
      <w:numFmt w:val="decimal"/>
      <w:suff w:val="nothing"/>
      <w:lvlText w:val="%1、"/>
      <w:lvlJc w:val="left"/>
    </w:lvl>
  </w:abstractNum>
  <w:abstractNum w:abstractNumId="23">
    <w:nsid w:val="7D7AD068"/>
    <w:multiLevelType w:val="singleLevel"/>
    <w:tmpl w:val="7D7AD068"/>
    <w:lvl w:ilvl="0" w:tentative="0">
      <w:start w:val="6"/>
      <w:numFmt w:val="chineseCounting"/>
      <w:suff w:val="space"/>
      <w:lvlText w:val="第%1章"/>
      <w:lvlJc w:val="left"/>
      <w:rPr>
        <w:rFonts w:hint="eastAsia"/>
      </w:rPr>
    </w:lvl>
  </w:abstractNum>
  <w:num w:numId="1">
    <w:abstractNumId w:val="8"/>
  </w:num>
  <w:num w:numId="2">
    <w:abstractNumId w:val="7"/>
  </w:num>
  <w:num w:numId="3">
    <w:abstractNumId w:val="22"/>
  </w:num>
  <w:num w:numId="4">
    <w:abstractNumId w:val="23"/>
  </w:num>
  <w:num w:numId="5">
    <w:abstractNumId w:val="5"/>
  </w:num>
  <w:num w:numId="6">
    <w:abstractNumId w:val="1"/>
  </w:num>
  <w:num w:numId="7">
    <w:abstractNumId w:val="19"/>
  </w:num>
  <w:num w:numId="8">
    <w:abstractNumId w:val="18"/>
  </w:num>
  <w:num w:numId="9">
    <w:abstractNumId w:val="17"/>
  </w:num>
  <w:num w:numId="10">
    <w:abstractNumId w:val="6"/>
  </w:num>
  <w:num w:numId="11">
    <w:abstractNumId w:val="10"/>
  </w:num>
  <w:num w:numId="12">
    <w:abstractNumId w:val="13"/>
  </w:num>
  <w:num w:numId="13">
    <w:abstractNumId w:val="12"/>
  </w:num>
  <w:num w:numId="14">
    <w:abstractNumId w:val="4"/>
  </w:num>
  <w:num w:numId="15">
    <w:abstractNumId w:val="20"/>
  </w:num>
  <w:num w:numId="16">
    <w:abstractNumId w:val="2"/>
  </w:num>
  <w:num w:numId="17">
    <w:abstractNumId w:val="14"/>
  </w:num>
  <w:num w:numId="18">
    <w:abstractNumId w:val="11"/>
  </w:num>
  <w:num w:numId="19">
    <w:abstractNumId w:val="0"/>
  </w:num>
  <w:num w:numId="20">
    <w:abstractNumId w:val="21"/>
  </w:num>
  <w:num w:numId="21">
    <w:abstractNumId w:val="3"/>
  </w:num>
  <w:num w:numId="22">
    <w:abstractNumId w:val="16"/>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trackRevisions w:val="1"/>
  <w:documentProtection w:enforcement="0"/>
  <w:defaultTabStop w:val="420"/>
  <w:evenAndOddHeaders w:val="1"/>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8E"/>
    <w:rsid w:val="00047D0B"/>
    <w:rsid w:val="003F71E5"/>
    <w:rsid w:val="004A5F72"/>
    <w:rsid w:val="0053336C"/>
    <w:rsid w:val="00704F88"/>
    <w:rsid w:val="00896B3D"/>
    <w:rsid w:val="0092236B"/>
    <w:rsid w:val="00A34E8E"/>
    <w:rsid w:val="00A551B1"/>
    <w:rsid w:val="00C1582E"/>
    <w:rsid w:val="00C823C4"/>
    <w:rsid w:val="00D07510"/>
    <w:rsid w:val="00E93016"/>
    <w:rsid w:val="01211AD4"/>
    <w:rsid w:val="017B5688"/>
    <w:rsid w:val="01BE5C92"/>
    <w:rsid w:val="02C20718"/>
    <w:rsid w:val="02C95E84"/>
    <w:rsid w:val="02CE17E8"/>
    <w:rsid w:val="02D7069C"/>
    <w:rsid w:val="038F541B"/>
    <w:rsid w:val="03CF6C18"/>
    <w:rsid w:val="03D270B5"/>
    <w:rsid w:val="03DD7F34"/>
    <w:rsid w:val="04234471"/>
    <w:rsid w:val="043F0BEF"/>
    <w:rsid w:val="04826D2E"/>
    <w:rsid w:val="05B64463"/>
    <w:rsid w:val="05B747B5"/>
    <w:rsid w:val="067F20E5"/>
    <w:rsid w:val="06F03716"/>
    <w:rsid w:val="07080DE0"/>
    <w:rsid w:val="078057A6"/>
    <w:rsid w:val="085B4AE8"/>
    <w:rsid w:val="097F15B2"/>
    <w:rsid w:val="098B21E0"/>
    <w:rsid w:val="09AF2373"/>
    <w:rsid w:val="09E162A4"/>
    <w:rsid w:val="0A7809B7"/>
    <w:rsid w:val="0A8C4462"/>
    <w:rsid w:val="0A9D666F"/>
    <w:rsid w:val="0AA706C5"/>
    <w:rsid w:val="0B0F1247"/>
    <w:rsid w:val="0B845139"/>
    <w:rsid w:val="0D8706D4"/>
    <w:rsid w:val="0D996493"/>
    <w:rsid w:val="0DA84B6F"/>
    <w:rsid w:val="0DAD4E1B"/>
    <w:rsid w:val="0FF36CF0"/>
    <w:rsid w:val="0FF705D0"/>
    <w:rsid w:val="10765998"/>
    <w:rsid w:val="110F1949"/>
    <w:rsid w:val="11627CCB"/>
    <w:rsid w:val="117C25CF"/>
    <w:rsid w:val="11E626AA"/>
    <w:rsid w:val="11F71000"/>
    <w:rsid w:val="120174E4"/>
    <w:rsid w:val="12925044"/>
    <w:rsid w:val="12CD4115"/>
    <w:rsid w:val="148166BA"/>
    <w:rsid w:val="14F96B98"/>
    <w:rsid w:val="158541F7"/>
    <w:rsid w:val="15D867AD"/>
    <w:rsid w:val="16780418"/>
    <w:rsid w:val="16895CFA"/>
    <w:rsid w:val="174C2372"/>
    <w:rsid w:val="17516817"/>
    <w:rsid w:val="17756AF6"/>
    <w:rsid w:val="17AA223E"/>
    <w:rsid w:val="180B4D69"/>
    <w:rsid w:val="185E17BD"/>
    <w:rsid w:val="19616ABA"/>
    <w:rsid w:val="1B4432C9"/>
    <w:rsid w:val="1C736C13"/>
    <w:rsid w:val="1DCC1FFE"/>
    <w:rsid w:val="1E1A4DE3"/>
    <w:rsid w:val="1E20277C"/>
    <w:rsid w:val="1E937715"/>
    <w:rsid w:val="1ECD1041"/>
    <w:rsid w:val="1F2B444D"/>
    <w:rsid w:val="1F334A54"/>
    <w:rsid w:val="203377E2"/>
    <w:rsid w:val="208A2D9A"/>
    <w:rsid w:val="20FF72E4"/>
    <w:rsid w:val="2104429D"/>
    <w:rsid w:val="21AA36F4"/>
    <w:rsid w:val="22607D6F"/>
    <w:rsid w:val="22A30143"/>
    <w:rsid w:val="22BE4F7D"/>
    <w:rsid w:val="22D4654E"/>
    <w:rsid w:val="2358159F"/>
    <w:rsid w:val="24013373"/>
    <w:rsid w:val="24401A0B"/>
    <w:rsid w:val="244B2840"/>
    <w:rsid w:val="24623857"/>
    <w:rsid w:val="24793D2F"/>
    <w:rsid w:val="24F84F78"/>
    <w:rsid w:val="256B42DF"/>
    <w:rsid w:val="26655E3B"/>
    <w:rsid w:val="26806E46"/>
    <w:rsid w:val="26A50DE3"/>
    <w:rsid w:val="278735DE"/>
    <w:rsid w:val="279544FE"/>
    <w:rsid w:val="28233C08"/>
    <w:rsid w:val="29E452C9"/>
    <w:rsid w:val="2A2B43A5"/>
    <w:rsid w:val="2C155C0E"/>
    <w:rsid w:val="2C3D33B6"/>
    <w:rsid w:val="2C6E531E"/>
    <w:rsid w:val="2C905755"/>
    <w:rsid w:val="2CB01DDA"/>
    <w:rsid w:val="2D430A35"/>
    <w:rsid w:val="2DA550E6"/>
    <w:rsid w:val="2DAD1E76"/>
    <w:rsid w:val="2E220AB6"/>
    <w:rsid w:val="2EC333C5"/>
    <w:rsid w:val="2F036390"/>
    <w:rsid w:val="30BC0D4E"/>
    <w:rsid w:val="30E70F3F"/>
    <w:rsid w:val="3179558B"/>
    <w:rsid w:val="318B0720"/>
    <w:rsid w:val="31BD2FCF"/>
    <w:rsid w:val="322D10E0"/>
    <w:rsid w:val="32A816A9"/>
    <w:rsid w:val="32C62AE5"/>
    <w:rsid w:val="32FE5564"/>
    <w:rsid w:val="332B36E5"/>
    <w:rsid w:val="332B3F69"/>
    <w:rsid w:val="33A15EDF"/>
    <w:rsid w:val="33B56690"/>
    <w:rsid w:val="342F5CDB"/>
    <w:rsid w:val="34477B40"/>
    <w:rsid w:val="349B3370"/>
    <w:rsid w:val="34D80B86"/>
    <w:rsid w:val="358B0CEF"/>
    <w:rsid w:val="35EF6AB5"/>
    <w:rsid w:val="365C268B"/>
    <w:rsid w:val="369474C4"/>
    <w:rsid w:val="36D640B3"/>
    <w:rsid w:val="377834F5"/>
    <w:rsid w:val="377A726D"/>
    <w:rsid w:val="38545D10"/>
    <w:rsid w:val="38975BFC"/>
    <w:rsid w:val="38F82B3F"/>
    <w:rsid w:val="38FF32C7"/>
    <w:rsid w:val="390037A2"/>
    <w:rsid w:val="39113159"/>
    <w:rsid w:val="39F0447E"/>
    <w:rsid w:val="3A4566E3"/>
    <w:rsid w:val="3A8B5B27"/>
    <w:rsid w:val="3AA46E86"/>
    <w:rsid w:val="3B6827FC"/>
    <w:rsid w:val="3BA21765"/>
    <w:rsid w:val="3C836BC3"/>
    <w:rsid w:val="3CCA65A0"/>
    <w:rsid w:val="3D6C58AA"/>
    <w:rsid w:val="3E0D4712"/>
    <w:rsid w:val="3E99447C"/>
    <w:rsid w:val="3EE80688"/>
    <w:rsid w:val="3FA662D3"/>
    <w:rsid w:val="3FCF485A"/>
    <w:rsid w:val="406B1E48"/>
    <w:rsid w:val="408353E4"/>
    <w:rsid w:val="409D025C"/>
    <w:rsid w:val="40C33A32"/>
    <w:rsid w:val="412546ED"/>
    <w:rsid w:val="41790595"/>
    <w:rsid w:val="41E304D3"/>
    <w:rsid w:val="425863FC"/>
    <w:rsid w:val="42A31D6D"/>
    <w:rsid w:val="42CB4E20"/>
    <w:rsid w:val="43EF4B3E"/>
    <w:rsid w:val="443B5FD6"/>
    <w:rsid w:val="445B5032"/>
    <w:rsid w:val="44C1472D"/>
    <w:rsid w:val="45202DB0"/>
    <w:rsid w:val="45980899"/>
    <w:rsid w:val="46001285"/>
    <w:rsid w:val="47024187"/>
    <w:rsid w:val="47372A84"/>
    <w:rsid w:val="47A4357F"/>
    <w:rsid w:val="47A619B8"/>
    <w:rsid w:val="48541EC1"/>
    <w:rsid w:val="48AE18DF"/>
    <w:rsid w:val="491B0746"/>
    <w:rsid w:val="49283A9F"/>
    <w:rsid w:val="494D47E1"/>
    <w:rsid w:val="49DE7B2F"/>
    <w:rsid w:val="4A8D1E4E"/>
    <w:rsid w:val="4ABA6BD2"/>
    <w:rsid w:val="4AC81295"/>
    <w:rsid w:val="4ADE3FEF"/>
    <w:rsid w:val="4B7400D0"/>
    <w:rsid w:val="4B853CFA"/>
    <w:rsid w:val="4CA961D2"/>
    <w:rsid w:val="4D485B61"/>
    <w:rsid w:val="4DAD1CF2"/>
    <w:rsid w:val="4E1103A0"/>
    <w:rsid w:val="4E141D71"/>
    <w:rsid w:val="4E2D698F"/>
    <w:rsid w:val="4E37780E"/>
    <w:rsid w:val="4E761085"/>
    <w:rsid w:val="4E7E543D"/>
    <w:rsid w:val="4E816CDB"/>
    <w:rsid w:val="4F193C7E"/>
    <w:rsid w:val="4FFE13B8"/>
    <w:rsid w:val="503C735D"/>
    <w:rsid w:val="506F7733"/>
    <w:rsid w:val="5075461D"/>
    <w:rsid w:val="50FA3025"/>
    <w:rsid w:val="518E1E3B"/>
    <w:rsid w:val="51ED2108"/>
    <w:rsid w:val="52791A19"/>
    <w:rsid w:val="52E31D12"/>
    <w:rsid w:val="554E3DBB"/>
    <w:rsid w:val="557857AC"/>
    <w:rsid w:val="55B31E70"/>
    <w:rsid w:val="55D831E4"/>
    <w:rsid w:val="56502307"/>
    <w:rsid w:val="56702C12"/>
    <w:rsid w:val="5684380C"/>
    <w:rsid w:val="57BE68AA"/>
    <w:rsid w:val="57F63563"/>
    <w:rsid w:val="58781B21"/>
    <w:rsid w:val="58A61818"/>
    <w:rsid w:val="58DA7713"/>
    <w:rsid w:val="59457283"/>
    <w:rsid w:val="5A504131"/>
    <w:rsid w:val="5A6D5E65"/>
    <w:rsid w:val="5ACE32A8"/>
    <w:rsid w:val="5B61236E"/>
    <w:rsid w:val="5BB653D1"/>
    <w:rsid w:val="5BBE331C"/>
    <w:rsid w:val="5BDE63C8"/>
    <w:rsid w:val="5BF77312"/>
    <w:rsid w:val="5CE83676"/>
    <w:rsid w:val="5D11060C"/>
    <w:rsid w:val="5D68532E"/>
    <w:rsid w:val="5D7E0FB5"/>
    <w:rsid w:val="5E766130"/>
    <w:rsid w:val="5EA77D95"/>
    <w:rsid w:val="5F8B5C0B"/>
    <w:rsid w:val="60433DF0"/>
    <w:rsid w:val="604E48A8"/>
    <w:rsid w:val="60706935"/>
    <w:rsid w:val="60F577E0"/>
    <w:rsid w:val="61691F7C"/>
    <w:rsid w:val="619B7F1E"/>
    <w:rsid w:val="61DA0784"/>
    <w:rsid w:val="620E1D73"/>
    <w:rsid w:val="62194B7D"/>
    <w:rsid w:val="62397085"/>
    <w:rsid w:val="6302528A"/>
    <w:rsid w:val="6343752F"/>
    <w:rsid w:val="63DE27AE"/>
    <w:rsid w:val="644B5969"/>
    <w:rsid w:val="64630F05"/>
    <w:rsid w:val="64EC2CA8"/>
    <w:rsid w:val="653434E8"/>
    <w:rsid w:val="6541203B"/>
    <w:rsid w:val="65B64AE2"/>
    <w:rsid w:val="65E54896"/>
    <w:rsid w:val="662369EB"/>
    <w:rsid w:val="667B2536"/>
    <w:rsid w:val="66B31025"/>
    <w:rsid w:val="67564D51"/>
    <w:rsid w:val="67DC2A64"/>
    <w:rsid w:val="68751207"/>
    <w:rsid w:val="68C1269E"/>
    <w:rsid w:val="69714AA1"/>
    <w:rsid w:val="6AA81A39"/>
    <w:rsid w:val="6AC02C0D"/>
    <w:rsid w:val="6C3F7B62"/>
    <w:rsid w:val="6CA20FEC"/>
    <w:rsid w:val="6CBF5146"/>
    <w:rsid w:val="6DB4557F"/>
    <w:rsid w:val="6DFB6484"/>
    <w:rsid w:val="6E063B0A"/>
    <w:rsid w:val="6E3F5CED"/>
    <w:rsid w:val="6E4771A1"/>
    <w:rsid w:val="6F0E7CBF"/>
    <w:rsid w:val="6FC7059A"/>
    <w:rsid w:val="70441BEA"/>
    <w:rsid w:val="71511C89"/>
    <w:rsid w:val="71685454"/>
    <w:rsid w:val="71AB7A47"/>
    <w:rsid w:val="71DC2028"/>
    <w:rsid w:val="71EA4A14"/>
    <w:rsid w:val="720C2BDC"/>
    <w:rsid w:val="723212C4"/>
    <w:rsid w:val="72C9287B"/>
    <w:rsid w:val="72ED47BB"/>
    <w:rsid w:val="73CD470A"/>
    <w:rsid w:val="740718AD"/>
    <w:rsid w:val="742C4E6F"/>
    <w:rsid w:val="74512B28"/>
    <w:rsid w:val="74626AE3"/>
    <w:rsid w:val="74AF11D5"/>
    <w:rsid w:val="74B041C4"/>
    <w:rsid w:val="755607BC"/>
    <w:rsid w:val="75EE4750"/>
    <w:rsid w:val="76341D7D"/>
    <w:rsid w:val="766034F6"/>
    <w:rsid w:val="766A7ED1"/>
    <w:rsid w:val="776B3F01"/>
    <w:rsid w:val="77B77146"/>
    <w:rsid w:val="78250553"/>
    <w:rsid w:val="78293636"/>
    <w:rsid w:val="78907976"/>
    <w:rsid w:val="78B909A2"/>
    <w:rsid w:val="78CC717A"/>
    <w:rsid w:val="78EA002E"/>
    <w:rsid w:val="7A2B21B0"/>
    <w:rsid w:val="7AD973D3"/>
    <w:rsid w:val="7BB14BA5"/>
    <w:rsid w:val="7BB87930"/>
    <w:rsid w:val="7CB65C1E"/>
    <w:rsid w:val="7CC362C6"/>
    <w:rsid w:val="7CF46746"/>
    <w:rsid w:val="7D922B23"/>
    <w:rsid w:val="7DB83C18"/>
    <w:rsid w:val="7DBC376A"/>
    <w:rsid w:val="7DD32800"/>
    <w:rsid w:val="7EFB3DBC"/>
    <w:rsid w:val="7F1B445E"/>
    <w:rsid w:val="7F2A28F3"/>
    <w:rsid w:val="7FED44D4"/>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widowControl/>
      <w:numPr>
        <w:ilvl w:val="0"/>
        <w:numId w:val="1"/>
      </w:numPr>
      <w:spacing w:beforeLines="0" w:beforeAutospacing="0" w:afterLines="0" w:afterAutospacing="0" w:line="580" w:lineRule="exact"/>
      <w:ind w:firstLine="883" w:firstLineChars="200"/>
      <w:jc w:val="left"/>
      <w:outlineLvl w:val="0"/>
    </w:pPr>
    <w:rPr>
      <w:rFonts w:eastAsia="黑体"/>
      <w:b/>
      <w:kern w:val="44"/>
    </w:rPr>
  </w:style>
  <w:style w:type="paragraph" w:styleId="4">
    <w:name w:val="heading 4"/>
    <w:basedOn w:val="1"/>
    <w:next w:val="1"/>
    <w:link w:val="22"/>
    <w:qFormat/>
    <w:uiPriority w:val="9"/>
    <w:pPr>
      <w:keepNext/>
      <w:keepLines/>
      <w:widowControl w:val="0"/>
      <w:kinsoku/>
      <w:autoSpaceDE/>
      <w:autoSpaceDN/>
      <w:adjustRightInd/>
      <w:snapToGrid/>
      <w:spacing w:before="280" w:after="290" w:line="374" w:lineRule="auto"/>
      <w:jc w:val="both"/>
      <w:textAlignment w:val="auto"/>
      <w:outlineLvl w:val="3"/>
    </w:pPr>
    <w:rPr>
      <w:rFonts w:eastAsia="黑体" w:cs="Times New Roman"/>
      <w:b/>
      <w:bCs/>
      <w:snapToGrid/>
      <w:color w:val="auto"/>
      <w:kern w:val="2"/>
      <w:sz w:val="28"/>
      <w:szCs w:val="28"/>
      <w:lang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Normal Indent"/>
    <w:basedOn w:val="1"/>
    <w:next w:val="1"/>
    <w:qFormat/>
    <w:uiPriority w:val="0"/>
  </w:style>
  <w:style w:type="paragraph" w:styleId="6">
    <w:name w:val="annotation text"/>
    <w:basedOn w:val="1"/>
    <w:qFormat/>
    <w:uiPriority w:val="0"/>
    <w:pPr>
      <w:jc w:val="left"/>
    </w:pPr>
  </w:style>
  <w:style w:type="paragraph" w:styleId="7">
    <w:name w:val="Body Text"/>
    <w:basedOn w:val="1"/>
    <w:link w:val="23"/>
    <w:qFormat/>
    <w:uiPriority w:val="99"/>
  </w:style>
  <w:style w:type="paragraph" w:styleId="8">
    <w:name w:val="toc 3"/>
    <w:basedOn w:val="1"/>
    <w:next w:val="1"/>
    <w:qFormat/>
    <w:uiPriority w:val="0"/>
    <w:pPr>
      <w:ind w:left="840" w:leftChars="400"/>
    </w:pPr>
  </w:style>
  <w:style w:type="paragraph" w:styleId="9">
    <w:name w:val="Plain Text"/>
    <w:basedOn w:val="1"/>
    <w:next w:val="1"/>
    <w:qFormat/>
    <w:uiPriority w:val="0"/>
    <w:rPr>
      <w:rFonts w:ascii="Courier New" w:hAnsi="Courier New"/>
      <w:szCs w:val="20"/>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Normal (Web)"/>
    <w:basedOn w:val="1"/>
    <w:qFormat/>
    <w:uiPriority w:val="0"/>
    <w:pPr>
      <w:jc w:val="left"/>
    </w:pPr>
    <w:rPr>
      <w:rFonts w:ascii="微软雅黑" w:hAnsi="微软雅黑" w:eastAsia="微软雅黑"/>
      <w:kern w:val="0"/>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Style 3"/>
    <w:basedOn w:val="1"/>
    <w:qFormat/>
    <w:uiPriority w:val="0"/>
    <w:pPr>
      <w:ind w:firstLine="420" w:firstLineChars="200"/>
    </w:pPr>
    <w:rPr>
      <w:rFonts w:ascii="Times New Roman" w:hAnsi="Times New Roman" w:eastAsia="宋体" w:cs="Times New Roman"/>
      <w:sz w:val="20"/>
      <w:szCs w:val="2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0"/>
      <w:szCs w:val="20"/>
    </w:rPr>
  </w:style>
  <w:style w:type="paragraph" w:customStyle="1" w:styleId="21">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2">
    <w:name w:val="标题 4 字符"/>
    <w:basedOn w:val="16"/>
    <w:link w:val="4"/>
    <w:qFormat/>
    <w:uiPriority w:val="9"/>
    <w:rPr>
      <w:rFonts w:eastAsia="黑体" w:cs="Times New Roman"/>
      <w:b/>
      <w:bCs/>
      <w:kern w:val="2"/>
      <w:sz w:val="28"/>
      <w:szCs w:val="28"/>
    </w:rPr>
  </w:style>
  <w:style w:type="character" w:customStyle="1" w:styleId="23">
    <w:name w:val="正文文本 字符"/>
    <w:link w:val="7"/>
    <w:qFormat/>
    <w:uiPriority w:val="99"/>
    <w:rPr>
      <w:rFonts w:eastAsia="Arial"/>
      <w:snapToGrid w:val="0"/>
      <w:color w:val="000000"/>
      <w:sz w:val="21"/>
      <w:szCs w:val="21"/>
      <w:lang w:eastAsia="en-US"/>
    </w:rPr>
  </w:style>
  <w:style w:type="paragraph" w:customStyle="1" w:styleId="24">
    <w:name w:val="Compact"/>
    <w:basedOn w:val="7"/>
    <w:qFormat/>
    <w:uiPriority w:val="0"/>
    <w:pPr>
      <w:spacing w:before="36" w:after="36"/>
    </w:pPr>
  </w:style>
  <w:style w:type="table" w:customStyle="1" w:styleId="25">
    <w:name w:val="Table"/>
    <w:unhideWhenUsed/>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PlainText"/>
    <w:basedOn w:val="1"/>
    <w:qFormat/>
    <w:uiPriority w:val="0"/>
    <w:rPr>
      <w:rFonts w:ascii="宋体" w:hAnsi="Courier New"/>
      <w:kern w:val="0"/>
      <w:sz w:val="20"/>
      <w:szCs w:val="20"/>
    </w:rPr>
  </w:style>
  <w:style w:type="character" w:customStyle="1" w:styleId="27">
    <w:name w:val="00标题小标宋"/>
    <w:basedOn w:val="16"/>
    <w:qFormat/>
    <w:uiPriority w:val="0"/>
    <w:rPr>
      <w:rFonts w:hint="eastAsia" w:ascii="Calibri" w:hAnsi="Calibri" w:eastAsia="方正小标宋简体"/>
      <w:sz w:val="44"/>
    </w:rPr>
  </w:style>
  <w:style w:type="paragraph" w:customStyle="1" w:styleId="28">
    <w:name w:val="01正文第一标题"/>
    <w:next w:val="1"/>
    <w:qFormat/>
    <w:uiPriority w:val="0"/>
    <w:pPr>
      <w:keepNext w:val="0"/>
      <w:keepLines/>
      <w:numPr>
        <w:ilvl w:val="0"/>
        <w:numId w:val="2"/>
      </w:numPr>
      <w:spacing w:beforeLines="0" w:afterLines="0" w:line="580" w:lineRule="exact"/>
      <w:ind w:firstLine="883" w:firstLineChars="200"/>
      <w:jc w:val="both"/>
      <w:outlineLvl w:val="1"/>
    </w:pPr>
    <w:rPr>
      <w:rFonts w:hint="eastAsia" w:ascii="Arial" w:hAnsi="Arial" w:eastAsia="黑体" w:cstheme="minorBidi"/>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b0ceb337-76d6-406d-9a3c-2a2f75382ec0</errorID>
      <errorWord>州</errorWord>
      <group>L1_Word</group>
      <groupName>字词问题</groupName>
      <ability>L2_Typo</ability>
      <abilityName>字词错误</abilityName>
      <candidateList>
        <item>州市</item>
      </candidateList>
      <explain/>
      <paraID>6B09E450</paraID>
      <start>35</start>
      <end>36</end>
      <status>unmodified</status>
      <modifiedWord/>
      <trackRevisions>false</trackRevisions>
    </reviewItem>
    <reviewItem>
      <errorID>e44467ac-5010-4e34-9b6f-e92ccbe1e0e3</errorID>
      <errorWord>同投标人</errorWord>
      <group>L1_Word</group>
      <groupName>字词问题</groupName>
      <ability>L2_Typo</ability>
      <abilityName>字词错误</abilityName>
      <candidateList>
        <item>投标人</item>
      </candidateList>
      <explain/>
      <paraID>7B89F291</paraID>
      <start>0</start>
      <end>4</end>
      <status>unmodified</status>
      <modifiedWord/>
      <trackRevisions>false</trackRevisions>
    </reviewItem>
    <reviewItem>
      <errorID>9942c72d-9648-4670-99e0-a795b36b2216</errorID>
      <errorWord>警戒</errorWord>
      <group>L1_Word</group>
      <groupName>字词问题</groupName>
      <ability>L2_Typo</ability>
      <abilityName>字词错误</abilityName>
      <candidateList>
        <item>警示</item>
      </candidateList>
      <explain/>
      <paraID>57634925</paraID>
      <start>26</start>
      <end>28</end>
      <status>unmodified</status>
      <modifiedWord/>
      <trackRevisions>false</trackRevisions>
    </reviewItem>
    <reviewItem>
      <errorID>b1b0c4ad-f548-4364-ac95-a32a54cd0b92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24DD22F9</paraID>
      <start>0</start>
      <end>2</end>
      <status>unmodified</status>
      <modifiedWord/>
      <trackRevisions>false</trackRevisions>
    </reviewItem>
    <reviewItem>
      <errorID>d475185e-b32b-4884-8e74-42481ce7efdc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355FA6E6</paraID>
      <start>0</start>
      <end>2</end>
      <status>unmodified</status>
      <modifiedWord/>
      <trackRevisions>false</trackRevisions>
    </reviewItem>
    <reviewItem>
      <errorID>d8ae3fb9-f412-44aa-821e-b6e7ce002a85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6688196D</paraID>
      <start>0</start>
      <end>2</end>
      <status>unmodified</status>
      <modifiedWord/>
      <trackRevisions>false</trackRevisions>
    </reviewItem>
    <reviewItem>
      <errorID>7eb06719-f1dc-4acb-91a9-e62cb3e7f9a4</errorID>
      <errorWord>。】</errorWord>
      <group>L1_Punc</group>
      <groupName>标点问题</groupName>
      <ability>L2_Punc</ability>
      <abilityName>标点符号检查</abilityName>
      <candidateList>
        <item>】</item>
      </candidateList>
      <explain/>
      <paraID>6688196D</paraID>
      <start>49</start>
      <end>51</end>
      <status>unmodified</status>
      <modifiedWord/>
      <trackRevisions>false</trackRevisions>
    </reviewItem>
    <reviewItem>
      <errorID>b0f0dd4c-53ea-441c-b4dd-b2becb3bef64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425F1A0</paraID>
      <start>0</start>
      <end>2</end>
      <status>unmodified</status>
      <modifiedWord/>
      <trackRevisions>false</trackRevisions>
    </reviewItem>
    <reviewItem>
      <errorID>763d0256-a057-4106-8183-3c4fe1fc9bd1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128D36D3</paraID>
      <start>0</start>
      <end>2</end>
      <status>unmodified</status>
      <modifiedWord/>
      <trackRevisions>false</trackRevisions>
    </reviewItem>
    <reviewItem>
      <errorID>64f7ba1e-fa53-498d-a2fe-9b33dbcd029c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9C05388</paraID>
      <start>0</start>
      <end>2</end>
      <status>unmodified</status>
      <modifiedWord/>
      <trackRevisions>false</trackRevisions>
    </reviewItem>
    <reviewItem>
      <errorID>88f5fce9-d4ea-4e1e-b8d5-63004145f03c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288EB984</paraID>
      <start>0</start>
      <end>2</end>
      <status>unmodified</status>
      <modifiedWord/>
      <trackRevisions>false</trackRevisions>
    </reviewItem>
    <reviewItem>
      <errorID>a2868ad2-a56a-4728-9a2a-0933e2f53d23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65AEB4A0</paraID>
      <start>165</start>
      <end>168</end>
      <status>unmodified</status>
      <modifiedWord/>
      <trackRevisions>false</trackRevisions>
    </reviewItem>
    <reviewItem>
      <errorID>245b7ad8-4b4a-42fa-91ac-16da243862a7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10A9E057</paraID>
      <start>0</start>
      <end>2</end>
      <status>unmodified</status>
      <modifiedWord/>
      <trackRevisions>false</trackRevisions>
    </reviewItem>
    <reviewItem>
      <errorID>5c1fc695-de0a-4aa7-a040-bff4048908dc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3DD4AFE7</paraID>
      <start>0</start>
      <end>2</end>
      <status>unmodified</status>
      <modifiedWord/>
      <trackRevisions>false</trackRevisions>
    </reviewItem>
    <reviewItem>
      <errorID>19f6d33c-42f5-469b-b951-9e7ce9d6ed21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60EC62B1</paraID>
      <start>0</start>
      <end>2</end>
      <status>unmodified</status>
      <modifiedWord/>
      <trackRevisions>false</trackRevisions>
    </reviewItem>
    <reviewItem>
      <errorID>8f49d17e-0878-4684-b8db-f9457fd943e1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10F778AA</paraID>
      <start>0</start>
      <end>2</end>
      <status>unmodified</status>
      <modifiedWord/>
      <trackRevisions>false</trackRevisions>
    </reviewItem>
    <reviewItem>
      <errorID>ee1f2c0d-b4f5-497c-b999-834a2a249d05</errorID>
      <errorWord>…】</errorWord>
      <group>L1_Punc</group>
      <groupName>标点问题</groupName>
      <ability>L2_Punc</ability>
      <abilityName>标点符号检查</abilityName>
      <candidateList>
        <item>】</item>
      </candidateList>
      <explain/>
      <paraID>10F778AA</paraID>
      <start>137</start>
      <end>139</end>
      <status>unmodified</status>
      <modifiedWord/>
      <trackRevisions>false</trackRevisions>
    </reviewItem>
    <reviewItem>
      <errorID>581ae73c-35e0-4396-b1e4-b7fa3d498d13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3083197D</paraID>
      <start>0</start>
      <end>2</end>
      <status>unmodified</status>
      <modifiedWord/>
      <trackRevisions>false</trackRevisions>
    </reviewItem>
    <reviewItem>
      <errorID>00ace26a-d315-4df8-9c3c-888d3cdfdc47</errorID>
      <errorWord>只用</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E3B482</paraID>
      <start>70</start>
      <end>72</end>
      <status>unmodified</status>
      <modifiedWord/>
      <trackRevisions>false</trackRevisions>
    </reviewItem>
    <reviewItem>
      <errorID>d8ece8dd-8f80-44c8-997c-3248e1b48825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38BE7A54</paraID>
      <start>0</start>
      <end>2</end>
      <status>unmodified</status>
      <modifiedWord/>
      <trackRevisions>false</trackRevisions>
    </reviewItem>
    <reviewItem>
      <errorID>3dcd1bf7-378c-4896-b741-e7069cbad1bb</errorID>
      <errorWord>,</errorWord>
      <group>L1_Format</group>
      <groupName>格式问题</groupName>
      <ability>L2_HalfPunc</ability>
      <abilityName>全半角检查</abilityName>
      <candidateList>
        <item>，</item>
      </candidateList>
      <explain>文本全半角错误。</explain>
      <paraID>38BE7A54</paraID>
      <start>23</start>
      <end>24</end>
      <status>unmodified</status>
      <modifiedWord/>
      <trackRevisions>false</trackRevisions>
    </reviewItem>
    <reviewItem>
      <errorID>426ab739-0802-4701-a5bf-dc5e1f0f7e8b</errorID>
      <errorWord>,</errorWord>
      <group>L1_Format</group>
      <groupName>格式问题</groupName>
      <ability>L2_HalfPunc</ability>
      <abilityName>全半角检查</abilityName>
      <candidateList>
        <item>，</item>
      </candidateList>
      <explain>文本全半角错误。</explain>
      <paraID>345393B2</paraID>
      <start>8</start>
      <end>9</end>
      <status>unmodified</status>
      <modifiedWord/>
      <trackRevisions>false</trackRevisions>
    </reviewItem>
    <reviewItem>
      <errorID>b4f4ef84-ac31-4ef4-a869-daa3101154ca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7B9B7009</paraID>
      <start>0</start>
      <end>2</end>
      <status>unmodified</status>
      <modifiedWord/>
      <trackRevisions>false</trackRevisions>
    </reviewItem>
    <reviewItem>
      <errorID>e89a9387-c9fe-42c4-8609-2e1aaa0d1f87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7B9B7009</paraID>
      <start>25</start>
      <end>28</end>
      <status>unmodified</status>
      <modifiedWord/>
      <trackRevisions>false</trackRevisions>
    </reviewItem>
    <reviewItem>
      <errorID>48397f02-04d3-4748-a35a-fc30e1958481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7B9B7009</paraID>
      <start>43</start>
      <end>46</end>
      <status>unmodified</status>
      <modifiedWord/>
      <trackRevisions>false</trackRevisions>
    </reviewItem>
    <reviewItem>
      <errorID>0623707c-2ed4-45d9-8ff5-d0c2f5f46e69</errorID>
      <errorWord>广东省政务服务和数据管理局</errorWord>
      <group>L1_Knowledge</group>
      <groupName>知识性问题</groupName>
      <ability>L2_Organization</ability>
      <abilityName>机构检查</abilityName>
      <candidateList>
        <item>广东省政务服务数据管理局</item>
      </candidateList>
      <explain>机关单位全简称表述错误</explain>
      <paraID>2296FBAF</paraID>
      <start>12</start>
      <end>25</end>
      <status>unmodified</status>
      <modifiedWord/>
      <trackRevisions>false</trackRevisions>
    </reviewItem>
    <reviewItem>
      <errorID>1d2b5eb2-8751-4702-a0b9-fa76e40fedfe</errorID>
      <errorWord>广东省政务服务和数据管理局</errorWord>
      <group>L1_Knowledge</group>
      <groupName>知识性问题</groupName>
      <ability>L2_Organization</ability>
      <abilityName>机构检查</abilityName>
      <candidateList>
        <item>广东省政务服务数据管理局</item>
      </candidateList>
      <explain>机关单位全简称表述错误</explain>
      <paraID>2296FBAF</paraID>
      <start>101</start>
      <end>114</end>
      <status>unmodified</status>
      <modifiedWord/>
      <trackRevisions>false</trackRevisions>
    </reviewItem>
    <reviewItem>
      <errorID>0b0820bc-bdd9-4cf3-9594-a620e2dbf784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3602C4D9</paraID>
      <start>0</start>
      <end>2</end>
      <status>unmodified</status>
      <modifiedWord/>
      <trackRevisions>false</trackRevisions>
    </reviewItem>
    <reviewItem>
      <errorID>be8e3c1a-abe5-4773-a2ca-9c7ac0f772bf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4EC7D747</paraID>
      <start>0</start>
      <end>2</end>
      <status>unmodified</status>
      <modifiedWord/>
      <trackRevisions>false</trackRevisions>
    </reviewItem>
    <reviewItem>
      <errorID>0836deff-9d8a-4bab-97fa-6c72e0299ae7</errorID>
      <errorWord>本</errorWord>
      <group>L1_Word</group>
      <groupName>字词问题</groupName>
      <ability>L2_Typo</ability>
      <abilityName>字词错误</abilityName>
      <candidateList>
        <item>本次</item>
      </candidateList>
      <explain/>
      <paraID>4EC7D747</paraID>
      <start>11</start>
      <end>12</end>
      <status>unmodified</status>
      <modifiedWord/>
      <trackRevisions>false</trackRevisions>
    </reviewItem>
    <reviewItem>
      <errorID>fa9a651e-99f3-49db-ad8c-878788edb511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C18B8B</paraID>
      <start>0</start>
      <end>2</end>
      <status>unmodified</status>
      <modifiedWord/>
      <trackRevisions>false</trackRevisions>
    </reviewItem>
    <reviewItem>
      <errorID>9f9c2320-bf38-404e-9e7f-86f7eba20fc2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2813D488</paraID>
      <start>0</start>
      <end>2</end>
      <status>unmodified</status>
      <modifiedWord/>
      <trackRevisions>false</trackRevisions>
    </reviewItem>
    <reviewItem>
      <errorID>93b93a4a-b0bb-4178-93ee-2a473d86a46e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52D8AFB</paraID>
      <start>0</start>
      <end>2</end>
      <status>unmodified</status>
      <modifiedWord/>
      <trackRevisions>false</trackRevisions>
    </reviewItem>
    <reviewItem>
      <errorID>9d4d6c78-5e45-48a8-88eb-34e03082c16c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50122710</paraID>
      <start>0</start>
      <end>2</end>
      <status>unmodified</status>
      <modifiedWord/>
      <trackRevisions>false</trackRevisions>
    </reviewItem>
    <reviewItem>
      <errorID>c7f76477-3f75-4e7c-af99-d8de62884a64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29A582E6</paraID>
      <start>0</start>
      <end>2</end>
      <status>unmodified</status>
      <modifiedWord/>
      <trackRevisions>false</trackRevisions>
    </reviewItem>
    <reviewItem>
      <errorID>f1abb229-8763-4b05-b47d-334e6f3546b1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1027F272</paraID>
      <start>0</start>
      <end>2</end>
      <status>unmodified</status>
      <modifiedWord/>
      <trackRevisions>false</trackRevisions>
    </reviewItem>
    <reviewItem>
      <errorID>b7425784-8202-466c-86c5-67b2853e26bd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2BA4E271</paraID>
      <start>0</start>
      <end>2</end>
      <status>unmodified</status>
      <modifiedWord/>
      <trackRevisions>false</trackRevisions>
    </reviewItem>
    <reviewItem>
      <errorID>31dd6bf5-8b42-4e58-9100-41591b5e5640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5E2F2085</paraID>
      <start>0</start>
      <end>2</end>
      <status>unmodified</status>
      <modifiedWord/>
      <trackRevisions>false</trackRevisions>
    </reviewItem>
    <reviewItem>
      <errorID>aad81991-e74c-4f13-89d1-ddce4193bae7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1B20290D</paraID>
      <start>0</start>
      <end>2</end>
      <status>unmodified</status>
      <modifiedWord/>
      <trackRevisions>false</trackRevisions>
    </reviewItem>
    <reviewItem>
      <errorID>80b4417e-9703-4436-b734-2f0d69ea072f</errorID>
      <errorWord>法律、法规</errorWord>
      <group>L1_Word</group>
      <groupName>字词问题</groupName>
      <ability>L2_Typo</ability>
      <abilityName>字词错误</abilityName>
      <candidateList>
        <item>法律法规</item>
      </candidateList>
      <explain/>
      <paraID>275A9264</paraID>
      <start>25</start>
      <end>30</end>
      <status>unmodified</status>
      <modifiedWord/>
      <trackRevisions>false</trackRevisions>
    </reviewItem>
    <reviewItem>
      <errorID>745d4eb0-6b08-410d-9958-983b54f5e282</errorID>
      <errorWord>（</errorWord>
      <group>L1_Punc</group>
      <groupName>标点问题</groupName>
      <ability>L2_Punc</ability>
      <abilityName>标点符号检查</abilityName>
      <candidateList/>
      <explain>同一形式括号套用。</explain>
      <paraID>7F5BFC4B</paraID>
      <start>50</start>
      <end>51</end>
      <status>unmodified</status>
      <modifiedWord/>
      <trackRevisions>false</trackRevisions>
    </reviewItem>
    <reviewItem>
      <errorID>52790e3c-88f2-4c48-ad8d-535f2f755297</errorID>
      <errorWord>）</errorWord>
      <group>L1_Punc</group>
      <groupName>标点问题</groupName>
      <ability>L2_Punc</ability>
      <abilityName>标点符号检查</abilityName>
      <candidateList/>
      <explain>同一形式括号套用。</explain>
      <paraID>7F5BFC4B</paraID>
      <start>53</start>
      <end>54</end>
      <status>unmodified</status>
      <modifiedWord/>
      <trackRevisions>false</trackRevisions>
    </reviewItem>
    <reviewItem>
      <errorID>1bea75c1-1a3b-4744-8bba-4c2dc898c931</errorID>
      <errorWord>（</errorWord>
      <group>L1_Punc</group>
      <groupName>标点问题</groupName>
      <ability>L2_Punc</ability>
      <abilityName>标点符号检查</abilityName>
      <candidateList/>
      <explain>同一形式括号套用。</explain>
      <paraID>7F5BFC4B</paraID>
      <start>57</start>
      <end>58</end>
      <status>unmodified</status>
      <modifiedWord/>
      <trackRevisions>false</trackRevisions>
    </reviewItem>
    <reviewItem>
      <errorID>433ad684-51a5-4cab-b767-955d9782322b</errorID>
      <errorWord>）</errorWord>
      <group>L1_Punc</group>
      <groupName>标点问题</groupName>
      <ability>L2_Punc</ability>
      <abilityName>标点符号检查</abilityName>
      <candidateList/>
      <explain>同一形式括号套用。</explain>
      <paraID>7F5BFC4B</paraID>
      <start>60</start>
      <end>61</end>
      <status>unmodified</status>
      <modifiedWord/>
      <trackRevisions>false</trackRevisions>
    </reviewItem>
    <reviewItem>
      <errorID>0cef87b7-0db2-4d10-bfe5-fccb76f55bc4</errorID>
      <errorWord>“新</errorWord>
      <group>L1_Word</group>
      <groupName>字词问题</groupName>
      <ability>L2_Typo</ability>
      <abilityName>字词错误</abilityName>
      <candidateList>
        <item>“</item>
      </candidateList>
      <explain/>
      <paraID>7F5BFC4B</paraID>
      <start>195</start>
      <end>197</end>
      <status>unmodified</status>
      <modifiedWord/>
      <trackRevisions>false</trackRevisions>
    </reviewItem>
    <reviewItem>
      <errorID>a629ec8f-0900-4540-9455-1c7d2eb33fcb</errorID>
      <errorWord>进入到</errorWord>
      <group>L1_Word</group>
      <groupName>字词问题</groupName>
      <ability>L2_Typo</ability>
      <abilityName>字词错误</abilityName>
      <candidateList>
        <item>进入</item>
      </candidateList>
      <explain>〈动〉支进到某个范围或某个时期里：～学校｜～新阶段◇～角色。</explain>
      <paraID>7F5BFC4B</paraID>
      <start>261</start>
      <end>264</end>
      <status>unmodified</status>
      <modifiedWord/>
      <trackRevisions>false</trackRevisions>
    </reviewItem>
    <reviewItem>
      <errorID>f40d3b60-56c8-4a94-86a5-a0afa9c3ffdb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6BFB63C6</paraID>
      <start>0</start>
      <end>2</end>
      <status>unmodified</status>
      <modifiedWord/>
      <trackRevisions>false</trackRevisions>
    </reviewItem>
    <reviewItem>
      <errorID>563a5a9c-0ab0-4cfd-b90c-ffb589b93dbd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575FC8A7</paraID>
      <start>0</start>
      <end>2</end>
      <status>unmodified</status>
      <modifiedWord/>
      <trackRevisions>false</trackRevisions>
    </reviewItem>
    <reviewItem>
      <errorID>f154ed22-3e9c-40de-8f40-270b494324c7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62D6A4B8</paraID>
      <start>0</start>
      <end>2</end>
      <status>unmodified</status>
      <modifiedWord/>
      <trackRevisions>false</trackRevisions>
    </reviewItem>
    <reviewItem>
      <errorID>1db5a3ea-056b-4a4e-8a23-ff327827d713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20246BA1</paraID>
      <start>0</start>
      <end>2</end>
      <status>unmodified</status>
      <modifiedWord/>
      <trackRevisions>false</trackRevisions>
    </reviewItem>
    <reviewItem>
      <errorID>4f730b5e-ecc5-4b93-9c8e-992b8ac95bf2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55E2AD81</paraID>
      <start>0</start>
      <end>2</end>
      <status>unmodified</status>
      <modifiedWord/>
      <trackRevisions>false</trackRevisions>
    </reviewItem>
    <reviewItem>
      <errorID>124e2217-578e-4fdd-8e53-e8a33d98ffa8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2C0BB861</paraID>
      <start>0</start>
      <end>2</end>
      <status>unmodified</status>
      <modifiedWord/>
      <trackRevisions>false</trackRevisions>
    </reviewItem>
    <reviewItem>
      <errorID>70871f3e-657f-4bec-b691-a924f3f4b8c0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802887A</paraID>
      <start>0</start>
      <end>2</end>
      <status>unmodified</status>
      <modifiedWord/>
      <trackRevisions>false</trackRevisions>
    </reviewItem>
    <reviewItem>
      <errorID>19e35ff5-0fe7-4788-bbb5-fe5a87c92b76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643A66CB</paraID>
      <start>0</start>
      <end>2</end>
      <status>unmodified</status>
      <modifiedWord/>
      <trackRevisions>false</trackRevisions>
    </reviewItem>
    <reviewItem>
      <errorID>0ce4c96e-00fe-43db-a54f-4d4bfaa3cce1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2F86559C</paraID>
      <start>0</start>
      <end>2</end>
      <status>unmodified</status>
      <modifiedWord/>
      <trackRevisions>false</trackRevisions>
    </reviewItem>
    <reviewItem>
      <errorID>75626b99-f3d6-427e-a55c-44899e5d9878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4F8F0FAC</paraID>
      <start>0</start>
      <end>2</end>
      <status>unmodified</status>
      <modifiedWord/>
      <trackRevisions>false</trackRevisions>
    </reviewItem>
    <reviewItem>
      <errorID>938cf0cf-fdac-4ad4-beed-cd2ccc50a84d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3E5916B2</paraID>
      <start>0</start>
      <end>2</end>
      <status>unmodified</status>
      <modifiedWord/>
      <trackRevisions>false</trackRevisions>
    </reviewItem>
    <reviewItem>
      <errorID>163467c7-1ef5-4f66-9c94-73be470d60f5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7AC88300</paraID>
      <start>0</start>
      <end>2</end>
      <status>unmodified</status>
      <modifiedWord/>
      <trackRevisions>false</trackRevisions>
    </reviewItem>
    <reviewItem>
      <errorID>ca66d138-5879-4311-a694-4a28dbe3f52a</errorID>
      <errorWord>围</errorWord>
      <group>L1_Word</group>
      <groupName>字词问题</groupName>
      <ability>L2_Typo</ability>
      <abilityName>字词错误</abilityName>
      <candidateList>
        <item>围和</item>
      </candidateList>
      <explain/>
      <paraID>7AC88300</paraID>
      <start>310</start>
      <end>311</end>
      <status>unmodified</status>
      <modifiedWord/>
      <trackRevisions>false</trackRevisions>
    </reviewItem>
    <reviewItem>
      <errorID>4579a0cd-5ebd-4177-b75f-908bbdc16fad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AD68D80</paraID>
      <start>0</start>
      <end>2</end>
      <status>unmodified</status>
      <modifiedWord/>
      <trackRevisions>false</trackRevisions>
    </reviewItem>
    <reviewItem>
      <errorID>74153390-1df3-4a86-98d8-b9b1bab44c13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406F4835</paraID>
      <start>0</start>
      <end>3</end>
      <status>unmodified</status>
      <modifiedWord/>
      <trackRevisions>false</trackRevisions>
    </reviewItem>
    <reviewItem>
      <errorID>99595d9e-5ac0-4e86-b1bf-3e68b4457e3d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67DD2C98</paraID>
      <start>0</start>
      <end>3</end>
      <status>unmodified</status>
      <modifiedWord/>
      <trackRevisions>false</trackRevisions>
    </reviewItem>
    <reviewItem>
      <errorID>5b18cf8d-4b7f-40ee-ab60-cdb5c27f7584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70FAB5B4</paraID>
      <start>0</start>
      <end>3</end>
      <status>unmodified</status>
      <modifiedWord/>
      <trackRevisions>false</trackRevisions>
    </reviewItem>
    <reviewItem>
      <errorID>d55a3167-d433-4234-a191-793bcfd9d3dd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5D19C0CF</paraID>
      <start>0</start>
      <end>3</end>
      <status>unmodified</status>
      <modifiedWord/>
      <trackRevisions>false</trackRevisions>
    </reviewItem>
    <reviewItem>
      <errorID>ca39edc4-d97f-48a5-833f-86a673a3b5f8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4006C04F</paraID>
      <start>0</start>
      <end>3</end>
      <status>unmodified</status>
      <modifiedWord/>
      <trackRevisions>false</trackRevisions>
    </reviewItem>
    <reviewItem>
      <errorID>d627de90-b6a8-4cdc-be35-205dd2d6487a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5E0C5AE2</paraID>
      <start>0</start>
      <end>3</end>
      <status>unmodified</status>
      <modifiedWord/>
      <trackRevisions>false</trackRevisions>
    </reviewItem>
    <reviewItem>
      <errorID>a5e864f5-18ce-4628-91d1-16908863349e</errorID>
      <errorWord>其它</errorWord>
      <group>L1_Word</group>
      <groupName>字词问题</groupName>
      <ability>L2_Alias</ability>
      <abilityName>也作/曾用词</abilityName>
      <candidateList>
        <item>其他</item>
      </candidateList>
      <explain>词汇[其它]为不规范表述或旧称，其规范书面表述为[其他]。</explain>
      <paraID>5E0C5AE2</paraID>
      <start>23</start>
      <end>25</end>
      <status>unmodified</status>
      <modifiedWord/>
      <trackRevisions>false</trackRevisions>
    </reviewItem>
    <reviewItem>
      <errorID>d2a73551-bdab-4f6a-98d8-30399a1fe6c0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1B07752F</paraID>
      <start>0</start>
      <end>3</end>
      <status>unmodified</status>
      <modifiedWord/>
      <trackRevisions>false</trackRevisions>
    </reviewItem>
    <reviewItem>
      <errorID>b22ef9cc-2da0-4415-add4-995923945c24</errorID>
      <errorWord>间</errorWord>
      <group>L1_Word</group>
      <groupName>字词问题</groupName>
      <ability>L2_Typo</ability>
      <abilityName>字词错误</abilityName>
      <candidateList>
        <item>间和</item>
      </candidateList>
      <explain/>
      <paraID>1B07752F</paraID>
      <start>60</start>
      <end>61</end>
      <status>unmodified</status>
      <modifiedWord/>
      <trackRevisions>false</trackRevisions>
    </reviewItem>
    <reviewItem>
      <errorID>9bbeaecc-8cb0-4f26-b3c6-45b1a10861d0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82740D4</paraID>
      <start>0</start>
      <end>3</end>
      <status>unmodified</status>
      <modifiedWord/>
      <trackRevisions>false</trackRevisions>
    </reviewItem>
    <reviewItem>
      <errorID>1eb44901-83ec-436a-85ab-f56bff2d1ab1</errorID>
      <errorWord>济</errorWord>
      <group>L1_Word</group>
      <groupName>字词问题</groupName>
      <ability>L2_Typo</ability>
      <abilityName>字词错误</abilityName>
      <candidateList>
        <item>济指</item>
      </candidateList>
      <explain/>
      <paraID>26572A49</paraID>
      <start>3</start>
      <end>4</end>
      <status>unmodified</status>
      <modifiedWord/>
      <trackRevisions>false</trackRevisions>
    </reviewItem>
    <reviewItem>
      <errorID>b1800a99-a58b-4b46-9a78-9e32f3c092b5</errorID>
      <errorWord>…】</errorWord>
      <group>L1_Punc</group>
      <groupName>标点问题</groupName>
      <ability>L2_Punc</ability>
      <abilityName>标点符号检查</abilityName>
      <candidateList>
        <item>】</item>
      </candidateList>
      <explain/>
      <paraID>  2E94BC</paraID>
      <start>141</start>
      <end>143</end>
      <status>unmodified</status>
      <modifiedWord/>
      <trackRevisions>false</trackRevisions>
    </reviewItem>
    <reviewItem>
      <errorID>a9c15e0c-22c6-46aa-97ee-b1405bc00c5d</errorID>
      <errorWord>州</errorWord>
      <group>L1_Word</group>
      <groupName>字词问题</groupName>
      <ability>L2_Typo</ability>
      <abilityName>字词错误</abilityName>
      <candidateList>
        <item>州市</item>
      </candidateList>
      <explain/>
      <paraID>2D65F04F</paraID>
      <start>45</start>
      <end>46</end>
      <status>unmodified</status>
      <modifiedWord/>
      <trackRevisions>false</trackRevisions>
    </reviewItem>
    <reviewItem>
      <errorID>00185125-0466-4960-a914-d6e263abfef5</errorID>
      <errorWord>只用</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1CA25CF1</paraID>
      <start>70</start>
      <end>72</end>
      <status>unmodified</status>
      <modifiedWord/>
      <trackRevisions>false</trackRevisions>
    </reviewItem>
    <reviewItem>
      <errorID>948d9f21-8873-4828-a271-1d9df9e37fd6</errorID>
      <errorWord>间</errorWord>
      <group>L1_Word</group>
      <groupName>字词问题</groupName>
      <ability>L2_Typo</ability>
      <abilityName>字词错误</abilityName>
      <candidateList>
        <item>间之</item>
      </candidateList>
      <explain/>
      <paraID>69DAA491</paraID>
      <start>11</start>
      <end>12</end>
      <status>unmodified</status>
      <modifiedWord/>
      <trackRevisions>false</trackRevisions>
    </reviewItem>
    <reviewItem>
      <errorID>92f9b2c4-e3ea-4bbc-b85d-53b75a179a98</errorID>
      <errorWord>透漏</errorWord>
      <group>L1_Word</group>
      <groupName>字词问题</groupName>
      <ability>L2_Typo</ability>
      <abilityName>字词错误</abilityName>
      <candidateList>
        <item>透露</item>
      </candidateList>
      <explain>〈动〉泄露或显露（消息、意思等）：～风声｜真相～出来了。</explain>
      <paraID>2321D59C</paraID>
      <start>34</start>
      <end>36</end>
      <status>unmodified</status>
      <modifiedWord/>
      <trackRevisions>false</trackRevisions>
    </reviewItem>
    <reviewItem>
      <errorID>71730412-c619-4978-90e9-baf2c8bf9ca1</errorID>
      <errorWord>透漏</errorWord>
      <group>L1_Word</group>
      <groupName>字词问题</groupName>
      <ability>L2_Typo</ability>
      <abilityName>字词错误</abilityName>
      <candidateList>
        <item>透露</item>
      </candidateList>
      <explain>〈动〉泄露或显露（消息、意思等）：～风声｜真相～出来了。</explain>
      <paraID>6BD9A70D</paraID>
      <start>38</start>
      <end>40</end>
      <status>unmodified</status>
      <modifiedWord/>
      <trackRevisions>false</trackRevisions>
    </reviewItem>
    <reviewItem>
      <errorID>150a82b7-cfa3-4747-a2e6-01ac1eb1a0c8</errorID>
      <errorWord>法律、法规</errorWord>
      <group>L1_Word</group>
      <groupName>字词问题</groupName>
      <ability>L2_Typo</ability>
      <abilityName>字词错误</abilityName>
      <candidateList>
        <item>法律法规</item>
      </candidateList>
      <explain/>
      <paraID>42857E6C</paraID>
      <start>21</start>
      <end>26</end>
      <status>unmodified</status>
      <modifiedWord/>
      <trackRevisions>false</trackRevisions>
    </reviewItem>
    <reviewItem>
      <errorID>6035ee37-ff47-4114-9f72-04db527484b5</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65557032</paraID>
      <start>101</start>
      <end>104</end>
      <status>unmodified</status>
      <modifiedWord/>
      <trackRevisions>false</trackRevisions>
    </reviewItem>
    <reviewItem>
      <errorID>ceef2477-0589-4679-9eb1-cada1505328d</errorID>
      <errorWord>......</errorWord>
      <group>L1_Punc</group>
      <groupName>标点问题</groupName>
      <ability>L2_Punc</ability>
      <abilityName>标点符号检查</abilityName>
      <candidateList>
        <item>……</item>
      </candidateList>
      <explain/>
      <paraID>40B21E58</paraID>
      <start>0</start>
      <end>6</end>
      <status>unmodified</status>
      <modifiedWord/>
      <trackRevisions>false</trackRevisions>
    </reviewItem>
    <reviewItem>
      <errorID>db232660-19bf-4736-b270-66d54409148d</errorID>
      <errorWord>位</errorWord>
      <group>L1_Word</group>
      <groupName>字词问题</groupName>
      <ability>L2_Typo</ability>
      <abilityName>字词错误</abilityName>
      <candidateList>
        <item>位公</item>
      </candidateList>
      <explain/>
      <paraID>469966C0</paraID>
      <start>30</start>
      <end>31</end>
      <status>unmodified</status>
      <modifiedWord/>
      <trackRevisions>false</trackRevisions>
    </reviewItem>
    <reviewItem>
      <errorID>155789fc-5765-4743-82a0-df142cc92f2e</errorID>
      <errorWord>州</errorWord>
      <group>L1_Word</group>
      <groupName>字词问题</groupName>
      <ability>L2_Typo</ability>
      <abilityName>字词错误</abilityName>
      <candidateList>
        <item>州市</item>
      </candidateList>
      <explain/>
      <paraID>19582C37</paraID>
      <start>3</start>
      <end>4</end>
      <status>unmodified</status>
      <modifiedWord/>
      <trackRevisions>false</trackRevisions>
    </reviewItem>
    <reviewItem>
      <errorID>fab5d78b-3785-4436-aeac-47cbf80d43d0</errorID>
      <errorWord>(</errorWord>
      <group>L1_Format</group>
      <groupName>格式问题</groupName>
      <ability>L2_HalfPunc</ability>
      <abilityName>全半角检查</abilityName>
      <candidateList>
        <item>（</item>
      </candidateList>
      <explain>文本全半角错误。</explain>
      <paraID>5CA28128</paraID>
      <start>6</start>
      <end>7</end>
      <status>unmodified</status>
      <modifiedWord/>
      <trackRevisions>false</trackRevisions>
    </reviewItem>
    <reviewItem>
      <errorID>618fd7ec-55fc-4065-af83-bf5d0695d1d9</errorID>
      <errorWord>)</errorWord>
      <group>L1_Format</group>
      <groupName>格式问题</groupName>
      <ability>L2_HalfPunc</ability>
      <abilityName>全半角检查</abilityName>
      <candidateList>
        <item>）</item>
      </candidateList>
      <explain>文本全半角错误。</explain>
      <paraID>5CA28128</paraID>
      <start>13</start>
      <end>14</end>
      <status>unmodified</status>
      <modifiedWord/>
      <trackRevisions>false</trackRevisions>
    </reviewItem>
    <reviewItem>
      <errorID>41fb73ae-4744-4143-9ac6-aa5f3baa7174</errorID>
      <errorWord>（</errorWord>
      <group>L1_Format</group>
      <groupName>格式问题</groupName>
      <ability>L2_HalfPunc</ability>
      <abilityName>全半角检查</abilityName>
      <candidateList>
        <item>(</item>
      </candidateList>
      <explain>文本全半角错误。</explain>
      <paraID>3BFF433B</paraID>
      <start>0</start>
      <end>1</end>
      <status>unmodified</status>
      <modifiedWord/>
      <trackRevisions>false</trackRevisions>
    </reviewItem>
    <reviewItem>
      <errorID>0a7e6489-b33a-41ce-9df9-1ee39c4eea50</errorID>
      <errorWord>）</errorWord>
      <group>L1_Format</group>
      <groupName>格式问题</groupName>
      <ability>L2_HalfPunc</ability>
      <abilityName>全半角检查</abilityName>
      <candidateList>
        <item>)</item>
      </candidateList>
      <explain>文本全半角错误。</explain>
      <paraID>3BFF433B</paraID>
      <start>2</start>
      <end>3</end>
      <status>unmodified</status>
      <modifiedWord/>
      <trackRevisions>false</trackRevisions>
    </reviewItem>
    <reviewItem>
      <errorID>1e6f224a-023f-46ec-98ea-c2ea0b24e6a4</errorID>
      <errorWord>（</errorWord>
      <group>L1_Format</group>
      <groupName>格式问题</groupName>
      <ability>L2_HalfPunc</ability>
      <abilityName>全半角检查</abilityName>
      <candidateList>
        <item>(</item>
      </candidateList>
      <explain>文本全半角错误。</explain>
      <paraID> 737FB8B</paraID>
      <start>0</start>
      <end>1</end>
      <status>unmodified</status>
      <modifiedWord/>
      <trackRevisions>false</trackRevisions>
    </reviewItem>
    <reviewItem>
      <errorID>e8cb70a5-f1fb-457c-9d60-36a440834d86</errorID>
      <errorWord>）</errorWord>
      <group>L1_Format</group>
      <groupName>格式问题</groupName>
      <ability>L2_HalfPunc</ability>
      <abilityName>全半角检查</abilityName>
      <candidateList>
        <item>)</item>
      </candidateList>
      <explain>文本全半角错误。</explain>
      <paraID> 737FB8B</paraID>
      <start>2</start>
      <end>3</end>
      <status>unmodified</status>
      <modifiedWord/>
      <trackRevisions>false</trackRevisions>
    </reviewItem>
    <reviewItem>
      <errorID>a488053c-be03-47e8-a74d-b450ce3e943a</errorID>
      <errorWord>（</errorWord>
      <group>L1_Format</group>
      <groupName>格式问题</groupName>
      <ability>L2_HalfPunc</ability>
      <abilityName>全半角检查</abilityName>
      <candidateList>
        <item>(</item>
      </candidateList>
      <explain>文本全半角错误。</explain>
      <paraID> 9038EDF</paraID>
      <start>0</start>
      <end>1</end>
      <status>unmodified</status>
      <modifiedWord/>
      <trackRevisions>false</trackRevisions>
    </reviewItem>
    <reviewItem>
      <errorID>0d881c8a-732a-4c07-b4d9-c361424d5f9f</errorID>
      <errorWord>）</errorWord>
      <group>L1_Format</group>
      <groupName>格式问题</groupName>
      <ability>L2_HalfPunc</ability>
      <abilityName>全半角检查</abilityName>
      <candidateList>
        <item>)</item>
      </candidateList>
      <explain>文本全半角错误。</explain>
      <paraID> 9038EDF</paraID>
      <start>2</start>
      <end>3</end>
      <status>unmodified</status>
      <modifiedWord/>
      <trackRevisions>false</trackRevisions>
    </reviewItem>
    <reviewItem>
      <errorID>1bb80de1-325a-4c33-a43c-2efb0741e54b</errorID>
      <errorWord>（</errorWord>
      <group>L1_Format</group>
      <groupName>格式问题</groupName>
      <ability>L2_HalfPunc</ability>
      <abilityName>全半角检查</abilityName>
      <candidateList>
        <item>(</item>
      </candidateList>
      <explain>文本全半角错误。</explain>
      <paraID>4DC7F970</paraID>
      <start>0</start>
      <end>1</end>
      <status>unmodified</status>
      <modifiedWord/>
      <trackRevisions>false</trackRevisions>
    </reviewItem>
    <reviewItem>
      <errorID>c2e77b51-af7e-462b-ad46-123342ab5aff</errorID>
      <errorWord>）</errorWord>
      <group>L1_Format</group>
      <groupName>格式问题</groupName>
      <ability>L2_HalfPunc</ability>
      <abilityName>全半角检查</abilityName>
      <candidateList>
        <item>)</item>
      </candidateList>
      <explain>文本全半角错误。</explain>
      <paraID>4DC7F970</paraID>
      <start>2</start>
      <end>3</end>
      <status>unmodified</status>
      <modifiedWord/>
      <trackRevisions>false</trackRevisions>
    </reviewItem>
    <reviewItem>
      <errorID>0a5731ce-bd4c-4763-b1cc-1b36134b4e1c</errorID>
      <errorWord>（</errorWord>
      <group>L1_Format</group>
      <groupName>格式问题</groupName>
      <ability>L2_HalfPunc</ability>
      <abilityName>全半角检查</abilityName>
      <candidateList>
        <item>(</item>
      </candidateList>
      <explain>文本全半角错误。</explain>
      <paraID>476AF2C6</paraID>
      <start>0</start>
      <end>1</end>
      <status>unmodified</status>
      <modifiedWord/>
      <trackRevisions>false</trackRevisions>
    </reviewItem>
    <reviewItem>
      <errorID>6721098a-e38a-4f5a-bed6-3b3c1bf8767c</errorID>
      <errorWord>）</errorWord>
      <group>L1_Format</group>
      <groupName>格式问题</groupName>
      <ability>L2_HalfPunc</ability>
      <abilityName>全半角检查</abilityName>
      <candidateList>
        <item>)</item>
      </candidateList>
      <explain>文本全半角错误。</explain>
      <paraID>476AF2C6</paraID>
      <start>2</start>
      <end>3</end>
      <status>unmodified</status>
      <modifiedWord/>
      <trackRevisions>false</trackRevisions>
    </reviewItem>
    <reviewItem>
      <errorID>c800f145-dc04-433a-8e54-41068b410482</errorID>
      <errorWord>（</errorWord>
      <group>L1_Format</group>
      <groupName>格式问题</groupName>
      <ability>L2_HalfPunc</ability>
      <abilityName>全半角检查</abilityName>
      <candidateList>
        <item>(</item>
      </candidateList>
      <explain>文本全半角错误。</explain>
      <paraID>79772BFD</paraID>
      <start>0</start>
      <end>1</end>
      <status>unmodified</status>
      <modifiedWord/>
      <trackRevisions>false</trackRevisions>
    </reviewItem>
    <reviewItem>
      <errorID>61f1fb1e-dcaf-4118-9734-12471b5b4de6</errorID>
      <errorWord>）</errorWord>
      <group>L1_Format</group>
      <groupName>格式问题</groupName>
      <ability>L2_HalfPunc</ability>
      <abilityName>全半角检查</abilityName>
      <candidateList>
        <item>)</item>
      </candidateList>
      <explain>文本全半角错误。</explain>
      <paraID>79772BFD</paraID>
      <start>2</start>
      <end>3</end>
      <status>unmodified</status>
      <modifiedWord/>
      <trackRevisions>false</trackRevisions>
    </reviewItem>
    <reviewItem>
      <errorID>aee5f045-d5e0-4f0b-ac5d-97ea450c4ba2</errorID>
      <errorWord>作必要</errorWord>
      <group>L1_Word</group>
      <groupName>字词问题</groupName>
      <ability>L2_Typo</ability>
      <abilityName>字词错误</abilityName>
      <candidateList>
        <item>做必要</item>
      </candidateList>
      <explain/>
      <paraID>6005669D</paraID>
      <start>175</start>
      <end>178</end>
      <status>unmodified</status>
      <modifiedWord/>
      <trackRevisions>false</trackRevisions>
    </reviewItem>
    <reviewItem>
      <errorID>b71c63ec-82a6-4896-acc1-d7a2e2cdf99c</errorID>
      <errorWord>二位</errorWord>
      <group>L1_Word</group>
      <groupName>字词问题</groupName>
      <ability>L2_Typo</ability>
      <abilityName>字词错误</abilityName>
      <candidateList>
        <item>两位</item>
      </candidateList>
      <explain/>
      <paraID>2434A238</paraID>
      <start>113</start>
      <end>115</end>
      <status>unmodified</status>
      <modifiedWord/>
      <trackRevisions>false</trackRevisions>
    </reviewItem>
    <reviewItem>
      <errorID>a0213da1-728b-43d8-81a6-822ee026403e</errorID>
      <errorWord>作必要</errorWord>
      <group>L1_Word</group>
      <groupName>字词问题</groupName>
      <ability>L2_Typo</ability>
      <abilityName>字词错误</abilityName>
      <candidateList>
        <item>做必要</item>
      </candidateList>
      <explain/>
      <paraID>4D01B901</paraID>
      <start>224</start>
      <end>227</end>
      <status>unmodified</status>
      <modifiedWord/>
      <trackRevisions>false</trackRevisions>
    </reviewItem>
    <reviewItem>
      <errorID>166c78cc-f34c-459c-be26-2e5dd9a3df05</errorID>
      <errorWord>二位</errorWord>
      <group>L1_Word</group>
      <groupName>字词问题</groupName>
      <ability>L2_Typo</ability>
      <abilityName>字词错误</abilityName>
      <candidateList>
        <item>两位</item>
      </candidateList>
      <explain/>
      <paraID>74BFBD80</paraID>
      <start>92</start>
      <end>94</end>
      <status>unmodified</status>
      <modifiedWord/>
      <trackRevisions>false</trackRevisions>
    </reviewItem>
    <reviewItem>
      <errorID>2b42b0eb-6f2c-407e-9f92-e3a0c827a042</errorID>
      <errorWord>作必要</errorWord>
      <group>L1_Word</group>
      <groupName>字词问题</groupName>
      <ability>L2_Typo</ability>
      <abilityName>字词错误</abilityName>
      <candidateList>
        <item>做必要</item>
      </candidateList>
      <explain/>
      <paraID>48523796</paraID>
      <start>252</start>
      <end>255</end>
      <status>unmodified</status>
      <modifiedWord/>
      <trackRevisions>false</trackRevisions>
    </reviewItem>
    <reviewItem>
      <errorID>c5f16640-e266-4498-9218-ba009fd6fbbc</errorID>
      <errorWord>,</errorWord>
      <group>L1_Format</group>
      <groupName>格式问题</groupName>
      <ability>L2_HalfPunc</ability>
      <abilityName>全半角检查</abilityName>
      <candidateList>
        <item>，</item>
      </candidateList>
      <explain>文本全半角错误。</explain>
      <paraID>7EE2BFF5</paraID>
      <start>81</start>
      <end>82</end>
      <status>unmodified</status>
      <modifiedWord/>
      <trackRevisions>false</trackRevisions>
    </reviewItem>
    <reviewItem>
      <errorID>2ec9c017-4d1a-4218-affd-c550c8856495</errorID>
      <errorWord>(</errorWord>
      <group>L1_Format</group>
      <groupName>格式问题</groupName>
      <ability>L2_HalfPunc</ability>
      <abilityName>全半角检查</abilityName>
      <candidateList>
        <item>（</item>
      </candidateList>
      <explain>文本全半角错误。</explain>
      <paraID>7EE2BFF5</paraID>
      <start>304</start>
      <end>305</end>
      <status>unmodified</status>
      <modifiedWord/>
      <trackRevisions>false</trackRevisions>
    </reviewItem>
    <reviewItem>
      <errorID>0024d223-7512-440a-bbcc-d3da3e667ab0</errorID>
      <errorWord>)</errorWord>
      <group>L1_Format</group>
      <groupName>格式问题</groupName>
      <ability>L2_HalfPunc</ability>
      <abilityName>全半角检查</abilityName>
      <candidateList>
        <item>）</item>
      </candidateList>
      <explain>文本全半角错误。</explain>
      <paraID>7EE2BFF5</paraID>
      <start>329</start>
      <end>330</end>
      <status>unmodified</status>
      <modifiedWord/>
      <trackRevisions>false</trackRevisions>
    </reviewItem>
    <reviewItem>
      <errorID>4ebf50bc-a47b-482c-8efb-4b0d68b9f71a</errorID>
      <errorWord>,</errorWord>
      <group>L1_Format</group>
      <groupName>格式问题</groupName>
      <ability>L2_HalfPunc</ability>
      <abilityName>全半角检查</abilityName>
      <candidateList>
        <item>，</item>
      </candidateList>
      <explain>文本全半角错误。</explain>
      <paraID>7EE2BFF5</paraID>
      <start>336</start>
      <end>337</end>
      <status>unmodified</status>
      <modifiedWord/>
      <trackRevisions>false</trackRevisions>
    </reviewItem>
    <reviewItem>
      <errorID>2afebb68-0225-4726-a7a9-731a446017b8</errorID>
      <errorWord>,</errorWord>
      <group>L1_Format</group>
      <groupName>格式问题</groupName>
      <ability>L2_HalfPunc</ability>
      <abilityName>全半角检查</abilityName>
      <candidateList>
        <item>，</item>
      </candidateList>
      <explain>文本全半角错误。</explain>
      <paraID>6E8C9E83</paraID>
      <start>74</start>
      <end>75</end>
      <status>unmodified</status>
      <modifiedWord/>
      <trackRevisions>false</trackRevisions>
    </reviewItem>
    <reviewItem>
      <errorID>da2fae07-1a5d-49d4-82b9-b2f40ca60ee2</errorID>
      <errorWord>(</errorWord>
      <group>L1_Format</group>
      <groupName>格式问题</groupName>
      <ability>L2_HalfPunc</ability>
      <abilityName>全半角检查</abilityName>
      <candidateList>
        <item>（</item>
      </candidateList>
      <explain>文本全半角错误。</explain>
      <paraID>6E8C9E83</paraID>
      <start>171</start>
      <end>172</end>
      <status>unmodified</status>
      <modifiedWord/>
      <trackRevisions>false</trackRevisions>
    </reviewItem>
    <reviewItem>
      <errorID>03debf65-fa7b-40b3-9b5a-6e8c4ddfc1d0</errorID>
      <errorWord>)</errorWord>
      <group>L1_Format</group>
      <groupName>格式问题</groupName>
      <ability>L2_HalfPunc</ability>
      <abilityName>全半角检查</abilityName>
      <candidateList>
        <item>）</item>
      </candidateList>
      <explain>文本全半角错误。</explain>
      <paraID>6E8C9E83</paraID>
      <start>193</start>
      <end>194</end>
      <status>unmodified</status>
      <modifiedWord/>
      <trackRevisions>false</trackRevisions>
    </reviewItem>
    <reviewItem>
      <errorID>d287c1da-200d-4fe4-8fd6-84761373fe98</errorID>
      <errorWord>,</errorWord>
      <group>L1_Format</group>
      <groupName>格式问题</groupName>
      <ability>L2_HalfPunc</ability>
      <abilityName>全半角检查</abilityName>
      <candidateList>
        <item>，</item>
      </candidateList>
      <explain>文本全半角错误。</explain>
      <paraID>6E8C9E83</paraID>
      <start>200</start>
      <end>201</end>
      <status>unmodified</status>
      <modifiedWord/>
      <trackRevisions>false</trackRevisions>
    </reviewItem>
    <reviewItem>
      <errorID>daf1927f-6f78-4917-9786-811aefdc716f</errorID>
      <errorWord>(</errorWord>
      <group>L1_Format</group>
      <groupName>格式问题</groupName>
      <ability>L2_HalfPunc</ability>
      <abilityName>全半角检查</abilityName>
      <candidateList>
        <item>（</item>
      </candidateList>
      <explain>文本全半角错误。</explain>
      <paraID>308B9102</paraID>
      <start>20</start>
      <end>21</end>
      <status>unmodified</status>
      <modifiedWord/>
      <trackRevisions>false</trackRevisions>
    </reviewItem>
    <reviewItem>
      <errorID>36c9596d-ba3e-4daf-b5f2-3b6817db8ff5</errorID>
      <errorWord>)</errorWord>
      <group>L1_Format</group>
      <groupName>格式问题</groupName>
      <ability>L2_HalfPunc</ability>
      <abilityName>全半角检查</abilityName>
      <candidateList>
        <item>）</item>
      </candidateList>
      <explain>文本全半角错误。</explain>
      <paraID>308B9102</paraID>
      <start>27</start>
      <end>28</end>
      <status>unmodified</status>
      <modifiedWord/>
      <trackRevisions>false</trackRevisions>
    </reviewItem>
    <reviewItem>
      <errorID>29d0baa6-0ddf-43d2-b6dc-24e32a4beba4</errorID>
      <errorWord>,</errorWord>
      <group>L1_Format</group>
      <groupName>格式问题</groupName>
      <ability>L2_HalfPunc</ability>
      <abilityName>全半角检查</abilityName>
      <candidateList>
        <item>，</item>
      </candidateList>
      <explain>文本全半角错误。</explain>
      <paraID>1CB5D0E4</paraID>
      <start>27</start>
      <end>28</end>
      <status>unmodified</status>
      <modifiedWord/>
      <trackRevisions>false</trackRevisions>
    </reviewItem>
    <reviewItem>
      <errorID>cd67dd6a-c0c1-47a9-892e-f83e4827f3af</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7178DA53</paraID>
      <start>81</start>
      <end>84</end>
      <status>unmodified</status>
      <modifiedWord/>
      <trackRevisions>false</trackRevisions>
    </reviewItem>
    <reviewItem>
      <errorID>eaabd6f8-be23-4238-bf93-de2b3ed23df0</errorID>
      <errorWord>见后</errorWord>
      <group>L1_Word</group>
      <groupName>字词问题</groupName>
      <ability>L2_Typo</ability>
      <abilityName>字词错误</abilityName>
      <candidateList>
        <item>见</item>
      </candidateList>
      <explain/>
      <paraID>6F08FBBB</paraID>
      <start>0</start>
      <end>2</end>
      <status>unmodified</status>
      <modifiedWord/>
      <trackRevisions>false</trackRevisions>
    </reviewItem>
    <reviewItem>
      <errorID>9217f1af-1fa3-4952-a6a3-b3e2be124371</errorID>
      <errorWord>其它</errorWord>
      <group>L1_Word</group>
      <groupName>字词问题</groupName>
      <ability>L2_Alias</ability>
      <abilityName>也作/曾用词</abilityName>
      <candidateList>
        <item>其他</item>
      </candidateList>
      <explain>词汇[其它]为不规范表述或旧称，其规范书面表述为[其他]。</explain>
      <paraID>4860EF9C</paraID>
      <start>12</start>
      <end>14</end>
      <status>unmodified</status>
      <modifiedWord/>
      <trackRevisions>false</trackRevisions>
    </reviewItem>
    <reviewItem>
      <errorID>20250c90-a1ff-48ce-b304-d022a83572e6</errorID>
      <errorWord>,</errorWord>
      <group>L1_Format</group>
      <groupName>格式问题</groupName>
      <ability>L2_HalfPunc</ability>
      <abilityName>全半角检查</abilityName>
      <candidateList>
        <item>，</item>
      </candidateList>
      <explain>文本全半角错误。</explain>
      <paraID>72FE464C</paraID>
      <start>18</start>
      <end>19</end>
      <status>unmodified</status>
      <modifiedWord/>
      <trackRevisions>false</trackRevisions>
    </reviewItem>
    <reviewItem>
      <errorID>fa72e4b9-a80e-4a8c-83cd-8c4fa78b802e</errorID>
      <errorWord>,</errorWord>
      <group>L1_Format</group>
      <groupName>格式问题</groupName>
      <ability>L2_HalfPunc</ability>
      <abilityName>全半角检查</abilityName>
      <candidateList>
        <item>，</item>
      </candidateList>
      <explain>文本全半角错误。</explain>
      <paraID>72FE464C</paraID>
      <start>27</start>
      <end>28</end>
      <status>unmodified</status>
      <modifiedWord/>
      <trackRevisions>false</trackRevisions>
    </reviewItem>
    <reviewItem>
      <errorID>5e8752a5-a656-4899-b284-28d6fa8ce00b</errorID>
      <errorWord>,</errorWord>
      <group>L1_Format</group>
      <groupName>格式问题</groupName>
      <ability>L2_HalfPunc</ability>
      <abilityName>全半角检查</abilityName>
      <candidateList>
        <item>，</item>
      </candidateList>
      <explain>文本全半角错误。</explain>
      <paraID>1FDBD689</paraID>
      <start>17</start>
      <end>18</end>
      <status>unmodified</status>
      <modifiedWord/>
      <trackRevisions>false</trackRevisions>
    </reviewItem>
    <reviewItem>
      <errorID>dc88cffb-c3df-49b7-b732-c6736ed7040a</errorID>
      <errorWord>,</errorWord>
      <group>L1_Format</group>
      <groupName>格式问题</groupName>
      <ability>L2_HalfPunc</ability>
      <abilityName>全半角检查</abilityName>
      <candidateList>
        <item>，</item>
      </candidateList>
      <explain>文本全半角错误。</explain>
      <paraID>4FC2023C</paraID>
      <start>15</start>
      <end>16</end>
      <status>unmodified</status>
      <modifiedWord/>
      <trackRevisions>false</trackRevisions>
    </reviewItem>
    <reviewItem>
      <errorID>740c592c-4845-4780-ba97-d1860778acf8</errorID>
      <errorWord>作必要</errorWord>
      <group>L1_Word</group>
      <groupName>字词问题</groupName>
      <ability>L2_Typo</ability>
      <abilityName>字词错误</abilityName>
      <candidateList>
        <item>做必要</item>
      </candidateList>
      <explain/>
      <paraID>4EB2FB73</paraID>
      <start>75</start>
      <end>78</end>
      <status>unmodified</status>
      <modifiedWord/>
      <trackRevisions>false</trackRevisions>
    </reviewItem>
    <reviewItem>
      <errorID>57224aaa-ed20-4366-a285-1337a4565b9d</errorID>
      <errorWord>,</errorWord>
      <group>L1_Format</group>
      <groupName>格式问题</groupName>
      <ability>L2_HalfPunc</ability>
      <abilityName>全半角检查</abilityName>
      <candidateList>
        <item>，</item>
      </candidateList>
      <explain>文本全半角错误。</explain>
      <paraID>34086156</paraID>
      <start>24</start>
      <end>25</end>
      <status>unmodified</status>
      <modifiedWord/>
      <trackRevisions>false</trackRevisions>
    </reviewItem>
    <reviewItem>
      <errorID>ab1a8e78-933e-4ce9-a8d8-84a23330e530</errorID>
      <errorWord>作必要</errorWord>
      <group>L1_Word</group>
      <groupName>字词问题</groupName>
      <ability>L2_Typo</ability>
      <abilityName>字词错误</abilityName>
      <candidateList>
        <item>做必要</item>
      </candidateList>
      <explain/>
      <paraID>501CF029</paraID>
      <start>88</start>
      <end>91</end>
      <status>unmodified</status>
      <modifiedWord/>
      <trackRevisions>false</trackRevisions>
    </reviewItem>
    <reviewItem>
      <errorID>4a984b24-c14f-4017-a6a3-dd6a69dc782d</errorID>
      <errorWord>,</errorWord>
      <group>L1_Format</group>
      <groupName>格式问题</groupName>
      <ability>L2_HalfPunc</ability>
      <abilityName>全半角检查</abilityName>
      <candidateList>
        <item>，</item>
      </candidateList>
      <explain>文本全半角错误。</explain>
      <paraID>49A9915A</paraID>
      <start>14</start>
      <end>15</end>
      <status>unmodified</status>
      <modifiedWord/>
      <trackRevisions>false</trackRevisions>
    </reviewItem>
    <reviewItem>
      <errorID>9c887199-ee33-4f60-b348-aecda26d7bfb</errorID>
      <errorWord>,</errorWord>
      <group>L1_Format</group>
      <groupName>格式问题</groupName>
      <ability>L2_HalfPunc</ability>
      <abilityName>全半角检查</abilityName>
      <candidateList>
        <item>，</item>
      </candidateList>
      <explain>文本全半角错误。</explain>
      <paraID> 93A0B55</paraID>
      <start>17</start>
      <end>18</end>
      <status>unmodified</status>
      <modifiedWord/>
      <trackRevisions>false</trackRevisions>
    </reviewItem>
    <reviewItem>
      <errorID>6ba88ab6-48ca-445a-97bd-4692c223eaab</errorID>
      <errorWord>作必要</errorWord>
      <group>L1_Word</group>
      <groupName>字词问题</groupName>
      <ability>L2_Typo</ability>
      <abilityName>字词错误</abilityName>
      <candidateList>
        <item>做必要</item>
      </candidateList>
      <explain/>
      <paraID>2FBA3769</paraID>
      <start>88</start>
      <end>91</end>
      <status>unmodified</status>
      <modifiedWord/>
      <trackRevisions>false</trackRevisions>
    </reviewItem>
    <reviewItem>
      <errorID>d9419555-f29f-4e25-9336-3dbba7319db0</errorID>
      <errorWord>[</errorWord>
      <group>L1_Punc</group>
      <groupName>标点问题</groupName>
      <ability>L2_Punc</ability>
      <abilityName>标点符号检查</abilityName>
      <candidateList/>
      <explain/>
      <paraID>444C29C5</paraID>
      <start>89</start>
      <end>90</end>
      <status>unmodified</status>
      <modifiedWord/>
      <trackRevisions>false</trackRevisions>
    </reviewItem>
    <reviewItem>
      <errorID>9f8c1d6f-4929-47a6-a390-a4837ea82ab4</errorID>
      <errorWord>)</errorWord>
      <group>L1_Format</group>
      <groupName>格式问题</groupName>
      <ability>L2_HalfPunc</ability>
      <abilityName>全半角检查</abilityName>
      <candidateList>
        <item>）</item>
      </candidateList>
      <explain>文本全半角错误。</explain>
      <paraID>444C29C5</paraID>
      <start>95</start>
      <end>96</end>
      <status>unmodified</status>
      <modifiedWord/>
      <trackRevisions>false</trackRevisions>
    </reviewItem>
    <reviewItem>
      <errorID>d02319fc-1a87-4021-98b6-c7904af7a081</errorID>
      <errorWord>[</errorWord>
      <group>L1_Punc</group>
      <groupName>标点问题</groupName>
      <ability>L2_Punc</ability>
      <abilityName>标点符号检查</abilityName>
      <candidateList/>
      <explain/>
      <paraID>444C29C5</paraID>
      <start>99</start>
      <end>100</end>
      <status>unmodified</status>
      <modifiedWord/>
      <trackRevisions>false</trackRevisions>
    </reviewItem>
    <reviewItem>
      <errorID>142e41bb-05b7-4451-bd0f-02c40dd1c6eb</errorID>
      <errorWord>[</errorWord>
      <group>L1_Punc</group>
      <groupName>标点问题</groupName>
      <ability>L2_Punc</ability>
      <abilityName>标点符号检查</abilityName>
      <candidateList/>
      <explain/>
      <paraID>444C29C5</paraID>
      <start>108</start>
      <end>109</end>
      <status>unmodified</status>
      <modifiedWord/>
      <trackRevisions>false</trackRevisions>
    </reviewItem>
    <reviewItem>
      <errorID>98894c06-27d0-45e4-b5e1-49b6157764cb</errorID>
      <errorWord>[</errorWord>
      <group>L1_Punc</group>
      <groupName>标点问题</groupName>
      <ability>L2_Punc</ability>
      <abilityName>标点符号检查</abilityName>
      <candidateList/>
      <explain/>
      <paraID>7F72103C</paraID>
      <start>99</start>
      <end>100</end>
      <status>unmodified</status>
      <modifiedWord/>
      <trackRevisions>false</trackRevisions>
    </reviewItem>
    <reviewItem>
      <errorID>50d6b4b3-a1f7-4237-b5fa-50b7e4d5b7da</errorID>
      <errorWord>)</errorWord>
      <group>L1_Format</group>
      <groupName>格式问题</groupName>
      <ability>L2_HalfPunc</ability>
      <abilityName>全半角检查</abilityName>
      <candidateList>
        <item>）</item>
      </candidateList>
      <explain>文本全半角错误。</explain>
      <paraID>7F72103C</paraID>
      <start>105</start>
      <end>106</end>
      <status>unmodified</status>
      <modifiedWord/>
      <trackRevisions>false</trackRevisions>
    </reviewItem>
    <reviewItem>
      <errorID>0814b9e6-64af-4b26-b5ec-5e84ab435ef1</errorID>
      <errorWord>[</errorWord>
      <group>L1_Punc</group>
      <groupName>标点问题</groupName>
      <ability>L2_Punc</ability>
      <abilityName>标点符号检查</abilityName>
      <candidateList/>
      <explain/>
      <paraID>7F72103C</paraID>
      <start>109</start>
      <end>110</end>
      <status>unmodified</status>
      <modifiedWord/>
      <trackRevisions>false</trackRevisions>
    </reviewItem>
    <reviewItem>
      <errorID>f68bf638-fd83-4715-8463-1e3f90e935ff</errorID>
      <errorWord>[</errorWord>
      <group>L1_Punc</group>
      <groupName>标点问题</groupName>
      <ability>L2_Punc</ability>
      <abilityName>标点符号检查</abilityName>
      <candidateList/>
      <explain/>
      <paraID>7F72103C</paraID>
      <start>119</start>
      <end>120</end>
      <status>unmodified</status>
      <modifiedWord/>
      <trackRevisions>false</trackRevisions>
    </reviewItem>
    <reviewItem>
      <errorID>8ea7ecb3-51ac-4123-a871-a84e84d7daa2</errorID>
      <errorWord>晰</errorWord>
      <group>L1_Word</group>
      <groupName>字词问题</groupName>
      <ability>L2_Typo</ability>
      <abilityName>字词错误</abilityName>
      <candidateList>
        <item>晰地</item>
      </candidateList>
      <explain/>
      <paraID>51752F15</paraID>
      <start>26</start>
      <end>27</end>
      <status>unmodified</status>
      <modifiedWord/>
      <trackRevisions>false</trackRevisions>
    </reviewItem>
    <reviewItem>
      <errorID>355308ef-1f76-477b-81c0-568d015fe196</errorID>
      <errorWord>[</errorWord>
      <group>L1_Punc</group>
      <groupName>标点问题</groupName>
      <ability>L2_Punc</ability>
      <abilityName>标点符号检查</abilityName>
      <candidateList/>
      <explain/>
      <paraID>51752F15</paraID>
      <start>62</start>
      <end>63</end>
      <status>unmodified</status>
      <modifiedWord/>
      <trackRevisions>false</trackRevisions>
    </reviewItem>
    <reviewItem>
      <errorID>89b43dca-a004-41cd-81a6-25745610764f</errorID>
      <errorWord>)</errorWord>
      <group>L1_Format</group>
      <groupName>格式问题</groupName>
      <ability>L2_HalfPunc</ability>
      <abilityName>全半角检查</abilityName>
      <candidateList>
        <item>）</item>
      </candidateList>
      <explain>文本全半角错误。</explain>
      <paraID>51752F15</paraID>
      <start>68</start>
      <end>69</end>
      <status>unmodified</status>
      <modifiedWord/>
      <trackRevisions>false</trackRevisions>
    </reviewItem>
    <reviewItem>
      <errorID>d3bbab3e-d677-4c75-8026-b359d400567a</errorID>
      <errorWord>[</errorWord>
      <group>L1_Punc</group>
      <groupName>标点问题</groupName>
      <ability>L2_Punc</ability>
      <abilityName>标点符号检查</abilityName>
      <candidateList/>
      <explain/>
      <paraID>51752F15</paraID>
      <start>72</start>
      <end>73</end>
      <status>unmodified</status>
      <modifiedWord/>
      <trackRevisions>false</trackRevisions>
    </reviewItem>
    <reviewItem>
      <errorID>ede28b60-7f84-459e-9946-29c26ce45b5b</errorID>
      <errorWord>[</errorWord>
      <group>L1_Punc</group>
      <groupName>标点问题</groupName>
      <ability>L2_Punc</ability>
      <abilityName>标点符号检查</abilityName>
      <candidateList/>
      <explain/>
      <paraID>51752F15</paraID>
      <start>82</start>
      <end>83</end>
      <status>unmodified</status>
      <modifiedWord/>
      <trackRevisions>false</trackRevisions>
    </reviewItem>
    <reviewItem>
      <errorID>6702b501-a8a7-4811-b0c2-d9bf1aceb12e</errorID>
      <errorWord>[</errorWord>
      <group>L1_Punc</group>
      <groupName>标点问题</groupName>
      <ability>L2_Punc</ability>
      <abilityName>标点符号检查</abilityName>
      <candidateList/>
      <explain/>
      <paraID>3DECEFC0</paraID>
      <start>1</start>
      <end>2</end>
      <status>unmodified</status>
      <modifiedWord/>
      <trackRevisions>false</trackRevisions>
    </reviewItem>
    <reviewItem>
      <errorID>883991a2-038f-41d4-a0cd-dcc5aa47f34a</errorID>
      <errorWord>)</errorWord>
      <group>L1_Format</group>
      <groupName>格式问题</groupName>
      <ability>L2_HalfPunc</ability>
      <abilityName>全半角检查</abilityName>
      <candidateList>
        <item>）</item>
      </candidateList>
      <explain>文本全半角错误。</explain>
      <paraID>3DECEFC0</paraID>
      <start>7</start>
      <end>8</end>
      <status>unmodified</status>
      <modifiedWord/>
      <trackRevisions>false</trackRevisions>
    </reviewItem>
    <reviewItem>
      <errorID>c42e282a-941e-4502-8ca8-0f3f65bbe04d</errorID>
      <errorWord>[</errorWord>
      <group>L1_Punc</group>
      <groupName>标点问题</groupName>
      <ability>L2_Punc</ability>
      <abilityName>标点符号检查</abilityName>
      <candidateList/>
      <explain/>
      <paraID>3DECEFC0</paraID>
      <start>11</start>
      <end>12</end>
      <status>unmodified</status>
      <modifiedWord/>
      <trackRevisions>false</trackRevisions>
    </reviewItem>
    <reviewItem>
      <errorID>22fdba5a-c786-432c-a4ce-feac8349f638</errorID>
      <errorWord>[</errorWord>
      <group>L1_Punc</group>
      <groupName>标点问题</groupName>
      <ability>L2_Punc</ability>
      <abilityName>标点符号检查</abilityName>
      <candidateList/>
      <explain/>
      <paraID>3DECEFC0</paraID>
      <start>21</start>
      <end>22</end>
      <status>unmodified</status>
      <modifiedWord/>
      <trackRevisions>false</trackRevisions>
    </reviewItem>
    <reviewItem>
      <errorID>69cfb882-7791-46a0-9f61-69300173ae57</errorID>
      <errorWord>[</errorWord>
      <group>L1_Punc</group>
      <groupName>标点问题</groupName>
      <ability>L2_Punc</ability>
      <abilityName>标点符号检查</abilityName>
      <candidateList/>
      <explain/>
      <paraID>2BD8040E</paraID>
      <start>1</start>
      <end>2</end>
      <status>unmodified</status>
      <modifiedWord/>
      <trackRevisions>false</trackRevisions>
    </reviewItem>
    <reviewItem>
      <errorID>b4ab0b9a-ea1d-4a01-8776-bd91f4b01193</errorID>
      <errorWord>)</errorWord>
      <group>L1_Format</group>
      <groupName>格式问题</groupName>
      <ability>L2_HalfPunc</ability>
      <abilityName>全半角检查</abilityName>
      <candidateList>
        <item>）</item>
      </candidateList>
      <explain>文本全半角错误。</explain>
      <paraID>2BD8040E</paraID>
      <start>5</start>
      <end>6</end>
      <status>unmodified</status>
      <modifiedWord/>
      <trackRevisions>false</trackRevisions>
    </reviewItem>
    <reviewItem>
      <errorID>ba94de10-194c-44a7-bef0-9430a5375f4e</errorID>
      <errorWord>[</errorWord>
      <group>L1_Punc</group>
      <groupName>标点问题</groupName>
      <ability>L2_Punc</ability>
      <abilityName>标点符号检查</abilityName>
      <candidateList/>
      <explain/>
      <paraID>2BD8040E</paraID>
      <start>9</start>
      <end>10</end>
      <status>unmodified</status>
      <modifiedWord/>
      <trackRevisions>false</trackRevisions>
    </reviewItem>
    <reviewItem>
      <errorID>387fa8f9-402d-47eb-ac80-01d59395561c</errorID>
      <errorWord>[</errorWord>
      <group>L1_Punc</group>
      <groupName>标点问题</groupName>
      <ability>L2_Punc</ability>
      <abilityName>标点符号检查</abilityName>
      <candidateList/>
      <explain/>
      <paraID>2BD8040E</paraID>
      <start>17</start>
      <end>18</end>
      <status>unmodified</status>
      <modifiedWord/>
      <trackRevisions>false</trackRevisions>
    </reviewItem>
    <reviewItem>
      <errorID>e6241f54-907c-4d6f-849f-bdaeb93aeeb0</errorID>
      <errorWord>(</errorWord>
      <group>L1_Format</group>
      <groupName>格式问题</groupName>
      <ability>L2_HalfPunc</ability>
      <abilityName>全半角检查</abilityName>
      <candidateList>
        <item>（</item>
      </candidateList>
      <explain>文本全半角错误。</explain>
      <paraID>6B475B3B</paraID>
      <start>2</start>
      <end>3</end>
      <status>unmodified</status>
      <modifiedWord/>
      <trackRevisions>false</trackRevisions>
    </reviewItem>
    <reviewItem>
      <errorID>8b0ebaf8-0eb4-4ea9-ae89-81c62b9f0913</errorID>
      <errorWord>,</errorWord>
      <group>L1_Format</group>
      <groupName>格式问题</groupName>
      <ability>L2_HalfPunc</ability>
      <abilityName>全半角检查</abilityName>
      <candidateList>
        <item>，</item>
      </candidateList>
      <explain>文本全半角错误。</explain>
      <paraID>3719DDCD</paraID>
      <start>81</start>
      <end>82</end>
      <status>unmodified</status>
      <modifiedWord/>
      <trackRevisions>false</trackRevisions>
    </reviewItem>
    <reviewItem>
      <errorID>4bfa9099-7d3e-4f2e-9251-85deb292ef80</errorID>
      <errorWord>(</errorWord>
      <group>L1_Format</group>
      <groupName>格式问题</groupName>
      <ability>L2_HalfPunc</ability>
      <abilityName>全半角检查</abilityName>
      <candidateList>
        <item>（</item>
      </candidateList>
      <explain>文本全半角错误。</explain>
      <paraID>3719DDCD</paraID>
      <start>304</start>
      <end>305</end>
      <status>unmodified</status>
      <modifiedWord/>
      <trackRevisions>false</trackRevisions>
    </reviewItem>
    <reviewItem>
      <errorID>d3b9001a-b112-47b9-ba71-e8a0bbafa4f6</errorID>
      <errorWord>)</errorWord>
      <group>L1_Format</group>
      <groupName>格式问题</groupName>
      <ability>L2_HalfPunc</ability>
      <abilityName>全半角检查</abilityName>
      <candidateList>
        <item>）</item>
      </candidateList>
      <explain>文本全半角错误。</explain>
      <paraID>3719DDCD</paraID>
      <start>329</start>
      <end>330</end>
      <status>unmodified</status>
      <modifiedWord/>
      <trackRevisions>false</trackRevisions>
    </reviewItem>
    <reviewItem>
      <errorID>7633b9fd-a276-4969-a5a1-a58dec7b5942</errorID>
      <errorWord>,</errorWord>
      <group>L1_Format</group>
      <groupName>格式问题</groupName>
      <ability>L2_HalfPunc</ability>
      <abilityName>全半角检查</abilityName>
      <candidateList>
        <item>，</item>
      </candidateList>
      <explain>文本全半角错误。</explain>
      <paraID>3719DDCD</paraID>
      <start>336</start>
      <end>337</end>
      <status>unmodified</status>
      <modifiedWord/>
      <trackRevisions>false</trackRevisions>
    </reviewItem>
    <reviewItem>
      <errorID>8c9c81b1-1a80-4a3f-bc15-61af97559960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44602D39</paraID>
      <start>0</start>
      <end>2</end>
      <status>unmodified</status>
      <modifiedWord/>
      <trackRevisions>false</trackRevisions>
    </reviewItem>
    <reviewItem>
      <errorID>a404a085-ef07-43ed-840b-7b56504da641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681533C9</paraID>
      <start>0</start>
      <end>2</end>
      <status>unmodified</status>
      <modifiedWord/>
      <trackRevisions>false</trackRevisions>
    </reviewItem>
    <reviewItem>
      <errorID>0baa1de8-c389-49a4-964b-32f60c539e06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6E0C9C42</paraID>
      <start>0</start>
      <end>2</end>
      <status>unmodified</status>
      <modifiedWord/>
      <trackRevisions>false</trackRevisions>
    </reviewItem>
    <reviewItem>
      <errorID>c65cf3dd-cd4e-44f8-a93a-a985e5e68389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3CEFD5B6</paraID>
      <start>0</start>
      <end>2</end>
      <status>unmodified</status>
      <modifiedWord/>
      <trackRevisions>false</trackRevisions>
    </reviewItem>
    <reviewItem>
      <errorID>ea1b00d6-8f0e-4152-b1eb-49fba9d8e027</errorID>
      <errorWord>。。</errorWord>
      <group>L1_Punc</group>
      <groupName>标点问题</groupName>
      <ability>L2_Punc</ability>
      <abilityName>标点符号检查</abilityName>
      <candidateList>
        <item>。</item>
      </candidateList>
      <explain/>
      <paraID>593602AA</paraID>
      <start>339</start>
      <end>341</end>
      <status>unmodified</status>
      <modifiedWord/>
      <trackRevisions>false</trackRevisions>
    </reviewItem>
    <reviewItem>
      <errorID>2ecb8c64-f1d7-489c-b410-c0dcb5143cdf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1CCEECF5</paraID>
      <start>0</start>
      <end>2</end>
      <status>unmodified</status>
      <modifiedWord/>
      <trackRevisions>false</trackRevisions>
    </reviewItem>
    <reviewItem>
      <errorID>5e46511f-e6ff-4858-8095-c22295151bfc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5F18EF0</paraID>
      <start>0</start>
      <end>2</end>
      <status>unmodified</status>
      <modifiedWord/>
      <trackRevisions>false</trackRevisions>
    </reviewItem>
    <reviewItem>
      <errorID>91ca60f0-3ceb-483d-baea-e81004eeffc0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2032DDA6</paraID>
      <start>0</start>
      <end>2</end>
      <status>unmodified</status>
      <modifiedWord/>
      <trackRevisions>false</trackRevisions>
    </reviewItem>
    <reviewItem>
      <errorID>53bd28e7-9074-4cd3-9ac0-22d16b1d212a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42B5CC81</paraID>
      <start>0</start>
      <end>2</end>
      <status>unmodified</status>
      <modifiedWord/>
      <trackRevisions>false</trackRevisions>
    </reviewItem>
    <reviewItem>
      <errorID>c74d9627-d6f0-4cc4-a194-febd976642b3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55939038</paraID>
      <start>0</start>
      <end>2</end>
      <status>unmodified</status>
      <modifiedWord/>
      <trackRevisions>false</trackRevisions>
    </reviewItem>
    <reviewItem>
      <errorID>72bd52d0-7cb1-42d4-bfc9-efc7ded553d3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141BB3B4</paraID>
      <start>0</start>
      <end>2</end>
      <status>unmodified</status>
      <modifiedWord/>
      <trackRevisions>false</trackRevisions>
    </reviewItem>
    <reviewItem>
      <errorID>2cd74bf9-1db4-4b09-befc-5fbe9809f321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5DF2E566</paraID>
      <start>0</start>
      <end>2</end>
      <status>unmodified</status>
      <modifiedWord/>
      <trackRevisions>false</trackRevisions>
    </reviewItem>
    <reviewItem>
      <errorID>d7776729-2577-4ccd-ac07-71e03459d4f8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19EB1C56</paraID>
      <start>0</start>
      <end>2</end>
      <status>unmodified</status>
      <modifiedWord/>
      <trackRevisions>false</trackRevisions>
    </reviewItem>
    <reviewItem>
      <errorID>63d9968a-35e4-42b6-abed-71a1783abd39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1EF0FD3F</paraID>
      <start>0</start>
      <end>2</end>
      <status>unmodified</status>
      <modifiedWord/>
      <trackRevisions>false</trackRevisions>
    </reviewItem>
    <reviewItem>
      <errorID>f2a993c1-3074-4857-ae79-d3243471dde8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5436A676</paraID>
      <start>0</start>
      <end>2</end>
      <status>unmodified</status>
      <modifiedWord/>
      <trackRevisions>false</trackRevisions>
    </reviewItem>
    <reviewItem>
      <errorID>f2d10ff3-1214-4429-9fa4-55b14e4f67be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967EE1</paraID>
      <start>0</start>
      <end>2</end>
      <status>unmodified</status>
      <modifiedWord/>
      <trackRevisions>false</trackRevisions>
    </reviewItem>
    <reviewItem>
      <errorID>6c3cc515-f13b-4714-bc4d-aa44112f3207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5CAC1E57</paraID>
      <start>0</start>
      <end>2</end>
      <status>unmodified</status>
      <modifiedWord/>
      <trackRevisions>false</trackRevisions>
    </reviewItem>
    <reviewItem>
      <errorID>6b291535-cf1a-4efb-b541-5337594f1e5d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3D8DB773</paraID>
      <start>0</start>
      <end>2</end>
      <status>unmodified</status>
      <modifiedWord/>
      <trackRevisions>false</trackRevisions>
    </reviewItem>
    <reviewItem>
      <errorID>4e0f71f7-39af-497b-bbce-52400ea85475</errorID>
      <errorWord>（</errorWord>
      <group>L1_Punc</group>
      <groupName>标点问题</groupName>
      <ability>L2_Punc</ability>
      <abilityName>标点符号检查</abilityName>
      <candidateList/>
      <explain/>
      <paraID>48C7D244</paraID>
      <start>182</start>
      <end>183</end>
      <status>unmodified</status>
      <modifiedWord/>
      <trackRevisions>false</trackRevisions>
    </reviewItem>
    <reviewItem>
      <errorID>6f6cd047-6bea-4650-8e61-115d2140605b</errorID>
      <errorWord>]</errorWord>
      <group>L1_Punc</group>
      <groupName>标点问题</groupName>
      <ability>L2_Punc</ability>
      <abilityName>标点符号检查</abilityName>
      <candidateList/>
      <explain/>
      <paraID>48C7D244</paraID>
      <start>187</start>
      <end>188</end>
      <status>unmodified</status>
      <modifiedWord/>
      <trackRevisions>false</trackRevisions>
    </reviewItem>
    <reviewItem>
      <errorID>4b777b0e-9dd4-4bb2-8e79-76489c218e8b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673CA3B1</paraID>
      <start>171</start>
      <end>172</end>
      <status>unmodified</status>
      <modifiedWord/>
      <trackRevisions>false</trackRevisions>
    </reviewItem>
    <reviewItem>
      <errorID>f3b560fa-18ca-4504-aaf1-c123dc3d24ff</errorID>
      <errorWord>（</errorWord>
      <group>L1_Punc</group>
      <groupName>标点问题</groupName>
      <ability>L2_Punc</ability>
      <abilityName>标点符号检查</abilityName>
      <candidateList/>
      <explain/>
      <paraID>673CA3B1</paraID>
      <start>180</start>
      <end>181</end>
      <status>unmodified</status>
      <modifiedWord/>
      <trackRevisions>false</trackRevisions>
    </reviewItem>
    <reviewItem>
      <errorID>d94b9515-5d12-4469-b99a-dbc71e7cd103</errorID>
      <errorWord>]</errorWord>
      <group>L1_Punc</group>
      <groupName>标点问题</groupName>
      <ability>L2_Punc</ability>
      <abilityName>标点符号检查</abilityName>
      <candidateList/>
      <explain/>
      <paraID>673CA3B1</paraID>
      <start>184</start>
      <end>185</end>
      <status>unmodified</status>
      <modifiedWord/>
      <trackRevisions>false</trackRevisions>
    </reviewItem>
    <reviewItem>
      <errorID>c735b257-7c34-4373-9bd2-5252566605c9</errorID>
      <errorWord>（</errorWord>
      <group>L1_Punc</group>
      <groupName>标点问题</groupName>
      <ability>L2_Punc</ability>
      <abilityName>标点符号检查</abilityName>
      <candidateList/>
      <explain/>
      <paraID>21D93E3C</paraID>
      <start>182</start>
      <end>183</end>
      <status>unmodified</status>
      <modifiedWord/>
      <trackRevisions>false</trackRevisions>
    </reviewItem>
    <reviewItem>
      <errorID>38897bf0-02a9-437e-8b07-d4b648a515dd</errorID>
      <errorWord>]</errorWord>
      <group>L1_Punc</group>
      <groupName>标点问题</groupName>
      <ability>L2_Punc</ability>
      <abilityName>标点符号检查</abilityName>
      <candidateList/>
      <explain/>
      <paraID>21D93E3C</paraID>
      <start>186</start>
      <end>187</end>
      <status>unmodified</status>
      <modifiedWord/>
      <trackRevisions>false</trackRevisions>
    </reviewItem>
    <reviewItem>
      <errorID>f298c951-f594-4ef0-a4d4-c0560fc8fcdf</errorID>
      <errorWord>（</errorWord>
      <group>L1_Punc</group>
      <groupName>标点问题</groupName>
      <ability>L2_Punc</ability>
      <abilityName>标点符号检查</abilityName>
      <candidateList/>
      <explain/>
      <paraID>38E1A207</paraID>
      <start>161</start>
      <end>162</end>
      <status>unmodified</status>
      <modifiedWord/>
      <trackRevisions>false</trackRevisions>
    </reviewItem>
    <reviewItem>
      <errorID>3aac9dae-63ee-4c83-8338-db0fd40cef9a</errorID>
      <errorWord>]</errorWord>
      <group>L1_Punc</group>
      <groupName>标点问题</groupName>
      <ability>L2_Punc</ability>
      <abilityName>标点符号检查</abilityName>
      <candidateList/>
      <explain/>
      <paraID>38E1A207</paraID>
      <start>166</start>
      <end>167</end>
      <status>unmodified</status>
      <modifiedWord/>
      <trackRevisions>false</trackRevisions>
    </reviewItem>
    <reviewItem>
      <errorID>e041dce5-5cbf-4311-a0ee-0d86efa47917</errorID>
      <errorWord>（</errorWord>
      <group>L1_Punc</group>
      <groupName>标点问题</groupName>
      <ability>L2_Punc</ability>
      <abilityName>标点符号检查</abilityName>
      <candidateList/>
      <explain/>
      <paraID>18A09B02</paraID>
      <start>86</start>
      <end>87</end>
      <status>unmodified</status>
      <modifiedWord/>
      <trackRevisions>false</trackRevisions>
    </reviewItem>
    <reviewItem>
      <errorID>2197cbfe-e171-4ac2-9e55-971e567a2aca</errorID>
      <errorWord>]</errorWord>
      <group>L1_Punc</group>
      <groupName>标点问题</groupName>
      <ability>L2_Punc</ability>
      <abilityName>标点符号检查</abilityName>
      <candidateList/>
      <explain/>
      <paraID>18A09B02</paraID>
      <start>90</start>
      <end>91</end>
      <status>unmodified</status>
      <modifiedWord/>
      <trackRevisions>false</trackRevisions>
    </reviewItem>
    <reviewItem>
      <errorID>928e88d2-a4e5-4a52-ac59-a1e56458f78a</errorID>
      <errorWord>（</errorWord>
      <group>L1_Punc</group>
      <groupName>标点问题</groupName>
      <ability>L2_Punc</ability>
      <abilityName>标点符号检查</abilityName>
      <candidateList/>
      <explain/>
      <paraID>3C2C97D6</paraID>
      <start>114</start>
      <end>115</end>
      <status>unmodified</status>
      <modifiedWord/>
      <trackRevisions>false</trackRevisions>
    </reviewItem>
    <reviewItem>
      <errorID>035033dd-b0ee-48f1-b354-630f9798e114</errorID>
      <errorWord>]</errorWord>
      <group>L1_Punc</group>
      <groupName>标点问题</groupName>
      <ability>L2_Punc</ability>
      <abilityName>标点符号检查</abilityName>
      <candidateList/>
      <explain/>
      <paraID>3C2C97D6</paraID>
      <start>118</start>
      <end>119</end>
      <status>unmodified</status>
      <modifiedWord/>
      <trackRevisions>false</trackRevisions>
    </reviewItem>
    <reviewItem>
      <errorID>12de9da3-0b98-417c-81a2-775c4abad934</errorID>
      <errorWord>（</errorWord>
      <group>L1_Punc</group>
      <groupName>标点问题</groupName>
      <ability>L2_Punc</ability>
      <abilityName>标点符号检查</abilityName>
      <candidateList/>
      <explain/>
      <paraID>7C413DAC</paraID>
      <start>153</start>
      <end>154</end>
      <status>unmodified</status>
      <modifiedWord/>
      <trackRevisions>false</trackRevisions>
    </reviewItem>
    <reviewItem>
      <errorID>d2633286-ceab-430a-9bca-20c043b95abd</errorID>
      <errorWord>]</errorWord>
      <group>L1_Punc</group>
      <groupName>标点问题</groupName>
      <ability>L2_Punc</ability>
      <abilityName>标点符号检查</abilityName>
      <candidateList/>
      <explain/>
      <paraID>7C413DAC</paraID>
      <start>158</start>
      <end>159</end>
      <status>unmodified</status>
      <modifiedWord/>
      <trackRevisions>false</trackRevisions>
    </reviewItem>
    <reviewItem>
      <errorID>ea4fe7d4-10d0-4376-88b1-058e3159df96</errorID>
      <errorWord>（</errorWord>
      <group>L1_Punc</group>
      <groupName>标点问题</groupName>
      <ability>L2_Punc</ability>
      <abilityName>标点符号检查</abilityName>
      <candidateList/>
      <explain/>
      <paraID>1397DA95</paraID>
      <start>151</start>
      <end>152</end>
      <status>unmodified</status>
      <modifiedWord/>
      <trackRevisions>false</trackRevisions>
    </reviewItem>
    <reviewItem>
      <errorID>f745a8da-b570-461c-8ca6-5b5f0c90ebd4</errorID>
      <errorWord>]</errorWord>
      <group>L1_Punc</group>
      <groupName>标点问题</groupName>
      <ability>L2_Punc</ability>
      <abilityName>标点符号检查</abilityName>
      <candidateList/>
      <explain/>
      <paraID>1397DA95</paraID>
      <start>155</start>
      <end>156</end>
      <status>unmodified</status>
      <modifiedWord/>
      <trackRevisions>false</trackRevisions>
    </reviewItem>
    <reviewItem>
      <errorID>98800764-80f5-4fd3-899e-6add1623192f</errorID>
      <errorWord>（</errorWord>
      <group>L1_Punc</group>
      <groupName>标点问题</groupName>
      <ability>L2_Punc</ability>
      <abilityName>标点符号检查</abilityName>
      <candidateList/>
      <explain/>
      <paraID>43F0DBF4</paraID>
      <start>134</start>
      <end>135</end>
      <status>unmodified</status>
      <modifiedWord/>
      <trackRevisions>false</trackRevisions>
    </reviewItem>
    <reviewItem>
      <errorID>3af1aedc-70dc-4702-85e1-f3643e2a1e58</errorID>
      <errorWord>]</errorWord>
      <group>L1_Punc</group>
      <groupName>标点问题</groupName>
      <ability>L2_Punc</ability>
      <abilityName>标点符号检查</abilityName>
      <candidateList/>
      <explain/>
      <paraID>43F0DBF4</paraID>
      <start>138</start>
      <end>139</end>
      <status>unmodified</status>
      <modifiedWord/>
      <trackRevisions>false</trackRevisions>
    </reviewItem>
    <reviewItem>
      <errorID>4f0e62ff-5e5b-4797-9f86-485dcbe0a127</errorID>
      <errorWord>（</errorWord>
      <group>L1_Punc</group>
      <groupName>标点问题</groupName>
      <ability>L2_Punc</ability>
      <abilityName>标点符号检查</abilityName>
      <candidateList/>
      <explain/>
      <paraID> BE7F8A5</paraID>
      <start>126</start>
      <end>127</end>
      <status>unmodified</status>
      <modifiedWord/>
      <trackRevisions>false</trackRevisions>
    </reviewItem>
    <reviewItem>
      <errorID>5dc482fa-3a55-474a-9f1e-bd4f40c5f1de</errorID>
      <errorWord>]</errorWord>
      <group>L1_Punc</group>
      <groupName>标点问题</groupName>
      <ability>L2_Punc</ability>
      <abilityName>标点符号检查</abilityName>
      <candidateList/>
      <explain/>
      <paraID> BE7F8A5</paraID>
      <start>130</start>
      <end>131</end>
      <status>unmodified</status>
      <modifiedWord/>
      <trackRevisions>false</trackRevisions>
    </reviewItem>
    <reviewItem>
      <errorID>e3ed9594-2d2f-45b9-aea2-5ae0772a6cf2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E4291A9</paraID>
      <start>0</start>
      <end>2</end>
      <status>unmodified</status>
      <modifiedWord/>
      <trackRevisions>false</trackRevisions>
    </reviewItem>
    <reviewItem>
      <errorID>59f64f18-33ed-474c-823c-cbe4912aafc8</errorID>
      <errorWord>二位</errorWord>
      <group>L1_Word</group>
      <groupName>字词问题</groupName>
      <ability>L2_Typo</ability>
      <abilityName>字词错误</abilityName>
      <candidateList>
        <item>两位</item>
      </candidateList>
      <explain/>
      <paraID> E4291A9</paraID>
      <start>88</start>
      <end>90</end>
      <status>unmodified</status>
      <modifiedWord/>
      <trackRevisions>false</trackRevisions>
    </reviewItem>
    <reviewItem>
      <errorID>117cc8bf-39c4-4fa3-b1fe-e4ec1a31b28c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457908C5</paraID>
      <start>0</start>
      <end>2</end>
      <status>unmodified</status>
      <modifiedWord/>
      <trackRevisions>false</trackRevisions>
    </reviewItem>
    <reviewItem>
      <errorID>e556f260-7121-447e-86cf-3e3b1af8259a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48D041EE</paraID>
      <start>0</start>
      <end>2</end>
      <status>unmodified</status>
      <modifiedWord/>
      <trackRevisions>false</trackRevisions>
    </reviewItem>
    <reviewItem>
      <errorID>3f73c77f-9290-4f01-8925-f51ba4a37c67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C0B145C</paraID>
      <start>0</start>
      <end>2</end>
      <status>unmodified</status>
      <modifiedWord/>
      <trackRevisions>false</trackRevisions>
    </reviewItem>
    <reviewItem>
      <errorID>c8b25edb-75ef-4ed1-8df7-64ff55d5a843</errorID>
      <errorWord>无</errorWord>
      <group>L1_Word</group>
      <groupName>字词问题</groupName>
      <ability>L2_Typo</ability>
      <abilityName>字词错误</abilityName>
      <candidateList>
        <item>无法</item>
      </candidateList>
      <explain/>
      <paraID> C0B145C</paraID>
      <start>162</start>
      <end>163</end>
      <status>unmodified</status>
      <modifiedWord/>
      <trackRevisions>false</trackRevisions>
    </reviewItem>
    <reviewItem>
      <errorID>b700cb5b-629e-4632-8a08-c22fd086a1b4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123F4C8B</paraID>
      <start>62</start>
      <end>63</end>
      <status>unmodified</status>
      <modifiedWord/>
      <trackRevisions>false</trackRevisions>
    </reviewItem>
    <reviewItem>
      <errorID>a347b026-7ec5-4646-a215-547c644cffe7</errorID>
      <errorWord>（</errorWord>
      <group>L1_Punc</group>
      <groupName>标点问题</groupName>
      <ability>L2_Punc</ability>
      <abilityName>标点符号检查</abilityName>
      <candidateList/>
      <explain/>
      <paraID>123F4C8B</paraID>
      <start>78</start>
      <end>79</end>
      <status>unmodified</status>
      <modifiedWord/>
      <trackRevisions>false</trackRevisions>
    </reviewItem>
    <reviewItem>
      <errorID>26d30802-1e7a-4c10-9a5d-c29f50f56e1a</errorID>
      <errorWord>]</errorWord>
      <group>L1_Punc</group>
      <groupName>标点问题</groupName>
      <ability>L2_Punc</ability>
      <abilityName>标点符号检查</abilityName>
      <candidateList/>
      <explain/>
      <paraID>123F4C8B</paraID>
      <start>85</start>
      <end>86</end>
      <status>unmodified</status>
      <modifiedWord/>
      <trackRevisions>false</trackRevisions>
    </reviewItem>
    <reviewItem>
      <errorID>bc4f944e-33ef-4b32-8d91-d7fb2650f33d</errorID>
      <errorWord>（</errorWord>
      <group>L1_Punc</group>
      <groupName>标点问题</groupName>
      <ability>L2_Punc</ability>
      <abilityName>标点符号检查</abilityName>
      <candidateList/>
      <explain/>
      <paraID>1645AE1A</paraID>
      <start>82</start>
      <end>83</end>
      <status>unmodified</status>
      <modifiedWord/>
      <trackRevisions>false</trackRevisions>
    </reviewItem>
    <reviewItem>
      <errorID>f141acd5-8fb5-4923-b3af-b162048d7913</errorID>
      <errorWord>]</errorWord>
      <group>L1_Punc</group>
      <groupName>标点问题</groupName>
      <ability>L2_Punc</ability>
      <abilityName>标点符号检查</abilityName>
      <candidateList/>
      <explain/>
      <paraID>1645AE1A</paraID>
      <start>88</start>
      <end>89</end>
      <status>unmodified</status>
      <modifiedWord/>
      <trackRevisions>false</trackRevisions>
    </reviewItem>
    <reviewItem>
      <errorID>cf809406-7a62-455f-9d4f-71e399512ce8</errorID>
      <errorWord>（</errorWord>
      <group>L1_Punc</group>
      <groupName>标点问题</groupName>
      <ability>L2_Punc</ability>
      <abilityName>标点符号检查</abilityName>
      <candidateList/>
      <explain/>
      <paraID>45A504FE</paraID>
      <start>69</start>
      <end>70</end>
      <status>unmodified</status>
      <modifiedWord/>
      <trackRevisions>false</trackRevisions>
    </reviewItem>
    <reviewItem>
      <errorID>3d50bc4c-8c2a-4bd0-8b90-24440541f27a</errorID>
      <errorWord>]</errorWord>
      <group>L1_Punc</group>
      <groupName>标点问题</groupName>
      <ability>L2_Punc</ability>
      <abilityName>标点符号检查</abilityName>
      <candidateList/>
      <explain/>
      <paraID>45A504FE</paraID>
      <start>75</start>
      <end>76</end>
      <status>unmodified</status>
      <modifiedWord/>
      <trackRevisions>false</trackRevisions>
    </reviewItem>
    <reviewItem>
      <errorID>2d2c76c0-de1a-48f1-8024-b0302a92a9d4</errorID>
      <errorWord>（</errorWord>
      <group>L1_Punc</group>
      <groupName>标点问题</groupName>
      <ability>L2_Punc</ability>
      <abilityName>标点符号检查</abilityName>
      <candidateList/>
      <explain/>
      <paraID>33DC7A1F</paraID>
      <start>16</start>
      <end>17</end>
      <status>unmodified</status>
      <modifiedWord/>
      <trackRevisions>false</trackRevisions>
    </reviewItem>
    <reviewItem>
      <errorID>dd06ab7f-d948-4b74-ad4f-8e780d484f53</errorID>
      <errorWord>]</errorWord>
      <group>L1_Punc</group>
      <groupName>标点问题</groupName>
      <ability>L2_Punc</ability>
      <abilityName>标点符号检查</abilityName>
      <candidateList/>
      <explain/>
      <paraID>33DC7A1F</paraID>
      <start>21</start>
      <end>22</end>
      <status>unmodified</status>
      <modifiedWord/>
      <trackRevisions>false</trackRevisions>
    </reviewItem>
    <reviewItem>
      <errorID>d187d1ca-800c-46b3-9d86-a8242ca525d9</errorID>
      <errorWord>其中</errorWord>
      <group>L1_Word</group>
      <groupName>字词问题</groupName>
      <ability>L2_Typo</ability>
      <abilityName>字词错误</abilityName>
      <candidateList>
        <item>中</item>
      </candidateList>
      <explain>〈动〉❶正对上；恰好合上：～选｜猜～了｜三枪都打～了目标。❷受到；遭受：～毒｜～暑｜胳膊上～了一枪。</explain>
      <paraID>20C854A4</paraID>
      <start>33</start>
      <end>35</end>
      <status>unmodified</status>
      <modifiedWord/>
      <trackRevisions>false</trackRevisions>
    </reviewItem>
    <reviewItem>
      <errorID>11df6f6b-e6cd-41e7-8104-8a3b54d61eb8</errorID>
      <errorWord>二位</errorWord>
      <group>L1_Word</group>
      <groupName>字词问题</groupName>
      <ability>L2_Typo</ability>
      <abilityName>字词错误</abilityName>
      <candidateList>
        <item>两位</item>
      </candidateList>
      <explain/>
      <paraID>164E86ED</paraID>
      <start>78</start>
      <end>80</end>
      <status>unmodified</status>
      <modifiedWord/>
      <trackRevisions>false</trackRevisions>
    </reviewItem>
    <reviewItem>
      <errorID>7b8ea6e7-bf9b-486e-9d03-6aa970fe3f9d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776AE4DA</paraID>
      <start>0</start>
      <end>2</end>
      <status>unmodified</status>
      <modifiedWord/>
      <trackRevisions>false</trackRevisions>
    </reviewItem>
    <reviewItem>
      <errorID>1d218e4e-f5db-4b22-b0e3-14b38cfb91ec</errorID>
      <errorWord>（</errorWord>
      <group>L1_Punc</group>
      <groupName>标点问题</groupName>
      <ability>L2_Punc</ability>
      <abilityName>标点符号检查</abilityName>
      <candidateList/>
      <explain/>
      <paraID>6CA60E76</paraID>
      <start>34</start>
      <end>35</end>
      <status>unmodified</status>
      <modifiedWord/>
      <trackRevisions>false</trackRevisions>
    </reviewItem>
    <reviewItem>
      <errorID>f65c95ae-feae-4d93-b190-f1047efb74b8</errorID>
      <errorWord>]</errorWord>
      <group>L1_Punc</group>
      <groupName>标点问题</groupName>
      <ability>L2_Punc</ability>
      <abilityName>标点符号检查</abilityName>
      <candidateList/>
      <explain/>
      <paraID>6CA60E76</paraID>
      <start>40</start>
      <end>41</end>
      <status>unmodified</status>
      <modifiedWord/>
      <trackRevisions>false</trackRevisions>
    </reviewItem>
    <reviewItem>
      <errorID>fb8b9a1c-0e6e-4a3e-8535-da554f8ccf9d</errorID>
      <errorWord>（</errorWord>
      <group>L1_Punc</group>
      <groupName>标点问题</groupName>
      <ability>L2_Punc</ability>
      <abilityName>标点符号检查</abilityName>
      <candidateList/>
      <explain/>
      <paraID>6CA60E76</paraID>
      <start>44</start>
      <end>45</end>
      <status>unmodified</status>
      <modifiedWord/>
      <trackRevisions>false</trackRevisions>
    </reviewItem>
    <reviewItem>
      <errorID>dc27f2d7-2368-4af1-8b38-8a32c8737296</errorID>
      <errorWord>]</errorWord>
      <group>L1_Punc</group>
      <groupName>标点问题</groupName>
      <ability>L2_Punc</ability>
      <abilityName>标点符号检查</abilityName>
      <candidateList/>
      <explain/>
      <paraID>6CA60E76</paraID>
      <start>50</start>
      <end>51</end>
      <status>unmodified</status>
      <modifiedWord/>
      <trackRevisions>false</trackRevisions>
    </reviewItem>
    <reviewItem>
      <errorID>013ccbbc-132a-4299-9fe1-7a872afae966</errorID>
      <errorWord>（</errorWord>
      <group>L1_Punc</group>
      <groupName>标点问题</groupName>
      <ability>L2_Punc</ability>
      <abilityName>标点符号检查</abilityName>
      <candidateList/>
      <explain/>
      <paraID>6CA60E76</paraID>
      <start>54</start>
      <end>55</end>
      <status>unmodified</status>
      <modifiedWord/>
      <trackRevisions>false</trackRevisions>
    </reviewItem>
    <reviewItem>
      <errorID>56df02f5-d3a5-40db-85c0-14a124a37495</errorID>
      <errorWord>]</errorWord>
      <group>L1_Punc</group>
      <groupName>标点问题</groupName>
      <ability>L2_Punc</ability>
      <abilityName>标点符号检查</abilityName>
      <candidateList/>
      <explain/>
      <paraID>6CA60E76</paraID>
      <start>59</start>
      <end>60</end>
      <status>unmodified</status>
      <modifiedWord/>
      <trackRevisions>false</trackRevisions>
    </reviewItem>
    <reviewItem>
      <errorID>9e3d99bf-7352-41e5-95d0-aac114371e92</errorID>
      <errorWord>（</errorWord>
      <group>L1_Punc</group>
      <groupName>标点问题</groupName>
      <ability>L2_Punc</ability>
      <abilityName>标点符号检查</abilityName>
      <candidateList/>
      <explain/>
      <paraID>7CE7252F</paraID>
      <start>1</start>
      <end>2</end>
      <status>unmodified</status>
      <modifiedWord/>
      <trackRevisions>false</trackRevisions>
    </reviewItem>
    <reviewItem>
      <errorID>e39977a5-86d9-48b4-baf9-0a606d6b5e64</errorID>
      <errorWord>]</errorWord>
      <group>L1_Punc</group>
      <groupName>标点问题</groupName>
      <ability>L2_Punc</ability>
      <abilityName>标点符号检查</abilityName>
      <candidateList/>
      <explain/>
      <paraID>7CE7252F</paraID>
      <start>7</start>
      <end>8</end>
      <status>unmodified</status>
      <modifiedWord/>
      <trackRevisions>false</trackRevisions>
    </reviewItem>
    <reviewItem>
      <errorID>1bad0b57-7ca6-4ce7-b907-8cab3e37d8f6</errorID>
      <errorWord>（</errorWord>
      <group>L1_Punc</group>
      <groupName>标点问题</groupName>
      <ability>L2_Punc</ability>
      <abilityName>标点符号检查</abilityName>
      <candidateList/>
      <explain/>
      <paraID>7CE7252F</paraID>
      <start>11</start>
      <end>12</end>
      <status>unmodified</status>
      <modifiedWord/>
      <trackRevisions>false</trackRevisions>
    </reviewItem>
    <reviewItem>
      <errorID>abddd5ce-c2d1-447d-a2b6-1141fc4ca63b</errorID>
      <errorWord>]</errorWord>
      <group>L1_Punc</group>
      <groupName>标点问题</groupName>
      <ability>L2_Punc</ability>
      <abilityName>标点符号检查</abilityName>
      <candidateList/>
      <explain/>
      <paraID>7CE7252F</paraID>
      <start>17</start>
      <end>18</end>
      <status>unmodified</status>
      <modifiedWord/>
      <trackRevisions>false</trackRevisions>
    </reviewItem>
    <reviewItem>
      <errorID>67342f32-3697-462e-80ac-9d260ee730c9</errorID>
      <errorWord>（</errorWord>
      <group>L1_Punc</group>
      <groupName>标点问题</groupName>
      <ability>L2_Punc</ability>
      <abilityName>标点符号检查</abilityName>
      <candidateList/>
      <explain/>
      <paraID>7CE7252F</paraID>
      <start>21</start>
      <end>22</end>
      <status>unmodified</status>
      <modifiedWord/>
      <trackRevisions>false</trackRevisions>
    </reviewItem>
    <reviewItem>
      <errorID>08057c07-cf62-4944-a6d8-5b3fc0186d76</errorID>
      <errorWord>]</errorWord>
      <group>L1_Punc</group>
      <groupName>标点问题</groupName>
      <ability>L2_Punc</ability>
      <abilityName>标点符号检查</abilityName>
      <candidateList/>
      <explain/>
      <paraID>7CE7252F</paraID>
      <start>26</start>
      <end>27</end>
      <status>unmodified</status>
      <modifiedWord/>
      <trackRevisions>false</trackRevisions>
    </reviewItem>
    <reviewItem>
      <errorID>5310e1ff-f5df-4e0e-bc12-87ee1b7e6c59</errorID>
      <errorWord>（</errorWord>
      <group>L1_Punc</group>
      <groupName>标点问题</groupName>
      <ability>L2_Punc</ability>
      <abilityName>标点符号检查</abilityName>
      <candidateList/>
      <explain/>
      <paraID>4DC76799</paraID>
      <start>1</start>
      <end>2</end>
      <status>unmodified</status>
      <modifiedWord/>
      <trackRevisions>false</trackRevisions>
    </reviewItem>
    <reviewItem>
      <errorID>42dfb59a-928f-4e8e-bfa4-3faa2fdfaf95</errorID>
      <errorWord>]</errorWord>
      <group>L1_Punc</group>
      <groupName>标点问题</groupName>
      <ability>L2_Punc</ability>
      <abilityName>标点符号检查</abilityName>
      <candidateList/>
      <explain/>
      <paraID>4DC76799</paraID>
      <start>7</start>
      <end>8</end>
      <status>unmodified</status>
      <modifiedWord/>
      <trackRevisions>false</trackRevisions>
    </reviewItem>
    <reviewItem>
      <errorID>44ca50e7-6760-4675-abf0-ad9f01bc1fe7</errorID>
      <errorWord>（</errorWord>
      <group>L1_Punc</group>
      <groupName>标点问题</groupName>
      <ability>L2_Punc</ability>
      <abilityName>标点符号检查</abilityName>
      <candidateList/>
      <explain/>
      <paraID>4DC76799</paraID>
      <start>11</start>
      <end>12</end>
      <status>unmodified</status>
      <modifiedWord/>
      <trackRevisions>false</trackRevisions>
    </reviewItem>
    <reviewItem>
      <errorID>76022f9c-a3e6-4aec-a602-4cf4e020ca79</errorID>
      <errorWord>]</errorWord>
      <group>L1_Punc</group>
      <groupName>标点问题</groupName>
      <ability>L2_Punc</ability>
      <abilityName>标点符号检查</abilityName>
      <candidateList/>
      <explain/>
      <paraID>4DC76799</paraID>
      <start>17</start>
      <end>18</end>
      <status>unmodified</status>
      <modifiedWord/>
      <trackRevisions>false</trackRevisions>
    </reviewItem>
    <reviewItem>
      <errorID>f93cba89-1fe5-4f83-b95c-c15d7fcf8b9b</errorID>
      <errorWord>（</errorWord>
      <group>L1_Punc</group>
      <groupName>标点问题</groupName>
      <ability>L2_Punc</ability>
      <abilityName>标点符号检查</abilityName>
      <candidateList/>
      <explain/>
      <paraID>4DC76799</paraID>
      <start>21</start>
      <end>22</end>
      <status>unmodified</status>
      <modifiedWord/>
      <trackRevisions>false</trackRevisions>
    </reviewItem>
    <reviewItem>
      <errorID>6d300a58-241f-439f-89a3-9071a7341cd9</errorID>
      <errorWord>]</errorWord>
      <group>L1_Punc</group>
      <groupName>标点问题</groupName>
      <ability>L2_Punc</ability>
      <abilityName>标点符号检查</abilityName>
      <candidateList/>
      <explain/>
      <paraID>4DC76799</paraID>
      <start>27</start>
      <end>28</end>
      <status>unmodified</status>
      <modifiedWord/>
      <trackRevisions>false</trackRevisions>
    </reviewItem>
    <reviewItem>
      <errorID>811ba8f1-6f6a-4a60-91db-23c285f5186e</errorID>
      <errorWord>二位</errorWord>
      <group>L1_Word</group>
      <groupName>字词问题</groupName>
      <ability>L2_Typo</ability>
      <abilityName>字词错误</abilityName>
      <candidateList>
        <item>两位</item>
      </candidateList>
      <explain/>
      <paraID>7EB99FAF</paraID>
      <start>78</start>
      <end>80</end>
      <status>unmodified</status>
      <modifiedWord/>
      <trackRevisions>false</trackRevisions>
    </reviewItem>
    <reviewItem>
      <errorID>0c21f2d1-0e3b-4256-a114-347ef4471dab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4F127680</paraID>
      <start>0</start>
      <end>2</end>
      <status>unmodified</status>
      <modifiedWord/>
      <trackRevisions>false</trackRevisions>
    </reviewItem>
    <reviewItem>
      <errorID>a11af4c2-b494-46a1-b31a-f26d020fc9e0</errorID>
      <errorWord>(</errorWord>
      <group>L1_Format</group>
      <groupName>格式问题</groupName>
      <ability>L2_HalfPunc</ability>
      <abilityName>全半角检查</abilityName>
      <candidateList>
        <item>（</item>
      </candidateList>
      <explain>文本全半角错误。</explain>
      <paraID>3B9A82D0</paraID>
      <start>2</start>
      <end>3</end>
      <status>unmodified</status>
      <modifiedWord/>
      <trackRevisions>false</trackRevisions>
    </reviewItem>
    <reviewItem>
      <errorID>a7d1a47a-4602-47d1-942f-46625c677acf</errorID>
      <errorWord>,</errorWord>
      <group>L1_Format</group>
      <groupName>格式问题</groupName>
      <ability>L2_HalfPunc</ability>
      <abilityName>全半角检查</abilityName>
      <candidateList>
        <item>，</item>
      </candidateList>
      <explain>文本全半角错误。</explain>
      <paraID>3B0CA573</paraID>
      <start>74</start>
      <end>75</end>
      <status>unmodified</status>
      <modifiedWord/>
      <trackRevisions>false</trackRevisions>
    </reviewItem>
    <reviewItem>
      <errorID>1f0adcde-e6c3-415a-b76a-580cadc4f5ab</errorID>
      <errorWord>(</errorWord>
      <group>L1_Format</group>
      <groupName>格式问题</groupName>
      <ability>L2_HalfPunc</ability>
      <abilityName>全半角检查</abilityName>
      <candidateList>
        <item>（</item>
      </candidateList>
      <explain>文本全半角错误。</explain>
      <paraID>3B0CA573</paraID>
      <start>171</start>
      <end>172</end>
      <status>unmodified</status>
      <modifiedWord/>
      <trackRevisions>false</trackRevisions>
    </reviewItem>
    <reviewItem>
      <errorID>4a92093d-1ea0-42f4-90b8-15fad17d0612</errorID>
      <errorWord>)</errorWord>
      <group>L1_Format</group>
      <groupName>格式问题</groupName>
      <ability>L2_HalfPunc</ability>
      <abilityName>全半角检查</abilityName>
      <candidateList>
        <item>）</item>
      </candidateList>
      <explain>文本全半角错误。</explain>
      <paraID>3B0CA573</paraID>
      <start>193</start>
      <end>194</end>
      <status>unmodified</status>
      <modifiedWord/>
      <trackRevisions>false</trackRevisions>
    </reviewItem>
    <reviewItem>
      <errorID>8895fd58-5c1d-452a-a015-9e7495de8e37</errorID>
      <errorWord>,</errorWord>
      <group>L1_Format</group>
      <groupName>格式问题</groupName>
      <ability>L2_HalfPunc</ability>
      <abilityName>全半角检查</abilityName>
      <candidateList>
        <item>，</item>
      </candidateList>
      <explain>文本全半角错误。</explain>
      <paraID>3B0CA573</paraID>
      <start>200</start>
      <end>201</end>
      <status>unmodified</status>
      <modifiedWord/>
      <trackRevisions>false</trackRevisions>
    </reviewItem>
    <reviewItem>
      <errorID>49174bce-a9f0-4b0c-9de9-07620f4ea05a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40606548</paraID>
      <start>9</start>
      <end>12</end>
      <status>unmodified</status>
      <modifiedWord/>
      <trackRevisions>false</trackRevisions>
    </reviewItem>
    <reviewItem>
      <errorID>8aa0c8f3-a1d2-4f80-afc7-a0cfd95fe164</errorID>
      <errorWord>位</errorWord>
      <group>L1_Word</group>
      <groupName>字词问题</groupName>
      <ability>L2_Typo</ability>
      <abilityName>字词错误</abilityName>
      <candidateList>
        <item>位公</item>
      </candidateList>
      <explain/>
      <paraID>57E99C41</paraID>
      <start>29</start>
      <end>30</end>
      <status>unmodified</status>
      <modifiedWord/>
      <trackRevisions>false</trackRevisions>
    </reviewItem>
    <reviewItem>
      <errorID>61cc8e3d-474b-4f61-99c0-29620912131d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2FC49EF9</paraID>
      <start>0</start>
      <end>2</end>
      <status>unmodified</status>
      <modifiedWord/>
      <trackRevisions>false</trackRevisions>
    </reviewItem>
    <reviewItem>
      <errorID>21503fcf-5aa4-4e3a-9ea2-b7ce3b92c31d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5910CB20</paraID>
      <start>0</start>
      <end>2</end>
      <status>unmodified</status>
      <modifiedWord/>
      <trackRevisions>false</trackRevisions>
    </reviewItem>
    <reviewItem>
      <errorID>35c0e9de-2dfc-4f71-84fe-7900108b9925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5802BBAD</paraID>
      <start>0</start>
      <end>2</end>
      <status>unmodified</status>
      <modifiedWord/>
      <trackRevisions>false</trackRevisions>
    </reviewItem>
    <reviewItem>
      <errorID>3f76f634-5a0e-4e40-8808-74cd412b34cc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7BE6CDF6</paraID>
      <start>0</start>
      <end>2</end>
      <status>unmodified</status>
      <modifiedWord/>
      <trackRevisions>false</trackRevisions>
    </reviewItem>
    <reviewItem>
      <errorID>9f001f5d-49b4-40c0-b3f8-126099fd9ea5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6134C21C</paraID>
      <start>0</start>
      <end>2</end>
      <status>unmodified</status>
      <modifiedWord/>
      <trackRevisions>false</trackRevisions>
    </reviewItem>
    <reviewItem>
      <errorID>518342c3-f2cd-44bc-8be4-b1c6673319d2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29226BA7</paraID>
      <start>0</start>
      <end>2</end>
      <status>unmodified</status>
      <modifiedWord/>
      <trackRevisions>false</trackRevisions>
    </reviewItem>
    <reviewItem>
      <errorID>84acda1c-f8ae-4294-a057-94f733460329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2C4B897A</paraID>
      <start>0</start>
      <end>2</end>
      <status>unmodified</status>
      <modifiedWord/>
      <trackRevisions>false</trackRevisions>
    </reviewItem>
    <reviewItem>
      <errorID>707dd400-98a8-4b7d-b139-f5ab2c7f1309</errorID>
      <errorWord>》</errorWord>
      <group>L1_Word</group>
      <groupName>字词问题</groupName>
      <ability>L2_Typo</ability>
      <abilityName>字词错误</abilityName>
      <candidateList>
        <item>》和</item>
      </candidateList>
      <explain/>
      <paraID>629F54AF</paraID>
      <start>51</start>
      <end>52</end>
      <status>unmodified</status>
      <modifiedWord/>
      <trackRevisions>false</trackRevisions>
    </reviewItem>
    <reviewItem>
      <errorID>b039f6bb-bce2-48ec-9c52-d3e515508519</errorID>
      <errorWord>并</errorWord>
      <group>L1_Word</group>
      <groupName>字词问题</groupName>
      <ability>L2_Typo</ability>
      <abilityName>字词错误</abilityName>
      <candidateList>
        <item>并具</item>
      </candidateList>
      <explain/>
      <paraID>1580AB7F</paraID>
      <start>74</start>
      <end>75</end>
      <status>unmodified</status>
      <modifiedWord/>
      <trackRevisions>false</trackRevisions>
    </reviewItem>
    <reviewItem>
      <errorID>25fcc974-7feb-4b8c-b7f9-7cae95531930</errorID>
      <errorWord>保证民工工资支付</errorWord>
      <group>L1_Political</group>
      <groupName>政治性问题</groupName>
      <ability>L2_Keyword</ability>
      <abilityName>固定表述</abilityName>
      <candidateList>
        <item>保障农民工工资支付</item>
      </candidateList>
      <explain>词汇“保障农民工工资支付”在特定场景下为固定表述形式，请确认此处的“保证民工工资支付”是否存在不当。</explain>
      <paraID>23618BCD</paraID>
      <start>17</start>
      <end>25</end>
      <status>unmodified</status>
      <modifiedWord/>
      <trackRevisions>false</trackRevisions>
    </reviewItem>
    <reviewItem>
      <errorID>a78ddffd-150a-4898-8c18-5f284604a733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777DF035</paraID>
      <start>0</start>
      <end>2</end>
      <status>unmodified</status>
      <modifiedWord/>
      <trackRevisions>false</trackRevisions>
    </reviewItem>
    <reviewItem>
      <errorID>f7205f73-94c9-48c9-b521-98fe91fd9df9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35750E93</paraID>
      <start>0</start>
      <end>2</end>
      <status>unmodified</status>
      <modifiedWord/>
      <trackRevisions>false</trackRevisions>
    </reviewItem>
    <reviewItem>
      <errorID>d1953db4-75f3-4016-9574-127ca4c40fc0</errorID>
      <errorWord>“</errorWord>
      <group>L1_Punc</group>
      <groupName>标点问题</groupName>
      <ability>L2_Punc</ability>
      <abilityName>标点符号检查</abilityName>
      <candidateList/>
      <explain/>
      <paraID>35750E93</paraID>
      <start>2</start>
      <end>3</end>
      <status>unmodified</status>
      <modifiedWord/>
      <trackRevisions>false</trackRevisions>
    </reviewItem>
    <reviewItem>
      <errorID>7a28a119-aa89-4655-a6e1-d7b616ba3b28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35750E93</paraID>
      <start>44</start>
      <end>47</end>
      <status>unmodified</status>
      <modifiedWord/>
      <trackRevisions>false</trackRevisions>
    </reviewItem>
    <reviewItem>
      <errorID>5bb7713a-ef65-4110-8688-abbbaa9ea87b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7451DEBC</paraID>
      <start>0</start>
      <end>2</end>
      <status>unmodified</status>
      <modifiedWord/>
      <trackRevisions>false</trackRevisions>
    </reviewItem>
    <reviewItem>
      <errorID>a23b08b1-1b18-42e7-ba52-57ab0b9962ea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137CCB32</paraID>
      <start>0</start>
      <end>2</end>
      <status>unmodified</status>
      <modifiedWord/>
      <trackRevisions>false</trackRevisions>
    </reviewItem>
    <reviewItem>
      <errorID>4cb02b5e-8d36-418e-9e97-863c5b5706a1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43F88E17</paraID>
      <start>0</start>
      <end>2</end>
      <status>unmodified</status>
      <modifiedWord/>
      <trackRevisions>false</trackRevisions>
    </reviewItem>
    <reviewItem>
      <errorID>fce5f508-aa6a-4949-950b-77827a320c14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296F4B89</paraID>
      <start>0</start>
      <end>2</end>
      <status>unmodified</status>
      <modifiedWord/>
      <trackRevisions>false</trackRevisions>
    </reviewItem>
    <reviewItem>
      <errorID>442e1d89-aad3-4e05-8291-7a8faa783d5f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2DB1931F</paraID>
      <start>0</start>
      <end>2</end>
      <status>unmodified</status>
      <modifiedWord/>
      <trackRevisions>false</trackRevisions>
    </reviewItem>
    <reviewItem>
      <errorID>635160f1-cb17-48dc-b225-508da74c1ff9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3E5FC3A3</paraID>
      <start>0</start>
      <end>2</end>
      <status>unmodified</status>
      <modifiedWord/>
      <trackRevisions>false</trackRevisions>
    </reviewItem>
    <reviewItem>
      <errorID>5fa77fe9-c7f0-4832-918c-2d67d787d24a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7AE12A44</paraID>
      <start>0</start>
      <end>2</end>
      <status>unmodified</status>
      <modifiedWord/>
      <trackRevisions>false</trackRevisions>
    </reviewItem>
    <reviewItem>
      <errorID>ad80d29e-630a-4ed8-849b-63330c6ebd1c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2B1F5BAE</paraID>
      <start>0</start>
      <end>2</end>
      <status>unmodified</status>
      <modifiedWord/>
      <trackRevisions>false</trackRevisions>
    </reviewItem>
    <reviewItem>
      <errorID>fe799e56-6bfa-490b-8b6d-d2471c9d2499</errorID>
      <errorWord>其它</errorWord>
      <group>L1_Word</group>
      <groupName>字词问题</groupName>
      <ability>L2_Alias</ability>
      <abilityName>也作/曾用词</abilityName>
      <candidateList>
        <item>其他</item>
      </candidateList>
      <explain>词汇[其它]为不规范表述或旧称，其规范书面表述为[其他]。</explain>
      <paraID>52E767BC</paraID>
      <start>20</start>
      <end>22</end>
      <status>unmodified</status>
      <modifiedWord/>
      <trackRevisions>false</trackRevisions>
    </reviewItem>
    <reviewItem>
      <errorID>d1eaa68d-b81a-4dd0-9a88-c584afdfcca5</errorID>
      <errorWord>建</errorWord>
      <group>L1_Word</group>
      <groupName>字词问题</groupName>
      <ability>L2_Typo</ability>
      <abilityName>字词错误</abilityName>
      <candidateList>
        <item>建筑</item>
      </candidateList>
      <explain/>
      <paraID>52E767BC</paraID>
      <start>22</start>
      <end>23</end>
      <status>unmodified</status>
      <modifiedWord/>
      <trackRevisions>false</trackRevisions>
    </reviewItem>
    <reviewItem>
      <errorID>d568533e-2037-4c67-92c1-2de487c3aeb0</errorID>
      <errorWord>其它</errorWord>
      <group>L1_Word</group>
      <groupName>字词问题</groupName>
      <ability>L2_Alias</ability>
      <abilityName>也作/曾用词</abilityName>
      <candidateList>
        <item>其他</item>
      </candidateList>
      <explain>词汇[其它]为不规范表述或旧称，其规范书面表述为[其他]。</explain>
      <paraID>6DA5B7B5</paraID>
      <start>2</start>
      <end>4</end>
      <status>unmodified</status>
      <modifiedWord/>
      <trackRevisions>false</trackRevisions>
    </reviewItem>
    <reviewItem>
      <errorID>4a2fd6e2-3810-4678-a43f-1844c9b02d46</errorID>
      <errorWord>其它</errorWord>
      <group>L1_Word</group>
      <groupName>字词问题</groupName>
      <ability>L2_Alias</ability>
      <abilityName>也作/曾用词</abilityName>
      <candidateList>
        <item>其他</item>
      </candidateList>
      <explain>词汇[其它]为不规范表述或旧称，其规范书面表述为[其他]。</explain>
      <paraID>23FF371C</paraID>
      <start>2</start>
      <end>4</end>
      <status>unmodified</status>
      <modifiedWord/>
      <trackRevisions>false</trackRevisions>
    </reviewItem>
    <reviewItem>
      <errorID>21cd7b00-7b45-44f1-82fc-37a018887b15</errorID>
      <errorWord>位</errorWord>
      <group>L1_Word</group>
      <groupName>字词问题</groupName>
      <ability>L2_Typo</ability>
      <abilityName>字词错误</abilityName>
      <candidateList>
        <item>位公</item>
      </candidateList>
      <explain/>
      <paraID>4DF724C5</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be495-a1ff-432c-b143-79a1b8cceb8a}">
  <ds:schemaRefs/>
</ds:datastoreItem>
</file>

<file path=docProps/app.xml><?xml version="1.0" encoding="utf-8"?>
<Properties xmlns="http://schemas.openxmlformats.org/officeDocument/2006/extended-properties" xmlns:vt="http://schemas.openxmlformats.org/officeDocument/2006/docPropsVTypes">
  <Template>Normal</Template>
  <Pages>76</Pages>
  <Words>30313</Words>
  <Characters>31590</Characters>
  <Lines>2442</Lines>
  <Paragraphs>1891</Paragraphs>
  <TotalTime>4</TotalTime>
  <ScaleCrop>false</ScaleCrop>
  <LinksUpToDate>false</LinksUpToDate>
  <CharactersWithSpaces>32330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2025-07-03T00:13:00Z</dcterms:created>
  <dc:creator>Admin</dc:creator>
  <cp:lastModifiedBy>CCCCC</cp:lastModifiedBy>
  <cp:lastPrinted>2025-11-18T06:31:00Z</cp:lastPrinted>
  <dcterms:modified xsi:type="dcterms:W3CDTF">2025-11-19T07:20:01Z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2025-06-05T09:49:40Z</vt:filetime>
  </property>
  <property fmtid="{D5CDD505-2E9C-101B-9397-08002B2CF9AE}" pid="4" name="KSOTemplateDocerSaveRecord">
    <vt:lpwstr>eyJoZGlkIjoiMWMxYjgzY2U3YjA2ZWM5NDdlNDVhN2E5NjNhOGFlYzYiLCJ1c2VySWQiOiIzNTY0NzE5MjMifQ==</vt:lpwstr>
  </property>
  <property fmtid="{D5CDD505-2E9C-101B-9397-08002B2CF9AE}" pid="5" name="KSOProductBuildVer">
    <vt:lpwstr>2052-12.1.0.22525</vt:lpwstr>
  </property>
  <property fmtid="{D5CDD505-2E9C-101B-9397-08002B2CF9AE}" pid="6" name="ICV">
    <vt:lpwstr>11A8A34BEA104808B2D971A17EFBDDCA_13</vt:lpwstr>
  </property>
</Properties>
</file>