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7910D">
      <w:pPr>
        <w:shd w:val="clear"/>
        <w:jc w:val="center"/>
        <w:rPr>
          <w:rFonts w:ascii="宋体" w:hAnsi="宋体"/>
          <w:b/>
          <w:color w:val="auto"/>
          <w:sz w:val="52"/>
          <w:szCs w:val="52"/>
          <w:highlight w:val="none"/>
        </w:rPr>
      </w:pPr>
      <w:bookmarkStart w:id="0" w:name="_GoBack"/>
      <w:bookmarkEnd w:id="0"/>
      <w:r>
        <w:rPr>
          <w:rFonts w:hint="eastAsia" w:ascii="宋体" w:hAnsi="宋体"/>
          <w:b/>
          <w:color w:val="auto"/>
          <w:sz w:val="52"/>
          <w:szCs w:val="52"/>
          <w:highlight w:val="none"/>
        </w:rPr>
        <w:t>广州科学城水务投资集团有限公司</w:t>
      </w:r>
    </w:p>
    <w:p w14:paraId="7BAB05A2">
      <w:pPr>
        <w:shd w:val="clear"/>
        <w:jc w:val="center"/>
        <w:rPr>
          <w:rFonts w:ascii="宋体" w:hAnsi="宋体"/>
          <w:b/>
          <w:color w:val="auto"/>
          <w:sz w:val="52"/>
          <w:szCs w:val="52"/>
          <w:highlight w:val="none"/>
        </w:rPr>
      </w:pPr>
      <w:r>
        <w:rPr>
          <w:rFonts w:hint="eastAsia" w:ascii="宋体" w:hAnsi="宋体"/>
          <w:b/>
          <w:color w:val="auto"/>
          <w:sz w:val="52"/>
          <w:szCs w:val="52"/>
          <w:highlight w:val="none"/>
        </w:rPr>
        <w:t>大额采购合同</w:t>
      </w:r>
    </w:p>
    <w:p w14:paraId="38B0586C">
      <w:pPr>
        <w:shd w:val="clear"/>
        <w:jc w:val="center"/>
        <w:rPr>
          <w:rFonts w:ascii="宋体" w:hAnsi="宋体"/>
          <w:b/>
          <w:color w:val="auto"/>
          <w:sz w:val="52"/>
          <w:szCs w:val="52"/>
          <w:highlight w:val="none"/>
        </w:rPr>
      </w:pPr>
    </w:p>
    <w:p w14:paraId="75901F19">
      <w:pPr>
        <w:shd w:val="clear"/>
        <w:jc w:val="center"/>
        <w:rPr>
          <w:rFonts w:ascii="宋体" w:hAnsi="宋体"/>
          <w:b/>
          <w:color w:val="auto"/>
          <w:sz w:val="52"/>
          <w:szCs w:val="52"/>
          <w:highlight w:val="none"/>
        </w:rPr>
      </w:pPr>
    </w:p>
    <w:p w14:paraId="171D3F7E">
      <w:pPr>
        <w:shd w:val="clear"/>
        <w:jc w:val="center"/>
        <w:rPr>
          <w:rFonts w:ascii="宋体" w:hAnsi="宋体"/>
          <w:b/>
          <w:color w:val="auto"/>
          <w:sz w:val="52"/>
          <w:szCs w:val="52"/>
          <w:highlight w:val="none"/>
        </w:rPr>
      </w:pPr>
    </w:p>
    <w:p w14:paraId="6C905FBB">
      <w:pPr>
        <w:shd w:val="clear"/>
        <w:rPr>
          <w:rFonts w:hint="eastAsia" w:ascii="宋体" w:hAnsi="宋体" w:eastAsia="宋体"/>
          <w:color w:val="auto"/>
          <w:sz w:val="32"/>
          <w:highlight w:val="none"/>
          <w:lang w:eastAsia="zh-CN"/>
        </w:rPr>
      </w:pPr>
      <w:r>
        <w:rPr>
          <w:rFonts w:hint="eastAsia" w:ascii="宋体" w:hAnsi="宋体"/>
          <w:color w:val="auto"/>
          <w:sz w:val="32"/>
          <w:highlight w:val="none"/>
        </w:rPr>
        <w:t>项目名称：永和北厂采购新增药剂项目</w:t>
      </w:r>
    </w:p>
    <w:p w14:paraId="6641A09B">
      <w:pPr>
        <w:shd w:val="clear"/>
        <w:jc w:val="center"/>
        <w:rPr>
          <w:rFonts w:ascii="宋体" w:hAnsi="宋体"/>
          <w:color w:val="auto"/>
          <w:sz w:val="52"/>
          <w:szCs w:val="52"/>
          <w:highlight w:val="none"/>
        </w:rPr>
      </w:pPr>
    </w:p>
    <w:p w14:paraId="45D5EA44">
      <w:pPr>
        <w:shd w:val="clear"/>
        <w:rPr>
          <w:rFonts w:ascii="宋体" w:hAnsi="宋体"/>
          <w:color w:val="auto"/>
          <w:sz w:val="32"/>
          <w:highlight w:val="none"/>
        </w:rPr>
      </w:pPr>
      <w:r>
        <w:rPr>
          <w:rFonts w:hint="eastAsia" w:ascii="宋体" w:hAnsi="宋体"/>
          <w:color w:val="auto"/>
          <w:sz w:val="32"/>
          <w:highlight w:val="none"/>
        </w:rPr>
        <w:t>甲方：广州科学城水务投资集团有限公司</w:t>
      </w:r>
    </w:p>
    <w:p w14:paraId="401CF503">
      <w:pPr>
        <w:shd w:val="clear"/>
        <w:rPr>
          <w:rFonts w:ascii="宋体" w:hAnsi="宋体"/>
          <w:color w:val="auto"/>
          <w:sz w:val="32"/>
          <w:highlight w:val="none"/>
        </w:rPr>
      </w:pPr>
      <w:r>
        <w:rPr>
          <w:rFonts w:hint="eastAsia" w:ascii="宋体" w:hAnsi="宋体"/>
          <w:color w:val="auto"/>
          <w:sz w:val="32"/>
          <w:highlight w:val="none"/>
        </w:rPr>
        <w:t>合同编号：</w:t>
      </w:r>
    </w:p>
    <w:p w14:paraId="1712F636">
      <w:pPr>
        <w:shd w:val="clear"/>
        <w:rPr>
          <w:rFonts w:ascii="宋体" w:hAnsi="宋体"/>
          <w:color w:val="auto"/>
          <w:sz w:val="32"/>
          <w:highlight w:val="none"/>
        </w:rPr>
      </w:pPr>
    </w:p>
    <w:p w14:paraId="6C9ADBED">
      <w:pPr>
        <w:shd w:val="clear"/>
        <w:rPr>
          <w:rFonts w:hint="eastAsia" w:ascii="宋体" w:hAnsi="宋体" w:eastAsia="宋体"/>
          <w:color w:val="auto"/>
          <w:sz w:val="32"/>
          <w:highlight w:val="none"/>
          <w:lang w:eastAsia="zh-CN"/>
        </w:rPr>
      </w:pPr>
      <w:r>
        <w:rPr>
          <w:rFonts w:hint="eastAsia" w:ascii="宋体" w:hAnsi="宋体"/>
          <w:color w:val="auto"/>
          <w:sz w:val="32"/>
          <w:highlight w:val="none"/>
        </w:rPr>
        <w:t>乙方：</w:t>
      </w:r>
    </w:p>
    <w:p w14:paraId="05AC642C">
      <w:pPr>
        <w:shd w:val="clear"/>
        <w:rPr>
          <w:rFonts w:ascii="宋体" w:hAnsi="宋体"/>
          <w:color w:val="auto"/>
          <w:sz w:val="32"/>
          <w:highlight w:val="none"/>
        </w:rPr>
      </w:pPr>
      <w:r>
        <w:rPr>
          <w:rFonts w:hint="eastAsia" w:ascii="宋体" w:hAnsi="宋体"/>
          <w:color w:val="auto"/>
          <w:sz w:val="32"/>
          <w:highlight w:val="none"/>
        </w:rPr>
        <w:t>合同编号：</w:t>
      </w:r>
    </w:p>
    <w:p w14:paraId="2F1E053B">
      <w:pPr>
        <w:shd w:val="clear"/>
        <w:spacing w:line="520" w:lineRule="exact"/>
        <w:rPr>
          <w:rFonts w:ascii="宋体" w:hAnsi="宋体"/>
          <w:color w:val="auto"/>
          <w:sz w:val="30"/>
          <w:highlight w:val="none"/>
        </w:rPr>
      </w:pPr>
    </w:p>
    <w:p w14:paraId="4299B925">
      <w:pPr>
        <w:shd w:val="clear"/>
        <w:spacing w:line="520" w:lineRule="exact"/>
        <w:rPr>
          <w:rFonts w:ascii="宋体" w:hAnsi="宋体"/>
          <w:color w:val="auto"/>
          <w:sz w:val="30"/>
          <w:highlight w:val="none"/>
        </w:rPr>
      </w:pPr>
    </w:p>
    <w:p w14:paraId="4586841C">
      <w:pPr>
        <w:shd w:val="clear"/>
        <w:spacing w:line="520" w:lineRule="exact"/>
        <w:rPr>
          <w:rFonts w:ascii="宋体" w:hAnsi="宋体"/>
          <w:color w:val="auto"/>
          <w:sz w:val="30"/>
          <w:highlight w:val="none"/>
        </w:rPr>
      </w:pPr>
      <w:r>
        <w:rPr>
          <w:rFonts w:hint="eastAsia" w:ascii="宋体" w:hAnsi="宋体"/>
          <w:color w:val="auto"/>
          <w:sz w:val="30"/>
          <w:highlight w:val="none"/>
        </w:rPr>
        <w:t>签约日期：   年  月  日</w:t>
      </w:r>
    </w:p>
    <w:p w14:paraId="6A136D3A">
      <w:pPr>
        <w:pStyle w:val="5"/>
        <w:shd w:val="clea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ascii="宋体" w:hAnsi="宋体" w:eastAsia="宋体"/>
          <w:color w:val="auto"/>
          <w:sz w:val="24"/>
          <w:szCs w:val="24"/>
          <w:highlight w:val="none"/>
        </w:rPr>
      </w:pPr>
      <w:r>
        <w:rPr>
          <w:rFonts w:hint="eastAsia" w:ascii="宋体" w:hAnsi="宋体" w:eastAsia="宋体"/>
          <w:color w:val="auto"/>
          <w:sz w:val="30"/>
          <w:highlight w:val="none"/>
        </w:rPr>
        <w:t>签约地点：广州市</w:t>
      </w:r>
    </w:p>
    <w:p w14:paraId="4F80776B">
      <w:pPr>
        <w:pStyle w:val="4"/>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both"/>
        <w:textAlignment w:val="auto"/>
        <w:rPr>
          <w:rFonts w:asciiTheme="minorEastAsia" w:hAnsiTheme="minorEastAsia" w:eastAsiaTheme="minorEastAsia" w:cstheme="minorEastAsia"/>
          <w:color w:val="auto"/>
          <w:szCs w:val="21"/>
          <w:highlight w:val="none"/>
        </w:rPr>
      </w:pPr>
      <w:r>
        <w:rPr>
          <w:b/>
          <w:color w:val="auto"/>
          <w:highlight w:val="none"/>
        </w:rPr>
        <w:br w:type="page"/>
      </w:r>
      <w:r>
        <w:rPr>
          <w:rFonts w:hint="eastAsia" w:asciiTheme="minorEastAsia" w:hAnsiTheme="minorEastAsia" w:eastAsiaTheme="minorEastAsia" w:cstheme="minorEastAsia"/>
          <w:color w:val="auto"/>
          <w:szCs w:val="21"/>
          <w:highlight w:val="none"/>
          <w:u w:val="single"/>
        </w:rPr>
        <w:t>广州科学城水务投资集团有限公司</w:t>
      </w:r>
      <w:r>
        <w:rPr>
          <w:rFonts w:hint="eastAsia" w:asciiTheme="minorEastAsia" w:hAnsiTheme="minorEastAsia" w:eastAsiaTheme="minorEastAsia" w:cstheme="minorEastAsia"/>
          <w:color w:val="auto"/>
          <w:szCs w:val="21"/>
          <w:highlight w:val="none"/>
        </w:rPr>
        <w:t>（以下简称“甲方”）与</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（以下简称“乙方”）就甲方</w:t>
      </w:r>
      <w:r>
        <w:rPr>
          <w:rFonts w:hint="eastAsia" w:asciiTheme="minorEastAsia" w:hAnsiTheme="minorEastAsia" w:eastAsiaTheme="minorEastAsia" w:cstheme="minorEastAsia"/>
          <w:color w:val="auto"/>
          <w:szCs w:val="21"/>
          <w:highlight w:val="none"/>
          <w:u w:val="single"/>
        </w:rPr>
        <w:t>永和北厂采购新增药剂项目</w:t>
      </w:r>
      <w:r>
        <w:rPr>
          <w:rFonts w:hint="eastAsia" w:asciiTheme="minorEastAsia" w:hAnsiTheme="minorEastAsia" w:eastAsiaTheme="minorEastAsia" w:cstheme="minorEastAsia"/>
          <w:color w:val="auto"/>
          <w:szCs w:val="21"/>
          <w:highlight w:val="none"/>
        </w:rPr>
        <w:t>提供货物和相应技术服务，经甲乙双方协商一致，签订本合同，共同遵守。</w:t>
      </w:r>
    </w:p>
    <w:p w14:paraId="3D2E950E">
      <w:pPr>
        <w:pStyle w:val="3"/>
        <w:keepNext w:val="0"/>
        <w:keepLines w:val="0"/>
        <w:pageBreakBefore w:val="0"/>
        <w:widowControl w:val="0"/>
        <w:shd w:val="clear"/>
        <w:kinsoku/>
        <w:wordWrap/>
        <w:overflowPunct/>
        <w:topLinePunct w:val="0"/>
        <w:autoSpaceDE/>
        <w:autoSpaceDN/>
        <w:bidi w:val="0"/>
        <w:adjustRightInd/>
        <w:snapToGrid/>
        <w:spacing w:after="0" w:line="360" w:lineRule="auto"/>
        <w:ind w:firstLine="420" w:firstLineChars="200"/>
        <w:jc w:val="both"/>
        <w:textAlignment w:val="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r>
        <w:rPr>
          <w:rFonts w:hint="eastAsia" w:asciiTheme="minorEastAsia" w:hAnsiTheme="minorEastAsia" w:eastAsiaTheme="minorEastAsia" w:cstheme="minorEastAsia"/>
          <w:b/>
          <w:color w:val="auto"/>
          <w:sz w:val="21"/>
          <w:szCs w:val="21"/>
          <w:highlight w:val="none"/>
        </w:rPr>
        <w:t>下列文件均为本合同的组成部分，可视为能相互说明和补充的，如果合同文件存在歧义或相矛盾的地方，则根据以下次序判断：</w:t>
      </w:r>
    </w:p>
    <w:p w14:paraId="35131AF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①在本合同实施过程中双方签署的补充与修正文件</w:t>
      </w:r>
    </w:p>
    <w:p w14:paraId="17C1459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②本合同</w:t>
      </w:r>
    </w:p>
    <w:p w14:paraId="0EF3291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③中标通知书</w:t>
      </w:r>
    </w:p>
    <w:p w14:paraId="79C831C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④甲方的招标文件</w:t>
      </w:r>
    </w:p>
    <w:p w14:paraId="6DA71AF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⑤乙方的投标文件/响应文件/报价文件</w:t>
      </w:r>
    </w:p>
    <w:p w14:paraId="1D2AAA0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⑥本合同其他附件</w:t>
      </w:r>
    </w:p>
    <w:p w14:paraId="34B3DA0D">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both"/>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二、货物信息</w:t>
      </w:r>
    </w:p>
    <w:p w14:paraId="515B6A5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2.1本合同所指货物为全新的原装产品，原产地、货物名称、型号、规格、数量、金额等详见附件2。</w:t>
      </w:r>
    </w:p>
    <w:p w14:paraId="7810350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2.2供货范围必须符合招标文件的要求</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交货地点和日期要求如下：</w:t>
      </w:r>
    </w:p>
    <w:p w14:paraId="25AD1655">
      <w:pPr>
        <w:pStyle w:val="2"/>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1）交货地点：甲方</w:t>
      </w:r>
      <w:r>
        <w:rPr>
          <w:rFonts w:hint="eastAsia" w:asciiTheme="minorEastAsia" w:hAnsiTheme="minorEastAsia" w:eastAsiaTheme="minorEastAsia" w:cstheme="minorEastAsia"/>
          <w:color w:val="auto"/>
          <w:szCs w:val="21"/>
          <w:highlight w:val="none"/>
          <w:u w:val="single"/>
        </w:rPr>
        <w:t>所属永和北水质净化厂</w:t>
      </w:r>
      <w:r>
        <w:rPr>
          <w:rFonts w:hint="eastAsia" w:asciiTheme="minorEastAsia" w:hAnsiTheme="minorEastAsia" w:eastAsiaTheme="minorEastAsia" w:cstheme="minorEastAsia"/>
          <w:color w:val="auto"/>
          <w:szCs w:val="21"/>
          <w:highlight w:val="none"/>
        </w:rPr>
        <w:t>，具体以甲方通知为准。</w:t>
      </w:r>
    </w:p>
    <w:p w14:paraId="0D2046EA">
      <w:pPr>
        <w:pStyle w:val="2"/>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2）交货日期：</w:t>
      </w:r>
      <w:r>
        <w:rPr>
          <w:rFonts w:hint="eastAsia" w:asciiTheme="minorEastAsia" w:hAnsiTheme="minorEastAsia" w:eastAsiaTheme="minorEastAsia" w:cstheme="minorEastAsia"/>
          <w:color w:val="auto"/>
          <w:szCs w:val="21"/>
          <w:highlight w:val="none"/>
          <w:u w:val="single"/>
        </w:rPr>
        <w:t>按甲方要求，按指定时间计划逐批（次）供货。所供货物的供货时间及数量以甲方送货通知数量为准。</w:t>
      </w:r>
    </w:p>
    <w:p w14:paraId="25FBC3D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2.3合同有效期：</w:t>
      </w:r>
      <w:r>
        <w:rPr>
          <w:rFonts w:hint="eastAsia" w:asciiTheme="minorEastAsia" w:hAnsiTheme="minorEastAsia" w:eastAsiaTheme="minorEastAsia" w:cstheme="minorEastAsia"/>
          <w:color w:val="auto"/>
          <w:kern w:val="2"/>
          <w:sz w:val="21"/>
          <w:szCs w:val="21"/>
          <w:highlight w:val="none"/>
          <w:u w:val="single"/>
          <w:lang w:val="en-US" w:eastAsia="zh-CN" w:bidi="ar-SA"/>
        </w:rPr>
        <w:t>2026年1月1日至2027年12月31日（共两年）</w:t>
      </w:r>
      <w:r>
        <w:rPr>
          <w:rFonts w:hint="eastAsia" w:asciiTheme="minorEastAsia" w:hAnsiTheme="minorEastAsia" w:eastAsiaTheme="minorEastAsia" w:cstheme="minorEastAsia"/>
          <w:color w:val="auto"/>
          <w:szCs w:val="21"/>
          <w:highlight w:val="none"/>
        </w:rPr>
        <w:t>。若合同到期前，供货金额达到合同总价的，合同提前终止。</w:t>
      </w:r>
    </w:p>
    <w:p w14:paraId="255F7B5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2.4若</w:t>
      </w:r>
      <w:r>
        <w:rPr>
          <w:rFonts w:hint="eastAsia" w:asciiTheme="minorEastAsia" w:hAnsiTheme="minorEastAsia" w:eastAsiaTheme="minorEastAsia" w:cstheme="minorEastAsia"/>
          <w:color w:val="auto"/>
          <w:szCs w:val="21"/>
          <w:highlight w:val="none"/>
        </w:rPr>
        <w:t>甲方</w:t>
      </w:r>
      <w:r>
        <w:rPr>
          <w:rFonts w:hint="eastAsia" w:asciiTheme="minorEastAsia" w:hAnsiTheme="minorEastAsia" w:eastAsiaTheme="minorEastAsia" w:cstheme="minorEastAsia"/>
          <w:color w:val="auto"/>
          <w:kern w:val="0"/>
          <w:szCs w:val="21"/>
          <w:highlight w:val="none"/>
        </w:rPr>
        <w:t>因技术改变而停止使用本合同货物的，甲方有权单方解除合同，但需提前</w:t>
      </w:r>
      <w:r>
        <w:rPr>
          <w:rFonts w:hint="eastAsia" w:asciiTheme="minorEastAsia" w:hAnsiTheme="minorEastAsia" w:eastAsiaTheme="minorEastAsia" w:cstheme="minorEastAsia"/>
          <w:color w:val="auto"/>
          <w:kern w:val="0"/>
          <w:szCs w:val="21"/>
          <w:highlight w:val="none"/>
          <w:u w:val="single"/>
        </w:rPr>
        <w:t>7</w:t>
      </w:r>
      <w:r>
        <w:rPr>
          <w:rFonts w:hint="eastAsia" w:asciiTheme="minorEastAsia" w:hAnsiTheme="minorEastAsia" w:eastAsiaTheme="minorEastAsia" w:cstheme="minorEastAsia"/>
          <w:color w:val="auto"/>
          <w:kern w:val="0"/>
          <w:szCs w:val="21"/>
          <w:highlight w:val="none"/>
        </w:rPr>
        <w:t>天通知乙方终止供货。</w:t>
      </w:r>
    </w:p>
    <w:p w14:paraId="5A98421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2.5乙方须保证满足甲方的调配要求。</w:t>
      </w:r>
    </w:p>
    <w:p w14:paraId="36116CF5">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both"/>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三、货物标准及质量控制</w:t>
      </w:r>
    </w:p>
    <w:p w14:paraId="4AF15AC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3.1货物质量应符合或优于本合同的要求。产品必须符合国家标准或化工行业相关最新标准，以最新发布的标准为准。暂定标准如下：</w:t>
      </w:r>
    </w:p>
    <w:p w14:paraId="21BD8BA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2"/>
          <w:sz w:val="21"/>
          <w:szCs w:val="21"/>
          <w:highlight w:val="none"/>
          <w:lang w:val="en-US" w:eastAsia="zh-CN" w:bidi="ar-SA"/>
        </w:rPr>
        <w:t>液氧：GB/T3863—2008、硫酸铝溶液：</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rPr>
        <w:fldChar w:fldCharType="begin"/>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rPr>
        <w:instrText xml:space="preserve"> HYPERLINK "javascript:void(0)" </w:instrTex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rPr>
        <w:fldChar w:fldCharType="separate"/>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rPr>
        <w:t>GB/T 31060-2014</w:t>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rPr>
        <w:fldChar w:fldCharType="end"/>
      </w:r>
      <w:r>
        <w:rPr>
          <w:rFonts w:hint="eastAsia" w:asciiTheme="minorEastAsia" w:hAnsiTheme="minorEastAsia" w:eastAsiaTheme="minorEastAsia" w:cstheme="minorEastAsia"/>
          <w:b w:val="0"/>
          <w:bCs w:val="0"/>
          <w:i w:val="0"/>
          <w:iCs w:val="0"/>
          <w:caps w:val="0"/>
          <w:color w:val="auto"/>
          <w:spacing w:val="0"/>
          <w:sz w:val="21"/>
          <w:szCs w:val="21"/>
          <w:highlight w:val="none"/>
          <w:u w:val="none"/>
          <w:shd w:val="clear"/>
          <w:lang w:eastAsia="zh-CN"/>
        </w:rPr>
        <w:t>、</w:t>
      </w:r>
      <w:r>
        <w:rPr>
          <w:rFonts w:hint="eastAsia" w:asciiTheme="minorEastAsia" w:hAnsiTheme="minorEastAsia" w:eastAsiaTheme="minorEastAsia" w:cstheme="minorEastAsia"/>
          <w:color w:val="auto"/>
          <w:kern w:val="2"/>
          <w:sz w:val="21"/>
          <w:szCs w:val="21"/>
          <w:highlight w:val="none"/>
          <w:lang w:val="en-US" w:eastAsia="zh-CN" w:bidi="ar-SA"/>
        </w:rPr>
        <w:t>碳酸钠：</w:t>
      </w:r>
      <w:r>
        <w:rPr>
          <w:rFonts w:hint="eastAsia" w:asciiTheme="minorEastAsia" w:hAnsiTheme="minorEastAsia" w:eastAsiaTheme="minorEastAsia" w:cstheme="minorEastAsia"/>
          <w:color w:val="auto"/>
          <w:sz w:val="21"/>
          <w:szCs w:val="21"/>
          <w:highlight w:val="none"/>
        </w:rPr>
        <w:t>GB/T 210-2022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液碱：GB/T 209-2018。</w:t>
      </w:r>
    </w:p>
    <w:p w14:paraId="2CC6032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货物质量优于供货期内发布的最新国家标准或化工行业标准，且需满足甲方的技术指标。1、货物质量应符合或优于招标文件的要求。</w:t>
      </w:r>
      <w:r>
        <w:rPr>
          <w:rFonts w:hint="eastAsia" w:asciiTheme="minorEastAsia" w:hAnsiTheme="minorEastAsia" w:eastAsiaTheme="minorEastAsia" w:cstheme="minorEastAsia"/>
          <w:color w:val="auto"/>
          <w:kern w:val="0"/>
          <w:szCs w:val="21"/>
          <w:highlight w:val="none"/>
          <w:lang w:eastAsia="zh-CN"/>
        </w:rPr>
        <w:t>乙方</w:t>
      </w:r>
      <w:r>
        <w:rPr>
          <w:rFonts w:hint="eastAsia" w:asciiTheme="minorEastAsia" w:hAnsiTheme="minorEastAsia" w:eastAsiaTheme="minorEastAsia" w:cstheme="minorEastAsia"/>
          <w:color w:val="auto"/>
          <w:kern w:val="0"/>
          <w:szCs w:val="21"/>
          <w:highlight w:val="none"/>
        </w:rPr>
        <w:t>承诺所供药剂除满足国家标准及招标文件技术参数要求外</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其实际应用效果须确保不影响</w:t>
      </w:r>
      <w:r>
        <w:rPr>
          <w:rFonts w:hint="eastAsia" w:asciiTheme="minorEastAsia" w:hAnsiTheme="minorEastAsia" w:eastAsiaTheme="minorEastAsia" w:cstheme="minorEastAsia"/>
          <w:color w:val="auto"/>
          <w:kern w:val="0"/>
          <w:szCs w:val="21"/>
          <w:highlight w:val="none"/>
          <w:lang w:eastAsia="zh-CN"/>
        </w:rPr>
        <w:t>甲方</w:t>
      </w:r>
      <w:r>
        <w:rPr>
          <w:rFonts w:hint="eastAsia" w:asciiTheme="minorEastAsia" w:hAnsiTheme="minorEastAsia" w:eastAsiaTheme="minorEastAsia" w:cstheme="minorEastAsia"/>
          <w:color w:val="auto"/>
          <w:kern w:val="0"/>
          <w:szCs w:val="21"/>
          <w:highlight w:val="none"/>
        </w:rPr>
        <w:t>污水处理系统的出水水质指标</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包括但不限于 COD、BOD、氨氮、总磷、总氮、SS</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lang w:val="en-US" w:eastAsia="zh-CN"/>
        </w:rPr>
        <w:t>pH</w:t>
      </w:r>
      <w:r>
        <w:rPr>
          <w:rFonts w:hint="eastAsia" w:asciiTheme="minorEastAsia" w:hAnsiTheme="minorEastAsia" w:eastAsiaTheme="minorEastAsia" w:cstheme="minorEastAsia"/>
          <w:color w:val="auto"/>
          <w:kern w:val="0"/>
          <w:szCs w:val="21"/>
          <w:highlight w:val="none"/>
        </w:rPr>
        <w:t xml:space="preserve"> 等</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。当药剂所含成分虽未被现行国标或行业标准明确限制</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但在实际投加过程中因药剂成分残留导致污水处理系统出水指标超标的，</w:t>
      </w:r>
      <w:r>
        <w:rPr>
          <w:rFonts w:hint="eastAsia" w:asciiTheme="minorEastAsia" w:hAnsiTheme="minorEastAsia" w:eastAsiaTheme="minorEastAsia" w:cstheme="minorEastAsia"/>
          <w:color w:val="auto"/>
          <w:kern w:val="0"/>
          <w:szCs w:val="21"/>
          <w:highlight w:val="none"/>
          <w:lang w:eastAsia="zh-CN"/>
        </w:rPr>
        <w:t>乙方</w:t>
      </w:r>
      <w:r>
        <w:rPr>
          <w:rFonts w:hint="eastAsia" w:asciiTheme="minorEastAsia" w:hAnsiTheme="minorEastAsia" w:eastAsiaTheme="minorEastAsia" w:cstheme="minorEastAsia"/>
          <w:color w:val="auto"/>
          <w:kern w:val="0"/>
          <w:szCs w:val="21"/>
          <w:highlight w:val="none"/>
        </w:rPr>
        <w:t>须承担以下责任</w:t>
      </w:r>
      <w:r>
        <w:rPr>
          <w:rFonts w:hint="eastAsia" w:asciiTheme="minorEastAsia" w:hAnsiTheme="minorEastAsia" w:eastAsiaTheme="minorEastAsia" w:cstheme="minorEastAsia"/>
          <w:color w:val="auto"/>
          <w:kern w:val="0"/>
          <w:szCs w:val="21"/>
          <w:highlight w:val="none"/>
          <w:lang w:eastAsia="zh-CN"/>
        </w:rPr>
        <w:t>：</w:t>
      </w:r>
    </w:p>
    <w:p w14:paraId="7FFE8D3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eastAsia="zh-CN"/>
        </w:rPr>
        <w:t>（1）</w:t>
      </w:r>
      <w:r>
        <w:rPr>
          <w:rFonts w:hint="eastAsia" w:asciiTheme="minorEastAsia" w:hAnsiTheme="minorEastAsia" w:eastAsiaTheme="minorEastAsia" w:cstheme="minorEastAsia"/>
          <w:color w:val="auto"/>
          <w:kern w:val="0"/>
          <w:szCs w:val="21"/>
          <w:highlight w:val="none"/>
        </w:rPr>
        <w:t>无条件接受问题药剂退货并承担相关运输、检测费用</w:t>
      </w:r>
      <w:r>
        <w:rPr>
          <w:rFonts w:hint="eastAsia" w:asciiTheme="minorEastAsia" w:hAnsiTheme="minorEastAsia" w:eastAsiaTheme="minorEastAsia" w:cstheme="minorEastAsia"/>
          <w:color w:val="auto"/>
          <w:szCs w:val="21"/>
          <w:highlight w:val="none"/>
          <w:lang w:eastAsia="zh-CN"/>
        </w:rPr>
        <w:t>、问题药剂的清理和罐体内以及管道的清洗，</w:t>
      </w:r>
      <w:r>
        <w:rPr>
          <w:rFonts w:hint="eastAsia" w:asciiTheme="minorEastAsia" w:hAnsiTheme="minorEastAsia" w:eastAsiaTheme="minorEastAsia" w:cstheme="minorEastAsia"/>
          <w:color w:val="auto"/>
          <w:szCs w:val="21"/>
          <w:highlight w:val="none"/>
          <w:lang w:val="en-US" w:eastAsia="zh-CN"/>
        </w:rPr>
        <w:t>同时甲方有权选择按3.6条予以处罚。</w:t>
      </w:r>
      <w:r>
        <w:rPr>
          <w:rFonts w:hint="eastAsia" w:asciiTheme="minorEastAsia" w:hAnsiTheme="minorEastAsia" w:eastAsiaTheme="minorEastAsia" w:cstheme="minorEastAsia"/>
          <w:color w:val="auto"/>
          <w:kern w:val="0"/>
          <w:szCs w:val="21"/>
          <w:highlight w:val="none"/>
        </w:rPr>
        <w:t xml:space="preserve"> </w:t>
      </w:r>
    </w:p>
    <w:p w14:paraId="709EA7B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赔偿因水质超标产生的环保处罚金、应急处理费用及运营损失。</w:t>
      </w:r>
      <w:r>
        <w:rPr>
          <w:rFonts w:hint="eastAsia" w:asciiTheme="minorEastAsia" w:hAnsiTheme="minorEastAsia" w:eastAsiaTheme="minorEastAsia" w:cstheme="minorEastAsia"/>
          <w:color w:val="auto"/>
          <w:kern w:val="0"/>
          <w:szCs w:val="21"/>
          <w:highlight w:val="none"/>
          <w:lang w:val="en-US" w:eastAsia="zh-CN"/>
        </w:rPr>
        <w:t>此外经永和北水质净化厂核实，因使用乙方药剂影响出水水质，甲方有权向乙方追偿损失，具体赔偿事宜由甲乙双方协商确定。</w:t>
      </w:r>
    </w:p>
    <w:p w14:paraId="50C25F5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（3）甲方有权单方解除合同，自甲方通知到达时合同解除。</w:t>
      </w:r>
    </w:p>
    <w:p w14:paraId="090A380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hint="default" w:asciiTheme="minorEastAsia" w:hAnsiTheme="minorEastAsia" w:eastAsiaTheme="minorEastAsia" w:cstheme="minorEastAsia"/>
          <w:color w:val="auto"/>
          <w:kern w:val="0"/>
          <w:szCs w:val="21"/>
          <w:highlight w:val="none"/>
          <w:lang w:val="en-US" w:eastAsia="zh-CN"/>
        </w:rPr>
      </w:pPr>
      <w:r>
        <w:rPr>
          <w:rFonts w:hint="eastAsia" w:asciiTheme="minorEastAsia" w:hAnsiTheme="minorEastAsia" w:eastAsiaTheme="minorEastAsia" w:cstheme="minorEastAsia"/>
          <w:color w:val="auto"/>
          <w:kern w:val="0"/>
          <w:szCs w:val="21"/>
          <w:highlight w:val="none"/>
          <w:lang w:val="en-US" w:eastAsia="zh-CN"/>
        </w:rPr>
        <w:t>3.2 药剂运送至厂区时，药剂温度要在45摄氏度以下。</w:t>
      </w:r>
    </w:p>
    <w:p w14:paraId="4425AEA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3.</w:t>
      </w:r>
      <w:r>
        <w:rPr>
          <w:rFonts w:hint="eastAsia" w:asciiTheme="minorEastAsia" w:hAnsiTheme="minorEastAsia" w:eastAsiaTheme="minorEastAsia" w:cstheme="minorEastAsia"/>
          <w:color w:val="auto"/>
          <w:kern w:val="0"/>
          <w:szCs w:val="21"/>
          <w:highlight w:val="none"/>
          <w:lang w:val="en-US" w:eastAsia="zh-CN"/>
        </w:rPr>
        <w:t>3</w:t>
      </w:r>
      <w:r>
        <w:rPr>
          <w:rFonts w:hint="eastAsia" w:asciiTheme="minorEastAsia" w:hAnsiTheme="minorEastAsia" w:eastAsiaTheme="minorEastAsia" w:cstheme="minorEastAsia"/>
          <w:color w:val="auto"/>
          <w:szCs w:val="21"/>
          <w:highlight w:val="none"/>
        </w:rPr>
        <w:t>在产品出厂前，乙方应该对产品进行详细检验，并出具检验证明材料，该证明材料</w:t>
      </w:r>
      <w:r>
        <w:rPr>
          <w:rFonts w:hint="eastAsia" w:asciiTheme="minorEastAsia" w:hAnsiTheme="minorEastAsia" w:eastAsiaTheme="minorEastAsia" w:cstheme="minorEastAsia"/>
          <w:color w:val="auto"/>
          <w:szCs w:val="21"/>
          <w:highlight w:val="none"/>
          <w:lang w:eastAsia="zh-CN"/>
        </w:rPr>
        <w:t>可以</w:t>
      </w:r>
      <w:r>
        <w:rPr>
          <w:rFonts w:hint="eastAsia" w:asciiTheme="minorEastAsia" w:hAnsiTheme="minorEastAsia" w:eastAsiaTheme="minorEastAsia" w:cstheme="minorEastAsia"/>
          <w:color w:val="auto"/>
          <w:szCs w:val="21"/>
          <w:highlight w:val="none"/>
        </w:rPr>
        <w:t>作为交货时双方进行交货现场检验的参考，但不作为质量最终是否合格的依据。</w:t>
      </w:r>
    </w:p>
    <w:p w14:paraId="6BF4C85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在乙方生产期间，甲方有权随时到乙方生产现场校验未交接货物。</w:t>
      </w:r>
    </w:p>
    <w:p w14:paraId="0626BAF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kern w:val="0"/>
          <w:szCs w:val="21"/>
          <w:highlight w:val="none"/>
        </w:rPr>
        <w:t>甲方有权对乙方提供的每车次货物进行随机抽样检查，每次抽样检验按照下列方式进行：</w:t>
      </w:r>
    </w:p>
    <w:p w14:paraId="4ADC45E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1）执行检验方法：国家标准或化工行业相关最新标准。</w:t>
      </w:r>
    </w:p>
    <w:p w14:paraId="17BA17F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2）核实信息：甲方核查生产药剂产品检测报告、到厂数量，送货记录需经甲方、乙方双方在场共同确认完成并签字。</w:t>
      </w:r>
    </w:p>
    <w:p w14:paraId="6FB4264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现场取样：在槽车上或卸货过程中，由乙方以双方共同确认的药剂最新国家标准取样方法进行货物样品采集（如使用桶、袋装的药剂，随机抽取），抽取3份样品，分别给甲方1份，乙方1份，留样1份。取样应当通过拍照或者摄像等方式记录过程，填写样品抽样记录表（附件3）并签字。</w:t>
      </w:r>
    </w:p>
    <w:p w14:paraId="4C2D397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4）样品保存：分装于清洁、干燥的取样瓶（袋）中。取样瓶（袋）表面应贴有标签，注明生产厂家、采集日期，样品需用封条将封口密封，甲方和乙方共同在封条及标签上签名确认。</w:t>
      </w:r>
    </w:p>
    <w:p w14:paraId="70854CA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5）样品留样：采集的一份留样样品由甲方按规定留存，未收到抽检报告，不得启封留存样品。</w:t>
      </w:r>
    </w:p>
    <w:p w14:paraId="6617A3C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6）样品质量检验：由甲方将</w:t>
      </w:r>
      <w:r>
        <w:rPr>
          <w:rFonts w:hint="eastAsia" w:asciiTheme="minorEastAsia" w:hAnsiTheme="minorEastAsia" w:eastAsiaTheme="minorEastAsia" w:cstheme="minorEastAsia"/>
          <w:color w:val="auto"/>
          <w:kern w:val="0"/>
          <w:szCs w:val="21"/>
          <w:highlight w:val="none"/>
          <w:lang w:eastAsia="zh-CN"/>
        </w:rPr>
        <w:t>需要</w:t>
      </w:r>
      <w:r>
        <w:rPr>
          <w:rFonts w:hint="eastAsia" w:asciiTheme="minorEastAsia" w:hAnsiTheme="minorEastAsia" w:eastAsiaTheme="minorEastAsia" w:cstheme="minorEastAsia"/>
          <w:color w:val="auto"/>
          <w:kern w:val="0"/>
          <w:szCs w:val="21"/>
          <w:highlight w:val="none"/>
        </w:rPr>
        <w:t>检测的样品送至甲方委托的第三方检测单位进行检测，费用由甲方支付。</w:t>
      </w:r>
    </w:p>
    <w:p w14:paraId="0CD2B86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检验结果：①样品质量检验结果满足本合同所列要求，则视为该批次货物合格。②样品质量检验结果不能满足本合同所列要求，若乙方对检验结果有异议须在5个工作日内提出，由甲方将双方留存的样品一同送至甲方委托的第三方检测单位进行复测，并要求检测单位混匀样品后再进行检测，费用由乙方支付。若某一方独自开启留样，则视为该样品无效，不做检测使用。复测结果合格则视为该批次货物合格，否则，该批次货物检验不合格。</w:t>
      </w:r>
    </w:p>
    <w:p w14:paraId="260020B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若第三方检测机构对所供货物检测的结果未达到本合同3.1条款中规定的相关标准，则检测结果视为不合格，甲方</w:t>
      </w:r>
      <w:r>
        <w:rPr>
          <w:rFonts w:hint="eastAsia" w:asciiTheme="minorEastAsia" w:hAnsiTheme="minorEastAsia" w:eastAsiaTheme="minorEastAsia" w:cstheme="minorEastAsia"/>
          <w:color w:val="auto"/>
          <w:szCs w:val="21"/>
          <w:highlight w:val="none"/>
          <w:lang w:eastAsia="zh-CN"/>
        </w:rPr>
        <w:t>可以</w:t>
      </w:r>
      <w:r>
        <w:rPr>
          <w:rFonts w:hint="eastAsia" w:asciiTheme="minorEastAsia" w:hAnsiTheme="minorEastAsia" w:eastAsiaTheme="minorEastAsia" w:cstheme="minorEastAsia"/>
          <w:color w:val="auto"/>
          <w:szCs w:val="21"/>
          <w:highlight w:val="none"/>
        </w:rPr>
        <w:t>要求乙方对产品进行改善并按以下罚则进行扣罚：</w:t>
      </w:r>
    </w:p>
    <w:p w14:paraId="7F23CD4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第一次检测不合格：甲方对乙方扣罚3万元作为违约金，违约金优先在结算货款内扣除，如当月货款无法抵销违约金扣罚的，将在次月的结算货款内扣除；</w:t>
      </w:r>
    </w:p>
    <w:p w14:paraId="09CE3B6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第二次检测不合格：甲方对乙方扣罚5万元作为违约金，违约金优先在结算货款内扣除，如当月货款无法抵销违约金扣罚的，将在次月的结算货款内扣除；</w:t>
      </w:r>
    </w:p>
    <w:p w14:paraId="4408004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第三次检测不合格：甲方对乙方扣罚10万元作为违约金，违约金优先在结算货款内扣除，如当月货款无法抵销违约金扣罚的，将在次月的结算货款内扣除；</w:t>
      </w:r>
    </w:p>
    <w:p w14:paraId="4D0731B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第四次检测不合格：甲方扣除乙方100%合同履约保证金并有权单方即时解除本合同。</w:t>
      </w:r>
    </w:p>
    <w:p w14:paraId="4ACA86A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如某批次货物样品检测不合格，甲方对该批次已使用货物无需支付其货款。乙方应重新供应合格货物，并按照合同3.4条要求进行抽样检查，</w:t>
      </w:r>
      <w:r>
        <w:rPr>
          <w:rFonts w:hint="eastAsia" w:asciiTheme="minorEastAsia" w:hAnsiTheme="minorEastAsia" w:eastAsiaTheme="minorEastAsia" w:cstheme="minorEastAsia"/>
          <w:color w:val="auto"/>
          <w:szCs w:val="21"/>
          <w:highlight w:val="none"/>
          <w:lang w:val="en-US" w:eastAsia="zh-CN"/>
        </w:rPr>
        <w:t>检查</w:t>
      </w:r>
      <w:r>
        <w:rPr>
          <w:rFonts w:hint="eastAsia" w:asciiTheme="minorEastAsia" w:hAnsiTheme="minorEastAsia" w:eastAsiaTheme="minorEastAsia" w:cstheme="minorEastAsia"/>
          <w:color w:val="auto"/>
          <w:szCs w:val="21"/>
          <w:highlight w:val="none"/>
        </w:rPr>
        <w:t>费用由</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支付。</w:t>
      </w:r>
    </w:p>
    <w:p w14:paraId="2B9155B3">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both"/>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四、考核办法</w:t>
      </w:r>
    </w:p>
    <w:p w14:paraId="6322049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4.1考核评价标准</w:t>
      </w:r>
    </w:p>
    <w:tbl>
      <w:tblPr>
        <w:tblStyle w:val="6"/>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473"/>
        <w:gridCol w:w="3282"/>
        <w:gridCol w:w="2955"/>
        <w:gridCol w:w="765"/>
      </w:tblGrid>
      <w:tr w14:paraId="0FCF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 w:type="dxa"/>
            <w:vAlign w:val="center"/>
          </w:tcPr>
          <w:p w14:paraId="7D0B467A">
            <w:pPr>
              <w:shd w:val="clea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1473" w:type="dxa"/>
            <w:vAlign w:val="center"/>
          </w:tcPr>
          <w:p w14:paraId="5023A9CD">
            <w:pPr>
              <w:shd w:val="clea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内容</w:t>
            </w:r>
          </w:p>
        </w:tc>
        <w:tc>
          <w:tcPr>
            <w:tcW w:w="3282" w:type="dxa"/>
            <w:vAlign w:val="center"/>
          </w:tcPr>
          <w:p w14:paraId="0D6EA677">
            <w:pPr>
              <w:shd w:val="clea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考核评价标准</w:t>
            </w:r>
          </w:p>
        </w:tc>
        <w:tc>
          <w:tcPr>
            <w:tcW w:w="2955" w:type="dxa"/>
            <w:vAlign w:val="center"/>
          </w:tcPr>
          <w:p w14:paraId="6C2FC6B9">
            <w:pPr>
              <w:shd w:val="clea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考核评分</w:t>
            </w:r>
          </w:p>
        </w:tc>
        <w:tc>
          <w:tcPr>
            <w:tcW w:w="765" w:type="dxa"/>
            <w:vAlign w:val="center"/>
          </w:tcPr>
          <w:p w14:paraId="4D0A5EBB">
            <w:pPr>
              <w:shd w:val="clear"/>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得分</w:t>
            </w:r>
          </w:p>
        </w:tc>
      </w:tr>
      <w:tr w14:paraId="2826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 w:type="dxa"/>
            <w:vMerge w:val="restart"/>
            <w:vAlign w:val="center"/>
          </w:tcPr>
          <w:p w14:paraId="35A9F70C">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一、交货质量</w:t>
            </w:r>
          </w:p>
        </w:tc>
        <w:tc>
          <w:tcPr>
            <w:tcW w:w="1473" w:type="dxa"/>
            <w:vAlign w:val="center"/>
          </w:tcPr>
          <w:p w14:paraId="2EF5E0C4">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1.交货时效</w:t>
            </w:r>
          </w:p>
          <w:p w14:paraId="5675C2B7">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（40分）</w:t>
            </w:r>
          </w:p>
        </w:tc>
        <w:tc>
          <w:tcPr>
            <w:tcW w:w="3282" w:type="dxa"/>
            <w:vAlign w:val="center"/>
          </w:tcPr>
          <w:p w14:paraId="5213E665">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交货准时①，通知送货后按通知要求时限送达，且不影响厂内正常生产</w:t>
            </w:r>
          </w:p>
        </w:tc>
        <w:tc>
          <w:tcPr>
            <w:tcW w:w="2955" w:type="dxa"/>
            <w:vAlign w:val="center"/>
          </w:tcPr>
          <w:p w14:paraId="7D32BB03">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1.出现迟送货一次扣5分；</w:t>
            </w:r>
          </w:p>
          <w:p w14:paraId="12245186">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2.因送货迟影响厂区正常生产运行扣5分；扣完为止。</w:t>
            </w:r>
          </w:p>
        </w:tc>
        <w:tc>
          <w:tcPr>
            <w:tcW w:w="765" w:type="dxa"/>
            <w:vAlign w:val="center"/>
          </w:tcPr>
          <w:p w14:paraId="748CDD9A">
            <w:pPr>
              <w:shd w:val="clear"/>
              <w:jc w:val="both"/>
              <w:rPr>
                <w:rFonts w:asciiTheme="minorEastAsia" w:hAnsiTheme="minorEastAsia" w:eastAsiaTheme="minorEastAsia" w:cstheme="minorEastAsia"/>
                <w:color w:val="auto"/>
                <w:szCs w:val="21"/>
                <w:highlight w:val="none"/>
              </w:rPr>
            </w:pPr>
          </w:p>
        </w:tc>
      </w:tr>
      <w:tr w14:paraId="2E9C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 w:type="dxa"/>
            <w:vMerge w:val="continue"/>
            <w:vAlign w:val="center"/>
          </w:tcPr>
          <w:p w14:paraId="2E578274">
            <w:pPr>
              <w:shd w:val="clear"/>
              <w:jc w:val="center"/>
              <w:rPr>
                <w:rFonts w:asciiTheme="minorEastAsia" w:hAnsiTheme="minorEastAsia" w:eastAsiaTheme="minorEastAsia" w:cstheme="minorEastAsia"/>
                <w:color w:val="auto"/>
                <w:szCs w:val="21"/>
                <w:highlight w:val="none"/>
              </w:rPr>
            </w:pPr>
          </w:p>
        </w:tc>
        <w:tc>
          <w:tcPr>
            <w:tcW w:w="1473" w:type="dxa"/>
            <w:vAlign w:val="center"/>
          </w:tcPr>
          <w:p w14:paraId="485DFA63">
            <w:pPr>
              <w:shd w:val="clear"/>
              <w:jc w:val="both"/>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2.交货质量</w:t>
            </w:r>
          </w:p>
          <w:p w14:paraId="61616D1A">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asciiTheme="minorEastAsia" w:hAnsiTheme="minorEastAsia" w:eastAsiaTheme="minorEastAsia" w:cstheme="minorEastAsia"/>
                <w:color w:val="auto"/>
                <w:szCs w:val="21"/>
                <w:highlight w:val="none"/>
              </w:rPr>
              <w:t>40分）</w:t>
            </w:r>
          </w:p>
        </w:tc>
        <w:tc>
          <w:tcPr>
            <w:tcW w:w="3282" w:type="dxa"/>
            <w:vAlign w:val="center"/>
          </w:tcPr>
          <w:p w14:paraId="09148499">
            <w:pPr>
              <w:shd w:val="clear"/>
              <w:jc w:val="both"/>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1.抽样检测货物品质均合格；</w:t>
            </w:r>
          </w:p>
          <w:p w14:paraId="59861AE1">
            <w:pPr>
              <w:shd w:val="clear"/>
              <w:jc w:val="both"/>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2.每批次货物所附资料齐全；</w:t>
            </w:r>
          </w:p>
        </w:tc>
        <w:tc>
          <w:tcPr>
            <w:tcW w:w="2955" w:type="dxa"/>
            <w:vAlign w:val="center"/>
          </w:tcPr>
          <w:p w14:paraId="745D0643">
            <w:pPr>
              <w:shd w:val="clear"/>
              <w:jc w:val="both"/>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1.不合格次数总计≦3次，每出现一次扣6分；</w:t>
            </w:r>
          </w:p>
          <w:p w14:paraId="0FEDA6B5">
            <w:pPr>
              <w:shd w:val="clear"/>
              <w:jc w:val="both"/>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2.所附资料出现不齐全情况，出现一次扣2分；</w:t>
            </w:r>
          </w:p>
          <w:p w14:paraId="7D07139F">
            <w:pPr>
              <w:shd w:val="clear"/>
              <w:jc w:val="both"/>
              <w:rPr>
                <w:rFonts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3.如出现不合格次数﹥3次，本项考核不得分。</w:t>
            </w:r>
          </w:p>
        </w:tc>
        <w:tc>
          <w:tcPr>
            <w:tcW w:w="765" w:type="dxa"/>
            <w:vAlign w:val="center"/>
          </w:tcPr>
          <w:p w14:paraId="5F5782B9">
            <w:pPr>
              <w:shd w:val="clear"/>
              <w:jc w:val="both"/>
              <w:rPr>
                <w:rFonts w:asciiTheme="minorEastAsia" w:hAnsiTheme="minorEastAsia" w:eastAsiaTheme="minorEastAsia" w:cstheme="minorEastAsia"/>
                <w:color w:val="auto"/>
                <w:szCs w:val="21"/>
                <w:highlight w:val="none"/>
              </w:rPr>
            </w:pPr>
          </w:p>
        </w:tc>
      </w:tr>
      <w:tr w14:paraId="51C2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 w:type="dxa"/>
            <w:vAlign w:val="center"/>
          </w:tcPr>
          <w:p w14:paraId="358EE179">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二、服务质量</w:t>
            </w:r>
          </w:p>
        </w:tc>
        <w:tc>
          <w:tcPr>
            <w:tcW w:w="1473" w:type="dxa"/>
            <w:vAlign w:val="center"/>
          </w:tcPr>
          <w:p w14:paraId="4C47DEBA">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3.服务质量</w:t>
            </w:r>
          </w:p>
          <w:p w14:paraId="6BC8180B">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（20分）</w:t>
            </w:r>
          </w:p>
        </w:tc>
        <w:tc>
          <w:tcPr>
            <w:tcW w:w="3282" w:type="dxa"/>
            <w:vAlign w:val="center"/>
          </w:tcPr>
          <w:p w14:paraId="57617F38">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1.提供货物装卸服务；</w:t>
            </w:r>
          </w:p>
          <w:p w14:paraId="67ED3EBB">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2.司机听从厂区人员指挥；</w:t>
            </w:r>
          </w:p>
          <w:p w14:paraId="7D517AE6">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3.货物投加过程合规，操作正确；</w:t>
            </w:r>
          </w:p>
          <w:p w14:paraId="3A34E5FC">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4.不得损坏厂内设施设备；</w:t>
            </w:r>
          </w:p>
        </w:tc>
        <w:tc>
          <w:tcPr>
            <w:tcW w:w="2955" w:type="dxa"/>
            <w:vAlign w:val="center"/>
          </w:tcPr>
          <w:p w14:paraId="7245389B">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每项目分值为5分，第1、2项每出现一次不符合情况扣1分；第3、4项每出现一次不合格情况扣2分；扣完为止。</w:t>
            </w:r>
          </w:p>
        </w:tc>
        <w:tc>
          <w:tcPr>
            <w:tcW w:w="765" w:type="dxa"/>
            <w:vAlign w:val="center"/>
          </w:tcPr>
          <w:p w14:paraId="3D39EC5F">
            <w:pPr>
              <w:shd w:val="clear"/>
              <w:jc w:val="both"/>
              <w:rPr>
                <w:rFonts w:asciiTheme="minorEastAsia" w:hAnsiTheme="minorEastAsia" w:eastAsiaTheme="minorEastAsia" w:cstheme="minorEastAsia"/>
                <w:color w:val="auto"/>
                <w:szCs w:val="21"/>
                <w:highlight w:val="none"/>
              </w:rPr>
            </w:pPr>
          </w:p>
        </w:tc>
      </w:tr>
      <w:tr w14:paraId="74EF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8" w:type="dxa"/>
            <w:vAlign w:val="center"/>
          </w:tcPr>
          <w:p w14:paraId="0CBDAD81">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总分</w:t>
            </w:r>
          </w:p>
        </w:tc>
        <w:tc>
          <w:tcPr>
            <w:tcW w:w="1473" w:type="dxa"/>
            <w:vAlign w:val="center"/>
          </w:tcPr>
          <w:p w14:paraId="09E92B98">
            <w:pPr>
              <w:shd w:val="clear"/>
              <w:jc w:val="both"/>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（上述3项得分之和）</w:t>
            </w:r>
          </w:p>
        </w:tc>
        <w:tc>
          <w:tcPr>
            <w:tcW w:w="3282" w:type="dxa"/>
            <w:vAlign w:val="center"/>
          </w:tcPr>
          <w:p w14:paraId="527A9352">
            <w:pPr>
              <w:shd w:val="clear"/>
              <w:jc w:val="both"/>
              <w:rPr>
                <w:rFonts w:asciiTheme="minorEastAsia" w:hAnsiTheme="minorEastAsia" w:eastAsiaTheme="minorEastAsia" w:cstheme="minorEastAsia"/>
                <w:color w:val="auto"/>
                <w:szCs w:val="21"/>
                <w:highlight w:val="none"/>
              </w:rPr>
            </w:pPr>
          </w:p>
        </w:tc>
        <w:tc>
          <w:tcPr>
            <w:tcW w:w="2955" w:type="dxa"/>
            <w:vAlign w:val="center"/>
          </w:tcPr>
          <w:p w14:paraId="32B12F2C">
            <w:pPr>
              <w:shd w:val="clear"/>
              <w:jc w:val="both"/>
              <w:rPr>
                <w:rFonts w:asciiTheme="minorEastAsia" w:hAnsiTheme="minorEastAsia" w:eastAsiaTheme="minorEastAsia" w:cstheme="minorEastAsia"/>
                <w:color w:val="auto"/>
                <w:szCs w:val="21"/>
                <w:highlight w:val="none"/>
              </w:rPr>
            </w:pPr>
          </w:p>
        </w:tc>
        <w:tc>
          <w:tcPr>
            <w:tcW w:w="765" w:type="dxa"/>
            <w:vAlign w:val="center"/>
          </w:tcPr>
          <w:p w14:paraId="5D79BD2A">
            <w:pPr>
              <w:shd w:val="clear"/>
              <w:jc w:val="both"/>
              <w:rPr>
                <w:rFonts w:asciiTheme="minorEastAsia" w:hAnsiTheme="minorEastAsia" w:eastAsiaTheme="minorEastAsia" w:cstheme="minorEastAsia"/>
                <w:color w:val="auto"/>
                <w:szCs w:val="21"/>
                <w:highlight w:val="none"/>
              </w:rPr>
            </w:pPr>
          </w:p>
        </w:tc>
      </w:tr>
    </w:tbl>
    <w:p w14:paraId="13ED4EF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注</w:t>
      </w:r>
      <w:r>
        <w:rPr>
          <w:rFonts w:hint="eastAsia" w:asciiTheme="minorEastAsia" w:hAnsiTheme="minorEastAsia" w:eastAsiaTheme="minorEastAsia" w:cstheme="minorEastAsia"/>
          <w:color w:val="auto"/>
          <w:spacing w:val="0"/>
          <w:kern w:val="21"/>
          <w:sz w:val="21"/>
          <w:szCs w:val="21"/>
          <w:highlight w:val="none"/>
          <w:lang w:eastAsia="zh-CN"/>
        </w:rPr>
        <w:t>：</w:t>
      </w:r>
      <w:r>
        <w:rPr>
          <w:rFonts w:hint="eastAsia" w:asciiTheme="minorEastAsia" w:hAnsiTheme="minorEastAsia" w:eastAsiaTheme="minorEastAsia" w:cstheme="minorEastAsia"/>
          <w:color w:val="auto"/>
          <w:spacing w:val="0"/>
          <w:kern w:val="21"/>
          <w:sz w:val="21"/>
          <w:szCs w:val="21"/>
          <w:highlight w:val="none"/>
        </w:rPr>
        <w:t>①交货准时是指交货不延误或适当提前交货从而保证库存充足，但提前交货须以甲方可以存储的容量为限，若超过甲方的存储能力，甲方有权拒绝乙方提前交货。</w:t>
      </w:r>
    </w:p>
    <w:p w14:paraId="17A39D1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②由于不可抗力造成的交货延误，但没有影响生产的除外。</w:t>
      </w:r>
    </w:p>
    <w:p w14:paraId="695D9FA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4.2考核期限</w:t>
      </w:r>
    </w:p>
    <w:p w14:paraId="0E354DB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供货期间甲方将对乙方的供货服务及货物质量进行不定期的考核，考核时间以甲方确定为准，考核次数为每6个月考核不少于1次；若合同签订期限未满6个月，合同期内考核不少于1次。</w:t>
      </w:r>
    </w:p>
    <w:p w14:paraId="02D666D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4.3考核评价办法及合同解除依据</w:t>
      </w:r>
    </w:p>
    <w:p w14:paraId="65FB37E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考核得分在80分以上为合格（不含80分），等于或者低于80分，甲方有权立即解除合同，并扣除乙方全部履约保证金，同时根据损失</w:t>
      </w:r>
      <w:r>
        <w:rPr>
          <w:rFonts w:hint="eastAsia" w:asciiTheme="minorEastAsia" w:hAnsiTheme="minorEastAsia" w:eastAsiaTheme="minorEastAsia" w:cstheme="minorEastAsia"/>
          <w:color w:val="auto"/>
          <w:spacing w:val="0"/>
          <w:kern w:val="21"/>
          <w:sz w:val="21"/>
          <w:szCs w:val="21"/>
          <w:highlight w:val="none"/>
          <w:lang w:eastAsia="zh-CN"/>
        </w:rPr>
        <w:t>情况</w:t>
      </w:r>
      <w:r>
        <w:rPr>
          <w:rFonts w:hint="eastAsia" w:asciiTheme="minorEastAsia" w:hAnsiTheme="minorEastAsia" w:eastAsiaTheme="minorEastAsia" w:cstheme="minorEastAsia"/>
          <w:color w:val="auto"/>
          <w:spacing w:val="0"/>
          <w:kern w:val="21"/>
          <w:sz w:val="21"/>
          <w:szCs w:val="21"/>
          <w:highlight w:val="none"/>
        </w:rPr>
        <w:t>要求乙方承担赔偿责任。</w:t>
      </w:r>
    </w:p>
    <w:p w14:paraId="7514A9E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pacing w:val="0"/>
          <w:kern w:val="21"/>
          <w:sz w:val="21"/>
          <w:szCs w:val="21"/>
          <w:highlight w:val="none"/>
        </w:rPr>
      </w:pPr>
      <w:r>
        <w:rPr>
          <w:rFonts w:hint="eastAsia" w:asciiTheme="minorEastAsia" w:hAnsiTheme="minorEastAsia" w:eastAsiaTheme="minorEastAsia" w:cstheme="minorEastAsia"/>
          <w:b/>
          <w:color w:val="auto"/>
          <w:spacing w:val="0"/>
          <w:kern w:val="21"/>
          <w:sz w:val="21"/>
          <w:szCs w:val="21"/>
          <w:highlight w:val="none"/>
        </w:rPr>
        <w:t>五、权利和义务</w:t>
      </w:r>
    </w:p>
    <w:p w14:paraId="643BF0F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5.1甲方的权利和义务</w:t>
      </w:r>
    </w:p>
    <w:p w14:paraId="6ED5F03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1）有权对乙方提供产品进行督导，对于乙方不履行合同、不正确履行合同、不完全履行合同等行为，甲方有权要求乙方立即更正，并采取其他补救措施。</w:t>
      </w:r>
    </w:p>
    <w:p w14:paraId="3D4D486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2）有权到乙方生产现场校验未交接货物。</w:t>
      </w:r>
    </w:p>
    <w:p w14:paraId="3BF19BC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3）有权对乙方提供的货物进行抽样检查。</w:t>
      </w:r>
    </w:p>
    <w:p w14:paraId="40E5201B">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lang w:val="en-US" w:eastAsia="zh-CN"/>
        </w:rPr>
        <w:t>4</w:t>
      </w:r>
      <w:r>
        <w:rPr>
          <w:rFonts w:hint="eastAsia" w:asciiTheme="minorEastAsia" w:hAnsiTheme="minorEastAsia" w:eastAsiaTheme="minorEastAsia" w:cstheme="minorEastAsia"/>
          <w:color w:val="auto"/>
          <w:spacing w:val="0"/>
          <w:kern w:val="21"/>
          <w:sz w:val="21"/>
          <w:szCs w:val="21"/>
          <w:highlight w:val="none"/>
        </w:rPr>
        <w:t>）按合同规定的其他权利和义务。</w:t>
      </w:r>
    </w:p>
    <w:p w14:paraId="5D87AB0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lang w:val="en-US" w:eastAsia="zh-CN"/>
        </w:rPr>
        <w:t>5</w:t>
      </w:r>
      <w:r>
        <w:rPr>
          <w:rFonts w:hint="eastAsia" w:asciiTheme="minorEastAsia" w:hAnsiTheme="minorEastAsia" w:eastAsiaTheme="minorEastAsia" w:cstheme="minorEastAsia"/>
          <w:color w:val="auto"/>
          <w:spacing w:val="0"/>
          <w:kern w:val="21"/>
          <w:sz w:val="21"/>
          <w:szCs w:val="21"/>
          <w:highlight w:val="none"/>
        </w:rPr>
        <w:t>）有权对乙方提出安全管理工作要求。</w:t>
      </w:r>
    </w:p>
    <w:p w14:paraId="1E608E4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5.2乙方的权利和义务</w:t>
      </w:r>
    </w:p>
    <w:p w14:paraId="443C95F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1）乙方需优先保障甲方的货物供应。</w:t>
      </w:r>
    </w:p>
    <w:p w14:paraId="78CF307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2）按照合同约定对货物进行包装、装运和运输，服从甲方安排，在厂区指定位置，按时保质交付货物。</w:t>
      </w:r>
    </w:p>
    <w:p w14:paraId="2E6B30E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3）乙方按照合同要求提供技术支持人员进行技术支持服务。</w:t>
      </w:r>
    </w:p>
    <w:p w14:paraId="13AA70F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4）乙方提供每批货物的生产厂家出厂合格证书及有关供货说明文件。</w:t>
      </w:r>
    </w:p>
    <w:p w14:paraId="7FC9E41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5）接受甲方监督，接受支付款项。</w:t>
      </w:r>
    </w:p>
    <w:p w14:paraId="511E5AA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6）本合同规定的其他权利和义务。</w:t>
      </w:r>
    </w:p>
    <w:p w14:paraId="4C2E484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7）乙方需每季度</w:t>
      </w:r>
      <w:r>
        <w:rPr>
          <w:rFonts w:hint="eastAsia" w:asciiTheme="minorEastAsia" w:hAnsiTheme="minorEastAsia" w:eastAsiaTheme="minorEastAsia" w:cstheme="minorEastAsia"/>
          <w:color w:val="auto"/>
          <w:spacing w:val="0"/>
          <w:kern w:val="21"/>
          <w:sz w:val="21"/>
          <w:szCs w:val="21"/>
          <w:highlight w:val="none"/>
          <w:lang w:eastAsia="zh-CN"/>
        </w:rPr>
        <w:t>至少</w:t>
      </w:r>
      <w:r>
        <w:rPr>
          <w:rFonts w:hint="eastAsia" w:asciiTheme="minorEastAsia" w:hAnsiTheme="minorEastAsia" w:eastAsiaTheme="minorEastAsia" w:cstheme="minorEastAsia"/>
          <w:color w:val="auto"/>
          <w:spacing w:val="0"/>
          <w:kern w:val="21"/>
          <w:sz w:val="21"/>
          <w:szCs w:val="21"/>
          <w:highlight w:val="none"/>
        </w:rPr>
        <w:t>组织一次人员安全培训并将培训资料复印件交</w:t>
      </w:r>
      <w:r>
        <w:rPr>
          <w:rFonts w:hint="eastAsia" w:asciiTheme="minorEastAsia" w:hAnsiTheme="minorEastAsia" w:eastAsiaTheme="minorEastAsia" w:cstheme="minorEastAsia"/>
          <w:color w:val="auto"/>
          <w:spacing w:val="0"/>
          <w:kern w:val="21"/>
          <w:sz w:val="21"/>
          <w:szCs w:val="21"/>
          <w:highlight w:val="none"/>
          <w:lang w:eastAsia="zh-CN"/>
        </w:rPr>
        <w:t>甲方</w:t>
      </w:r>
      <w:r>
        <w:rPr>
          <w:rFonts w:hint="eastAsia" w:asciiTheme="minorEastAsia" w:hAnsiTheme="minorEastAsia" w:eastAsiaTheme="minorEastAsia" w:cstheme="minorEastAsia"/>
          <w:color w:val="auto"/>
          <w:spacing w:val="0"/>
          <w:kern w:val="21"/>
          <w:sz w:val="21"/>
          <w:szCs w:val="21"/>
          <w:highlight w:val="none"/>
        </w:rPr>
        <w:t>留底。</w:t>
      </w:r>
    </w:p>
    <w:p w14:paraId="4D89CAE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8）乙方需每半年</w:t>
      </w:r>
      <w:r>
        <w:rPr>
          <w:rFonts w:hint="eastAsia" w:asciiTheme="minorEastAsia" w:hAnsiTheme="minorEastAsia" w:eastAsiaTheme="minorEastAsia" w:cstheme="minorEastAsia"/>
          <w:color w:val="auto"/>
          <w:spacing w:val="0"/>
          <w:kern w:val="21"/>
          <w:sz w:val="21"/>
          <w:szCs w:val="21"/>
          <w:highlight w:val="none"/>
          <w:lang w:eastAsia="zh-CN"/>
        </w:rPr>
        <w:t>至少</w:t>
      </w:r>
      <w:r>
        <w:rPr>
          <w:rFonts w:hint="eastAsia" w:asciiTheme="minorEastAsia" w:hAnsiTheme="minorEastAsia" w:eastAsiaTheme="minorEastAsia" w:cstheme="minorEastAsia"/>
          <w:color w:val="auto"/>
          <w:spacing w:val="0"/>
          <w:kern w:val="21"/>
          <w:sz w:val="21"/>
          <w:szCs w:val="21"/>
          <w:highlight w:val="none"/>
        </w:rPr>
        <w:t>组织一次药剂</w:t>
      </w:r>
      <w:r>
        <w:rPr>
          <w:rFonts w:hint="eastAsia" w:asciiTheme="minorEastAsia" w:hAnsiTheme="minorEastAsia" w:eastAsiaTheme="minorEastAsia" w:cstheme="minorEastAsia"/>
          <w:color w:val="auto"/>
          <w:spacing w:val="0"/>
          <w:kern w:val="21"/>
          <w:sz w:val="21"/>
          <w:szCs w:val="21"/>
          <w:highlight w:val="none"/>
          <w:lang w:eastAsia="zh-CN"/>
        </w:rPr>
        <w:t>泄漏</w:t>
      </w:r>
      <w:r>
        <w:rPr>
          <w:rFonts w:hint="eastAsia" w:asciiTheme="minorEastAsia" w:hAnsiTheme="minorEastAsia" w:eastAsiaTheme="minorEastAsia" w:cstheme="minorEastAsia"/>
          <w:color w:val="auto"/>
          <w:spacing w:val="0"/>
          <w:kern w:val="21"/>
          <w:sz w:val="21"/>
          <w:szCs w:val="21"/>
          <w:highlight w:val="none"/>
        </w:rPr>
        <w:t>安全演练并将演练资料复印件交</w:t>
      </w:r>
      <w:r>
        <w:rPr>
          <w:rFonts w:hint="eastAsia" w:asciiTheme="minorEastAsia" w:hAnsiTheme="minorEastAsia" w:eastAsiaTheme="minorEastAsia" w:cstheme="minorEastAsia"/>
          <w:color w:val="auto"/>
          <w:spacing w:val="0"/>
          <w:kern w:val="21"/>
          <w:sz w:val="21"/>
          <w:szCs w:val="21"/>
          <w:highlight w:val="none"/>
          <w:lang w:eastAsia="zh-CN"/>
        </w:rPr>
        <w:t>甲方</w:t>
      </w:r>
      <w:r>
        <w:rPr>
          <w:rFonts w:hint="eastAsia" w:asciiTheme="minorEastAsia" w:hAnsiTheme="minorEastAsia" w:eastAsiaTheme="minorEastAsia" w:cstheme="minorEastAsia"/>
          <w:color w:val="auto"/>
          <w:spacing w:val="0"/>
          <w:kern w:val="21"/>
          <w:sz w:val="21"/>
          <w:szCs w:val="21"/>
          <w:highlight w:val="none"/>
        </w:rPr>
        <w:t>留底。</w:t>
      </w:r>
    </w:p>
    <w:p w14:paraId="776D143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9）乙方需无条件配合</w:t>
      </w:r>
      <w:r>
        <w:rPr>
          <w:rFonts w:hint="eastAsia" w:asciiTheme="minorEastAsia" w:hAnsiTheme="minorEastAsia" w:eastAsiaTheme="minorEastAsia" w:cstheme="minorEastAsia"/>
          <w:color w:val="auto"/>
          <w:spacing w:val="0"/>
          <w:kern w:val="21"/>
          <w:sz w:val="21"/>
          <w:szCs w:val="21"/>
          <w:highlight w:val="none"/>
          <w:lang w:val="en-US" w:eastAsia="zh-CN"/>
        </w:rPr>
        <w:t>甲方</w:t>
      </w:r>
      <w:r>
        <w:rPr>
          <w:rFonts w:hint="eastAsia" w:asciiTheme="minorEastAsia" w:hAnsiTheme="minorEastAsia" w:eastAsiaTheme="minorEastAsia" w:cstheme="minorEastAsia"/>
          <w:color w:val="auto"/>
          <w:spacing w:val="0"/>
          <w:kern w:val="21"/>
          <w:sz w:val="21"/>
          <w:szCs w:val="21"/>
          <w:highlight w:val="none"/>
        </w:rPr>
        <w:t>安全管理工作及要求。</w:t>
      </w:r>
    </w:p>
    <w:p w14:paraId="5752862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pacing w:val="0"/>
          <w:kern w:val="21"/>
          <w:sz w:val="21"/>
          <w:szCs w:val="21"/>
          <w:highlight w:val="none"/>
        </w:rPr>
      </w:pPr>
      <w:r>
        <w:rPr>
          <w:rFonts w:hint="eastAsia" w:asciiTheme="minorEastAsia" w:hAnsiTheme="minorEastAsia" w:eastAsiaTheme="minorEastAsia" w:cstheme="minorEastAsia"/>
          <w:b/>
          <w:color w:val="auto"/>
          <w:spacing w:val="0"/>
          <w:kern w:val="21"/>
          <w:sz w:val="21"/>
          <w:szCs w:val="21"/>
          <w:highlight w:val="none"/>
        </w:rPr>
        <w:t>六、合同总价及结算方式</w:t>
      </w:r>
    </w:p>
    <w:p w14:paraId="1BB5C3B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6.1本合同价（含税价，增值税率13%）暂定为人民币</w:t>
      </w:r>
      <w:r>
        <w:rPr>
          <w:rFonts w:hint="eastAsia" w:asciiTheme="minorEastAsia" w:hAnsiTheme="minorEastAsia" w:eastAsiaTheme="minorEastAsia" w:cstheme="minorEastAsia"/>
          <w:color w:val="auto"/>
          <w:spacing w:val="0"/>
          <w:kern w:val="21"/>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1"/>
          <w:sz w:val="21"/>
          <w:szCs w:val="21"/>
          <w:highlight w:val="none"/>
        </w:rPr>
        <w:t>元整（小写：￥</w:t>
      </w:r>
      <w:r>
        <w:rPr>
          <w:rFonts w:hint="eastAsia" w:asciiTheme="minorEastAsia" w:hAnsiTheme="minorEastAsia" w:eastAsiaTheme="minorEastAsia" w:cstheme="minorEastAsia"/>
          <w:color w:val="auto"/>
          <w:spacing w:val="0"/>
          <w:kern w:val="21"/>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1"/>
          <w:sz w:val="21"/>
          <w:szCs w:val="21"/>
          <w:highlight w:val="none"/>
        </w:rPr>
        <w:t>元），不含税金额为人民币</w:t>
      </w:r>
      <w:r>
        <w:rPr>
          <w:rFonts w:hint="eastAsia" w:asciiTheme="minorEastAsia" w:hAnsiTheme="minorEastAsia" w:eastAsiaTheme="minorEastAsia" w:cstheme="minorEastAsia"/>
          <w:color w:val="auto"/>
          <w:spacing w:val="0"/>
          <w:kern w:val="21"/>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1"/>
          <w:sz w:val="21"/>
          <w:szCs w:val="21"/>
          <w:highlight w:val="none"/>
        </w:rPr>
        <w:t>元整（小写：￥</w:t>
      </w:r>
      <w:r>
        <w:rPr>
          <w:rFonts w:hint="eastAsia" w:asciiTheme="minorEastAsia" w:hAnsiTheme="minorEastAsia" w:eastAsiaTheme="minorEastAsia" w:cstheme="minorEastAsia"/>
          <w:color w:val="auto"/>
          <w:spacing w:val="0"/>
          <w:kern w:val="21"/>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1"/>
          <w:sz w:val="21"/>
          <w:szCs w:val="21"/>
          <w:highlight w:val="none"/>
        </w:rPr>
        <w:t>元）。</w:t>
      </w:r>
    </w:p>
    <w:p w14:paraId="6279A26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6.2所采购生产药剂按每吨计价，（生产药剂）单价按货物信息为准，该单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14:paraId="6E9C208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pacing w:val="0"/>
          <w:kern w:val="21"/>
          <w:sz w:val="21"/>
          <w:szCs w:val="21"/>
          <w:highlight w:val="none"/>
        </w:rPr>
      </w:pPr>
      <w:r>
        <w:rPr>
          <w:rFonts w:hint="eastAsia" w:asciiTheme="minorEastAsia" w:hAnsiTheme="minorEastAsia" w:eastAsiaTheme="minorEastAsia" w:cstheme="minorEastAsia"/>
          <w:color w:val="auto"/>
          <w:spacing w:val="0"/>
          <w:kern w:val="21"/>
          <w:sz w:val="21"/>
          <w:szCs w:val="21"/>
          <w:highlight w:val="none"/>
        </w:rPr>
        <w:t>6.3结算方式：以甲方地磅数的实际重量</w:t>
      </w:r>
      <w:r>
        <w:rPr>
          <w:rFonts w:hint="eastAsia" w:asciiTheme="minorEastAsia" w:hAnsiTheme="minorEastAsia" w:eastAsiaTheme="minorEastAsia" w:cstheme="minorEastAsia"/>
          <w:color w:val="auto"/>
          <w:spacing w:val="0"/>
          <w:kern w:val="21"/>
          <w:sz w:val="21"/>
          <w:szCs w:val="21"/>
          <w:highlight w:val="none"/>
          <w:lang w:eastAsia="zh-CN"/>
        </w:rPr>
        <w:t>（</w:t>
      </w:r>
      <w:r>
        <w:rPr>
          <w:rFonts w:hint="eastAsia" w:asciiTheme="minorEastAsia" w:hAnsiTheme="minorEastAsia" w:eastAsiaTheme="minorEastAsia" w:cstheme="minorEastAsia"/>
          <w:color w:val="auto"/>
          <w:spacing w:val="0"/>
          <w:kern w:val="21"/>
          <w:sz w:val="21"/>
          <w:szCs w:val="21"/>
          <w:highlight w:val="none"/>
        </w:rPr>
        <w:t>需考虑减去部分药剂采取桶/袋装的重量</w:t>
      </w:r>
      <w:r>
        <w:rPr>
          <w:rFonts w:hint="eastAsia" w:asciiTheme="minorEastAsia" w:hAnsiTheme="minorEastAsia" w:eastAsiaTheme="minorEastAsia" w:cstheme="minorEastAsia"/>
          <w:color w:val="auto"/>
          <w:spacing w:val="0"/>
          <w:kern w:val="21"/>
          <w:sz w:val="21"/>
          <w:szCs w:val="21"/>
          <w:highlight w:val="none"/>
          <w:lang w:eastAsia="zh-CN"/>
        </w:rPr>
        <w:t>）</w:t>
      </w:r>
      <w:r>
        <w:rPr>
          <w:rFonts w:hint="eastAsia" w:asciiTheme="minorEastAsia" w:hAnsiTheme="minorEastAsia" w:eastAsiaTheme="minorEastAsia" w:cstheme="minorEastAsia"/>
          <w:color w:val="auto"/>
          <w:spacing w:val="0"/>
          <w:kern w:val="21"/>
          <w:sz w:val="21"/>
          <w:szCs w:val="21"/>
          <w:highlight w:val="none"/>
        </w:rPr>
        <w:t>结算，若甲方地磅数大于乙方出厂送货单地磅数，甲乙双方需进行核对，并以重量小的一方地磅数为结算依据。</w:t>
      </w:r>
    </w:p>
    <w:p w14:paraId="32453756">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0"/>
          <w:kern w:val="21"/>
          <w:sz w:val="21"/>
          <w:szCs w:val="21"/>
          <w:highlight w:val="none"/>
        </w:rPr>
        <w:t>6.4甲方按照乙方实际供货品种、数量、合同单价，每月与乙方结算一次。乙方应在每月</w:t>
      </w:r>
      <w:r>
        <w:rPr>
          <w:rFonts w:hint="eastAsia" w:asciiTheme="minorEastAsia" w:hAnsiTheme="minorEastAsia" w:eastAsiaTheme="minorEastAsia" w:cstheme="minorEastAsia"/>
          <w:color w:val="auto"/>
          <w:spacing w:val="0"/>
          <w:kern w:val="21"/>
          <w:sz w:val="21"/>
          <w:szCs w:val="21"/>
          <w:highlight w:val="none"/>
          <w:u w:val="single"/>
        </w:rPr>
        <w:t xml:space="preserve"> 10 </w:t>
      </w:r>
      <w:r>
        <w:rPr>
          <w:rFonts w:hint="eastAsia" w:asciiTheme="minorEastAsia" w:hAnsiTheme="minorEastAsia" w:eastAsiaTheme="minorEastAsia" w:cstheme="minorEastAsia"/>
          <w:color w:val="auto"/>
          <w:spacing w:val="0"/>
          <w:kern w:val="21"/>
          <w:sz w:val="21"/>
          <w:szCs w:val="21"/>
          <w:highlight w:val="none"/>
        </w:rPr>
        <w:t>日前将结算表以书面形式交付甲方，若甲方对结算内容有异议，应书面回复乙方。乙</w:t>
      </w:r>
      <w:r>
        <w:rPr>
          <w:rFonts w:hint="eastAsia" w:asciiTheme="minorEastAsia" w:hAnsiTheme="minorEastAsia" w:eastAsiaTheme="minorEastAsia" w:cstheme="minorEastAsia"/>
          <w:color w:val="auto"/>
          <w:szCs w:val="21"/>
          <w:highlight w:val="none"/>
        </w:rPr>
        <w:t>方根据甲方确认的结算金额开出等额合法有效的增值税专用发票，交甲方办理付款手续。否则，甲方有权迟延付款且无需承担违约责任。</w:t>
      </w:r>
    </w:p>
    <w:p w14:paraId="369A540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七、包装、装运和运输</w:t>
      </w:r>
    </w:p>
    <w:p w14:paraId="5590B7D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7.1乙方负责把货物安全地运到交货地点。</w:t>
      </w:r>
    </w:p>
    <w:p w14:paraId="2E2EDAE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7.2包装必须与运输方式相适应，包装上应附有产品合格证书，其内容包括：产品名称、生产厂家名称、批号、净含量、生产日期、标准编号及储存、使用方式</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注意事项等，考虑到运输和储存中的各种情况（如暴露于恶劣气候等），包装必须足以满足运输、转运、装卸和储存的要求。</w:t>
      </w:r>
    </w:p>
    <w:p w14:paraId="30627CE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7.3包装方式的确定由乙方负责，由于包装而造成的对货物的损坏（包括货物质量、安全责任、财产损失等）均由乙方负责。</w:t>
      </w:r>
    </w:p>
    <w:p w14:paraId="168A71F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7.4乙方在运输过程中应防止雨淋、受潮，并避免有毒物品的污染。在投药的过程中需做好无缝对接措施，确保药液不外泄。包装费、运费、卸车费、材料管理费已包含在合同价内；自制造厂至交货地点，</w:t>
      </w:r>
      <w:r>
        <w:rPr>
          <w:rFonts w:hint="eastAsia" w:asciiTheme="minorEastAsia" w:hAnsiTheme="minorEastAsia" w:eastAsiaTheme="minorEastAsia" w:cstheme="minorEastAsia"/>
          <w:color w:val="auto"/>
          <w:szCs w:val="21"/>
          <w:highlight w:val="none"/>
          <w:lang w:eastAsia="zh-CN"/>
        </w:rPr>
        <w:t>其间</w:t>
      </w:r>
      <w:r>
        <w:rPr>
          <w:rFonts w:hint="eastAsia" w:asciiTheme="minorEastAsia" w:hAnsiTheme="minorEastAsia" w:eastAsiaTheme="minorEastAsia" w:cstheme="minorEastAsia"/>
          <w:color w:val="auto"/>
          <w:szCs w:val="21"/>
          <w:highlight w:val="none"/>
        </w:rPr>
        <w:t>所需办</w:t>
      </w:r>
      <w:r>
        <w:rPr>
          <w:rFonts w:hint="eastAsia" w:asciiTheme="minorEastAsia" w:hAnsiTheme="minorEastAsia" w:eastAsiaTheme="minorEastAsia" w:cstheme="minorEastAsia"/>
          <w:color w:val="auto"/>
          <w:szCs w:val="21"/>
          <w:highlight w:val="none"/>
          <w:lang w:val="en-US" w:eastAsia="zh-CN"/>
        </w:rPr>
        <w:t>理</w:t>
      </w:r>
      <w:r>
        <w:rPr>
          <w:rFonts w:hint="eastAsia" w:asciiTheme="minorEastAsia" w:hAnsiTheme="minorEastAsia" w:eastAsiaTheme="minorEastAsia" w:cstheme="minorEastAsia"/>
          <w:color w:val="auto"/>
          <w:szCs w:val="21"/>
          <w:highlight w:val="none"/>
        </w:rPr>
        <w:t>的所有手续由乙方自行办理，甲方不提供任何文件及协助，且所需费用由乙方负责。</w:t>
      </w:r>
    </w:p>
    <w:p w14:paraId="4E1648E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7.5乙方车辆运输</w:t>
      </w:r>
      <w:r>
        <w:rPr>
          <w:rFonts w:hint="eastAsia" w:asciiTheme="minorEastAsia" w:hAnsiTheme="minorEastAsia" w:eastAsiaTheme="minorEastAsia" w:cstheme="minorEastAsia"/>
          <w:color w:val="auto"/>
          <w:szCs w:val="21"/>
          <w:highlight w:val="none"/>
          <w:u w:val="single"/>
        </w:rPr>
        <w:t>本合同采购的</w:t>
      </w:r>
      <w:r>
        <w:rPr>
          <w:rFonts w:hint="eastAsia" w:asciiTheme="minorEastAsia" w:hAnsiTheme="minorEastAsia" w:eastAsiaTheme="minorEastAsia" w:cstheme="minorEastAsia"/>
          <w:color w:val="auto"/>
          <w:szCs w:val="21"/>
          <w:highlight w:val="none"/>
        </w:rPr>
        <w:t>产品时必须合法合规，其运输荷载要根据甲方现场情况调整，因乙方运输造成的甲方或第三方损失或责任由乙方承担。</w:t>
      </w:r>
    </w:p>
    <w:p w14:paraId="2A00F52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八、交货要求</w:t>
      </w:r>
    </w:p>
    <w:p w14:paraId="13FAFC8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8.1交货时间：</w:t>
      </w:r>
      <w:r>
        <w:rPr>
          <w:rFonts w:hint="eastAsia" w:asciiTheme="minorEastAsia" w:hAnsiTheme="minorEastAsia" w:eastAsiaTheme="minorEastAsia" w:cstheme="minorEastAsia"/>
          <w:bCs/>
          <w:color w:val="auto"/>
          <w:szCs w:val="21"/>
          <w:highlight w:val="none"/>
        </w:rPr>
        <w:t>合同期内甲方提前24小时以传真或电子邮件（短信或微信）等形式通知乙方交货时间、名称、型号、数量，乙方必须按要求送到。</w:t>
      </w:r>
    </w:p>
    <w:p w14:paraId="11B6CBC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8.2乙方必须提供每批货物的质量说明书，内容包括：生产名称、生产日期、净含量等，产品必须符合</w:t>
      </w:r>
      <w:r>
        <w:rPr>
          <w:rFonts w:hint="eastAsia" w:asciiTheme="minorEastAsia" w:hAnsiTheme="minorEastAsia" w:eastAsiaTheme="minorEastAsia" w:cstheme="minorEastAsia"/>
          <w:color w:val="auto"/>
          <w:kern w:val="0"/>
          <w:szCs w:val="21"/>
          <w:highlight w:val="none"/>
        </w:rPr>
        <w:t>国家标准或化工行业相关最新标准</w:t>
      </w:r>
      <w:r>
        <w:rPr>
          <w:rFonts w:hint="eastAsia" w:asciiTheme="minorEastAsia" w:hAnsiTheme="minorEastAsia" w:eastAsiaTheme="minorEastAsia" w:cstheme="minorEastAsia"/>
          <w:color w:val="auto"/>
          <w:szCs w:val="21"/>
          <w:highlight w:val="none"/>
        </w:rPr>
        <w:t>，证明及本标准编号。甲方检验货物的基本资料后方能交付。</w:t>
      </w:r>
    </w:p>
    <w:p w14:paraId="4484833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8.3</w:t>
      </w:r>
      <w:r>
        <w:rPr>
          <w:rFonts w:hint="eastAsia" w:asciiTheme="minorEastAsia" w:hAnsiTheme="minorEastAsia" w:eastAsiaTheme="minorEastAsia" w:cstheme="minorEastAsia"/>
          <w:bCs/>
          <w:color w:val="auto"/>
          <w:szCs w:val="21"/>
          <w:highlight w:val="none"/>
        </w:rPr>
        <w:t>乙方随货开具送货单交甲方盖章或签字，送货单一式两份，双方各执一份。</w:t>
      </w:r>
    </w:p>
    <w:p w14:paraId="0D913CDC">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九、付款及履约担保</w:t>
      </w:r>
    </w:p>
    <w:p w14:paraId="2EB762D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9.1乙方在签订合同后的15天内，应向甲方提交履约担保，担保额为合同暂定总价的5％，即人民币</w:t>
      </w:r>
      <w:r>
        <w:rPr>
          <w:rFonts w:hint="eastAsia" w:asciiTheme="minorEastAsia" w:hAnsiTheme="minorEastAsia" w:eastAsiaTheme="minorEastAsia" w:cstheme="minorEastAsia"/>
          <w:color w:val="auto"/>
          <w:szCs w:val="21"/>
          <w:highlight w:val="none"/>
          <w:u w:val="none"/>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w:t>
      </w:r>
    </w:p>
    <w:p w14:paraId="1CC11A0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履约担保按以下（</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）形式：</w:t>
      </w:r>
    </w:p>
    <w:p w14:paraId="77DBA70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1）履约银行保函；</w:t>
      </w:r>
    </w:p>
    <w:p w14:paraId="7B1B3B4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2）现金转账至委托人指定账号形式。</w:t>
      </w:r>
    </w:p>
    <w:p w14:paraId="163F668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9.2履约担保的担保期间和返还</w:t>
      </w:r>
    </w:p>
    <w:p w14:paraId="56D4B7E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1）履约银行保函（现金履约保证金）的担保期限：履约银行担保的担保期限是从提供履约担保之日起至合同履行完成。</w:t>
      </w:r>
    </w:p>
    <w:p w14:paraId="6513AC5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2）履约银行保函在合同履行完成后的28天内</w:t>
      </w:r>
      <w:r>
        <w:rPr>
          <w:rFonts w:hint="eastAsia" w:asciiTheme="minorEastAsia" w:hAnsiTheme="minorEastAsia" w:eastAsiaTheme="minorEastAsia" w:cstheme="minorEastAsia"/>
          <w:color w:val="auto"/>
          <w:szCs w:val="21"/>
          <w:highlight w:val="none"/>
          <w:lang w:val="en-US" w:eastAsia="zh-CN"/>
        </w:rPr>
        <w:t>经乙方申请</w:t>
      </w:r>
      <w:r>
        <w:rPr>
          <w:rFonts w:hint="eastAsia" w:asciiTheme="minorEastAsia" w:hAnsiTheme="minorEastAsia" w:eastAsiaTheme="minorEastAsia" w:cstheme="minorEastAsia"/>
          <w:color w:val="auto"/>
          <w:szCs w:val="21"/>
          <w:highlight w:val="none"/>
        </w:rPr>
        <w:t>返还，不支付利息。</w:t>
      </w:r>
    </w:p>
    <w:p w14:paraId="0354551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3）延长担保期限：乙方以履约银行保函形式提交履约保证金的，在银行保函到期前，乙方应提前</w:t>
      </w:r>
      <w:r>
        <w:rPr>
          <w:rFonts w:hint="eastAsia" w:asciiTheme="minorEastAsia" w:hAnsiTheme="minorEastAsia" w:eastAsiaTheme="minorEastAsia" w:cstheme="minorEastAsia"/>
          <w:color w:val="auto"/>
          <w:szCs w:val="21"/>
          <w:highlight w:val="none"/>
          <w:u w:val="single"/>
        </w:rPr>
        <w:t>30天</w:t>
      </w:r>
      <w:r>
        <w:rPr>
          <w:rFonts w:hint="eastAsia" w:asciiTheme="minorEastAsia" w:hAnsiTheme="minorEastAsia" w:eastAsiaTheme="minorEastAsia" w:cstheme="minorEastAsia"/>
          <w:color w:val="auto"/>
          <w:szCs w:val="21"/>
          <w:highlight w:val="none"/>
        </w:rPr>
        <w:t>向甲方提交新的保函以替换即将到期的保函。如乙方未及时提交的，甲方有权直接要求担保银行支付其担保的全部金额并解除合同。</w:t>
      </w:r>
    </w:p>
    <w:p w14:paraId="1A2124A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4）现金转账形式：合同履行完成后，由乙方提出申请，甲方在10个工作日内将保证金（无息）返还。</w:t>
      </w:r>
    </w:p>
    <w:p w14:paraId="399848A5">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5）甲方按本合同规定提取履约保证金后，乙方应在收到甲方通知后</w:t>
      </w:r>
      <w:r>
        <w:rPr>
          <w:rFonts w:hint="eastAsia" w:asciiTheme="minorEastAsia" w:hAnsiTheme="minorEastAsia" w:eastAsiaTheme="minorEastAsia" w:cstheme="minorEastAsia"/>
          <w:color w:val="auto"/>
          <w:szCs w:val="21"/>
          <w:highlight w:val="none"/>
          <w:u w:val="single"/>
        </w:rPr>
        <w:t xml:space="preserve"> 10</w:t>
      </w:r>
      <w:r>
        <w:rPr>
          <w:rFonts w:hint="eastAsia" w:asciiTheme="minorEastAsia" w:hAnsiTheme="minorEastAsia" w:eastAsiaTheme="minorEastAsia" w:cstheme="minorEastAsia"/>
          <w:color w:val="auto"/>
          <w:szCs w:val="21"/>
          <w:highlight w:val="none"/>
        </w:rPr>
        <w:t>日内补足数额，逾期甲方有权从货物结算款</w:t>
      </w:r>
      <w:r>
        <w:rPr>
          <w:rFonts w:hint="eastAsia" w:asciiTheme="minorEastAsia" w:hAnsiTheme="minorEastAsia" w:eastAsiaTheme="minorEastAsia" w:cstheme="minorEastAsia"/>
          <w:color w:val="auto"/>
          <w:szCs w:val="21"/>
          <w:highlight w:val="none"/>
          <w:lang w:val="en-US" w:eastAsia="zh-CN"/>
        </w:rPr>
        <w:t>中</w:t>
      </w:r>
      <w:r>
        <w:rPr>
          <w:rFonts w:hint="eastAsia" w:asciiTheme="minorEastAsia" w:hAnsiTheme="minorEastAsia" w:eastAsiaTheme="minorEastAsia" w:cstheme="minorEastAsia"/>
          <w:color w:val="auto"/>
          <w:szCs w:val="21"/>
          <w:highlight w:val="none"/>
        </w:rPr>
        <w:t>扣除全部履约保证金余额，或提取保证金的全部余额，并有权解除合同。</w:t>
      </w:r>
    </w:p>
    <w:p w14:paraId="39150B9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十、技术服务</w:t>
      </w:r>
    </w:p>
    <w:p w14:paraId="542D6551">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10.1供货期内，乙方需在生产现场提供装卸服务。要求保持甲方储存池内的安全库存。</w:t>
      </w:r>
    </w:p>
    <w:p w14:paraId="18DFB91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10.2供货期内，乙方应提供相关技术服务，技术支持。</w:t>
      </w:r>
    </w:p>
    <w:p w14:paraId="59D2C3C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1）包含但不限于以下服务：</w:t>
      </w:r>
    </w:p>
    <w:p w14:paraId="6F580D3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①安全服务：无条件配合甲方安全管理工作及要求。</w:t>
      </w:r>
    </w:p>
    <w:p w14:paraId="5072C3B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乙方需根据甲方需求，及时提供相关货品的技术支持（含咨询、技术交流等形式）。</w:t>
      </w:r>
    </w:p>
    <w:p w14:paraId="310E4E8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kern w:val="0"/>
          <w:szCs w:val="21"/>
          <w:highlight w:val="none"/>
        </w:rPr>
        <w:t>若乙方不能提供令甲方满意的以上技术服务，甲方有权自行委托第三方提供服务，费用由乙方承担，在结算货款或履约保证金中扣除。</w:t>
      </w:r>
    </w:p>
    <w:p w14:paraId="439B5F2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十一、不可抗力</w:t>
      </w:r>
    </w:p>
    <w:p w14:paraId="1650B9EA">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11.1本合同所指不可抗力限定于一般公认的不能预见、不能避免并不能克服的客观情况及双方同意的其它情形。</w:t>
      </w:r>
    </w:p>
    <w:p w14:paraId="4B5A0FB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11.2不可抗力情况发生后，乙方应立即书面通知甲方，证明事故的存在。</w:t>
      </w:r>
    </w:p>
    <w:p w14:paraId="07E232D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11.3在不可抗力情况发生后，双方应努力寻求采取合理的方案履行不受不可抗力影响的合同其</w:t>
      </w:r>
      <w:r>
        <w:rPr>
          <w:rFonts w:hint="eastAsia" w:asciiTheme="minorEastAsia" w:hAnsiTheme="minorEastAsia" w:eastAsiaTheme="minorEastAsia" w:cstheme="minorEastAsia"/>
          <w:color w:val="auto"/>
          <w:szCs w:val="21"/>
          <w:highlight w:val="none"/>
          <w:lang w:val="en-US" w:eastAsia="zh-CN"/>
        </w:rPr>
        <w:t>他</w:t>
      </w:r>
      <w:r>
        <w:rPr>
          <w:rFonts w:hint="eastAsia" w:asciiTheme="minorEastAsia" w:hAnsiTheme="minorEastAsia" w:eastAsiaTheme="minorEastAsia" w:cstheme="minorEastAsia"/>
          <w:color w:val="auto"/>
          <w:szCs w:val="21"/>
          <w:highlight w:val="none"/>
        </w:rPr>
        <w:t>事项；如不可抗力因素继续存在，致使在合同规定的交货期后三十天内仍不能交货的，双方均不互相提出索赔要求，已履行的合同部分由双方协商解决。</w:t>
      </w:r>
    </w:p>
    <w:p w14:paraId="194FFB5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十二、违约及索赔</w:t>
      </w:r>
    </w:p>
    <w:p w14:paraId="3E900AE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甲、乙双方应该秉着诚实信用的原则履行合同。</w:t>
      </w:r>
    </w:p>
    <w:p w14:paraId="1AD65D5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12.1若在供货期间乙方提供的货物不符合合同要求，导致甲方造成损坏、对生产造成影响或导致甲方属下水质净化厂出水检测指标不符合政府部门要求，造成经济损失的，由乙方全部承担。</w:t>
      </w:r>
    </w:p>
    <w:p w14:paraId="060BFB0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12.2供货期内若乙方不能按时足额交货的，从逾期之日起每日按本合同总价3‰的数额向甲方支付违约金，违约金优先在当月结算货款内扣除。累计逾期</w:t>
      </w:r>
      <w:r>
        <w:rPr>
          <w:rFonts w:hint="eastAsia" w:asciiTheme="minorEastAsia" w:hAnsiTheme="minorEastAsia" w:eastAsiaTheme="minorEastAsia" w:cstheme="minorEastAsia"/>
          <w:color w:val="auto"/>
          <w:szCs w:val="21"/>
          <w:highlight w:val="none"/>
          <w:u w:val="single"/>
        </w:rPr>
        <w:t xml:space="preserve"> 10</w:t>
      </w:r>
      <w:r>
        <w:rPr>
          <w:rFonts w:hint="eastAsia" w:asciiTheme="minorEastAsia" w:hAnsiTheme="minorEastAsia" w:eastAsiaTheme="minorEastAsia" w:cstheme="minorEastAsia"/>
          <w:color w:val="auto"/>
          <w:szCs w:val="21"/>
          <w:highlight w:val="none"/>
        </w:rPr>
        <w:t>天以上或连续逾期</w:t>
      </w:r>
      <w:r>
        <w:rPr>
          <w:rFonts w:hint="eastAsia" w:asciiTheme="minorEastAsia" w:hAnsiTheme="minorEastAsia" w:eastAsiaTheme="minorEastAsia" w:cstheme="minorEastAsia"/>
          <w:color w:val="auto"/>
          <w:szCs w:val="21"/>
          <w:highlight w:val="none"/>
          <w:u w:val="single"/>
        </w:rPr>
        <w:t>5</w:t>
      </w:r>
      <w:r>
        <w:rPr>
          <w:rFonts w:hint="eastAsia" w:asciiTheme="minorEastAsia" w:hAnsiTheme="minorEastAsia" w:eastAsiaTheme="minorEastAsia" w:cstheme="minorEastAsia"/>
          <w:color w:val="auto"/>
          <w:szCs w:val="21"/>
          <w:highlight w:val="none"/>
        </w:rPr>
        <w:t>天以上，甲方有权单方解除本合同</w:t>
      </w:r>
      <w:r>
        <w:rPr>
          <w:rFonts w:hint="eastAsia" w:asciiTheme="minorEastAsia" w:hAnsiTheme="minorEastAsia" w:eastAsiaTheme="minorEastAsia" w:cstheme="minorEastAsia"/>
          <w:color w:val="auto"/>
          <w:szCs w:val="21"/>
          <w:highlight w:val="none"/>
          <w:lang w:eastAsia="zh-CN"/>
        </w:rPr>
        <w:t>，并</w:t>
      </w:r>
      <w:r>
        <w:rPr>
          <w:rFonts w:hint="eastAsia" w:asciiTheme="minorEastAsia" w:hAnsiTheme="minorEastAsia" w:eastAsiaTheme="minorEastAsia" w:cstheme="minorEastAsia"/>
          <w:color w:val="auto"/>
          <w:szCs w:val="21"/>
          <w:highlight w:val="none"/>
        </w:rPr>
        <w:t>扣除全部履约保证金，并要求乙方全部承担由此造成的损失。</w:t>
      </w:r>
    </w:p>
    <w:p w14:paraId="15C912E3">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12.3由于乙方原因导致合同终止，甲方无需支付剩余货款，有权扣除全部履约保证金，并要求乙方全部承担由此造成的损失。</w:t>
      </w:r>
    </w:p>
    <w:p w14:paraId="08092970">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12.4乙方在接到甲方安全整改通知后，未在规定时间内按要求完成整改的，一次罚款10000元。如乙方拒不整改的，甲方有权单方解除本合同，扣除全部履约保证金，并要求乙方全部承担由此造成的损失。</w:t>
      </w:r>
    </w:p>
    <w:p w14:paraId="4784DFE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12.5乙方未按照10.2要求提供相关服务的，一次罚款10000元，若因此造成甲方损失的，由乙方全部承担。</w:t>
      </w:r>
    </w:p>
    <w:p w14:paraId="7226CB6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十三、通知</w:t>
      </w:r>
    </w:p>
    <w:p w14:paraId="53252E7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本合同所载地址为双方法定地址，本合同一方给对方的通知应当以书面的形式通知另一方，电子邮件或传真要经对方以相同方式确认，以邮寄或电子邮件形式的通知，从发出邮件或电子邮件的第二天视为送达。</w:t>
      </w:r>
    </w:p>
    <w:p w14:paraId="3B5AAC14">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十四、争端解决</w:t>
      </w:r>
    </w:p>
    <w:p w14:paraId="658FDDDE">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14.1双方应以协商的态度解决双方在执行本合同过程中产生的或与本合同有关的一切争端，双方协商不成由甲方所在地人民法院裁决。</w:t>
      </w:r>
    </w:p>
    <w:p w14:paraId="0150A9A2">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14.2在甲方同意的情况下，除有争端之外的合同的其</w:t>
      </w:r>
      <w:r>
        <w:rPr>
          <w:rFonts w:hint="eastAsia" w:asciiTheme="minorEastAsia" w:hAnsiTheme="minorEastAsia" w:eastAsiaTheme="minorEastAsia" w:cstheme="minorEastAsia"/>
          <w:color w:val="auto"/>
          <w:szCs w:val="21"/>
          <w:highlight w:val="none"/>
          <w:lang w:val="en-US" w:eastAsia="zh-CN"/>
        </w:rPr>
        <w:t>他</w:t>
      </w:r>
      <w:r>
        <w:rPr>
          <w:rFonts w:hint="eastAsia" w:asciiTheme="minorEastAsia" w:hAnsiTheme="minorEastAsia" w:eastAsiaTheme="minorEastAsia" w:cstheme="minorEastAsia"/>
          <w:color w:val="auto"/>
          <w:szCs w:val="21"/>
          <w:highlight w:val="none"/>
        </w:rPr>
        <w:t>部分在争端解决前应继续执行。</w:t>
      </w:r>
    </w:p>
    <w:p w14:paraId="3A182FA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十五、合同生效</w:t>
      </w:r>
    </w:p>
    <w:p w14:paraId="13BBFED7">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本合同由甲方与乙方签订，在满足以下条件后生效：</w:t>
      </w:r>
    </w:p>
    <w:p w14:paraId="0986E54F">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15.1双方授权代表签字盖章。</w:t>
      </w:r>
    </w:p>
    <w:p w14:paraId="58097BE9">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2"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十六、其他</w:t>
      </w:r>
    </w:p>
    <w:p w14:paraId="730523BD">
      <w:pPr>
        <w:keepNext w:val="0"/>
        <w:keepLines w:val="0"/>
        <w:pageBreakBefore w:val="0"/>
        <w:widowControl w:val="0"/>
        <w:shd w:val="clear"/>
        <w:kinsoku/>
        <w:wordWrap/>
        <w:overflowPunct/>
        <w:topLinePunct w:val="0"/>
        <w:autoSpaceDE/>
        <w:autoSpaceDN/>
        <w:bidi w:val="0"/>
        <w:adjustRightInd/>
        <w:snapToGrid/>
        <w:spacing w:line="360" w:lineRule="auto"/>
        <w:ind w:left="0" w:leftChars="0" w:firstLine="420" w:firstLineChars="20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本合同正本一式</w:t>
      </w:r>
      <w:r>
        <w:rPr>
          <w:rFonts w:hint="eastAsia" w:asciiTheme="minorEastAsia" w:hAnsiTheme="minorEastAsia" w:eastAsiaTheme="minorEastAsia" w:cstheme="minorEastAsia"/>
          <w:color w:val="auto"/>
          <w:szCs w:val="21"/>
          <w:highlight w:val="none"/>
          <w:u w:val="single"/>
          <w:lang w:val="en-US" w:eastAsia="zh-CN"/>
        </w:rPr>
        <w:t>陆</w:t>
      </w:r>
      <w:r>
        <w:rPr>
          <w:rFonts w:hint="eastAsia" w:asciiTheme="minorEastAsia" w:hAnsiTheme="minorEastAsia" w:eastAsiaTheme="minorEastAsia" w:cstheme="minorEastAsia"/>
          <w:color w:val="auto"/>
          <w:szCs w:val="21"/>
          <w:highlight w:val="none"/>
        </w:rPr>
        <w:t>份，双方各执</w:t>
      </w:r>
      <w:r>
        <w:rPr>
          <w:rFonts w:hint="eastAsia" w:asciiTheme="minorEastAsia" w:hAnsiTheme="minorEastAsia" w:eastAsiaTheme="minorEastAsia" w:cstheme="minorEastAsia"/>
          <w:color w:val="auto"/>
          <w:szCs w:val="21"/>
          <w:highlight w:val="none"/>
          <w:u w:val="single"/>
          <w:lang w:val="en-US" w:eastAsia="zh-CN"/>
        </w:rPr>
        <w:t>叁</w:t>
      </w:r>
      <w:r>
        <w:rPr>
          <w:rFonts w:hint="eastAsia" w:asciiTheme="minorEastAsia" w:hAnsiTheme="minorEastAsia" w:eastAsiaTheme="minorEastAsia" w:cstheme="minorEastAsia"/>
          <w:color w:val="auto"/>
          <w:szCs w:val="21"/>
          <w:highlight w:val="none"/>
        </w:rPr>
        <w:t>份，经双方签字盖章后生效，至双方合同义务完成时止。</w:t>
      </w:r>
    </w:p>
    <w:p w14:paraId="629FCC9D">
      <w:pPr>
        <w:shd w:val="clear"/>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62235465">
      <w:pPr>
        <w:pStyle w:val="2"/>
        <w:shd w:val="clear"/>
        <w:rPr>
          <w:color w:val="auto"/>
          <w:highlight w:val="none"/>
        </w:rPr>
      </w:pPr>
    </w:p>
    <w:p w14:paraId="73F171BE">
      <w:pPr>
        <w:shd w:val="clea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中标通知书</w:t>
      </w:r>
    </w:p>
    <w:p w14:paraId="623D7F81">
      <w:pPr>
        <w:shd w:val="clear"/>
        <w:spacing w:line="360" w:lineRule="auto"/>
        <w:ind w:firstLine="613" w:firstLineChars="29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2.</w:t>
      </w:r>
      <w:r>
        <w:rPr>
          <w:rFonts w:hint="eastAsia" w:asciiTheme="minorEastAsia" w:hAnsiTheme="minorEastAsia" w:eastAsiaTheme="minorEastAsia" w:cstheme="minorEastAsia"/>
          <w:color w:val="auto"/>
          <w:szCs w:val="21"/>
          <w:highlight w:val="none"/>
        </w:rPr>
        <w:t>分项报价表</w:t>
      </w:r>
    </w:p>
    <w:p w14:paraId="46CE6953">
      <w:pPr>
        <w:shd w:val="clear"/>
        <w:spacing w:line="360" w:lineRule="auto"/>
        <w:ind w:firstLine="630" w:firstLineChars="3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3.</w:t>
      </w:r>
      <w:r>
        <w:rPr>
          <w:rFonts w:hint="eastAsia" w:asciiTheme="minorEastAsia" w:hAnsiTheme="minorEastAsia" w:eastAsiaTheme="minorEastAsia" w:cstheme="minorEastAsia"/>
          <w:color w:val="auto"/>
          <w:szCs w:val="21"/>
          <w:highlight w:val="none"/>
        </w:rPr>
        <w:t>样品抽样记录表</w:t>
      </w:r>
    </w:p>
    <w:p w14:paraId="4D66FC10">
      <w:pPr>
        <w:shd w:val="clear"/>
        <w:spacing w:line="360" w:lineRule="auto"/>
        <w:ind w:firstLine="630" w:firstLineChars="3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4.</w:t>
      </w:r>
      <w:r>
        <w:rPr>
          <w:rFonts w:hint="eastAsia" w:asciiTheme="minorEastAsia" w:hAnsiTheme="minorEastAsia" w:eastAsiaTheme="minorEastAsia" w:cstheme="minorEastAsia"/>
          <w:color w:val="auto"/>
          <w:szCs w:val="21"/>
          <w:highlight w:val="none"/>
        </w:rPr>
        <w:t>生产药剂采购安全协议书</w:t>
      </w:r>
    </w:p>
    <w:p w14:paraId="0E4040D8">
      <w:pPr>
        <w:pStyle w:val="2"/>
        <w:shd w:val="clear"/>
        <w:ind w:left="0" w:leftChars="0" w:firstLine="0" w:firstLineChars="0"/>
        <w:rPr>
          <w:color w:val="auto"/>
          <w:highlight w:val="none"/>
        </w:rPr>
      </w:pPr>
    </w:p>
    <w:p w14:paraId="2F7882DE">
      <w:pPr>
        <w:shd w:val="clear"/>
        <w:spacing w:line="360" w:lineRule="auto"/>
        <w:rPr>
          <w:rFonts w:hint="eastAsia" w:asciiTheme="minorEastAsia" w:hAnsiTheme="minorEastAsia" w:eastAsiaTheme="minorEastAsia" w:cstheme="minorEastAsia"/>
          <w:color w:val="auto"/>
          <w:szCs w:val="21"/>
          <w:highlight w:val="none"/>
        </w:rPr>
        <w:sectPr>
          <w:pgSz w:w="11906" w:h="16838"/>
          <w:pgMar w:top="1440" w:right="1800" w:bottom="1440" w:left="1800" w:header="851" w:footer="992" w:gutter="0"/>
          <w:cols w:space="425" w:num="1"/>
          <w:docGrid w:type="lines" w:linePitch="312" w:charSpace="0"/>
        </w:sectPr>
      </w:pPr>
    </w:p>
    <w:p w14:paraId="3F3323CF">
      <w:pPr>
        <w:shd w:val="clea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甲方（盖章）：广州科学城水务投资集团有限公司</w:t>
      </w:r>
    </w:p>
    <w:p w14:paraId="0AF4DE08">
      <w:pPr>
        <w:shd w:val="clea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p>
    <w:p w14:paraId="475FC249">
      <w:pPr>
        <w:shd w:val="clea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p w14:paraId="0A3EFBED">
      <w:pPr>
        <w:shd w:val="clea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或委托代理人：</w:t>
      </w:r>
    </w:p>
    <w:p w14:paraId="37F5F3A9">
      <w:pPr>
        <w:shd w:val="clea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联系人：</w:t>
      </w:r>
    </w:p>
    <w:p w14:paraId="3ACF3A85">
      <w:pPr>
        <w:shd w:val="clear"/>
        <w:spacing w:line="360" w:lineRule="auto"/>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联系电话：</w:t>
      </w:r>
    </w:p>
    <w:p w14:paraId="1AC6C19E">
      <w:pPr>
        <w:shd w:val="clea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签署日期：</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日</w:t>
      </w:r>
    </w:p>
    <w:p w14:paraId="47C617A4">
      <w:pPr>
        <w:shd w:val="clear"/>
        <w:spacing w:line="360" w:lineRule="auto"/>
        <w:rPr>
          <w:rFonts w:asciiTheme="minorEastAsia" w:hAnsiTheme="minorEastAsia" w:eastAsiaTheme="minorEastAsia" w:cstheme="minorEastAsia"/>
          <w:color w:val="auto"/>
          <w:szCs w:val="21"/>
          <w:highlight w:val="none"/>
        </w:rPr>
      </w:pPr>
    </w:p>
    <w:p w14:paraId="3B634AEB">
      <w:pPr>
        <w:shd w:val="clear"/>
        <w:spacing w:line="360" w:lineRule="auto"/>
        <w:rPr>
          <w:rFonts w:asciiTheme="minorEastAsia" w:hAnsiTheme="minorEastAsia" w:eastAsiaTheme="minorEastAsia" w:cstheme="minorEastAsia"/>
          <w:color w:val="auto"/>
          <w:szCs w:val="21"/>
          <w:highlight w:val="none"/>
        </w:rPr>
      </w:pPr>
    </w:p>
    <w:p w14:paraId="62835D1B">
      <w:pPr>
        <w:shd w:val="clea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乙方（盖章）：</w:t>
      </w:r>
    </w:p>
    <w:p w14:paraId="09E84EF4">
      <w:pPr>
        <w:shd w:val="clea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w:t>
      </w:r>
    </w:p>
    <w:p w14:paraId="7B6DABAB">
      <w:pPr>
        <w:shd w:val="clea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p w14:paraId="672373C9">
      <w:pPr>
        <w:shd w:val="clea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或委托代理人：</w:t>
      </w:r>
    </w:p>
    <w:p w14:paraId="29AC8459">
      <w:pPr>
        <w:shd w:val="clea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p w14:paraId="6F8E916A">
      <w:pPr>
        <w:shd w:val="clea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p w14:paraId="66EE8E7A">
      <w:pPr>
        <w:shd w:val="clea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p>
    <w:p w14:paraId="499C0A4D">
      <w:pPr>
        <w:shd w:val="clea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账号：</w:t>
      </w:r>
    </w:p>
    <w:p w14:paraId="35C11043">
      <w:pPr>
        <w:shd w:val="clea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p>
    <w:p w14:paraId="63275046">
      <w:pPr>
        <w:shd w:val="clea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签署日期：</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日</w:t>
      </w:r>
    </w:p>
    <w:p w14:paraId="25EEF5A2">
      <w:pPr>
        <w:widowControl/>
        <w:shd w:val="clear"/>
        <w:jc w:val="left"/>
        <w:rPr>
          <w:rFonts w:ascii="宋体" w:hAnsi="宋体"/>
          <w:color w:val="auto"/>
          <w:sz w:val="28"/>
          <w:highlight w:val="none"/>
        </w:rPr>
        <w:sectPr>
          <w:type w:val="continuous"/>
          <w:pgSz w:w="11906" w:h="16838"/>
          <w:pgMar w:top="1440" w:right="1800" w:bottom="1440" w:left="1800" w:header="851" w:footer="992" w:gutter="0"/>
          <w:cols w:equalWidth="0" w:num="2">
            <w:col w:w="3940" w:space="425"/>
            <w:col w:w="3940"/>
          </w:cols>
          <w:docGrid w:type="lines" w:linePitch="312" w:charSpace="0"/>
        </w:sectPr>
      </w:pPr>
    </w:p>
    <w:p w14:paraId="26F6506A">
      <w:pPr>
        <w:widowControl/>
        <w:shd w:val="clear"/>
        <w:jc w:val="left"/>
        <w:rPr>
          <w:rFonts w:ascii="宋体" w:hAnsi="宋体"/>
          <w:color w:val="auto"/>
          <w:sz w:val="28"/>
          <w:highlight w:val="none"/>
        </w:rPr>
      </w:pPr>
      <w:r>
        <w:rPr>
          <w:rFonts w:ascii="宋体" w:hAnsi="宋体"/>
          <w:color w:val="auto"/>
          <w:sz w:val="28"/>
          <w:highlight w:val="none"/>
        </w:rPr>
        <w:br w:type="page"/>
      </w:r>
    </w:p>
    <w:p w14:paraId="0C360DF5">
      <w:pPr>
        <w:shd w:val="clear"/>
        <w:rPr>
          <w:rFonts w:hint="eastAsia" w:ascii="宋体" w:hAnsi="宋体"/>
          <w:color w:val="auto"/>
          <w:szCs w:val="21"/>
          <w:highlight w:val="none"/>
        </w:rPr>
      </w:pPr>
      <w:r>
        <w:rPr>
          <w:rFonts w:hint="eastAsia" w:ascii="宋体" w:hAnsi="宋体"/>
          <w:color w:val="auto"/>
          <w:szCs w:val="21"/>
          <w:highlight w:val="none"/>
        </w:rPr>
        <w:t>附件1：中标通知书</w:t>
      </w:r>
    </w:p>
    <w:p w14:paraId="1F7D6492">
      <w:pPr>
        <w:shd w:val="clear"/>
        <w:rPr>
          <w:rFonts w:hint="eastAsia" w:ascii="宋体" w:hAnsi="宋体"/>
          <w:color w:val="auto"/>
          <w:szCs w:val="21"/>
          <w:highlight w:val="none"/>
        </w:rPr>
      </w:pPr>
      <w:r>
        <w:rPr>
          <w:rFonts w:hint="eastAsia" w:ascii="宋体" w:hAnsi="宋体"/>
          <w:color w:val="auto"/>
          <w:szCs w:val="21"/>
          <w:highlight w:val="none"/>
        </w:rPr>
        <w:br w:type="page"/>
      </w:r>
    </w:p>
    <w:p w14:paraId="4EF46642">
      <w:pPr>
        <w:shd w:val="clear"/>
        <w:rPr>
          <w:rFonts w:ascii="宋体" w:hAnsi="宋体"/>
          <w:color w:val="auto"/>
          <w:szCs w:val="21"/>
          <w:highlight w:val="none"/>
        </w:rPr>
      </w:pPr>
      <w:r>
        <w:rPr>
          <w:rFonts w:hint="eastAsia" w:ascii="宋体" w:hAnsi="宋体"/>
          <w:color w:val="auto"/>
          <w:szCs w:val="21"/>
          <w:highlight w:val="none"/>
        </w:rPr>
        <w:t>附件2：分项报价表</w:t>
      </w:r>
    </w:p>
    <w:p w14:paraId="00EB2922">
      <w:pPr>
        <w:shd w:val="clea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5FED1791">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附件3：样品抽样记录表</w:t>
      </w:r>
    </w:p>
    <w:p w14:paraId="705F1D0F">
      <w:pPr>
        <w:pStyle w:val="2"/>
        <w:shd w:val="clear"/>
        <w:ind w:left="0" w:leftChars="0" w:firstLine="0" w:firstLineChars="0"/>
        <w:rPr>
          <w:color w:val="auto"/>
          <w:highlight w:val="none"/>
        </w:rPr>
      </w:pPr>
    </w:p>
    <w:p w14:paraId="381ACDC2">
      <w:pPr>
        <w:shd w:val="clear"/>
        <w:jc w:val="center"/>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各厂生产药剂抽样记录表</w:t>
      </w:r>
    </w:p>
    <w:p w14:paraId="6C328D8A">
      <w:pPr>
        <w:pStyle w:val="2"/>
        <w:shd w:val="clear"/>
        <w:ind w:left="0" w:leftChars="0" w:firstLine="0" w:firstLineChars="0"/>
        <w:rPr>
          <w:color w:val="auto"/>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1524"/>
        <w:gridCol w:w="4363"/>
      </w:tblGrid>
      <w:tr w14:paraId="7033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vAlign w:val="center"/>
          </w:tcPr>
          <w:p w14:paraId="198E73C4">
            <w:pPr>
              <w:shd w:val="clea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w:t>
            </w:r>
          </w:p>
        </w:tc>
        <w:tc>
          <w:tcPr>
            <w:tcW w:w="5887" w:type="dxa"/>
            <w:gridSpan w:val="2"/>
            <w:vAlign w:val="center"/>
          </w:tcPr>
          <w:p w14:paraId="21EDA479">
            <w:pPr>
              <w:shd w:val="clear"/>
              <w:spacing w:line="480" w:lineRule="auto"/>
              <w:jc w:val="center"/>
              <w:rPr>
                <w:rFonts w:asciiTheme="minorEastAsia" w:hAnsiTheme="minorEastAsia" w:eastAsiaTheme="minorEastAsia" w:cstheme="minorEastAsia"/>
                <w:color w:val="auto"/>
                <w:szCs w:val="21"/>
                <w:highlight w:val="none"/>
              </w:rPr>
            </w:pPr>
          </w:p>
        </w:tc>
      </w:tr>
      <w:tr w14:paraId="2C97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vAlign w:val="center"/>
          </w:tcPr>
          <w:p w14:paraId="344E2827">
            <w:pPr>
              <w:shd w:val="clea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药剂名称</w:t>
            </w:r>
          </w:p>
        </w:tc>
        <w:tc>
          <w:tcPr>
            <w:tcW w:w="5887" w:type="dxa"/>
            <w:gridSpan w:val="2"/>
            <w:vAlign w:val="center"/>
          </w:tcPr>
          <w:p w14:paraId="684F5FC6">
            <w:pPr>
              <w:shd w:val="clear"/>
              <w:spacing w:line="480" w:lineRule="auto"/>
              <w:jc w:val="center"/>
              <w:rPr>
                <w:rFonts w:asciiTheme="minorEastAsia" w:hAnsiTheme="minorEastAsia" w:eastAsiaTheme="minorEastAsia" w:cstheme="minorEastAsia"/>
                <w:color w:val="auto"/>
                <w:szCs w:val="21"/>
                <w:highlight w:val="none"/>
              </w:rPr>
            </w:pPr>
          </w:p>
        </w:tc>
      </w:tr>
      <w:tr w14:paraId="72A8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5" w:type="dxa"/>
            <w:vAlign w:val="center"/>
          </w:tcPr>
          <w:p w14:paraId="5F56EA4A">
            <w:pPr>
              <w:shd w:val="clea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抽样地点</w:t>
            </w:r>
          </w:p>
        </w:tc>
        <w:tc>
          <w:tcPr>
            <w:tcW w:w="5887" w:type="dxa"/>
            <w:gridSpan w:val="2"/>
            <w:vAlign w:val="center"/>
          </w:tcPr>
          <w:p w14:paraId="7E0E1364">
            <w:pPr>
              <w:shd w:val="clear"/>
              <w:spacing w:line="480" w:lineRule="auto"/>
              <w:jc w:val="center"/>
              <w:rPr>
                <w:rFonts w:asciiTheme="minorEastAsia" w:hAnsiTheme="minorEastAsia" w:eastAsiaTheme="minorEastAsia" w:cstheme="minorEastAsia"/>
                <w:color w:val="auto"/>
                <w:szCs w:val="21"/>
                <w:highlight w:val="none"/>
              </w:rPr>
            </w:pPr>
          </w:p>
        </w:tc>
      </w:tr>
      <w:tr w14:paraId="73AA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vAlign w:val="center"/>
          </w:tcPr>
          <w:p w14:paraId="2DDFD063">
            <w:pPr>
              <w:shd w:val="clear"/>
              <w:spacing w:line="48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样品批次</w:t>
            </w:r>
          </w:p>
        </w:tc>
        <w:tc>
          <w:tcPr>
            <w:tcW w:w="5887" w:type="dxa"/>
            <w:gridSpan w:val="2"/>
            <w:vAlign w:val="center"/>
          </w:tcPr>
          <w:p w14:paraId="3596F8D0">
            <w:pPr>
              <w:shd w:val="clear"/>
              <w:spacing w:line="480" w:lineRule="auto"/>
              <w:jc w:val="center"/>
              <w:rPr>
                <w:rFonts w:asciiTheme="minorEastAsia" w:hAnsiTheme="minorEastAsia" w:eastAsiaTheme="minorEastAsia" w:cstheme="minorEastAsia"/>
                <w:color w:val="auto"/>
                <w:szCs w:val="21"/>
                <w:highlight w:val="none"/>
              </w:rPr>
            </w:pPr>
          </w:p>
        </w:tc>
      </w:tr>
      <w:tr w14:paraId="1C2D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vAlign w:val="center"/>
          </w:tcPr>
          <w:p w14:paraId="72DE2979">
            <w:pPr>
              <w:shd w:val="clea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样品数量</w:t>
            </w:r>
          </w:p>
        </w:tc>
        <w:tc>
          <w:tcPr>
            <w:tcW w:w="5887" w:type="dxa"/>
            <w:gridSpan w:val="2"/>
            <w:vAlign w:val="center"/>
          </w:tcPr>
          <w:p w14:paraId="7E392288">
            <w:pPr>
              <w:shd w:val="clear"/>
              <w:spacing w:line="480" w:lineRule="auto"/>
              <w:jc w:val="center"/>
              <w:rPr>
                <w:rFonts w:asciiTheme="minorEastAsia" w:hAnsiTheme="minorEastAsia" w:eastAsiaTheme="minorEastAsia" w:cstheme="minorEastAsia"/>
                <w:color w:val="auto"/>
                <w:szCs w:val="21"/>
                <w:highlight w:val="none"/>
              </w:rPr>
            </w:pPr>
          </w:p>
        </w:tc>
      </w:tr>
      <w:tr w14:paraId="4966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vAlign w:val="center"/>
          </w:tcPr>
          <w:p w14:paraId="1A948991">
            <w:pPr>
              <w:shd w:val="clear"/>
              <w:spacing w:line="48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取样日期</w:t>
            </w:r>
          </w:p>
        </w:tc>
        <w:tc>
          <w:tcPr>
            <w:tcW w:w="5887" w:type="dxa"/>
            <w:gridSpan w:val="2"/>
            <w:vAlign w:val="center"/>
          </w:tcPr>
          <w:p w14:paraId="662C3D20">
            <w:pPr>
              <w:shd w:val="clear"/>
              <w:spacing w:line="480" w:lineRule="auto"/>
              <w:jc w:val="center"/>
              <w:rPr>
                <w:rFonts w:asciiTheme="minorEastAsia" w:hAnsiTheme="minorEastAsia" w:eastAsiaTheme="minorEastAsia" w:cstheme="minorEastAsia"/>
                <w:color w:val="auto"/>
                <w:szCs w:val="21"/>
                <w:highlight w:val="none"/>
              </w:rPr>
            </w:pPr>
          </w:p>
        </w:tc>
      </w:tr>
      <w:tr w14:paraId="5775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5" w:type="dxa"/>
            <w:vAlign w:val="center"/>
          </w:tcPr>
          <w:p w14:paraId="4DD4F639">
            <w:pPr>
              <w:shd w:val="clea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过程记录</w:t>
            </w:r>
          </w:p>
        </w:tc>
        <w:tc>
          <w:tcPr>
            <w:tcW w:w="5887" w:type="dxa"/>
            <w:gridSpan w:val="2"/>
            <w:vAlign w:val="center"/>
          </w:tcPr>
          <w:p w14:paraId="4563822C">
            <w:pPr>
              <w:shd w:val="clear"/>
              <w:spacing w:line="48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sym w:font="Wingdings 2" w:char="00A3"/>
            </w:r>
            <w:r>
              <w:rPr>
                <w:rFonts w:hint="eastAsia" w:asciiTheme="minorEastAsia" w:hAnsiTheme="minorEastAsia" w:eastAsiaTheme="minorEastAsia" w:cstheme="minorEastAsia"/>
                <w:color w:val="auto"/>
                <w:szCs w:val="21"/>
                <w:highlight w:val="none"/>
              </w:rPr>
              <w:t xml:space="preserve">拍照       </w:t>
            </w:r>
            <w:r>
              <w:rPr>
                <w:rFonts w:hint="eastAsia" w:asciiTheme="minorEastAsia" w:hAnsiTheme="minorEastAsia" w:eastAsiaTheme="minorEastAsia" w:cstheme="minorEastAsia"/>
                <w:color w:val="auto"/>
                <w:szCs w:val="21"/>
                <w:highlight w:val="none"/>
              </w:rPr>
              <w:sym w:font="Wingdings 2" w:char="00A3"/>
            </w:r>
            <w:r>
              <w:rPr>
                <w:rFonts w:hint="eastAsia" w:asciiTheme="minorEastAsia" w:hAnsiTheme="minorEastAsia" w:eastAsiaTheme="minorEastAsia" w:cstheme="minorEastAsia"/>
                <w:color w:val="auto"/>
                <w:szCs w:val="21"/>
                <w:highlight w:val="none"/>
              </w:rPr>
              <w:t>摄像</w:t>
            </w:r>
          </w:p>
        </w:tc>
      </w:tr>
      <w:tr w14:paraId="0E9B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trPr>
        <w:tc>
          <w:tcPr>
            <w:tcW w:w="4159" w:type="dxa"/>
            <w:gridSpan w:val="2"/>
            <w:vAlign w:val="top"/>
          </w:tcPr>
          <w:p w14:paraId="440F430C">
            <w:pPr>
              <w:shd w:val="clea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药剂厂家工作人员（签名）：</w:t>
            </w:r>
          </w:p>
          <w:p w14:paraId="301331B9">
            <w:pPr>
              <w:shd w:val="clear"/>
              <w:jc w:val="both"/>
              <w:rPr>
                <w:rFonts w:asciiTheme="minorEastAsia" w:hAnsiTheme="minorEastAsia" w:eastAsiaTheme="minorEastAsia" w:cstheme="minorEastAsia"/>
                <w:color w:val="auto"/>
                <w:szCs w:val="21"/>
                <w:highlight w:val="none"/>
              </w:rPr>
            </w:pPr>
          </w:p>
          <w:p w14:paraId="46A326CD">
            <w:pPr>
              <w:shd w:val="clear"/>
              <w:rPr>
                <w:rFonts w:hint="eastAsia" w:asciiTheme="minorEastAsia" w:hAnsiTheme="minorEastAsia" w:eastAsiaTheme="minorEastAsia" w:cstheme="minorEastAsia"/>
                <w:color w:val="auto"/>
                <w:szCs w:val="21"/>
                <w:highlight w:val="none"/>
              </w:rPr>
            </w:pPr>
          </w:p>
          <w:p w14:paraId="467BCAAC">
            <w:pPr>
              <w:shd w:val="clear"/>
              <w:rPr>
                <w:rFonts w:hint="eastAsia" w:asciiTheme="minorEastAsia" w:hAnsiTheme="minorEastAsia" w:eastAsiaTheme="minorEastAsia" w:cstheme="minorEastAsia"/>
                <w:color w:val="auto"/>
                <w:szCs w:val="21"/>
                <w:highlight w:val="none"/>
              </w:rPr>
            </w:pPr>
          </w:p>
          <w:p w14:paraId="6D101EC5">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p>
          <w:p w14:paraId="7219FA15">
            <w:pPr>
              <w:pStyle w:val="2"/>
              <w:shd w:val="clear"/>
              <w:ind w:firstLine="0"/>
              <w:rPr>
                <w:rFonts w:asciiTheme="minorEastAsia" w:hAnsiTheme="minorEastAsia" w:eastAsiaTheme="minorEastAsia" w:cstheme="minorEastAsia"/>
                <w:color w:val="auto"/>
                <w:szCs w:val="21"/>
                <w:highlight w:val="none"/>
              </w:rPr>
            </w:pPr>
          </w:p>
          <w:p w14:paraId="45FB38E2">
            <w:pPr>
              <w:pStyle w:val="2"/>
              <w:shd w:val="clear"/>
              <w:ind w:firstLine="0"/>
              <w:rPr>
                <w:rFonts w:asciiTheme="minorEastAsia" w:hAnsiTheme="minorEastAsia" w:eastAsiaTheme="minorEastAsia" w:cstheme="minorEastAsia"/>
                <w:color w:val="auto"/>
                <w:szCs w:val="21"/>
                <w:highlight w:val="none"/>
              </w:rPr>
            </w:pPr>
          </w:p>
          <w:p w14:paraId="472514DC">
            <w:pPr>
              <w:pStyle w:val="2"/>
              <w:shd w:val="clear"/>
              <w:ind w:firstLine="0"/>
              <w:rPr>
                <w:rFonts w:asciiTheme="minorEastAsia" w:hAnsiTheme="minorEastAsia" w:eastAsiaTheme="minorEastAsia" w:cstheme="minorEastAsia"/>
                <w:color w:val="auto"/>
                <w:szCs w:val="21"/>
                <w:highlight w:val="none"/>
              </w:rPr>
            </w:pPr>
          </w:p>
          <w:p w14:paraId="7120F887">
            <w:pPr>
              <w:pStyle w:val="2"/>
              <w:shd w:val="clear"/>
              <w:ind w:firstLine="0"/>
              <w:rPr>
                <w:rFonts w:asciiTheme="minorEastAsia" w:hAnsiTheme="minorEastAsia" w:eastAsiaTheme="minorEastAsia" w:cstheme="minorEastAsia"/>
                <w:color w:val="auto"/>
                <w:szCs w:val="21"/>
                <w:highlight w:val="none"/>
              </w:rPr>
            </w:pPr>
          </w:p>
          <w:p w14:paraId="5237B981">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年    月    日</w:t>
            </w:r>
          </w:p>
        </w:tc>
        <w:tc>
          <w:tcPr>
            <w:tcW w:w="4363" w:type="dxa"/>
            <w:vAlign w:val="top"/>
          </w:tcPr>
          <w:p w14:paraId="3C07B116">
            <w:pPr>
              <w:shd w:val="clea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水质净化厂工作人员（签名）：</w:t>
            </w:r>
          </w:p>
          <w:p w14:paraId="681F0154">
            <w:pPr>
              <w:shd w:val="clear"/>
              <w:jc w:val="both"/>
              <w:rPr>
                <w:rFonts w:asciiTheme="minorEastAsia" w:hAnsiTheme="minorEastAsia" w:eastAsiaTheme="minorEastAsia" w:cstheme="minorEastAsia"/>
                <w:color w:val="auto"/>
                <w:szCs w:val="21"/>
                <w:highlight w:val="none"/>
              </w:rPr>
            </w:pPr>
          </w:p>
          <w:p w14:paraId="417380DB">
            <w:pPr>
              <w:shd w:val="clear"/>
              <w:jc w:val="both"/>
              <w:rPr>
                <w:rFonts w:asciiTheme="minorEastAsia" w:hAnsiTheme="minorEastAsia" w:eastAsiaTheme="minorEastAsia" w:cstheme="minorEastAsia"/>
                <w:color w:val="auto"/>
                <w:szCs w:val="21"/>
                <w:highlight w:val="none"/>
              </w:rPr>
            </w:pPr>
          </w:p>
          <w:p w14:paraId="51254A79">
            <w:pPr>
              <w:shd w:val="clear"/>
              <w:rPr>
                <w:rFonts w:hint="eastAsia" w:asciiTheme="minorEastAsia" w:hAnsiTheme="minorEastAsia" w:eastAsiaTheme="minorEastAsia" w:cstheme="minorEastAsia"/>
                <w:color w:val="auto"/>
                <w:szCs w:val="21"/>
                <w:highlight w:val="none"/>
              </w:rPr>
            </w:pPr>
          </w:p>
          <w:p w14:paraId="61367225">
            <w:pPr>
              <w:shd w:val="clear"/>
              <w:rPr>
                <w:rFonts w:hint="eastAsia" w:asciiTheme="minorEastAsia" w:hAnsiTheme="minorEastAsia" w:eastAsiaTheme="minorEastAsia" w:cstheme="minorEastAsia"/>
                <w:color w:val="auto"/>
                <w:szCs w:val="21"/>
                <w:highlight w:val="none"/>
              </w:rPr>
            </w:pPr>
          </w:p>
          <w:p w14:paraId="3D0F53C6">
            <w:pPr>
              <w:shd w:val="clea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p>
          <w:p w14:paraId="3A912612">
            <w:pPr>
              <w:shd w:val="clear"/>
              <w:jc w:val="both"/>
              <w:rPr>
                <w:rFonts w:asciiTheme="minorEastAsia" w:hAnsiTheme="minorEastAsia" w:eastAsiaTheme="minorEastAsia" w:cstheme="minorEastAsia"/>
                <w:color w:val="auto"/>
                <w:szCs w:val="21"/>
                <w:highlight w:val="none"/>
              </w:rPr>
            </w:pPr>
          </w:p>
          <w:p w14:paraId="39A5D27B">
            <w:pPr>
              <w:pStyle w:val="2"/>
              <w:shd w:val="clear"/>
              <w:ind w:firstLine="0"/>
              <w:rPr>
                <w:rFonts w:asciiTheme="minorEastAsia" w:hAnsiTheme="minorEastAsia" w:eastAsiaTheme="minorEastAsia" w:cstheme="minorEastAsia"/>
                <w:color w:val="auto"/>
                <w:szCs w:val="21"/>
                <w:highlight w:val="none"/>
              </w:rPr>
            </w:pPr>
          </w:p>
          <w:p w14:paraId="54D64D83">
            <w:pPr>
              <w:pStyle w:val="2"/>
              <w:shd w:val="clear"/>
              <w:ind w:firstLine="0"/>
              <w:rPr>
                <w:rFonts w:asciiTheme="minorEastAsia" w:hAnsiTheme="minorEastAsia" w:eastAsiaTheme="minorEastAsia" w:cstheme="minorEastAsia"/>
                <w:color w:val="auto"/>
                <w:szCs w:val="21"/>
                <w:highlight w:val="none"/>
              </w:rPr>
            </w:pPr>
          </w:p>
          <w:p w14:paraId="750538C2">
            <w:pPr>
              <w:shd w:val="clea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年    月    日</w:t>
            </w:r>
          </w:p>
        </w:tc>
      </w:tr>
    </w:tbl>
    <w:p w14:paraId="5427341C">
      <w:pPr>
        <w:shd w:val="clear"/>
        <w:rPr>
          <w:color w:val="auto"/>
          <w:highlight w:val="none"/>
        </w:rPr>
      </w:pPr>
      <w:r>
        <w:rPr>
          <w:rFonts w:hint="eastAsia"/>
          <w:color w:val="auto"/>
          <w:highlight w:val="none"/>
        </w:rPr>
        <w:br w:type="page"/>
      </w:r>
    </w:p>
    <w:p w14:paraId="5C0B16D2">
      <w:pPr>
        <w:shd w:val="clear"/>
        <w:rPr>
          <w:rFonts w:ascii="宋体" w:hAnsi="宋体"/>
          <w:color w:val="auto"/>
          <w:szCs w:val="21"/>
          <w:highlight w:val="none"/>
        </w:rPr>
      </w:pPr>
      <w:r>
        <w:rPr>
          <w:rFonts w:hint="eastAsia" w:ascii="宋体" w:hAnsi="宋体"/>
          <w:color w:val="auto"/>
          <w:szCs w:val="21"/>
          <w:highlight w:val="none"/>
        </w:rPr>
        <w:t>附件4：生产药剂采购安全协议书</w:t>
      </w:r>
    </w:p>
    <w:p w14:paraId="3B483D74">
      <w:pPr>
        <w:widowControl/>
        <w:shd w:val="clear"/>
        <w:rPr>
          <w:rFonts w:ascii="宋体" w:hAnsi="宋体" w:cs="宋体"/>
          <w:color w:val="auto"/>
          <w:sz w:val="24"/>
          <w:highlight w:val="none"/>
        </w:rPr>
      </w:pPr>
    </w:p>
    <w:p w14:paraId="079FA1E8">
      <w:pPr>
        <w:shd w:val="clear"/>
        <w:spacing w:line="360" w:lineRule="auto"/>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36"/>
          <w:szCs w:val="36"/>
          <w:highlight w:val="none"/>
        </w:rPr>
        <w:t>生产药剂采购</w:t>
      </w:r>
      <w:r>
        <w:rPr>
          <w:rFonts w:hint="eastAsia" w:ascii="黑体" w:hAnsi="Batang" w:eastAsia="黑体" w:cs="Batang"/>
          <w:bCs/>
          <w:color w:val="auto"/>
          <w:kern w:val="0"/>
          <w:sz w:val="36"/>
          <w:szCs w:val="36"/>
          <w:highlight w:val="none"/>
        </w:rPr>
        <w:t>安全协议</w:t>
      </w:r>
      <w:r>
        <w:rPr>
          <w:rFonts w:hint="eastAsia" w:ascii="黑体" w:hAnsi="宋体" w:eastAsia="黑体" w:cs="宋体"/>
          <w:bCs/>
          <w:color w:val="auto"/>
          <w:kern w:val="0"/>
          <w:sz w:val="36"/>
          <w:szCs w:val="36"/>
          <w:highlight w:val="none"/>
        </w:rPr>
        <w:t>书</w:t>
      </w:r>
    </w:p>
    <w:p w14:paraId="1CAE6140">
      <w:pPr>
        <w:shd w:val="clear"/>
        <w:spacing w:line="360" w:lineRule="auto"/>
        <w:jc w:val="center"/>
        <w:rPr>
          <w:rFonts w:ascii="黑体" w:hAnsi="华文中宋" w:eastAsia="黑体" w:cs="宋体"/>
          <w:bCs/>
          <w:color w:val="auto"/>
          <w:kern w:val="0"/>
          <w:sz w:val="44"/>
          <w:szCs w:val="44"/>
          <w:highlight w:val="none"/>
        </w:rPr>
      </w:pPr>
    </w:p>
    <w:p w14:paraId="38006F21">
      <w:pPr>
        <w:shd w:val="clear"/>
        <w:spacing w:line="360" w:lineRule="auto"/>
        <w:rPr>
          <w:rFonts w:ascii="宋体" w:hAnsi="宋体" w:cs="Arial"/>
          <w:color w:val="auto"/>
          <w:kern w:val="0"/>
          <w:szCs w:val="21"/>
          <w:highlight w:val="none"/>
        </w:rPr>
      </w:pPr>
      <w:r>
        <w:rPr>
          <w:rFonts w:hint="eastAsia" w:ascii="宋体" w:hAnsi="宋体" w:cs="Arial"/>
          <w:color w:val="auto"/>
          <w:kern w:val="0"/>
          <w:szCs w:val="21"/>
          <w:highlight w:val="none"/>
        </w:rPr>
        <w:t>甲方：</w:t>
      </w:r>
      <w:r>
        <w:rPr>
          <w:rFonts w:hint="eastAsia"/>
          <w:color w:val="auto"/>
          <w:szCs w:val="21"/>
          <w:highlight w:val="none"/>
        </w:rPr>
        <w:t>广州科学城水务投资集团有限公司</w:t>
      </w:r>
    </w:p>
    <w:p w14:paraId="6A3DB217">
      <w:pPr>
        <w:shd w:val="clear"/>
        <w:spacing w:line="360" w:lineRule="auto"/>
        <w:rPr>
          <w:rFonts w:hint="eastAsia" w:ascii="宋体" w:hAnsi="宋体" w:eastAsia="宋体" w:cs="Arial"/>
          <w:color w:val="auto"/>
          <w:kern w:val="0"/>
          <w:szCs w:val="21"/>
          <w:highlight w:val="none"/>
          <w:lang w:eastAsia="zh-CN"/>
        </w:rPr>
      </w:pPr>
      <w:r>
        <w:rPr>
          <w:rFonts w:hint="eastAsia" w:ascii="宋体" w:hAnsi="宋体" w:cs="Arial"/>
          <w:color w:val="auto"/>
          <w:kern w:val="0"/>
          <w:szCs w:val="21"/>
          <w:highlight w:val="none"/>
        </w:rPr>
        <w:t>乙方：</w:t>
      </w:r>
      <w:r>
        <w:rPr>
          <w:rFonts w:hint="eastAsia" w:ascii="宋体" w:hAnsi="宋体" w:cs="Arial"/>
          <w:color w:val="auto"/>
          <w:kern w:val="0"/>
          <w:szCs w:val="21"/>
          <w:highlight w:val="none"/>
          <w:lang w:val="en-US" w:eastAsia="zh-CN"/>
        </w:rPr>
        <w:t xml:space="preserve">    </w:t>
      </w:r>
    </w:p>
    <w:p w14:paraId="53687C42">
      <w:pPr>
        <w:shd w:val="clear"/>
        <w:spacing w:line="360" w:lineRule="auto"/>
        <w:rPr>
          <w:rFonts w:ascii="宋体" w:hAnsi="宋体" w:cs="Arial"/>
          <w:color w:val="auto"/>
          <w:kern w:val="0"/>
          <w:szCs w:val="21"/>
          <w:highlight w:val="none"/>
        </w:rPr>
      </w:pPr>
    </w:p>
    <w:p w14:paraId="59AC92A8">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Arial"/>
          <w:color w:val="auto"/>
          <w:kern w:val="0"/>
          <w:szCs w:val="21"/>
          <w:highlight w:val="none"/>
        </w:rPr>
      </w:pPr>
      <w:r>
        <w:rPr>
          <w:rFonts w:hint="eastAsia" w:ascii="宋体" w:hAnsi="宋体" w:cs="Arial"/>
          <w:color w:val="auto"/>
          <w:kern w:val="0"/>
          <w:szCs w:val="21"/>
          <w:highlight w:val="none"/>
        </w:rPr>
        <w:t>为促使生产药剂采购过程安全，根据《中华人民共和国安全生产法</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生产安全事故报告和调查处理条例》和《广州市安全生产管理规定（试行）》等国家及地方有关安全生产法律法规</w:t>
      </w:r>
      <w:r>
        <w:rPr>
          <w:rFonts w:ascii="宋体" w:hAnsi="宋体" w:cs="Arial"/>
          <w:color w:val="auto"/>
          <w:kern w:val="0"/>
          <w:szCs w:val="21"/>
          <w:highlight w:val="none"/>
        </w:rPr>
        <w:t>，甲乙双方就</w:t>
      </w:r>
      <w:r>
        <w:rPr>
          <w:rFonts w:hint="eastAsia" w:ascii="宋体" w:hAnsi="宋体" w:cs="Arial"/>
          <w:color w:val="auto"/>
          <w:kern w:val="0"/>
          <w:szCs w:val="21"/>
          <w:highlight w:val="none"/>
        </w:rPr>
        <w:t>生产药剂采购的安全</w:t>
      </w:r>
      <w:r>
        <w:rPr>
          <w:rFonts w:ascii="宋体" w:hAnsi="宋体" w:cs="Arial"/>
          <w:color w:val="auto"/>
          <w:kern w:val="0"/>
          <w:szCs w:val="21"/>
          <w:highlight w:val="none"/>
        </w:rPr>
        <w:t>事宜，</w:t>
      </w:r>
      <w:r>
        <w:rPr>
          <w:rFonts w:ascii="宋体" w:hAnsi="宋体" w:cs="Arial"/>
          <w:color w:val="auto"/>
          <w:szCs w:val="21"/>
          <w:highlight w:val="none"/>
        </w:rPr>
        <w:t>经双方友好协商，达成如下协议</w:t>
      </w:r>
      <w:r>
        <w:rPr>
          <w:rFonts w:ascii="宋体" w:hAnsi="宋体" w:cs="Arial"/>
          <w:color w:val="auto"/>
          <w:kern w:val="0"/>
          <w:szCs w:val="21"/>
          <w:highlight w:val="none"/>
        </w:rPr>
        <w:t>。</w:t>
      </w:r>
    </w:p>
    <w:p w14:paraId="19650583">
      <w:pPr>
        <w:keepNext w:val="0"/>
        <w:keepLines w:val="0"/>
        <w:pageBreakBefore w:val="0"/>
        <w:shd w:val="clear"/>
        <w:kinsoku/>
        <w:wordWrap/>
        <w:overflowPunct/>
        <w:topLinePunct w:val="0"/>
        <w:autoSpaceDE/>
        <w:autoSpaceDN/>
        <w:bidi w:val="0"/>
        <w:adjustRightInd/>
        <w:snapToGrid/>
        <w:spacing w:line="360" w:lineRule="auto"/>
        <w:ind w:left="0" w:leftChars="0" w:firstLine="422" w:firstLineChars="200"/>
        <w:jc w:val="both"/>
        <w:textAlignment w:val="auto"/>
        <w:rPr>
          <w:rFonts w:ascii="宋体" w:hAnsi="宋体" w:cs="Arial"/>
          <w:b/>
          <w:color w:val="auto"/>
          <w:kern w:val="0"/>
          <w:szCs w:val="21"/>
          <w:highlight w:val="none"/>
        </w:rPr>
      </w:pPr>
      <w:r>
        <w:rPr>
          <w:rFonts w:hint="eastAsia" w:ascii="宋体" w:hAnsi="宋体" w:cs="Arial"/>
          <w:b/>
          <w:color w:val="auto"/>
          <w:kern w:val="0"/>
          <w:szCs w:val="21"/>
          <w:highlight w:val="none"/>
        </w:rPr>
        <w:t>一、甲方责任</w:t>
      </w:r>
    </w:p>
    <w:p w14:paraId="46DF1093">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Arial"/>
          <w:color w:val="auto"/>
          <w:kern w:val="0"/>
          <w:szCs w:val="21"/>
          <w:highlight w:val="none"/>
        </w:rPr>
      </w:pPr>
      <w:r>
        <w:rPr>
          <w:rFonts w:hint="eastAsia" w:ascii="宋体" w:hAnsi="宋体" w:cs="Arial"/>
          <w:color w:val="auto"/>
          <w:kern w:val="0"/>
          <w:szCs w:val="21"/>
          <w:highlight w:val="none"/>
        </w:rPr>
        <w:t>（一）甲方应贯彻落实国家、地方有关安全管理的法律法规和规章制度，进行生产药剂的采购。</w:t>
      </w:r>
    </w:p>
    <w:p w14:paraId="0B32B4C1">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Arial"/>
          <w:color w:val="auto"/>
          <w:kern w:val="0"/>
          <w:szCs w:val="21"/>
          <w:highlight w:val="none"/>
        </w:rPr>
      </w:pPr>
      <w:r>
        <w:rPr>
          <w:rFonts w:hint="eastAsia" w:ascii="宋体" w:hAnsi="宋体" w:cs="Arial"/>
          <w:color w:val="auto"/>
          <w:kern w:val="0"/>
          <w:szCs w:val="21"/>
          <w:highlight w:val="none"/>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14:paraId="218DB3DA">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Arial"/>
          <w:color w:val="auto"/>
          <w:kern w:val="0"/>
          <w:szCs w:val="21"/>
          <w:highlight w:val="none"/>
        </w:rPr>
      </w:pPr>
      <w:r>
        <w:rPr>
          <w:rFonts w:hint="eastAsia" w:ascii="宋体" w:hAnsi="宋体" w:cs="Arial"/>
          <w:color w:val="auto"/>
          <w:kern w:val="0"/>
          <w:szCs w:val="21"/>
          <w:highlight w:val="none"/>
        </w:rPr>
        <w:t>（三）甲方应审查乙方有关生产药剂的经营、运输的合法证照和资质条件</w:t>
      </w:r>
      <w:r>
        <w:rPr>
          <w:rFonts w:hint="eastAsia" w:ascii="宋体" w:hAnsi="宋体" w:cs="Arial"/>
          <w:color w:val="auto"/>
          <w:kern w:val="0"/>
          <w:szCs w:val="21"/>
          <w:highlight w:val="none"/>
          <w:lang w:eastAsia="zh-CN"/>
        </w:rPr>
        <w:t>，以</w:t>
      </w:r>
      <w:r>
        <w:rPr>
          <w:rFonts w:hint="eastAsia" w:ascii="宋体" w:hAnsi="宋体" w:cs="Arial"/>
          <w:color w:val="auto"/>
          <w:kern w:val="0"/>
          <w:szCs w:val="21"/>
          <w:highlight w:val="none"/>
        </w:rPr>
        <w:t>及相关运输车辆和人员的证件资料；涉及危化品的采购时，严格审查乙方的危化品经营许可、运输许可等资质。</w:t>
      </w:r>
    </w:p>
    <w:p w14:paraId="3C1BD836">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Arial"/>
          <w:color w:val="auto"/>
          <w:kern w:val="0"/>
          <w:szCs w:val="21"/>
          <w:highlight w:val="none"/>
        </w:rPr>
      </w:pPr>
      <w:r>
        <w:rPr>
          <w:rFonts w:hint="eastAsia" w:ascii="宋体" w:hAnsi="宋体" w:cs="Arial"/>
          <w:color w:val="auto"/>
          <w:kern w:val="0"/>
          <w:szCs w:val="21"/>
          <w:highlight w:val="none"/>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14:paraId="1C514787">
      <w:pPr>
        <w:keepNext w:val="0"/>
        <w:keepLines w:val="0"/>
        <w:pageBreakBefore w:val="0"/>
        <w:shd w:val="clear"/>
        <w:kinsoku/>
        <w:wordWrap/>
        <w:overflowPunct/>
        <w:topLinePunct w:val="0"/>
        <w:autoSpaceDE/>
        <w:autoSpaceDN/>
        <w:bidi w:val="0"/>
        <w:adjustRightInd/>
        <w:snapToGrid/>
        <w:spacing w:line="360" w:lineRule="auto"/>
        <w:ind w:left="0" w:leftChars="0" w:firstLine="422" w:firstLineChars="200"/>
        <w:jc w:val="both"/>
        <w:textAlignment w:val="auto"/>
        <w:rPr>
          <w:rFonts w:ascii="宋体" w:hAnsi="宋体" w:cs="Arial"/>
          <w:b/>
          <w:color w:val="auto"/>
          <w:kern w:val="0"/>
          <w:szCs w:val="21"/>
          <w:highlight w:val="none"/>
        </w:rPr>
      </w:pPr>
      <w:r>
        <w:rPr>
          <w:rFonts w:hint="eastAsia" w:ascii="宋体" w:hAnsi="宋体" w:cs="Arial"/>
          <w:b/>
          <w:color w:val="auto"/>
          <w:kern w:val="0"/>
          <w:szCs w:val="21"/>
          <w:highlight w:val="none"/>
        </w:rPr>
        <w:t>二、乙方责任</w:t>
      </w:r>
    </w:p>
    <w:p w14:paraId="69D9ABAF">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Arial"/>
          <w:color w:val="auto"/>
          <w:kern w:val="0"/>
          <w:szCs w:val="21"/>
          <w:highlight w:val="none"/>
        </w:rPr>
      </w:pPr>
      <w:r>
        <w:rPr>
          <w:rFonts w:hint="eastAsia" w:ascii="宋体" w:hAnsi="宋体" w:cs="Arial"/>
          <w:color w:val="auto"/>
          <w:kern w:val="0"/>
          <w:szCs w:val="21"/>
          <w:highlight w:val="none"/>
        </w:rPr>
        <w:t>（一）乙方应承诺具备所售生产药剂（尤其涉及危化品、受公安管控化学品）的许可资质，并提供相关证明材料，在药剂的销售、运输、装卸全过程须严格遵守国家及地方的法律的有关规定。</w:t>
      </w:r>
    </w:p>
    <w:p w14:paraId="15350615">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Arial"/>
          <w:color w:val="auto"/>
          <w:kern w:val="0"/>
          <w:szCs w:val="21"/>
          <w:highlight w:val="none"/>
        </w:rPr>
      </w:pPr>
      <w:r>
        <w:rPr>
          <w:rFonts w:hint="eastAsia" w:ascii="宋体" w:hAnsi="宋体" w:cs="Arial"/>
          <w:color w:val="auto"/>
          <w:kern w:val="0"/>
          <w:szCs w:val="21"/>
          <w:highlight w:val="none"/>
        </w:rPr>
        <w:t>（二）</w:t>
      </w:r>
      <w:r>
        <w:rPr>
          <w:rFonts w:hint="eastAsia" w:ascii="宋体" w:hAnsi="宋体" w:cs="宋体"/>
          <w:color w:val="auto"/>
          <w:kern w:val="0"/>
          <w:szCs w:val="21"/>
          <w:highlight w:val="none"/>
        </w:rPr>
        <w:t>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14:paraId="6BD30C8A">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（三）乙方负责明确自身岗位安全职责，将安全责任落实到人；加强教育工作，督促员工遵守安全生产规章制度；鼓励员工积极参与安全生产工作，及时发现和消除隐患。</w:t>
      </w:r>
    </w:p>
    <w:p w14:paraId="3228DCEA">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（四）乙方应承诺所售药剂质量符合规范要求且在有效期内，包装要完整完好，当涉及危化品时，还应向甲方提供与所售药剂相一致的技术说明书（MSDS）和安全标签。</w:t>
      </w:r>
    </w:p>
    <w:p w14:paraId="4128A5F1">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（五）乙方用于运输药剂的车辆、驾驶员应取得证照资质，涉及危化品时应取得相应运输资质，并自觉接受甲方的审查。乙方要建立完善安全管理基础资料台账。</w:t>
      </w:r>
    </w:p>
    <w:p w14:paraId="4465A533">
      <w:pPr>
        <w:keepNext w:val="0"/>
        <w:keepLines w:val="0"/>
        <w:pageBreakBefore w:val="0"/>
        <w:widowControl/>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（六）乙方须加强药剂运输车辆的安全管理，严格执行车辆安全检验制度，确保车辆性能符合安全技术标准，并随车配置消防器材。</w:t>
      </w:r>
    </w:p>
    <w:p w14:paraId="2A5CFE42">
      <w:pPr>
        <w:keepNext w:val="0"/>
        <w:keepLines w:val="0"/>
        <w:pageBreakBefore w:val="0"/>
        <w:widowControl/>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（七）乙方必须严格按照国家相关规定雇佣人员，雇佣的人员必须经过体检，有岗位</w:t>
      </w:r>
      <w:r>
        <w:rPr>
          <w:rFonts w:hint="eastAsia" w:ascii="宋体" w:hAnsi="宋体" w:cs="宋体"/>
          <w:color w:val="auto"/>
          <w:kern w:val="0"/>
          <w:szCs w:val="21"/>
          <w:highlight w:val="none"/>
          <w:lang w:eastAsia="zh-CN"/>
        </w:rPr>
        <w:t>禁忌证</w:t>
      </w:r>
      <w:r>
        <w:rPr>
          <w:rFonts w:hint="eastAsia" w:ascii="宋体" w:hAnsi="宋体" w:cs="宋体"/>
          <w:color w:val="auto"/>
          <w:kern w:val="0"/>
          <w:szCs w:val="21"/>
          <w:highlight w:val="none"/>
        </w:rPr>
        <w:t>的人员严禁从事相关运输岗位的工作。</w:t>
      </w:r>
    </w:p>
    <w:p w14:paraId="46BEBA8E">
      <w:pPr>
        <w:keepNext w:val="0"/>
        <w:keepLines w:val="0"/>
        <w:pageBreakBefore w:val="0"/>
        <w:widowControl/>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14:paraId="3F832654">
      <w:pPr>
        <w:keepNext w:val="0"/>
        <w:keepLines w:val="0"/>
        <w:pageBreakBefore w:val="0"/>
        <w:widowControl/>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（九）乙方人员及车辆进入甲方管辖区内应自觉遵守甲方的规章制度和有关安全规定，不得擅自进入甲方其他生产作业区域。如有违反，乙方应限期内整改；如整改仍存在问题，乙方须接受甲方的处罚。</w:t>
      </w:r>
    </w:p>
    <w:p w14:paraId="5EE25A5E">
      <w:pPr>
        <w:keepNext w:val="0"/>
        <w:keepLines w:val="0"/>
        <w:pageBreakBefore w:val="0"/>
        <w:widowControl/>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（十）乙方应制定药剂运输安全操作规程，针对药剂运输特点严格按停车、装车、行驶、卸车等过程操作落实各项安全措施。</w:t>
      </w:r>
    </w:p>
    <w:p w14:paraId="412FBE13">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（十一）乙方负责安全防护用品的购置和发放，严格按照药剂危害特性和安全操作规程配套劳动保护措施，督促员工必须正确佩戴使用个人劳保品。</w:t>
      </w:r>
    </w:p>
    <w:p w14:paraId="1F34D8A0">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14:paraId="67DF6A3F">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（十三）若发生人员、设备事故时，乙方须立即报警处理，在力所能及范围内采取补救措施，并在30分钟内将情况报告甲方。责任归属如下：</w:t>
      </w:r>
    </w:p>
    <w:p w14:paraId="2CBA9CDF">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1.乙方人员及车辆在甲方管辖区内发生的安全事故，经过调查被认定为责任方的将负全部责任。</w:t>
      </w:r>
    </w:p>
    <w:p w14:paraId="0B866C96">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2.乙方人员及车辆在运输途中发生的安全事故，根据公安交警出具的事故责任认定结果，由乙方负全部或部分责任。</w:t>
      </w:r>
    </w:p>
    <w:p w14:paraId="12051CE5">
      <w:pPr>
        <w:keepNext w:val="0"/>
        <w:keepLines w:val="0"/>
        <w:pageBreakBefore w:val="0"/>
        <w:shd w:val="clear"/>
        <w:kinsoku/>
        <w:wordWrap/>
        <w:overflowPunct/>
        <w:topLinePunct w:val="0"/>
        <w:autoSpaceDE/>
        <w:autoSpaceDN/>
        <w:bidi w:val="0"/>
        <w:adjustRightInd/>
        <w:snapToGrid/>
        <w:spacing w:line="360" w:lineRule="auto"/>
        <w:ind w:left="0" w:leftChars="0" w:firstLine="422" w:firstLineChars="200"/>
        <w:jc w:val="both"/>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三、</w:t>
      </w:r>
      <w:r>
        <w:rPr>
          <w:rFonts w:ascii="宋体" w:hAnsi="宋体" w:cs="宋体"/>
          <w:b/>
          <w:color w:val="auto"/>
          <w:kern w:val="0"/>
          <w:szCs w:val="21"/>
          <w:highlight w:val="none"/>
        </w:rPr>
        <w:t>其他</w:t>
      </w:r>
      <w:r>
        <w:rPr>
          <w:rFonts w:hint="eastAsia" w:ascii="宋体" w:hAnsi="宋体" w:cs="宋体"/>
          <w:b/>
          <w:color w:val="auto"/>
          <w:kern w:val="0"/>
          <w:szCs w:val="21"/>
          <w:highlight w:val="none"/>
        </w:rPr>
        <w:t>事项</w:t>
      </w:r>
    </w:p>
    <w:p w14:paraId="02362AB5">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（一）</w:t>
      </w:r>
      <w:r>
        <w:rPr>
          <w:rFonts w:ascii="宋体" w:hAnsi="宋体" w:cs="宋体"/>
          <w:color w:val="auto"/>
          <w:kern w:val="0"/>
          <w:szCs w:val="21"/>
          <w:highlight w:val="none"/>
        </w:rPr>
        <w:t>本协议一式</w:t>
      </w:r>
      <w:r>
        <w:rPr>
          <w:rFonts w:hint="eastAsia" w:ascii="宋体" w:hAnsi="宋体" w:cs="宋体"/>
          <w:color w:val="auto"/>
          <w:kern w:val="0"/>
          <w:szCs w:val="21"/>
          <w:highlight w:val="none"/>
          <w:u w:val="single"/>
          <w:lang w:val="en-US" w:eastAsia="zh-CN"/>
        </w:rPr>
        <w:t>陆</w:t>
      </w:r>
      <w:r>
        <w:rPr>
          <w:rFonts w:ascii="宋体" w:hAnsi="宋体" w:cs="宋体"/>
          <w:color w:val="auto"/>
          <w:kern w:val="0"/>
          <w:szCs w:val="21"/>
          <w:highlight w:val="none"/>
        </w:rPr>
        <w:t>份，甲、</w:t>
      </w:r>
      <w:r>
        <w:rPr>
          <w:rFonts w:hint="eastAsia" w:ascii="宋体" w:hAnsi="宋体" w:cs="宋体"/>
          <w:color w:val="auto"/>
          <w:kern w:val="0"/>
          <w:szCs w:val="21"/>
          <w:highlight w:val="none"/>
          <w:lang w:eastAsia="zh-CN"/>
        </w:rPr>
        <w:t>乙</w:t>
      </w:r>
      <w:r>
        <w:rPr>
          <w:rFonts w:ascii="宋体" w:hAnsi="宋体" w:cs="宋体"/>
          <w:color w:val="auto"/>
          <w:kern w:val="0"/>
          <w:szCs w:val="21"/>
          <w:highlight w:val="none"/>
        </w:rPr>
        <w:t>双方各执</w:t>
      </w:r>
      <w:r>
        <w:rPr>
          <w:rFonts w:hint="eastAsia" w:ascii="宋体" w:hAnsi="宋体" w:cs="宋体"/>
          <w:color w:val="auto"/>
          <w:kern w:val="0"/>
          <w:szCs w:val="21"/>
          <w:highlight w:val="none"/>
          <w:u w:val="single"/>
          <w:lang w:val="en-US" w:eastAsia="zh-CN"/>
        </w:rPr>
        <w:t>叁</w:t>
      </w:r>
      <w:r>
        <w:rPr>
          <w:rFonts w:ascii="宋体" w:hAnsi="宋体" w:cs="宋体"/>
          <w:color w:val="auto"/>
          <w:kern w:val="0"/>
          <w:szCs w:val="21"/>
          <w:highlight w:val="none"/>
        </w:rPr>
        <w:t>份</w:t>
      </w:r>
      <w:r>
        <w:rPr>
          <w:rFonts w:hint="eastAsia" w:ascii="宋体" w:hAnsi="宋体" w:cs="宋体"/>
          <w:color w:val="auto"/>
          <w:kern w:val="0"/>
          <w:szCs w:val="21"/>
          <w:highlight w:val="none"/>
        </w:rPr>
        <w:t>，同等具有法律效力</w:t>
      </w:r>
      <w:r>
        <w:rPr>
          <w:rFonts w:ascii="宋体" w:hAnsi="宋体" w:cs="宋体"/>
          <w:color w:val="auto"/>
          <w:kern w:val="0"/>
          <w:szCs w:val="21"/>
          <w:highlight w:val="none"/>
        </w:rPr>
        <w:t>。</w:t>
      </w:r>
    </w:p>
    <w:p w14:paraId="3B6A92A4">
      <w:pPr>
        <w:keepNext w:val="0"/>
        <w:keepLines w:val="0"/>
        <w:pageBreakBefore w:val="0"/>
        <w:widowControl/>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（二）</w:t>
      </w:r>
      <w:r>
        <w:rPr>
          <w:rFonts w:ascii="宋体" w:hAnsi="宋体" w:cs="宋体"/>
          <w:color w:val="auto"/>
          <w:kern w:val="0"/>
          <w:szCs w:val="21"/>
          <w:highlight w:val="none"/>
        </w:rPr>
        <w:t>甲乙双方在履行</w:t>
      </w:r>
      <w:r>
        <w:rPr>
          <w:rFonts w:hint="eastAsia" w:ascii="宋体" w:hAnsi="宋体" w:cs="宋体"/>
          <w:color w:val="auto"/>
          <w:kern w:val="0"/>
          <w:szCs w:val="21"/>
          <w:highlight w:val="none"/>
        </w:rPr>
        <w:t>本</w:t>
      </w:r>
      <w:r>
        <w:rPr>
          <w:rFonts w:ascii="宋体" w:hAnsi="宋体" w:cs="宋体"/>
          <w:color w:val="auto"/>
          <w:kern w:val="0"/>
          <w:szCs w:val="21"/>
          <w:highlight w:val="none"/>
        </w:rPr>
        <w:t>协议的过程中如发生争议，协商不成的，可依法向</w:t>
      </w:r>
      <w:r>
        <w:rPr>
          <w:rFonts w:hint="eastAsia" w:ascii="宋体" w:hAnsi="宋体" w:cs="宋体"/>
          <w:color w:val="auto"/>
          <w:kern w:val="0"/>
          <w:szCs w:val="21"/>
          <w:highlight w:val="none"/>
        </w:rPr>
        <w:t>甲方</w:t>
      </w:r>
      <w:r>
        <w:rPr>
          <w:rFonts w:ascii="宋体" w:hAnsi="宋体" w:cs="宋体"/>
          <w:color w:val="auto"/>
          <w:kern w:val="0"/>
          <w:szCs w:val="21"/>
          <w:highlight w:val="none"/>
        </w:rPr>
        <w:t>所在地人民法院提起诉讼。</w:t>
      </w:r>
    </w:p>
    <w:p w14:paraId="07C4A1AD">
      <w:pPr>
        <w:keepNext w:val="0"/>
        <w:keepLines w:val="0"/>
        <w:pageBreakBefore w:val="0"/>
        <w:shd w:val="clea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（三）</w:t>
      </w:r>
      <w:r>
        <w:rPr>
          <w:rFonts w:ascii="宋体" w:hAnsi="宋体" w:cs="宋体"/>
          <w:color w:val="auto"/>
          <w:kern w:val="0"/>
          <w:szCs w:val="21"/>
          <w:highlight w:val="none"/>
        </w:rPr>
        <w:t>本协议未尽事宜，双方另行协商解决。</w:t>
      </w:r>
    </w:p>
    <w:p w14:paraId="60DDD8D5">
      <w:pPr>
        <w:shd w:val="clear"/>
        <w:spacing w:line="360" w:lineRule="auto"/>
        <w:ind w:left="359" w:leftChars="171" w:firstLine="252" w:firstLineChars="120"/>
        <w:rPr>
          <w:rFonts w:ascii="宋体" w:hAnsi="宋体" w:cs="宋体"/>
          <w:color w:val="auto"/>
          <w:kern w:val="0"/>
          <w:szCs w:val="21"/>
          <w:highlight w:val="none"/>
        </w:rPr>
      </w:pPr>
    </w:p>
    <w:p w14:paraId="7AB4A040">
      <w:pPr>
        <w:shd w:val="clear"/>
        <w:spacing w:line="360" w:lineRule="auto"/>
        <w:rPr>
          <w:rFonts w:ascii="宋体" w:hAnsi="宋体" w:cs="宋体"/>
          <w:color w:val="auto"/>
          <w:kern w:val="0"/>
          <w:szCs w:val="21"/>
          <w:highlight w:val="none"/>
        </w:rPr>
        <w:sectPr>
          <w:type w:val="continuous"/>
          <w:pgSz w:w="11906" w:h="16838"/>
          <w:pgMar w:top="1440" w:right="1800" w:bottom="1440" w:left="1800" w:header="851" w:footer="992" w:gutter="0"/>
          <w:cols w:space="425" w:num="1"/>
          <w:docGrid w:type="lines" w:linePitch="312" w:charSpace="0"/>
        </w:sectPr>
      </w:pPr>
    </w:p>
    <w:p w14:paraId="1575EEA0">
      <w:pPr>
        <w:shd w:val="clear"/>
        <w:spacing w:line="360" w:lineRule="auto"/>
        <w:rPr>
          <w:rFonts w:ascii="宋体" w:hAnsi="宋体" w:cs="Arial"/>
          <w:color w:val="auto"/>
          <w:kern w:val="0"/>
          <w:szCs w:val="21"/>
          <w:highlight w:val="none"/>
        </w:rPr>
      </w:pPr>
      <w:r>
        <w:rPr>
          <w:rFonts w:ascii="宋体" w:hAnsi="宋体" w:cs="宋体"/>
          <w:color w:val="auto"/>
          <w:kern w:val="0"/>
          <w:szCs w:val="21"/>
          <w:highlight w:val="none"/>
        </w:rPr>
        <w:t>甲方：</w:t>
      </w:r>
      <w:r>
        <w:rPr>
          <w:rFonts w:hint="eastAsia"/>
          <w:color w:val="auto"/>
          <w:szCs w:val="21"/>
          <w:highlight w:val="none"/>
        </w:rPr>
        <w:t>广州科学城水务投资集团有限公司</w:t>
      </w:r>
    </w:p>
    <w:p w14:paraId="3FEEA6D4">
      <w:pPr>
        <w:widowControl/>
        <w:shd w:val="clear"/>
        <w:spacing w:line="360" w:lineRule="auto"/>
        <w:jc w:val="left"/>
        <w:rPr>
          <w:rFonts w:ascii="宋体" w:hAnsi="宋体" w:cs="宋体"/>
          <w:color w:val="auto"/>
          <w:kern w:val="0"/>
          <w:szCs w:val="21"/>
          <w:highlight w:val="none"/>
        </w:rPr>
      </w:pPr>
      <w:r>
        <w:rPr>
          <w:rFonts w:ascii="宋体" w:hAnsi="宋体" w:cs="宋体"/>
          <w:color w:val="auto"/>
          <w:kern w:val="0"/>
          <w:szCs w:val="21"/>
          <w:highlight w:val="none"/>
        </w:rPr>
        <w:t>法定代表人：</w:t>
      </w:r>
    </w:p>
    <w:p w14:paraId="76CE9F31">
      <w:pPr>
        <w:widowControl/>
        <w:shd w:val="clea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或授权代表人：</w:t>
      </w:r>
    </w:p>
    <w:p w14:paraId="0D402BDB">
      <w:pPr>
        <w:shd w:val="clear"/>
        <w:spacing w:line="360" w:lineRule="auto"/>
        <w:rPr>
          <w:rFonts w:ascii="宋体" w:hAnsi="宋体" w:eastAsia="宋体" w:cs="宋体"/>
          <w:color w:val="auto"/>
          <w:kern w:val="0"/>
          <w:szCs w:val="21"/>
          <w:highlight w:val="none"/>
        </w:rPr>
      </w:pPr>
      <w:r>
        <w:rPr>
          <w:rFonts w:ascii="宋体" w:hAnsi="宋体" w:eastAsia="宋体" w:cs="宋体"/>
          <w:color w:val="auto"/>
          <w:kern w:val="0"/>
          <w:szCs w:val="21"/>
          <w:highlight w:val="none"/>
        </w:rPr>
        <w:t>地址：</w:t>
      </w:r>
    </w:p>
    <w:p w14:paraId="092BE12B">
      <w:pPr>
        <w:shd w:val="clear"/>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p>
    <w:p w14:paraId="2E1FD8A0">
      <w:pPr>
        <w:shd w:val="clear"/>
        <w:spacing w:line="360" w:lineRule="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电话：</w:t>
      </w:r>
    </w:p>
    <w:p w14:paraId="599B6778">
      <w:pPr>
        <w:shd w:val="clea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w:t>
      </w:r>
      <w:r>
        <w:rPr>
          <w:rFonts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 xml:space="preserve">  </w:t>
      </w:r>
      <w:r>
        <w:rPr>
          <w:rFonts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 xml:space="preserve">  </w:t>
      </w:r>
      <w:r>
        <w:rPr>
          <w:rFonts w:ascii="宋体" w:hAnsi="宋体" w:eastAsia="宋体" w:cs="宋体"/>
          <w:color w:val="auto"/>
          <w:kern w:val="0"/>
          <w:szCs w:val="21"/>
          <w:highlight w:val="none"/>
        </w:rPr>
        <w:t>日</w:t>
      </w:r>
    </w:p>
    <w:p w14:paraId="1C38CCE2">
      <w:pPr>
        <w:shd w:val="clear"/>
        <w:spacing w:line="360" w:lineRule="auto"/>
        <w:rPr>
          <w:rFonts w:ascii="宋体" w:hAnsi="宋体" w:eastAsia="宋体" w:cs="宋体"/>
          <w:color w:val="auto"/>
          <w:kern w:val="0"/>
          <w:szCs w:val="21"/>
          <w:highlight w:val="none"/>
        </w:rPr>
      </w:pPr>
      <w:r>
        <w:rPr>
          <w:rFonts w:ascii="宋体" w:hAnsi="宋体" w:eastAsia="宋体" w:cs="宋体"/>
          <w:color w:val="auto"/>
          <w:kern w:val="0"/>
          <w:szCs w:val="21"/>
          <w:highlight w:val="none"/>
        </w:rPr>
        <w:t>乙方：</w:t>
      </w:r>
    </w:p>
    <w:p w14:paraId="3642DD67">
      <w:pPr>
        <w:shd w:val="clear"/>
        <w:spacing w:line="360" w:lineRule="auto"/>
        <w:rPr>
          <w:rFonts w:ascii="宋体" w:hAnsi="宋体" w:eastAsia="宋体" w:cs="宋体"/>
          <w:color w:val="auto"/>
          <w:kern w:val="0"/>
          <w:szCs w:val="21"/>
          <w:highlight w:val="none"/>
        </w:rPr>
      </w:pPr>
      <w:r>
        <w:rPr>
          <w:rFonts w:ascii="宋体" w:hAnsi="宋体" w:eastAsia="宋体" w:cs="宋体"/>
          <w:color w:val="auto"/>
          <w:kern w:val="0"/>
          <w:szCs w:val="21"/>
          <w:highlight w:val="none"/>
        </w:rPr>
        <w:t>法定代表人：</w:t>
      </w:r>
    </w:p>
    <w:p w14:paraId="2C7D8408">
      <w:pPr>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或授权代表人：</w:t>
      </w:r>
    </w:p>
    <w:p w14:paraId="0413CD78">
      <w:pPr>
        <w:shd w:val="clear"/>
        <w:spacing w:line="360" w:lineRule="auto"/>
        <w:rPr>
          <w:rFonts w:ascii="宋体" w:hAnsi="宋体" w:eastAsia="宋体" w:cs="宋体"/>
          <w:color w:val="auto"/>
          <w:kern w:val="0"/>
          <w:szCs w:val="21"/>
          <w:highlight w:val="none"/>
        </w:rPr>
      </w:pPr>
      <w:r>
        <w:rPr>
          <w:rFonts w:ascii="宋体" w:hAnsi="宋体" w:eastAsia="宋体" w:cs="宋体"/>
          <w:color w:val="auto"/>
          <w:kern w:val="0"/>
          <w:szCs w:val="21"/>
          <w:highlight w:val="none"/>
        </w:rPr>
        <w:t>地址：</w:t>
      </w:r>
    </w:p>
    <w:p w14:paraId="756C0120">
      <w:pPr>
        <w:shd w:val="clea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w:t>
      </w:r>
    </w:p>
    <w:p w14:paraId="149F7A1A">
      <w:pPr>
        <w:shd w:val="clear"/>
        <w:spacing w:line="360" w:lineRule="auto"/>
        <w:rPr>
          <w:rFonts w:ascii="宋体" w:hAnsi="宋体" w:eastAsia="宋体" w:cs="宋体"/>
          <w:color w:val="auto"/>
          <w:kern w:val="0"/>
          <w:szCs w:val="21"/>
          <w:highlight w:val="none"/>
        </w:rPr>
      </w:pPr>
      <w:r>
        <w:rPr>
          <w:rFonts w:ascii="宋体" w:hAnsi="宋体" w:eastAsia="宋体" w:cs="宋体"/>
          <w:color w:val="auto"/>
          <w:kern w:val="0"/>
          <w:szCs w:val="21"/>
          <w:highlight w:val="none"/>
        </w:rPr>
        <w:t>电话：</w:t>
      </w:r>
    </w:p>
    <w:p w14:paraId="258F53CC">
      <w:pPr>
        <w:shd w:val="clear"/>
        <w:spacing w:line="360" w:lineRule="auto"/>
        <w:rPr>
          <w:rFonts w:ascii="宋体" w:hAnsi="宋体" w:eastAsia="宋体" w:cs="宋体"/>
          <w:color w:val="auto"/>
          <w:kern w:val="0"/>
          <w:szCs w:val="21"/>
          <w:highlight w:val="none"/>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宋体" w:hAnsi="宋体" w:eastAsia="宋体" w:cs="宋体"/>
          <w:color w:val="auto"/>
          <w:kern w:val="0"/>
          <w:szCs w:val="21"/>
          <w:highlight w:val="none"/>
          <w:lang w:val="en-US" w:eastAsia="zh-CN"/>
        </w:rPr>
        <w:t xml:space="preserve">    </w:t>
      </w:r>
      <w:r>
        <w:rPr>
          <w:rFonts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 xml:space="preserve">  </w:t>
      </w:r>
      <w:r>
        <w:rPr>
          <w:rFonts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 xml:space="preserve">  </w:t>
      </w:r>
      <w:r>
        <w:rPr>
          <w:rFonts w:ascii="宋体" w:hAnsi="宋体" w:eastAsia="宋体" w:cs="宋体"/>
          <w:color w:val="auto"/>
          <w:kern w:val="0"/>
          <w:szCs w:val="21"/>
          <w:highlight w:val="none"/>
        </w:rPr>
        <w:t>日</w:t>
      </w:r>
    </w:p>
    <w:p w14:paraId="04706CB1">
      <w:pPr>
        <w:shd w:val="clear"/>
        <w:rPr>
          <w:color w:val="auto"/>
          <w:highlight w:val="none"/>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OWFjY2E1MTgwNGU5ZDQ1MGVkOTZmNTg5Y2M4ZTAifQ=="/>
  </w:docVars>
  <w:rsids>
    <w:rsidRoot w:val="00000000"/>
    <w:rsid w:val="01B1428B"/>
    <w:rsid w:val="04AE2C39"/>
    <w:rsid w:val="055C132D"/>
    <w:rsid w:val="0B67010D"/>
    <w:rsid w:val="0EA224F0"/>
    <w:rsid w:val="113B273E"/>
    <w:rsid w:val="12942106"/>
    <w:rsid w:val="16244719"/>
    <w:rsid w:val="172E5CF6"/>
    <w:rsid w:val="19322678"/>
    <w:rsid w:val="19B47026"/>
    <w:rsid w:val="1F0D396C"/>
    <w:rsid w:val="201C373B"/>
    <w:rsid w:val="259C246C"/>
    <w:rsid w:val="272D7768"/>
    <w:rsid w:val="27982E18"/>
    <w:rsid w:val="2C1726B4"/>
    <w:rsid w:val="2D876B41"/>
    <w:rsid w:val="396F1B3F"/>
    <w:rsid w:val="3D7D7E6F"/>
    <w:rsid w:val="3F5B6F25"/>
    <w:rsid w:val="41980AAB"/>
    <w:rsid w:val="42725710"/>
    <w:rsid w:val="46AE0CE1"/>
    <w:rsid w:val="46FE1B87"/>
    <w:rsid w:val="4A462A63"/>
    <w:rsid w:val="4E1210B6"/>
    <w:rsid w:val="4E4312C9"/>
    <w:rsid w:val="540C62FE"/>
    <w:rsid w:val="548B715A"/>
    <w:rsid w:val="561511FC"/>
    <w:rsid w:val="57352F0B"/>
    <w:rsid w:val="590B1266"/>
    <w:rsid w:val="5D6B1052"/>
    <w:rsid w:val="661E621B"/>
    <w:rsid w:val="68D979E8"/>
    <w:rsid w:val="70EB766C"/>
    <w:rsid w:val="74431EF0"/>
    <w:rsid w:val="758D4498"/>
    <w:rsid w:val="77FD5762"/>
    <w:rsid w:val="7F8B1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3">
    <w:name w:val="Body Text"/>
    <w:basedOn w:val="1"/>
    <w:autoRedefine/>
    <w:unhideWhenUsed/>
    <w:qFormat/>
    <w:uiPriority w:val="0"/>
    <w:pPr>
      <w:spacing w:after="120"/>
    </w:pPr>
    <w:rPr>
      <w:kern w:val="0"/>
      <w:sz w:val="20"/>
      <w:szCs w:val="24"/>
    </w:rPr>
  </w:style>
  <w:style w:type="paragraph" w:styleId="4">
    <w:name w:val="Body Text Indent"/>
    <w:basedOn w:val="1"/>
    <w:autoRedefine/>
    <w:qFormat/>
    <w:uiPriority w:val="0"/>
    <w:pPr>
      <w:spacing w:line="520" w:lineRule="exact"/>
      <w:ind w:firstLine="420" w:firstLineChars="200"/>
    </w:pPr>
    <w:rPr>
      <w:rFonts w:ascii="宋体" w:hAnsi="宋体"/>
      <w:color w:val="000000"/>
    </w:rPr>
  </w:style>
  <w:style w:type="paragraph" w:styleId="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46</TotalTime>
  <Pages>15</Pages>
  <Words>8057</Words>
  <Characters>8276</Characters>
  <DocSecurity>0</DocSecurity>
  <Lines>0</Lines>
  <Paragraphs>0</Paragraphs>
  <ScaleCrop>false</ScaleCrop>
  <LinksUpToDate>false</LinksUpToDate>
  <CharactersWithSpaces>8402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2023-04-23T06:27:00Z</cp:lastPrinted>
  <dcterms:created xsi:type="dcterms:W3CDTF">2023-04-18T00:50:00Z</dcterms:created>
  <dcterms:modified xsi:type="dcterms:W3CDTF">2025-11-18T06:33:56Z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1B60021DD94E45EE898DFC94A78DF6C2_13</vt:lpwstr>
  </property>
  <property fmtid="{D5CDD505-2E9C-101B-9397-08002B2CF9AE}" pid="4" name="KSOTemplateDocerSaveRecord">
    <vt:lpwstr>eyJoZGlkIjoiZjRhOWFjY2E1MTgwNGU5ZDQ1MGVkOTZmNTg5Y2M4ZTAiLCJ1c2VySWQiOiIxNTc3OTMyNTEwIn0=</vt:lpwstr>
  </property>
</Properties>
</file>