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C00B9">
      <w:pPr>
        <w:widowControl w:val="0"/>
        <w:spacing w:line="360" w:lineRule="auto"/>
        <w:jc w:val="center"/>
        <w:textAlignment w:val="auto"/>
        <w:rPr>
          <w:rFonts w:hint="eastAsia" w:ascii="宋体" w:hAnsi="宋体" w:cs="宋体"/>
          <w:b/>
          <w:bCs/>
          <w:color w:val="auto"/>
          <w:spacing w:val="40"/>
          <w:sz w:val="44"/>
          <w:szCs w:val="40"/>
          <w:highlight w:val="none"/>
        </w:rPr>
      </w:pPr>
    </w:p>
    <w:p w14:paraId="66C9F8C4">
      <w:pPr>
        <w:widowControl w:val="0"/>
        <w:spacing w:line="360" w:lineRule="auto"/>
        <w:jc w:val="center"/>
        <w:textAlignment w:val="auto"/>
        <w:rPr>
          <w:rFonts w:hint="eastAsia" w:ascii="宋体" w:hAnsi="宋体" w:cs="宋体"/>
          <w:color w:val="auto"/>
          <w:sz w:val="40"/>
          <w:highlight w:val="none"/>
          <w:u w:val="single"/>
        </w:rPr>
      </w:pPr>
      <w:r>
        <w:rPr>
          <w:rFonts w:hint="eastAsia" w:ascii="宋体" w:hAnsi="宋体" w:cs="宋体"/>
          <w:b/>
          <w:bCs/>
          <w:color w:val="auto"/>
          <w:spacing w:val="40"/>
          <w:sz w:val="44"/>
          <w:szCs w:val="40"/>
          <w:highlight w:val="none"/>
        </w:rPr>
        <w:t>中山大学附属第一医院病房改造建设及能力提升项目1号楼门诊区域改造项目施工总承包</w:t>
      </w:r>
    </w:p>
    <w:p w14:paraId="7294C3E7">
      <w:pPr>
        <w:widowControl w:val="0"/>
        <w:spacing w:line="360" w:lineRule="auto"/>
        <w:textAlignment w:val="auto"/>
        <w:rPr>
          <w:rFonts w:ascii="宋体" w:hAnsi="宋体" w:cs="宋体"/>
          <w:b/>
          <w:bCs/>
          <w:color w:val="auto"/>
          <w:spacing w:val="26"/>
          <w:sz w:val="110"/>
          <w:szCs w:val="110"/>
          <w:highlight w:val="none"/>
        </w:rPr>
      </w:pPr>
    </w:p>
    <w:p w14:paraId="00696E05">
      <w:pPr>
        <w:widowControl w:val="0"/>
        <w:textAlignment w:val="auto"/>
        <w:rPr>
          <w:rFonts w:ascii="宋体" w:hAnsi="宋体" w:cs="宋体"/>
          <w:b/>
          <w:bCs/>
          <w:color w:val="auto"/>
          <w:spacing w:val="26"/>
          <w:sz w:val="110"/>
          <w:szCs w:val="110"/>
          <w:highlight w:val="none"/>
        </w:rPr>
      </w:pPr>
    </w:p>
    <w:p w14:paraId="76B624E3">
      <w:pPr>
        <w:widowControl w:val="0"/>
        <w:textAlignment w:val="auto"/>
        <w:rPr>
          <w:color w:val="auto"/>
          <w:highlight w:val="none"/>
        </w:rPr>
      </w:pPr>
    </w:p>
    <w:p w14:paraId="1D196D2E">
      <w:pPr>
        <w:widowControl w:val="0"/>
        <w:spacing w:line="360" w:lineRule="auto"/>
        <w:jc w:val="center"/>
        <w:textAlignment w:val="auto"/>
        <w:rPr>
          <w:rFonts w:ascii="宋体" w:hAnsi="宋体" w:cs="宋体"/>
          <w:b/>
          <w:bCs/>
          <w:color w:val="auto"/>
          <w:spacing w:val="26"/>
          <w:sz w:val="110"/>
          <w:szCs w:val="110"/>
          <w:highlight w:val="none"/>
        </w:rPr>
      </w:pPr>
      <w:r>
        <w:rPr>
          <w:rFonts w:hint="eastAsia" w:ascii="宋体" w:hAnsi="宋体" w:cs="宋体"/>
          <w:b/>
          <w:bCs/>
          <w:color w:val="auto"/>
          <w:spacing w:val="26"/>
          <w:sz w:val="110"/>
          <w:szCs w:val="110"/>
          <w:highlight w:val="none"/>
        </w:rPr>
        <w:t>招标文件</w:t>
      </w:r>
    </w:p>
    <w:p w14:paraId="512313CE">
      <w:pPr>
        <w:widowControl w:val="0"/>
        <w:spacing w:line="360" w:lineRule="auto"/>
        <w:jc w:val="center"/>
        <w:textAlignment w:val="auto"/>
        <w:rPr>
          <w:rFonts w:ascii="宋体" w:hAnsi="宋体" w:cs="宋体"/>
          <w:color w:val="auto"/>
          <w:sz w:val="32"/>
          <w:highlight w:val="none"/>
        </w:rPr>
      </w:pPr>
    </w:p>
    <w:p w14:paraId="3F831A93">
      <w:pPr>
        <w:widowControl w:val="0"/>
        <w:spacing w:line="360" w:lineRule="auto"/>
        <w:textAlignment w:val="auto"/>
        <w:rPr>
          <w:rFonts w:ascii="宋体" w:hAnsi="宋体" w:cs="宋体"/>
          <w:color w:val="auto"/>
          <w:sz w:val="30"/>
          <w:szCs w:val="30"/>
          <w:highlight w:val="none"/>
        </w:rPr>
      </w:pPr>
    </w:p>
    <w:p w14:paraId="45C8C8A7">
      <w:pPr>
        <w:widowControl w:val="0"/>
        <w:textAlignment w:val="auto"/>
        <w:rPr>
          <w:rFonts w:ascii="宋体" w:hAnsi="宋体" w:cs="宋体"/>
          <w:color w:val="auto"/>
          <w:highlight w:val="none"/>
        </w:rPr>
      </w:pPr>
    </w:p>
    <w:p w14:paraId="1B8ED2F4">
      <w:pPr>
        <w:widowControl w:val="0"/>
        <w:textAlignment w:val="auto"/>
        <w:rPr>
          <w:rFonts w:ascii="宋体" w:hAnsi="宋体" w:cs="宋体"/>
          <w:color w:val="auto"/>
          <w:highlight w:val="none"/>
        </w:rPr>
      </w:pPr>
    </w:p>
    <w:p w14:paraId="221DA798">
      <w:pPr>
        <w:widowControl w:val="0"/>
        <w:textAlignment w:val="auto"/>
        <w:rPr>
          <w:rFonts w:ascii="宋体" w:hAnsi="宋体" w:cs="宋体"/>
          <w:color w:val="auto"/>
          <w:highlight w:val="none"/>
        </w:rPr>
      </w:pPr>
    </w:p>
    <w:p w14:paraId="6D19D534">
      <w:pPr>
        <w:widowControl w:val="0"/>
        <w:textAlignment w:val="auto"/>
        <w:rPr>
          <w:rFonts w:hint="eastAsia" w:ascii="宋体" w:hAnsi="宋体" w:cs="宋体"/>
          <w:color w:val="auto"/>
          <w:highlight w:val="none"/>
        </w:rPr>
      </w:pPr>
    </w:p>
    <w:p w14:paraId="36D61099">
      <w:pPr>
        <w:widowControl w:val="0"/>
        <w:textAlignment w:val="auto"/>
        <w:rPr>
          <w:rFonts w:hint="eastAsia"/>
          <w:color w:val="auto"/>
          <w:highlight w:val="none"/>
        </w:rPr>
      </w:pPr>
    </w:p>
    <w:p w14:paraId="715EA543">
      <w:pPr>
        <w:widowControl w:val="0"/>
        <w:textAlignment w:val="auto"/>
        <w:rPr>
          <w:color w:val="auto"/>
          <w:szCs w:val="20"/>
          <w:highlight w:val="none"/>
        </w:rPr>
      </w:pPr>
    </w:p>
    <w:p w14:paraId="58A27867">
      <w:pPr>
        <w:widowControl w:val="0"/>
        <w:spacing w:line="360" w:lineRule="auto"/>
        <w:ind w:firstLine="1500" w:firstLineChars="500"/>
        <w:textAlignment w:val="auto"/>
        <w:rPr>
          <w:rFonts w:hint="eastAsia" w:ascii="宋体" w:hAnsi="宋体" w:eastAsia="宋体" w:cs="宋体"/>
          <w:color w:val="auto"/>
          <w:sz w:val="30"/>
          <w:szCs w:val="30"/>
          <w:highlight w:val="none"/>
          <w:u w:val="single"/>
          <w:lang w:eastAsia="zh-CN"/>
        </w:rPr>
      </w:pPr>
      <w:r>
        <w:rPr>
          <w:rFonts w:hint="eastAsia" w:ascii="宋体" w:hAnsi="宋体" w:cs="宋体"/>
          <w:color w:val="auto"/>
          <w:sz w:val="30"/>
          <w:szCs w:val="30"/>
          <w:highlight w:val="none"/>
        </w:rPr>
        <w:t>招  标 单 位：</w:t>
      </w:r>
      <w:r>
        <w:rPr>
          <w:rFonts w:hint="eastAsia" w:ascii="宋体" w:hAnsi="宋体" w:cs="宋体"/>
          <w:color w:val="auto"/>
          <w:sz w:val="30"/>
          <w:szCs w:val="30"/>
          <w:highlight w:val="none"/>
          <w:u w:val="single"/>
          <w:lang w:eastAsia="zh-CN"/>
        </w:rPr>
        <w:t>中山大学附属第一医院</w:t>
      </w:r>
    </w:p>
    <w:p w14:paraId="7F7C283C">
      <w:pPr>
        <w:widowControl w:val="0"/>
        <w:spacing w:line="360" w:lineRule="auto"/>
        <w:ind w:firstLine="1500" w:firstLineChars="500"/>
        <w:textAlignment w:val="auto"/>
        <w:rPr>
          <w:rFonts w:hint="eastAsia" w:ascii="宋体" w:hAnsi="宋体" w:cs="宋体"/>
          <w:color w:val="auto"/>
          <w:sz w:val="30"/>
          <w:szCs w:val="30"/>
          <w:highlight w:val="none"/>
        </w:rPr>
      </w:pPr>
      <w:r>
        <w:rPr>
          <w:rFonts w:hint="eastAsia" w:ascii="宋体" w:hAnsi="宋体" w:cs="宋体"/>
          <w:color w:val="auto"/>
          <w:sz w:val="30"/>
          <w:szCs w:val="30"/>
          <w:highlight w:val="none"/>
        </w:rPr>
        <w:t>招标代理单位：</w:t>
      </w:r>
      <w:r>
        <w:rPr>
          <w:rFonts w:hint="eastAsia" w:ascii="宋体" w:hAnsi="宋体" w:cs="宋体"/>
          <w:color w:val="auto"/>
          <w:sz w:val="30"/>
          <w:szCs w:val="30"/>
          <w:highlight w:val="none"/>
          <w:u w:val="single"/>
        </w:rPr>
        <w:t>广东省机电设备招标有限公司</w:t>
      </w:r>
    </w:p>
    <w:p w14:paraId="5CFD9A68">
      <w:pPr>
        <w:widowControl w:val="0"/>
        <w:spacing w:line="360" w:lineRule="auto"/>
        <w:ind w:firstLine="1800" w:firstLineChars="600"/>
        <w:textAlignment w:val="auto"/>
        <w:rPr>
          <w:rStyle w:val="127"/>
          <w:rFonts w:ascii="宋体" w:hAnsi="宋体"/>
          <w:color w:val="auto"/>
          <w:sz w:val="32"/>
          <w:highlight w:val="none"/>
        </w:rPr>
      </w:pPr>
      <w:r>
        <w:rPr>
          <w:rFonts w:hint="eastAsia" w:ascii="宋体" w:hAnsi="宋体" w:cs="宋体"/>
          <w:color w:val="auto"/>
          <w:sz w:val="30"/>
          <w:szCs w:val="30"/>
          <w:highlight w:val="none"/>
        </w:rPr>
        <w:t>日      期：</w:t>
      </w:r>
      <w:r>
        <w:rPr>
          <w:rFonts w:hint="eastAsia" w:ascii="宋体" w:hAnsi="宋体" w:cs="宋体"/>
          <w:color w:val="auto"/>
          <w:sz w:val="30"/>
          <w:szCs w:val="30"/>
          <w:highlight w:val="none"/>
          <w:u w:val="single"/>
        </w:rPr>
        <w:t>202</w:t>
      </w:r>
      <w:r>
        <w:rPr>
          <w:rFonts w:ascii="宋体" w:hAnsi="宋体" w:cs="宋体"/>
          <w:color w:val="auto"/>
          <w:sz w:val="30"/>
          <w:szCs w:val="30"/>
          <w:highlight w:val="none"/>
          <w:u w:val="single"/>
        </w:rPr>
        <w:t>5</w:t>
      </w:r>
      <w:r>
        <w:rPr>
          <w:rFonts w:hint="eastAsia" w:ascii="宋体" w:hAnsi="宋体" w:cs="宋体"/>
          <w:color w:val="auto"/>
          <w:sz w:val="30"/>
          <w:szCs w:val="30"/>
          <w:highlight w:val="none"/>
        </w:rPr>
        <w:t>年</w:t>
      </w:r>
      <w:r>
        <w:rPr>
          <w:rFonts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lang w:val="en-US" w:eastAsia="zh-CN"/>
        </w:rPr>
        <w:t>11</w:t>
      </w:r>
      <w:r>
        <w:rPr>
          <w:rFonts w:ascii="宋体" w:hAnsi="宋体" w:cs="宋体"/>
          <w:color w:val="auto"/>
          <w:sz w:val="30"/>
          <w:szCs w:val="30"/>
          <w:highlight w:val="none"/>
          <w:u w:val="single"/>
        </w:rPr>
        <w:t xml:space="preserve"> </w:t>
      </w:r>
      <w:r>
        <w:rPr>
          <w:rFonts w:hint="eastAsia" w:ascii="宋体" w:hAnsi="宋体" w:cs="宋体"/>
          <w:color w:val="auto"/>
          <w:sz w:val="30"/>
          <w:szCs w:val="30"/>
          <w:highlight w:val="none"/>
        </w:rPr>
        <w:t>月</w:t>
      </w:r>
    </w:p>
    <w:p w14:paraId="693C0720">
      <w:pPr>
        <w:spacing w:line="360" w:lineRule="auto"/>
        <w:ind w:firstLine="630" w:firstLineChars="300"/>
        <w:jc w:val="center"/>
        <w:rPr>
          <w:rStyle w:val="32"/>
          <w:rFonts w:ascii="宋体" w:hAnsi="宋体" w:eastAsia="宋体" w:cs="微软雅黑"/>
          <w:b/>
          <w:bCs/>
          <w:color w:val="auto"/>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418" w:right="1418" w:bottom="1418" w:left="1418" w:header="851" w:footer="907" w:gutter="0"/>
          <w:pgNumType w:start="0"/>
          <w:cols w:space="720" w:num="1"/>
          <w:titlePg/>
          <w:docGrid w:type="linesAndChars" w:linePitch="312" w:charSpace="0"/>
        </w:sectPr>
      </w:pPr>
    </w:p>
    <w:p w14:paraId="17C01950">
      <w:pPr>
        <w:spacing w:line="480" w:lineRule="auto"/>
        <w:jc w:val="center"/>
        <w:rPr>
          <w:rStyle w:val="32"/>
          <w:rFonts w:hint="eastAsia" w:ascii="宋体" w:hAnsi="宋体" w:eastAsia="宋体" w:cs="宋体"/>
          <w:b/>
          <w:bCs/>
          <w:color w:val="auto"/>
          <w:sz w:val="40"/>
          <w:szCs w:val="40"/>
          <w:highlight w:val="none"/>
        </w:rPr>
      </w:pPr>
      <w:r>
        <w:rPr>
          <w:rStyle w:val="32"/>
          <w:rFonts w:ascii="宋体" w:hAnsi="宋体" w:eastAsia="宋体" w:cs="宋体"/>
          <w:b/>
          <w:bCs/>
          <w:color w:val="auto"/>
          <w:sz w:val="40"/>
          <w:szCs w:val="40"/>
          <w:highlight w:val="none"/>
        </w:rPr>
        <w:t>目录</w:t>
      </w:r>
    </w:p>
    <w:p w14:paraId="6455CAA3">
      <w:pPr>
        <w:pStyle w:val="21"/>
        <w:tabs>
          <w:tab w:val="right" w:leader="dot" w:pos="9070"/>
        </w:tabs>
        <w:rPr>
          <w:color w:val="auto"/>
          <w:sz w:val="32"/>
          <w:szCs w:val="36"/>
          <w:highlight w:val="none"/>
        </w:rPr>
      </w:pPr>
      <w:r>
        <w:rPr>
          <w:rFonts w:ascii="宋体" w:hAnsi="宋体"/>
          <w:color w:val="auto"/>
          <w:sz w:val="32"/>
          <w:szCs w:val="36"/>
          <w:highlight w:val="none"/>
        </w:rPr>
        <w:fldChar w:fldCharType="begin"/>
      </w:r>
      <w:r>
        <w:rPr>
          <w:rFonts w:ascii="宋体" w:hAnsi="宋体"/>
          <w:color w:val="auto"/>
          <w:sz w:val="32"/>
          <w:szCs w:val="36"/>
          <w:highlight w:val="none"/>
        </w:rPr>
        <w:instrText xml:space="preserve">TOC \o "1-1" \h \u </w:instrText>
      </w:r>
      <w:r>
        <w:rPr>
          <w:rFonts w:ascii="宋体" w:hAnsi="宋体"/>
          <w:color w:val="auto"/>
          <w:sz w:val="32"/>
          <w:szCs w:val="36"/>
          <w:highlight w:val="none"/>
        </w:rPr>
        <w:fldChar w:fldCharType="separate"/>
      </w:r>
      <w:r>
        <w:rPr>
          <w:rFonts w:ascii="宋体" w:hAnsi="宋体"/>
          <w:color w:val="auto"/>
          <w:sz w:val="32"/>
          <w:szCs w:val="36"/>
          <w:highlight w:val="none"/>
        </w:rPr>
        <w:fldChar w:fldCharType="begin"/>
      </w:r>
      <w:r>
        <w:rPr>
          <w:rFonts w:ascii="宋体" w:hAnsi="宋体"/>
          <w:color w:val="auto"/>
          <w:sz w:val="32"/>
          <w:szCs w:val="36"/>
          <w:highlight w:val="none"/>
        </w:rPr>
        <w:instrText xml:space="preserve"> HYPERLINK \l _Toc23555 </w:instrText>
      </w:r>
      <w:r>
        <w:rPr>
          <w:rFonts w:ascii="宋体" w:hAnsi="宋体"/>
          <w:color w:val="auto"/>
          <w:sz w:val="32"/>
          <w:szCs w:val="36"/>
          <w:highlight w:val="none"/>
        </w:rPr>
        <w:fldChar w:fldCharType="separate"/>
      </w:r>
      <w:r>
        <w:rPr>
          <w:rFonts w:ascii="宋体" w:hAnsi="宋体"/>
          <w:bCs/>
          <w:color w:val="auto"/>
          <w:sz w:val="32"/>
          <w:szCs w:val="36"/>
          <w:highlight w:val="none"/>
        </w:rPr>
        <w:t>第一章  投标须知</w:t>
      </w:r>
      <w:r>
        <w:rPr>
          <w:color w:val="auto"/>
          <w:sz w:val="32"/>
          <w:szCs w:val="36"/>
          <w:highlight w:val="none"/>
        </w:rPr>
        <w:tab/>
      </w:r>
      <w:r>
        <w:rPr>
          <w:color w:val="auto"/>
          <w:sz w:val="32"/>
          <w:szCs w:val="36"/>
          <w:highlight w:val="none"/>
        </w:rPr>
        <w:fldChar w:fldCharType="begin"/>
      </w:r>
      <w:r>
        <w:rPr>
          <w:color w:val="auto"/>
          <w:sz w:val="32"/>
          <w:szCs w:val="36"/>
          <w:highlight w:val="none"/>
        </w:rPr>
        <w:instrText xml:space="preserve"> PAGEREF _Toc23555 \h </w:instrText>
      </w:r>
      <w:r>
        <w:rPr>
          <w:color w:val="auto"/>
          <w:sz w:val="32"/>
          <w:szCs w:val="36"/>
          <w:highlight w:val="none"/>
        </w:rPr>
        <w:fldChar w:fldCharType="separate"/>
      </w:r>
      <w:r>
        <w:rPr>
          <w:color w:val="auto"/>
          <w:sz w:val="32"/>
          <w:szCs w:val="36"/>
          <w:highlight w:val="none"/>
        </w:rPr>
        <w:t>2</w:t>
      </w:r>
      <w:r>
        <w:rPr>
          <w:color w:val="auto"/>
          <w:sz w:val="32"/>
          <w:szCs w:val="36"/>
          <w:highlight w:val="none"/>
        </w:rPr>
        <w:fldChar w:fldCharType="end"/>
      </w:r>
      <w:r>
        <w:rPr>
          <w:rFonts w:ascii="宋体" w:hAnsi="宋体"/>
          <w:color w:val="auto"/>
          <w:sz w:val="32"/>
          <w:szCs w:val="36"/>
          <w:highlight w:val="none"/>
        </w:rPr>
        <w:fldChar w:fldCharType="end"/>
      </w:r>
    </w:p>
    <w:p w14:paraId="44C3833B">
      <w:pPr>
        <w:pStyle w:val="21"/>
        <w:tabs>
          <w:tab w:val="right" w:leader="dot" w:pos="9070"/>
        </w:tabs>
        <w:rPr>
          <w:color w:val="auto"/>
          <w:sz w:val="32"/>
          <w:szCs w:val="36"/>
          <w:highlight w:val="none"/>
        </w:rPr>
      </w:pPr>
      <w:r>
        <w:rPr>
          <w:rFonts w:ascii="宋体" w:hAnsi="宋体"/>
          <w:color w:val="auto"/>
          <w:sz w:val="32"/>
          <w:szCs w:val="36"/>
          <w:highlight w:val="none"/>
        </w:rPr>
        <w:fldChar w:fldCharType="begin"/>
      </w:r>
      <w:r>
        <w:rPr>
          <w:rFonts w:ascii="宋体" w:hAnsi="宋体"/>
          <w:color w:val="auto"/>
          <w:sz w:val="32"/>
          <w:szCs w:val="36"/>
          <w:highlight w:val="none"/>
        </w:rPr>
        <w:instrText xml:space="preserve"> HYPERLINK \l _Toc1276 </w:instrText>
      </w:r>
      <w:r>
        <w:rPr>
          <w:rFonts w:ascii="宋体" w:hAnsi="宋体"/>
          <w:color w:val="auto"/>
          <w:sz w:val="32"/>
          <w:szCs w:val="36"/>
          <w:highlight w:val="none"/>
        </w:rPr>
        <w:fldChar w:fldCharType="separate"/>
      </w:r>
      <w:r>
        <w:rPr>
          <w:rFonts w:ascii="宋体" w:hAnsi="宋体"/>
          <w:bCs/>
          <w:color w:val="auto"/>
          <w:sz w:val="32"/>
          <w:szCs w:val="36"/>
          <w:highlight w:val="none"/>
        </w:rPr>
        <w:t>第二章  开标、评标及定标办法</w:t>
      </w:r>
      <w:r>
        <w:rPr>
          <w:color w:val="auto"/>
          <w:sz w:val="32"/>
          <w:szCs w:val="36"/>
          <w:highlight w:val="none"/>
        </w:rPr>
        <w:tab/>
      </w:r>
      <w:r>
        <w:rPr>
          <w:color w:val="auto"/>
          <w:sz w:val="32"/>
          <w:szCs w:val="36"/>
          <w:highlight w:val="none"/>
        </w:rPr>
        <w:fldChar w:fldCharType="begin"/>
      </w:r>
      <w:r>
        <w:rPr>
          <w:color w:val="auto"/>
          <w:sz w:val="32"/>
          <w:szCs w:val="36"/>
          <w:highlight w:val="none"/>
        </w:rPr>
        <w:instrText xml:space="preserve"> PAGEREF _Toc1276 \h </w:instrText>
      </w:r>
      <w:r>
        <w:rPr>
          <w:color w:val="auto"/>
          <w:sz w:val="32"/>
          <w:szCs w:val="36"/>
          <w:highlight w:val="none"/>
        </w:rPr>
        <w:fldChar w:fldCharType="separate"/>
      </w:r>
      <w:r>
        <w:rPr>
          <w:color w:val="auto"/>
          <w:sz w:val="32"/>
          <w:szCs w:val="36"/>
          <w:highlight w:val="none"/>
        </w:rPr>
        <w:t>37</w:t>
      </w:r>
      <w:r>
        <w:rPr>
          <w:color w:val="auto"/>
          <w:sz w:val="32"/>
          <w:szCs w:val="36"/>
          <w:highlight w:val="none"/>
        </w:rPr>
        <w:fldChar w:fldCharType="end"/>
      </w:r>
      <w:r>
        <w:rPr>
          <w:rFonts w:ascii="宋体" w:hAnsi="宋体"/>
          <w:color w:val="auto"/>
          <w:sz w:val="32"/>
          <w:szCs w:val="36"/>
          <w:highlight w:val="none"/>
        </w:rPr>
        <w:fldChar w:fldCharType="end"/>
      </w:r>
    </w:p>
    <w:p w14:paraId="409768AA">
      <w:pPr>
        <w:pStyle w:val="21"/>
        <w:tabs>
          <w:tab w:val="right" w:leader="dot" w:pos="9070"/>
        </w:tabs>
        <w:rPr>
          <w:color w:val="auto"/>
          <w:sz w:val="32"/>
          <w:szCs w:val="36"/>
          <w:highlight w:val="none"/>
        </w:rPr>
      </w:pPr>
      <w:r>
        <w:rPr>
          <w:rFonts w:ascii="宋体" w:hAnsi="宋体"/>
          <w:color w:val="auto"/>
          <w:sz w:val="32"/>
          <w:szCs w:val="36"/>
          <w:highlight w:val="none"/>
        </w:rPr>
        <w:fldChar w:fldCharType="begin"/>
      </w:r>
      <w:r>
        <w:rPr>
          <w:rFonts w:ascii="宋体" w:hAnsi="宋体"/>
          <w:color w:val="auto"/>
          <w:sz w:val="32"/>
          <w:szCs w:val="36"/>
          <w:highlight w:val="none"/>
        </w:rPr>
        <w:instrText xml:space="preserve"> HYPERLINK \l _Toc23027 </w:instrText>
      </w:r>
      <w:r>
        <w:rPr>
          <w:rFonts w:ascii="宋体" w:hAnsi="宋体"/>
          <w:color w:val="auto"/>
          <w:sz w:val="32"/>
          <w:szCs w:val="36"/>
          <w:highlight w:val="none"/>
        </w:rPr>
        <w:fldChar w:fldCharType="separate"/>
      </w:r>
      <w:r>
        <w:rPr>
          <w:rFonts w:ascii="宋体" w:hAnsi="宋体"/>
          <w:bCs/>
          <w:color w:val="auto"/>
          <w:sz w:val="32"/>
          <w:szCs w:val="52"/>
          <w:highlight w:val="none"/>
        </w:rPr>
        <w:t>第三章  合同条款</w:t>
      </w:r>
      <w:r>
        <w:rPr>
          <w:color w:val="auto"/>
          <w:sz w:val="32"/>
          <w:szCs w:val="36"/>
          <w:highlight w:val="none"/>
        </w:rPr>
        <w:tab/>
      </w:r>
      <w:r>
        <w:rPr>
          <w:color w:val="auto"/>
          <w:sz w:val="32"/>
          <w:szCs w:val="36"/>
          <w:highlight w:val="none"/>
        </w:rPr>
        <w:fldChar w:fldCharType="begin"/>
      </w:r>
      <w:r>
        <w:rPr>
          <w:color w:val="auto"/>
          <w:sz w:val="32"/>
          <w:szCs w:val="36"/>
          <w:highlight w:val="none"/>
        </w:rPr>
        <w:instrText xml:space="preserve"> PAGEREF _Toc23027 \h </w:instrText>
      </w:r>
      <w:r>
        <w:rPr>
          <w:color w:val="auto"/>
          <w:sz w:val="32"/>
          <w:szCs w:val="36"/>
          <w:highlight w:val="none"/>
        </w:rPr>
        <w:fldChar w:fldCharType="separate"/>
      </w:r>
      <w:r>
        <w:rPr>
          <w:color w:val="auto"/>
          <w:sz w:val="32"/>
          <w:szCs w:val="36"/>
          <w:highlight w:val="none"/>
        </w:rPr>
        <w:t>70</w:t>
      </w:r>
      <w:r>
        <w:rPr>
          <w:color w:val="auto"/>
          <w:sz w:val="32"/>
          <w:szCs w:val="36"/>
          <w:highlight w:val="none"/>
        </w:rPr>
        <w:fldChar w:fldCharType="end"/>
      </w:r>
      <w:r>
        <w:rPr>
          <w:rFonts w:ascii="宋体" w:hAnsi="宋体"/>
          <w:color w:val="auto"/>
          <w:sz w:val="32"/>
          <w:szCs w:val="36"/>
          <w:highlight w:val="none"/>
        </w:rPr>
        <w:fldChar w:fldCharType="end"/>
      </w:r>
    </w:p>
    <w:p w14:paraId="31DE31BE">
      <w:pPr>
        <w:pStyle w:val="21"/>
        <w:tabs>
          <w:tab w:val="right" w:leader="dot" w:pos="9070"/>
        </w:tabs>
        <w:rPr>
          <w:color w:val="auto"/>
          <w:sz w:val="32"/>
          <w:szCs w:val="36"/>
          <w:highlight w:val="none"/>
        </w:rPr>
      </w:pPr>
      <w:r>
        <w:rPr>
          <w:rFonts w:ascii="宋体" w:hAnsi="宋体"/>
          <w:color w:val="auto"/>
          <w:sz w:val="32"/>
          <w:szCs w:val="36"/>
          <w:highlight w:val="none"/>
        </w:rPr>
        <w:fldChar w:fldCharType="begin"/>
      </w:r>
      <w:r>
        <w:rPr>
          <w:rFonts w:ascii="宋体" w:hAnsi="宋体"/>
          <w:color w:val="auto"/>
          <w:sz w:val="32"/>
          <w:szCs w:val="36"/>
          <w:highlight w:val="none"/>
        </w:rPr>
        <w:instrText xml:space="preserve"> HYPERLINK \l _Toc16855 </w:instrText>
      </w:r>
      <w:r>
        <w:rPr>
          <w:rFonts w:ascii="宋体" w:hAnsi="宋体"/>
          <w:color w:val="auto"/>
          <w:sz w:val="32"/>
          <w:szCs w:val="36"/>
          <w:highlight w:val="none"/>
        </w:rPr>
        <w:fldChar w:fldCharType="separate"/>
      </w:r>
      <w:r>
        <w:rPr>
          <w:rFonts w:hint="eastAsia" w:ascii="宋体" w:hAnsi="宋体" w:cs="宋体"/>
          <w:color w:val="auto"/>
          <w:sz w:val="32"/>
          <w:szCs w:val="48"/>
          <w:highlight w:val="none"/>
        </w:rPr>
        <w:t>第四章  投标文件格式</w:t>
      </w:r>
      <w:r>
        <w:rPr>
          <w:color w:val="auto"/>
          <w:sz w:val="32"/>
          <w:szCs w:val="36"/>
          <w:highlight w:val="none"/>
        </w:rPr>
        <w:tab/>
      </w:r>
      <w:r>
        <w:rPr>
          <w:color w:val="auto"/>
          <w:sz w:val="32"/>
          <w:szCs w:val="36"/>
          <w:highlight w:val="none"/>
        </w:rPr>
        <w:fldChar w:fldCharType="begin"/>
      </w:r>
      <w:r>
        <w:rPr>
          <w:color w:val="auto"/>
          <w:sz w:val="32"/>
          <w:szCs w:val="36"/>
          <w:highlight w:val="none"/>
        </w:rPr>
        <w:instrText xml:space="preserve"> PAGEREF _Toc16855 \h </w:instrText>
      </w:r>
      <w:r>
        <w:rPr>
          <w:color w:val="auto"/>
          <w:sz w:val="32"/>
          <w:szCs w:val="36"/>
          <w:highlight w:val="none"/>
        </w:rPr>
        <w:fldChar w:fldCharType="separate"/>
      </w:r>
      <w:r>
        <w:rPr>
          <w:color w:val="auto"/>
          <w:sz w:val="32"/>
          <w:szCs w:val="36"/>
          <w:highlight w:val="none"/>
        </w:rPr>
        <w:t>71</w:t>
      </w:r>
      <w:r>
        <w:rPr>
          <w:color w:val="auto"/>
          <w:sz w:val="32"/>
          <w:szCs w:val="36"/>
          <w:highlight w:val="none"/>
        </w:rPr>
        <w:fldChar w:fldCharType="end"/>
      </w:r>
      <w:r>
        <w:rPr>
          <w:rFonts w:ascii="宋体" w:hAnsi="宋体"/>
          <w:color w:val="auto"/>
          <w:sz w:val="32"/>
          <w:szCs w:val="36"/>
          <w:highlight w:val="none"/>
        </w:rPr>
        <w:fldChar w:fldCharType="end"/>
      </w:r>
    </w:p>
    <w:p w14:paraId="46CC112B">
      <w:pPr>
        <w:pStyle w:val="21"/>
        <w:tabs>
          <w:tab w:val="right" w:leader="dot" w:pos="9070"/>
        </w:tabs>
        <w:rPr>
          <w:color w:val="auto"/>
          <w:sz w:val="32"/>
          <w:szCs w:val="36"/>
          <w:highlight w:val="none"/>
        </w:rPr>
      </w:pPr>
      <w:r>
        <w:rPr>
          <w:rFonts w:ascii="宋体" w:hAnsi="宋体"/>
          <w:color w:val="auto"/>
          <w:sz w:val="32"/>
          <w:szCs w:val="36"/>
          <w:highlight w:val="none"/>
        </w:rPr>
        <w:fldChar w:fldCharType="begin"/>
      </w:r>
      <w:r>
        <w:rPr>
          <w:rFonts w:ascii="宋体" w:hAnsi="宋体"/>
          <w:color w:val="auto"/>
          <w:sz w:val="32"/>
          <w:szCs w:val="36"/>
          <w:highlight w:val="none"/>
        </w:rPr>
        <w:instrText xml:space="preserve"> HYPERLINK \l _Toc4740 </w:instrText>
      </w:r>
      <w:r>
        <w:rPr>
          <w:rFonts w:ascii="宋体" w:hAnsi="宋体"/>
          <w:color w:val="auto"/>
          <w:sz w:val="32"/>
          <w:szCs w:val="36"/>
          <w:highlight w:val="none"/>
        </w:rPr>
        <w:fldChar w:fldCharType="separate"/>
      </w:r>
      <w:r>
        <w:rPr>
          <w:bCs/>
          <w:color w:val="auto"/>
          <w:sz w:val="32"/>
          <w:szCs w:val="36"/>
          <w:highlight w:val="none"/>
        </w:rPr>
        <w:t>第五章  技术条件（工程建设标准）</w:t>
      </w:r>
      <w:r>
        <w:rPr>
          <w:color w:val="auto"/>
          <w:sz w:val="32"/>
          <w:szCs w:val="36"/>
          <w:highlight w:val="none"/>
        </w:rPr>
        <w:tab/>
      </w:r>
      <w:r>
        <w:rPr>
          <w:color w:val="auto"/>
          <w:sz w:val="32"/>
          <w:szCs w:val="36"/>
          <w:highlight w:val="none"/>
        </w:rPr>
        <w:fldChar w:fldCharType="begin"/>
      </w:r>
      <w:r>
        <w:rPr>
          <w:color w:val="auto"/>
          <w:sz w:val="32"/>
          <w:szCs w:val="36"/>
          <w:highlight w:val="none"/>
        </w:rPr>
        <w:instrText xml:space="preserve"> PAGEREF _Toc4740 \h </w:instrText>
      </w:r>
      <w:r>
        <w:rPr>
          <w:color w:val="auto"/>
          <w:sz w:val="32"/>
          <w:szCs w:val="36"/>
          <w:highlight w:val="none"/>
        </w:rPr>
        <w:fldChar w:fldCharType="separate"/>
      </w:r>
      <w:r>
        <w:rPr>
          <w:color w:val="auto"/>
          <w:sz w:val="32"/>
          <w:szCs w:val="36"/>
          <w:highlight w:val="none"/>
        </w:rPr>
        <w:t>106</w:t>
      </w:r>
      <w:r>
        <w:rPr>
          <w:color w:val="auto"/>
          <w:sz w:val="32"/>
          <w:szCs w:val="36"/>
          <w:highlight w:val="none"/>
        </w:rPr>
        <w:fldChar w:fldCharType="end"/>
      </w:r>
      <w:r>
        <w:rPr>
          <w:rFonts w:ascii="宋体" w:hAnsi="宋体"/>
          <w:color w:val="auto"/>
          <w:sz w:val="32"/>
          <w:szCs w:val="36"/>
          <w:highlight w:val="none"/>
        </w:rPr>
        <w:fldChar w:fldCharType="end"/>
      </w:r>
    </w:p>
    <w:p w14:paraId="25E32758">
      <w:pPr>
        <w:pStyle w:val="21"/>
        <w:tabs>
          <w:tab w:val="right" w:leader="dot" w:pos="9070"/>
        </w:tabs>
        <w:rPr>
          <w:color w:val="auto"/>
          <w:sz w:val="32"/>
          <w:szCs w:val="36"/>
          <w:highlight w:val="none"/>
        </w:rPr>
      </w:pPr>
      <w:r>
        <w:rPr>
          <w:rFonts w:ascii="宋体" w:hAnsi="宋体"/>
          <w:color w:val="auto"/>
          <w:sz w:val="32"/>
          <w:szCs w:val="36"/>
          <w:highlight w:val="none"/>
        </w:rPr>
        <w:fldChar w:fldCharType="begin"/>
      </w:r>
      <w:r>
        <w:rPr>
          <w:rFonts w:ascii="宋体" w:hAnsi="宋体"/>
          <w:color w:val="auto"/>
          <w:sz w:val="32"/>
          <w:szCs w:val="36"/>
          <w:highlight w:val="none"/>
        </w:rPr>
        <w:instrText xml:space="preserve"> HYPERLINK \l _Toc4449 </w:instrText>
      </w:r>
      <w:r>
        <w:rPr>
          <w:rFonts w:ascii="宋体" w:hAnsi="宋体"/>
          <w:color w:val="auto"/>
          <w:sz w:val="32"/>
          <w:szCs w:val="36"/>
          <w:highlight w:val="none"/>
        </w:rPr>
        <w:fldChar w:fldCharType="separate"/>
      </w:r>
      <w:r>
        <w:rPr>
          <w:bCs/>
          <w:color w:val="auto"/>
          <w:sz w:val="32"/>
          <w:szCs w:val="36"/>
          <w:highlight w:val="none"/>
        </w:rPr>
        <w:t>第六章  图纸及勘察资料</w:t>
      </w:r>
      <w:r>
        <w:rPr>
          <w:color w:val="auto"/>
          <w:sz w:val="32"/>
          <w:szCs w:val="36"/>
          <w:highlight w:val="none"/>
        </w:rPr>
        <w:tab/>
      </w:r>
      <w:r>
        <w:rPr>
          <w:color w:val="auto"/>
          <w:sz w:val="32"/>
          <w:szCs w:val="36"/>
          <w:highlight w:val="none"/>
        </w:rPr>
        <w:fldChar w:fldCharType="begin"/>
      </w:r>
      <w:r>
        <w:rPr>
          <w:color w:val="auto"/>
          <w:sz w:val="32"/>
          <w:szCs w:val="36"/>
          <w:highlight w:val="none"/>
        </w:rPr>
        <w:instrText xml:space="preserve"> PAGEREF _Toc4449 \h </w:instrText>
      </w:r>
      <w:r>
        <w:rPr>
          <w:color w:val="auto"/>
          <w:sz w:val="32"/>
          <w:szCs w:val="36"/>
          <w:highlight w:val="none"/>
        </w:rPr>
        <w:fldChar w:fldCharType="separate"/>
      </w:r>
      <w:r>
        <w:rPr>
          <w:color w:val="auto"/>
          <w:sz w:val="32"/>
          <w:szCs w:val="36"/>
          <w:highlight w:val="none"/>
        </w:rPr>
        <w:t>112</w:t>
      </w:r>
      <w:r>
        <w:rPr>
          <w:color w:val="auto"/>
          <w:sz w:val="32"/>
          <w:szCs w:val="36"/>
          <w:highlight w:val="none"/>
        </w:rPr>
        <w:fldChar w:fldCharType="end"/>
      </w:r>
      <w:r>
        <w:rPr>
          <w:rFonts w:ascii="宋体" w:hAnsi="宋体"/>
          <w:color w:val="auto"/>
          <w:sz w:val="32"/>
          <w:szCs w:val="36"/>
          <w:highlight w:val="none"/>
        </w:rPr>
        <w:fldChar w:fldCharType="end"/>
      </w:r>
    </w:p>
    <w:p w14:paraId="677D7CEC">
      <w:pPr>
        <w:pStyle w:val="21"/>
        <w:tabs>
          <w:tab w:val="right" w:leader="dot" w:pos="9070"/>
        </w:tabs>
        <w:rPr>
          <w:color w:val="auto"/>
          <w:sz w:val="32"/>
          <w:szCs w:val="36"/>
          <w:highlight w:val="none"/>
        </w:rPr>
      </w:pPr>
      <w:r>
        <w:rPr>
          <w:rFonts w:ascii="宋体" w:hAnsi="宋体"/>
          <w:color w:val="auto"/>
          <w:sz w:val="32"/>
          <w:szCs w:val="36"/>
          <w:highlight w:val="none"/>
        </w:rPr>
        <w:fldChar w:fldCharType="begin"/>
      </w:r>
      <w:r>
        <w:rPr>
          <w:rFonts w:ascii="宋体" w:hAnsi="宋体"/>
          <w:color w:val="auto"/>
          <w:sz w:val="32"/>
          <w:szCs w:val="36"/>
          <w:highlight w:val="none"/>
        </w:rPr>
        <w:instrText xml:space="preserve"> HYPERLINK \l _Toc25680 </w:instrText>
      </w:r>
      <w:r>
        <w:rPr>
          <w:rFonts w:ascii="宋体" w:hAnsi="宋体"/>
          <w:color w:val="auto"/>
          <w:sz w:val="32"/>
          <w:szCs w:val="36"/>
          <w:highlight w:val="none"/>
        </w:rPr>
        <w:fldChar w:fldCharType="separate"/>
      </w:r>
      <w:r>
        <w:rPr>
          <w:bCs/>
          <w:color w:val="auto"/>
          <w:sz w:val="32"/>
          <w:szCs w:val="36"/>
          <w:highlight w:val="none"/>
        </w:rPr>
        <w:t>第七章  工程量清单</w:t>
      </w:r>
      <w:r>
        <w:rPr>
          <w:color w:val="auto"/>
          <w:sz w:val="32"/>
          <w:szCs w:val="36"/>
          <w:highlight w:val="none"/>
        </w:rPr>
        <w:tab/>
      </w:r>
      <w:r>
        <w:rPr>
          <w:color w:val="auto"/>
          <w:sz w:val="32"/>
          <w:szCs w:val="36"/>
          <w:highlight w:val="none"/>
        </w:rPr>
        <w:fldChar w:fldCharType="begin"/>
      </w:r>
      <w:r>
        <w:rPr>
          <w:color w:val="auto"/>
          <w:sz w:val="32"/>
          <w:szCs w:val="36"/>
          <w:highlight w:val="none"/>
        </w:rPr>
        <w:instrText xml:space="preserve"> PAGEREF _Toc25680 \h </w:instrText>
      </w:r>
      <w:r>
        <w:rPr>
          <w:color w:val="auto"/>
          <w:sz w:val="32"/>
          <w:szCs w:val="36"/>
          <w:highlight w:val="none"/>
        </w:rPr>
        <w:fldChar w:fldCharType="separate"/>
      </w:r>
      <w:r>
        <w:rPr>
          <w:color w:val="auto"/>
          <w:sz w:val="32"/>
          <w:szCs w:val="36"/>
          <w:highlight w:val="none"/>
        </w:rPr>
        <w:t>113</w:t>
      </w:r>
      <w:r>
        <w:rPr>
          <w:color w:val="auto"/>
          <w:sz w:val="32"/>
          <w:szCs w:val="36"/>
          <w:highlight w:val="none"/>
        </w:rPr>
        <w:fldChar w:fldCharType="end"/>
      </w:r>
      <w:r>
        <w:rPr>
          <w:rFonts w:ascii="宋体" w:hAnsi="宋体"/>
          <w:color w:val="auto"/>
          <w:sz w:val="32"/>
          <w:szCs w:val="36"/>
          <w:highlight w:val="none"/>
        </w:rPr>
        <w:fldChar w:fldCharType="end"/>
      </w:r>
    </w:p>
    <w:p w14:paraId="599B68AE">
      <w:pPr>
        <w:pStyle w:val="21"/>
        <w:tabs>
          <w:tab w:val="right" w:leader="dot" w:pos="9070"/>
        </w:tabs>
        <w:rPr>
          <w:color w:val="auto"/>
          <w:sz w:val="32"/>
          <w:szCs w:val="36"/>
          <w:highlight w:val="none"/>
        </w:rPr>
      </w:pPr>
      <w:r>
        <w:rPr>
          <w:rFonts w:ascii="宋体" w:hAnsi="宋体"/>
          <w:color w:val="auto"/>
          <w:sz w:val="32"/>
          <w:szCs w:val="36"/>
          <w:highlight w:val="none"/>
        </w:rPr>
        <w:fldChar w:fldCharType="begin"/>
      </w:r>
      <w:r>
        <w:rPr>
          <w:rFonts w:ascii="宋体" w:hAnsi="宋体"/>
          <w:color w:val="auto"/>
          <w:sz w:val="32"/>
          <w:szCs w:val="36"/>
          <w:highlight w:val="none"/>
        </w:rPr>
        <w:instrText xml:space="preserve"> HYPERLINK \l _Toc22109 </w:instrText>
      </w:r>
      <w:r>
        <w:rPr>
          <w:rFonts w:ascii="宋体" w:hAnsi="宋体"/>
          <w:color w:val="auto"/>
          <w:sz w:val="32"/>
          <w:szCs w:val="36"/>
          <w:highlight w:val="none"/>
        </w:rPr>
        <w:fldChar w:fldCharType="separate"/>
      </w:r>
      <w:r>
        <w:rPr>
          <w:rFonts w:ascii="宋体" w:hAnsi="宋体"/>
          <w:bCs/>
          <w:color w:val="auto"/>
          <w:sz w:val="32"/>
          <w:szCs w:val="36"/>
          <w:highlight w:val="none"/>
        </w:rPr>
        <w:t>第八章  最高投标限价</w:t>
      </w:r>
      <w:r>
        <w:rPr>
          <w:color w:val="auto"/>
          <w:sz w:val="32"/>
          <w:szCs w:val="36"/>
          <w:highlight w:val="none"/>
        </w:rPr>
        <w:tab/>
      </w:r>
      <w:r>
        <w:rPr>
          <w:color w:val="auto"/>
          <w:sz w:val="32"/>
          <w:szCs w:val="36"/>
          <w:highlight w:val="none"/>
        </w:rPr>
        <w:fldChar w:fldCharType="begin"/>
      </w:r>
      <w:r>
        <w:rPr>
          <w:color w:val="auto"/>
          <w:sz w:val="32"/>
          <w:szCs w:val="36"/>
          <w:highlight w:val="none"/>
        </w:rPr>
        <w:instrText xml:space="preserve"> PAGEREF _Toc22109 \h </w:instrText>
      </w:r>
      <w:r>
        <w:rPr>
          <w:color w:val="auto"/>
          <w:sz w:val="32"/>
          <w:szCs w:val="36"/>
          <w:highlight w:val="none"/>
        </w:rPr>
        <w:fldChar w:fldCharType="separate"/>
      </w:r>
      <w:r>
        <w:rPr>
          <w:color w:val="auto"/>
          <w:sz w:val="32"/>
          <w:szCs w:val="36"/>
          <w:highlight w:val="none"/>
        </w:rPr>
        <w:t>114</w:t>
      </w:r>
      <w:r>
        <w:rPr>
          <w:color w:val="auto"/>
          <w:sz w:val="32"/>
          <w:szCs w:val="36"/>
          <w:highlight w:val="none"/>
        </w:rPr>
        <w:fldChar w:fldCharType="end"/>
      </w:r>
      <w:r>
        <w:rPr>
          <w:rFonts w:ascii="宋体" w:hAnsi="宋体"/>
          <w:color w:val="auto"/>
          <w:sz w:val="32"/>
          <w:szCs w:val="36"/>
          <w:highlight w:val="none"/>
        </w:rPr>
        <w:fldChar w:fldCharType="end"/>
      </w:r>
    </w:p>
    <w:p w14:paraId="6DCDE1A3">
      <w:pPr>
        <w:pStyle w:val="149"/>
        <w:spacing w:line="480" w:lineRule="auto"/>
        <w:rPr>
          <w:rFonts w:ascii="宋体" w:hAnsi="宋体"/>
          <w:color w:val="auto"/>
          <w:sz w:val="32"/>
          <w:szCs w:val="36"/>
          <w:highlight w:val="none"/>
        </w:rPr>
      </w:pPr>
      <w:r>
        <w:rPr>
          <w:rFonts w:ascii="宋体" w:hAnsi="宋体"/>
          <w:color w:val="auto"/>
          <w:sz w:val="32"/>
          <w:szCs w:val="36"/>
          <w:highlight w:val="none"/>
        </w:rPr>
        <w:fldChar w:fldCharType="end"/>
      </w:r>
    </w:p>
    <w:p w14:paraId="7E0F7397">
      <w:pPr>
        <w:pStyle w:val="134"/>
        <w:spacing w:line="276" w:lineRule="auto"/>
        <w:outlineLvl w:val="0"/>
        <w:rPr>
          <w:rStyle w:val="127"/>
          <w:rFonts w:ascii="宋体" w:hAnsi="宋体"/>
          <w:bCs/>
          <w:color w:val="auto"/>
          <w:highlight w:val="none"/>
        </w:rPr>
      </w:pPr>
      <w:r>
        <w:rPr>
          <w:rStyle w:val="127"/>
          <w:rFonts w:ascii="宋体" w:hAnsi="宋体"/>
          <w:b w:val="0"/>
          <w:color w:val="auto"/>
          <w:highlight w:val="none"/>
        </w:rPr>
        <w:br w:type="page"/>
      </w:r>
      <w:bookmarkStart w:id="0" w:name="_Toc185324313"/>
      <w:bookmarkStart w:id="1" w:name="_Toc23555"/>
      <w:r>
        <w:rPr>
          <w:rStyle w:val="127"/>
          <w:rFonts w:ascii="宋体" w:hAnsi="宋体"/>
          <w:bCs/>
          <w:color w:val="auto"/>
          <w:highlight w:val="none"/>
        </w:rPr>
        <w:t>第一章  投标须知</w:t>
      </w:r>
      <w:bookmarkEnd w:id="0"/>
      <w:bookmarkEnd w:id="1"/>
    </w:p>
    <w:p w14:paraId="5953A60E">
      <w:pPr>
        <w:pStyle w:val="141"/>
        <w:spacing w:line="276" w:lineRule="auto"/>
        <w:outlineLvl w:val="1"/>
        <w:rPr>
          <w:rStyle w:val="127"/>
          <w:rFonts w:ascii="宋体" w:hAnsi="宋体"/>
          <w:b/>
          <w:color w:val="auto"/>
          <w:sz w:val="21"/>
          <w:szCs w:val="21"/>
          <w:highlight w:val="none"/>
        </w:rPr>
      </w:pPr>
      <w:bookmarkStart w:id="2" w:name="_Toc185324314"/>
      <w:r>
        <w:rPr>
          <w:rStyle w:val="127"/>
          <w:rFonts w:ascii="宋体" w:hAnsi="宋体"/>
          <w:b/>
          <w:color w:val="auto"/>
          <w:sz w:val="21"/>
          <w:szCs w:val="21"/>
          <w:highlight w:val="none"/>
        </w:rPr>
        <w:t>一、投标须知前附表</w:t>
      </w:r>
      <w:bookmarkEnd w:id="2"/>
    </w:p>
    <w:p w14:paraId="54AE5105">
      <w:pPr>
        <w:pStyle w:val="63"/>
        <w:spacing w:line="276" w:lineRule="auto"/>
        <w:ind w:firstLine="0"/>
        <w:rPr>
          <w:rStyle w:val="127"/>
          <w:rFonts w:ascii="宋体" w:hAnsi="宋体"/>
          <w:b/>
          <w:color w:val="auto"/>
          <w:szCs w:val="21"/>
          <w:highlight w:val="none"/>
        </w:rPr>
      </w:pPr>
      <w:r>
        <w:rPr>
          <w:rStyle w:val="127"/>
          <w:rFonts w:ascii="宋体" w:hAnsi="宋体"/>
          <w:b/>
          <w:color w:val="auto"/>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27"/>
        <w:tblW w:w="9100" w:type="dxa"/>
        <w:tblInd w:w="-1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57"/>
        <w:gridCol w:w="981"/>
        <w:gridCol w:w="1552"/>
        <w:gridCol w:w="5910"/>
      </w:tblGrid>
      <w:tr w14:paraId="10581A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noWrap w:val="0"/>
            <w:vAlign w:val="center"/>
          </w:tcPr>
          <w:p w14:paraId="5AF15EA2">
            <w:pPr>
              <w:spacing w:line="276" w:lineRule="auto"/>
              <w:ind w:left="62" w:right="62"/>
              <w:jc w:val="center"/>
              <w:rPr>
                <w:rStyle w:val="127"/>
                <w:rFonts w:ascii="宋体" w:hAnsi="宋体"/>
                <w:b/>
                <w:color w:val="auto"/>
                <w:szCs w:val="21"/>
                <w:highlight w:val="none"/>
              </w:rPr>
            </w:pPr>
            <w:r>
              <w:rPr>
                <w:rStyle w:val="127"/>
                <w:rFonts w:ascii="宋体" w:hAnsi="宋体"/>
                <w:b/>
                <w:color w:val="auto"/>
                <w:szCs w:val="21"/>
                <w:highlight w:val="none"/>
              </w:rPr>
              <w:t>项目</w:t>
            </w:r>
          </w:p>
        </w:tc>
        <w:tc>
          <w:tcPr>
            <w:tcW w:w="981" w:type="dxa"/>
            <w:noWrap w:val="0"/>
            <w:vAlign w:val="center"/>
          </w:tcPr>
          <w:p w14:paraId="55149FC9">
            <w:pPr>
              <w:spacing w:line="276" w:lineRule="auto"/>
              <w:ind w:left="62" w:right="62"/>
              <w:jc w:val="center"/>
              <w:rPr>
                <w:rStyle w:val="127"/>
                <w:rFonts w:ascii="宋体" w:hAnsi="宋体"/>
                <w:b/>
                <w:color w:val="auto"/>
                <w:szCs w:val="21"/>
                <w:highlight w:val="none"/>
              </w:rPr>
            </w:pPr>
            <w:r>
              <w:rPr>
                <w:rStyle w:val="127"/>
                <w:rFonts w:ascii="宋体" w:hAnsi="宋体"/>
                <w:b/>
                <w:color w:val="auto"/>
                <w:szCs w:val="21"/>
                <w:highlight w:val="none"/>
              </w:rPr>
              <w:t>条款号</w:t>
            </w:r>
          </w:p>
        </w:tc>
        <w:tc>
          <w:tcPr>
            <w:tcW w:w="1552" w:type="dxa"/>
            <w:noWrap w:val="0"/>
            <w:vAlign w:val="center"/>
          </w:tcPr>
          <w:p w14:paraId="6E274E6C">
            <w:pPr>
              <w:spacing w:line="276" w:lineRule="auto"/>
              <w:ind w:left="62" w:right="62"/>
              <w:jc w:val="center"/>
              <w:rPr>
                <w:rStyle w:val="127"/>
                <w:rFonts w:ascii="宋体" w:hAnsi="宋体"/>
                <w:b/>
                <w:color w:val="auto"/>
                <w:szCs w:val="21"/>
                <w:highlight w:val="none"/>
              </w:rPr>
            </w:pPr>
            <w:r>
              <w:rPr>
                <w:rStyle w:val="127"/>
                <w:rFonts w:ascii="宋体" w:hAnsi="宋体"/>
                <w:b/>
                <w:color w:val="auto"/>
                <w:szCs w:val="21"/>
                <w:highlight w:val="none"/>
              </w:rPr>
              <w:t>内容</w:t>
            </w:r>
          </w:p>
        </w:tc>
        <w:tc>
          <w:tcPr>
            <w:tcW w:w="5910" w:type="dxa"/>
            <w:noWrap w:val="0"/>
            <w:vAlign w:val="center"/>
          </w:tcPr>
          <w:p w14:paraId="1587CE4D">
            <w:pPr>
              <w:pStyle w:val="17"/>
              <w:spacing w:line="276" w:lineRule="auto"/>
              <w:ind w:left="62" w:right="62" w:firstLine="17"/>
              <w:jc w:val="center"/>
              <w:rPr>
                <w:rStyle w:val="127"/>
                <w:rFonts w:ascii="宋体" w:hAnsi="宋体"/>
                <w:b/>
                <w:color w:val="auto"/>
                <w:kern w:val="2"/>
                <w:sz w:val="21"/>
                <w:szCs w:val="21"/>
                <w:highlight w:val="none"/>
              </w:rPr>
            </w:pPr>
            <w:r>
              <w:rPr>
                <w:rStyle w:val="127"/>
                <w:rFonts w:ascii="宋体" w:hAnsi="宋体"/>
                <w:b/>
                <w:color w:val="auto"/>
                <w:kern w:val="2"/>
                <w:sz w:val="21"/>
                <w:szCs w:val="21"/>
                <w:highlight w:val="none"/>
              </w:rPr>
              <w:t>说明与要求</w:t>
            </w:r>
          </w:p>
        </w:tc>
      </w:tr>
      <w:tr w14:paraId="53416D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noWrap w:val="0"/>
            <w:vAlign w:val="center"/>
          </w:tcPr>
          <w:p w14:paraId="27B470B6">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1</w:t>
            </w:r>
          </w:p>
        </w:tc>
        <w:tc>
          <w:tcPr>
            <w:tcW w:w="981" w:type="dxa"/>
            <w:noWrap w:val="0"/>
            <w:vAlign w:val="center"/>
          </w:tcPr>
          <w:p w14:paraId="08249DB5">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1</w:t>
            </w:r>
          </w:p>
        </w:tc>
        <w:tc>
          <w:tcPr>
            <w:tcW w:w="1552" w:type="dxa"/>
            <w:noWrap w:val="0"/>
            <w:vAlign w:val="center"/>
          </w:tcPr>
          <w:p w14:paraId="42C0B46C">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定义</w:t>
            </w:r>
          </w:p>
        </w:tc>
        <w:tc>
          <w:tcPr>
            <w:tcW w:w="5910" w:type="dxa"/>
            <w:noWrap w:val="0"/>
            <w:vAlign w:val="center"/>
          </w:tcPr>
          <w:p w14:paraId="3A900281">
            <w:pPr>
              <w:spacing w:line="276" w:lineRule="auto"/>
              <w:ind w:left="62" w:right="62"/>
              <w:rPr>
                <w:rFonts w:hint="eastAsia" w:ascii="宋体" w:hAnsi="宋体" w:eastAsia="宋体"/>
                <w:color w:val="auto"/>
                <w:szCs w:val="21"/>
                <w:highlight w:val="none"/>
                <w:lang w:eastAsia="zh-CN"/>
              </w:rPr>
            </w:pPr>
            <w:r>
              <w:rPr>
                <w:rFonts w:hint="eastAsia" w:ascii="宋体" w:hAnsi="宋体"/>
                <w:color w:val="auto"/>
                <w:szCs w:val="21"/>
                <w:highlight w:val="none"/>
              </w:rPr>
              <w:t>招标人（即发包人）：</w:t>
            </w:r>
            <w:r>
              <w:rPr>
                <w:rFonts w:hint="eastAsia" w:ascii="宋体" w:hAnsi="宋体"/>
                <w:color w:val="auto"/>
                <w:szCs w:val="21"/>
                <w:highlight w:val="none"/>
                <w:u w:val="single"/>
                <w:lang w:eastAsia="zh-CN"/>
              </w:rPr>
              <w:t>中山大学附属第一医院</w:t>
            </w:r>
          </w:p>
          <w:p w14:paraId="108A5048">
            <w:pPr>
              <w:spacing w:line="276" w:lineRule="auto"/>
              <w:ind w:left="62" w:right="62"/>
              <w:rPr>
                <w:rFonts w:hint="eastAsia" w:ascii="宋体" w:hAnsi="宋体"/>
                <w:color w:val="auto"/>
                <w:szCs w:val="21"/>
                <w:highlight w:val="none"/>
              </w:rPr>
            </w:pPr>
            <w:r>
              <w:rPr>
                <w:rFonts w:hint="eastAsia" w:ascii="宋体" w:hAnsi="宋体"/>
                <w:color w:val="auto"/>
                <w:szCs w:val="21"/>
                <w:highlight w:val="none"/>
              </w:rPr>
              <w:t>招标代理：</w:t>
            </w:r>
            <w:r>
              <w:rPr>
                <w:rFonts w:hint="eastAsia" w:ascii="宋体" w:hAnsi="宋体"/>
                <w:color w:val="auto"/>
                <w:szCs w:val="21"/>
                <w:highlight w:val="none"/>
                <w:u w:val="single"/>
              </w:rPr>
              <w:t>广东省机电设备招标有限公司</w:t>
            </w:r>
          </w:p>
          <w:p w14:paraId="7A3FE787">
            <w:pPr>
              <w:spacing w:line="276" w:lineRule="auto"/>
              <w:ind w:left="62" w:right="62"/>
              <w:rPr>
                <w:rFonts w:ascii="宋体" w:hAnsi="宋体"/>
                <w:color w:val="auto"/>
                <w:szCs w:val="21"/>
                <w:highlight w:val="none"/>
                <w:u w:val="single"/>
              </w:rPr>
            </w:pPr>
            <w:r>
              <w:rPr>
                <w:rFonts w:hint="eastAsia" w:ascii="宋体" w:hAnsi="宋体"/>
                <w:color w:val="auto"/>
                <w:szCs w:val="21"/>
                <w:highlight w:val="none"/>
              </w:rPr>
              <w:t>设计单位：</w:t>
            </w:r>
            <w:r>
              <w:rPr>
                <w:rFonts w:hint="eastAsia" w:ascii="宋体" w:hAnsi="宋体"/>
                <w:color w:val="auto"/>
                <w:szCs w:val="21"/>
                <w:highlight w:val="none"/>
                <w:u w:val="single"/>
              </w:rPr>
              <w:t>广东省建科建筑设计院有限公司</w:t>
            </w:r>
            <w:bookmarkStart w:id="48" w:name="_GoBack"/>
            <w:bookmarkEnd w:id="48"/>
          </w:p>
          <w:p w14:paraId="438DF1BE">
            <w:pPr>
              <w:spacing w:line="276" w:lineRule="auto"/>
              <w:ind w:left="62" w:right="62"/>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监理单位：</w:t>
            </w:r>
            <w:r>
              <w:rPr>
                <w:rFonts w:hint="eastAsia" w:ascii="宋体" w:hAnsi="宋体"/>
                <w:color w:val="auto"/>
                <w:szCs w:val="21"/>
                <w:highlight w:val="none"/>
                <w:u w:val="single"/>
                <w:lang w:val="en-US" w:eastAsia="zh-CN"/>
              </w:rPr>
              <w:t>另行通知</w:t>
            </w:r>
          </w:p>
          <w:p w14:paraId="0043556B">
            <w:pPr>
              <w:pStyle w:val="149"/>
              <w:spacing w:line="276" w:lineRule="auto"/>
              <w:ind w:left="62" w:right="62"/>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检测机构：</w:t>
            </w:r>
            <w:r>
              <w:rPr>
                <w:rFonts w:hint="eastAsia" w:ascii="宋体" w:hAnsi="宋体"/>
                <w:color w:val="auto"/>
                <w:szCs w:val="21"/>
                <w:highlight w:val="none"/>
                <w:u w:val="single"/>
                <w:lang w:val="en-US" w:eastAsia="zh-CN"/>
              </w:rPr>
              <w:t>另行通知</w:t>
            </w:r>
          </w:p>
          <w:p w14:paraId="36C79710">
            <w:pPr>
              <w:pStyle w:val="149"/>
              <w:spacing w:line="276" w:lineRule="auto"/>
              <w:ind w:left="62" w:right="62"/>
              <w:rPr>
                <w:color w:val="auto"/>
                <w:highlight w:val="none"/>
              </w:rPr>
            </w:pPr>
            <w:r>
              <w:rPr>
                <w:rFonts w:hint="eastAsia" w:ascii="宋体" w:hAnsi="宋体"/>
                <w:color w:val="auto"/>
                <w:szCs w:val="21"/>
                <w:highlight w:val="none"/>
              </w:rPr>
              <w:t>造价单位：</w:t>
            </w:r>
            <w:r>
              <w:rPr>
                <w:rFonts w:hint="eastAsia" w:ascii="宋体" w:hAnsi="宋体"/>
                <w:color w:val="auto"/>
                <w:szCs w:val="21"/>
                <w:highlight w:val="none"/>
                <w:u w:val="single"/>
                <w:lang w:val="en-US" w:eastAsia="zh-CN"/>
              </w:rPr>
              <w:t>华联世纪工程咨询股份有限公司</w:t>
            </w:r>
          </w:p>
          <w:p w14:paraId="59BE3B64">
            <w:pPr>
              <w:pStyle w:val="149"/>
              <w:spacing w:line="276" w:lineRule="auto"/>
              <w:ind w:left="62" w:right="62"/>
              <w:rPr>
                <w:rFonts w:hint="eastAsia" w:ascii="宋体" w:hAnsi="宋体" w:eastAsia="宋体"/>
                <w:color w:val="auto"/>
                <w:szCs w:val="21"/>
                <w:highlight w:val="none"/>
                <w:u w:val="single"/>
                <w:lang w:val="en-US" w:eastAsia="zh-CN"/>
              </w:rPr>
            </w:pPr>
            <w:r>
              <w:rPr>
                <w:rFonts w:hint="eastAsia"/>
                <w:color w:val="auto"/>
                <w:highlight w:val="none"/>
              </w:rPr>
              <w:t>可研编制单位</w:t>
            </w:r>
            <w:r>
              <w:rPr>
                <w:rFonts w:hint="eastAsia"/>
                <w:color w:val="auto"/>
                <w:highlight w:val="none"/>
                <w:lang w:eastAsia="zh-CN"/>
              </w:rPr>
              <w:t>：</w:t>
            </w:r>
            <w:r>
              <w:rPr>
                <w:rFonts w:hint="eastAsia"/>
                <w:color w:val="auto"/>
                <w:highlight w:val="none"/>
                <w:u w:val="single"/>
                <w:lang w:eastAsia="zh-CN"/>
              </w:rPr>
              <w:t>广州市国际工程咨询有限公司</w:t>
            </w:r>
          </w:p>
        </w:tc>
      </w:tr>
      <w:tr w14:paraId="00452B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noWrap w:val="0"/>
            <w:vAlign w:val="center"/>
          </w:tcPr>
          <w:p w14:paraId="4A27502D">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2</w:t>
            </w:r>
          </w:p>
        </w:tc>
        <w:tc>
          <w:tcPr>
            <w:tcW w:w="981" w:type="dxa"/>
            <w:noWrap w:val="0"/>
            <w:vAlign w:val="center"/>
          </w:tcPr>
          <w:p w14:paraId="6B3C9C0C">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2.2</w:t>
            </w:r>
          </w:p>
        </w:tc>
        <w:tc>
          <w:tcPr>
            <w:tcW w:w="1552" w:type="dxa"/>
            <w:noWrap w:val="0"/>
            <w:vAlign w:val="center"/>
          </w:tcPr>
          <w:p w14:paraId="0A75FBC3">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工程名称</w:t>
            </w:r>
          </w:p>
        </w:tc>
        <w:tc>
          <w:tcPr>
            <w:tcW w:w="5910" w:type="dxa"/>
            <w:noWrap w:val="0"/>
            <w:vAlign w:val="top"/>
          </w:tcPr>
          <w:p w14:paraId="28D64293">
            <w:pPr>
              <w:ind w:left="62" w:right="62"/>
              <w:rPr>
                <w:rFonts w:hint="eastAsia" w:ascii="宋体" w:hAnsi="宋体" w:eastAsia="宋体"/>
                <w:color w:val="auto"/>
                <w:highlight w:val="none"/>
                <w:u w:val="single"/>
                <w:lang w:eastAsia="zh-CN"/>
              </w:rPr>
            </w:pPr>
            <w:r>
              <w:rPr>
                <w:rFonts w:hint="eastAsia" w:ascii="宋体" w:hAnsi="宋体"/>
                <w:color w:val="auto"/>
                <w:highlight w:val="none"/>
                <w:u w:val="single"/>
                <w:lang w:eastAsia="zh-CN"/>
              </w:rPr>
              <w:t>中山大学附属第一医院病房改造建设及能力提升项目1号楼门诊区域改造项目施工总承包</w:t>
            </w:r>
          </w:p>
        </w:tc>
      </w:tr>
      <w:tr w14:paraId="1A77D8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noWrap w:val="0"/>
            <w:vAlign w:val="center"/>
          </w:tcPr>
          <w:p w14:paraId="5D570EEF">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3</w:t>
            </w:r>
          </w:p>
        </w:tc>
        <w:tc>
          <w:tcPr>
            <w:tcW w:w="981" w:type="dxa"/>
            <w:noWrap w:val="0"/>
            <w:vAlign w:val="center"/>
          </w:tcPr>
          <w:p w14:paraId="042984CF">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2.2</w:t>
            </w:r>
          </w:p>
        </w:tc>
        <w:tc>
          <w:tcPr>
            <w:tcW w:w="1552" w:type="dxa"/>
            <w:noWrap w:val="0"/>
            <w:vAlign w:val="center"/>
          </w:tcPr>
          <w:p w14:paraId="6B68D580">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建设地点</w:t>
            </w:r>
          </w:p>
        </w:tc>
        <w:tc>
          <w:tcPr>
            <w:tcW w:w="5910" w:type="dxa"/>
            <w:noWrap w:val="0"/>
            <w:vAlign w:val="top"/>
          </w:tcPr>
          <w:p w14:paraId="5EBEED0B">
            <w:pPr>
              <w:ind w:left="62" w:right="62"/>
              <w:rPr>
                <w:rFonts w:hint="eastAsia"/>
                <w:color w:val="auto"/>
                <w:highlight w:val="none"/>
                <w:u w:val="single"/>
              </w:rPr>
            </w:pPr>
            <w:r>
              <w:rPr>
                <w:rFonts w:hint="eastAsia"/>
                <w:color w:val="auto"/>
                <w:highlight w:val="none"/>
                <w:u w:val="single"/>
              </w:rPr>
              <w:t>详见本工程招标公告。</w:t>
            </w:r>
          </w:p>
        </w:tc>
      </w:tr>
      <w:tr w14:paraId="41579A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noWrap w:val="0"/>
            <w:vAlign w:val="center"/>
          </w:tcPr>
          <w:p w14:paraId="4E097C36">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4</w:t>
            </w:r>
          </w:p>
        </w:tc>
        <w:tc>
          <w:tcPr>
            <w:tcW w:w="981" w:type="dxa"/>
            <w:noWrap w:val="0"/>
            <w:vAlign w:val="center"/>
          </w:tcPr>
          <w:p w14:paraId="13391B29">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2.2</w:t>
            </w:r>
          </w:p>
        </w:tc>
        <w:tc>
          <w:tcPr>
            <w:tcW w:w="1552" w:type="dxa"/>
            <w:noWrap w:val="0"/>
            <w:vAlign w:val="center"/>
          </w:tcPr>
          <w:p w14:paraId="03C15AAD">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建设规模</w:t>
            </w:r>
          </w:p>
        </w:tc>
        <w:tc>
          <w:tcPr>
            <w:tcW w:w="5910" w:type="dxa"/>
            <w:noWrap w:val="0"/>
            <w:vAlign w:val="top"/>
          </w:tcPr>
          <w:p w14:paraId="277D2E92">
            <w:pPr>
              <w:ind w:left="62" w:right="62"/>
              <w:rPr>
                <w:color w:val="auto"/>
                <w:highlight w:val="none"/>
                <w:u w:val="single"/>
              </w:rPr>
            </w:pPr>
            <w:r>
              <w:rPr>
                <w:rFonts w:hint="eastAsia"/>
                <w:color w:val="auto"/>
                <w:highlight w:val="none"/>
                <w:u w:val="single"/>
              </w:rPr>
              <w:t>详见本工程招标公告。</w:t>
            </w:r>
          </w:p>
        </w:tc>
      </w:tr>
      <w:tr w14:paraId="41E364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657" w:type="dxa"/>
            <w:noWrap w:val="0"/>
            <w:vAlign w:val="center"/>
          </w:tcPr>
          <w:p w14:paraId="2350F931">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5</w:t>
            </w:r>
          </w:p>
        </w:tc>
        <w:tc>
          <w:tcPr>
            <w:tcW w:w="981" w:type="dxa"/>
            <w:noWrap w:val="0"/>
            <w:vAlign w:val="center"/>
          </w:tcPr>
          <w:p w14:paraId="789125CE">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2.2</w:t>
            </w:r>
          </w:p>
        </w:tc>
        <w:tc>
          <w:tcPr>
            <w:tcW w:w="1552" w:type="dxa"/>
            <w:noWrap w:val="0"/>
            <w:vAlign w:val="center"/>
          </w:tcPr>
          <w:p w14:paraId="1F9EC201">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承包方式</w:t>
            </w:r>
          </w:p>
        </w:tc>
        <w:tc>
          <w:tcPr>
            <w:tcW w:w="5910" w:type="dxa"/>
            <w:noWrap w:val="0"/>
            <w:vAlign w:val="center"/>
          </w:tcPr>
          <w:p w14:paraId="78FFFFF2">
            <w:pPr>
              <w:spacing w:line="276" w:lineRule="auto"/>
              <w:ind w:left="62" w:right="62"/>
              <w:rPr>
                <w:rStyle w:val="127"/>
                <w:rFonts w:ascii="宋体" w:hAnsi="宋体"/>
                <w:color w:val="auto"/>
                <w:szCs w:val="21"/>
                <w:highlight w:val="none"/>
              </w:rPr>
            </w:pPr>
            <w:r>
              <w:rPr>
                <w:rStyle w:val="127"/>
                <w:rFonts w:hint="eastAsia" w:ascii="宋体" w:hAnsi="宋体"/>
                <w:color w:val="auto"/>
                <w:szCs w:val="21"/>
                <w:highlight w:val="none"/>
                <w:u w:val="single"/>
              </w:rPr>
              <w:t>工程综合单价包干、按系数计算的措施费项目合价包干（专用条款另有约定的除外），工程量按实结算。</w:t>
            </w:r>
            <w:r>
              <w:rPr>
                <w:rStyle w:val="127"/>
                <w:rFonts w:hint="eastAsia" w:ascii="宋体" w:hAnsi="宋体"/>
                <w:color w:val="auto"/>
                <w:szCs w:val="21"/>
                <w:highlight w:val="none"/>
                <w:u w:val="single"/>
                <w:lang w:val="en-US" w:eastAsia="zh-CN"/>
              </w:rPr>
              <w:t>投标人</w:t>
            </w:r>
            <w:r>
              <w:rPr>
                <w:rStyle w:val="127"/>
                <w:rFonts w:hint="eastAsia" w:ascii="宋体" w:hAnsi="宋体"/>
                <w:color w:val="auto"/>
                <w:szCs w:val="21"/>
                <w:highlight w:val="none"/>
                <w:u w:val="single"/>
              </w:rPr>
              <w:t>根据建设单位提供的工程量清单、图纸等有关资料，结合工程现场实际情况、工程性质、工程特点等要求，</w:t>
            </w:r>
            <w:r>
              <w:rPr>
                <w:rStyle w:val="127"/>
                <w:rFonts w:hint="eastAsia" w:ascii="宋体" w:hAnsi="宋体"/>
                <w:color w:val="auto"/>
                <w:szCs w:val="21"/>
                <w:highlight w:val="none"/>
                <w:u w:val="single"/>
                <w:lang w:val="en-US" w:eastAsia="zh-CN"/>
              </w:rPr>
              <w:t>包括但不限于</w:t>
            </w:r>
            <w:r>
              <w:rPr>
                <w:rStyle w:val="127"/>
                <w:rFonts w:hint="eastAsia" w:ascii="宋体" w:hAnsi="宋体"/>
                <w:color w:val="auto"/>
                <w:szCs w:val="21"/>
                <w:highlight w:val="none"/>
                <w:u w:val="single"/>
              </w:rPr>
              <w:t>包工、包料、</w:t>
            </w:r>
            <w:r>
              <w:rPr>
                <w:rStyle w:val="127"/>
                <w:rFonts w:hint="eastAsia" w:ascii="宋体" w:hAnsi="宋体"/>
                <w:color w:val="auto"/>
                <w:szCs w:val="21"/>
                <w:highlight w:val="none"/>
                <w:u w:val="single"/>
                <w:lang w:val="en-US" w:eastAsia="zh-CN"/>
              </w:rPr>
              <w:t>包税、</w:t>
            </w:r>
            <w:r>
              <w:rPr>
                <w:rStyle w:val="127"/>
                <w:rFonts w:hint="eastAsia" w:ascii="宋体" w:hAnsi="宋体"/>
                <w:color w:val="auto"/>
                <w:szCs w:val="21"/>
                <w:highlight w:val="none"/>
                <w:u w:val="single"/>
              </w:rPr>
              <w:t>包机械、包工期、包质量、包安全</w:t>
            </w:r>
            <w:r>
              <w:rPr>
                <w:rStyle w:val="127"/>
                <w:rFonts w:hint="eastAsia" w:ascii="宋体" w:hAnsi="宋体"/>
                <w:color w:val="auto"/>
                <w:szCs w:val="21"/>
                <w:highlight w:val="none"/>
                <w:u w:val="single"/>
                <w:lang w:val="en-US" w:eastAsia="zh-CN"/>
              </w:rPr>
              <w:t>生产</w:t>
            </w:r>
            <w:r>
              <w:rPr>
                <w:rStyle w:val="127"/>
                <w:rFonts w:hint="eastAsia" w:ascii="宋体" w:hAnsi="宋体"/>
                <w:color w:val="auto"/>
                <w:szCs w:val="21"/>
                <w:highlight w:val="none"/>
                <w:u w:val="single"/>
              </w:rPr>
              <w:t>、包文明施工，</w:t>
            </w:r>
            <w:r>
              <w:rPr>
                <w:rStyle w:val="127"/>
                <w:rFonts w:hint="eastAsia" w:ascii="宋体" w:hAnsi="宋体"/>
                <w:color w:val="auto"/>
                <w:szCs w:val="21"/>
                <w:highlight w:val="none"/>
                <w:u w:val="single"/>
                <w:lang w:val="en-US" w:eastAsia="zh-CN"/>
              </w:rPr>
              <w:t>包劳保、</w:t>
            </w:r>
            <w:r>
              <w:rPr>
                <w:rStyle w:val="127"/>
                <w:rFonts w:hint="eastAsia" w:ascii="宋体" w:hAnsi="宋体"/>
                <w:color w:val="auto"/>
                <w:szCs w:val="21"/>
                <w:highlight w:val="none"/>
                <w:u w:val="single"/>
              </w:rPr>
              <w:t>包环境卫生、建筑垃圾按广州市相关规定清运、包承包范围内工程验收通过、包移交、包结算、包资料整理、包施工承包管理和现场整体组织、包专业协调及配合、包保修、包承包人应当购买的保险等。</w:t>
            </w:r>
          </w:p>
        </w:tc>
      </w:tr>
      <w:tr w14:paraId="72104C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noWrap w:val="0"/>
            <w:vAlign w:val="center"/>
          </w:tcPr>
          <w:p w14:paraId="3D018270">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6</w:t>
            </w:r>
          </w:p>
        </w:tc>
        <w:tc>
          <w:tcPr>
            <w:tcW w:w="981" w:type="dxa"/>
            <w:noWrap w:val="0"/>
            <w:vAlign w:val="center"/>
          </w:tcPr>
          <w:p w14:paraId="1E055A22">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2.2</w:t>
            </w:r>
          </w:p>
        </w:tc>
        <w:tc>
          <w:tcPr>
            <w:tcW w:w="1552" w:type="dxa"/>
            <w:noWrap w:val="0"/>
            <w:vAlign w:val="center"/>
          </w:tcPr>
          <w:p w14:paraId="35CD43B2">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质量标准</w:t>
            </w:r>
          </w:p>
        </w:tc>
        <w:tc>
          <w:tcPr>
            <w:tcW w:w="5910" w:type="dxa"/>
            <w:noWrap w:val="0"/>
            <w:vAlign w:val="center"/>
          </w:tcPr>
          <w:p w14:paraId="559FEAF1">
            <w:pPr>
              <w:spacing w:line="276" w:lineRule="auto"/>
              <w:ind w:left="62" w:right="62"/>
              <w:rPr>
                <w:rStyle w:val="127"/>
                <w:rFonts w:hint="eastAsia" w:ascii="宋体" w:hAnsi="宋体"/>
                <w:color w:val="auto"/>
                <w:szCs w:val="21"/>
                <w:highlight w:val="none"/>
                <w:u w:val="single"/>
              </w:rPr>
            </w:pPr>
            <w:r>
              <w:rPr>
                <w:rStyle w:val="127"/>
                <w:rFonts w:hint="eastAsia" w:ascii="宋体" w:hAnsi="宋体"/>
                <w:color w:val="auto"/>
                <w:szCs w:val="21"/>
                <w:highlight w:val="none"/>
                <w:u w:val="single"/>
              </w:rPr>
              <w:t>合格，符合设计图纸、设计文件要求和国家、省、市相关法律法规规定要求及行业颁发的工程质量验收标准。</w:t>
            </w:r>
          </w:p>
          <w:p w14:paraId="768D5698">
            <w:pPr>
              <w:spacing w:line="276" w:lineRule="auto"/>
              <w:ind w:left="62" w:right="62"/>
              <w:rPr>
                <w:rStyle w:val="127"/>
                <w:rFonts w:ascii="宋体" w:hAnsi="宋体"/>
                <w:color w:val="auto"/>
                <w:szCs w:val="21"/>
                <w:highlight w:val="none"/>
                <w:u w:val="single"/>
              </w:rPr>
            </w:pPr>
            <w:r>
              <w:rPr>
                <w:rStyle w:val="127"/>
                <w:rFonts w:hint="eastAsia" w:ascii="宋体" w:hAnsi="宋体"/>
                <w:color w:val="auto"/>
                <w:szCs w:val="21"/>
                <w:highlight w:val="none"/>
                <w:u w:val="single"/>
              </w:rPr>
              <w:t>按照国家最新颁布《建筑工程施工质量验收统一标准》（GB 50300-2013）及相应配套的各专业验收规范，一次验收合格。</w:t>
            </w:r>
          </w:p>
        </w:tc>
      </w:tr>
      <w:tr w14:paraId="5B548D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noWrap w:val="0"/>
            <w:vAlign w:val="center"/>
          </w:tcPr>
          <w:p w14:paraId="6B599AE5">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7</w:t>
            </w:r>
          </w:p>
        </w:tc>
        <w:tc>
          <w:tcPr>
            <w:tcW w:w="981" w:type="dxa"/>
            <w:noWrap w:val="0"/>
            <w:vAlign w:val="center"/>
          </w:tcPr>
          <w:p w14:paraId="70337A3A">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2.2</w:t>
            </w:r>
          </w:p>
        </w:tc>
        <w:tc>
          <w:tcPr>
            <w:tcW w:w="1552" w:type="dxa"/>
            <w:noWrap w:val="0"/>
            <w:vAlign w:val="center"/>
          </w:tcPr>
          <w:p w14:paraId="19090CBC">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招标范围</w:t>
            </w:r>
          </w:p>
        </w:tc>
        <w:tc>
          <w:tcPr>
            <w:tcW w:w="5910" w:type="dxa"/>
            <w:noWrap w:val="0"/>
            <w:vAlign w:val="center"/>
          </w:tcPr>
          <w:p w14:paraId="64F45E96">
            <w:pPr>
              <w:spacing w:line="276" w:lineRule="auto"/>
              <w:ind w:left="62" w:right="62"/>
              <w:rPr>
                <w:rStyle w:val="127"/>
                <w:rFonts w:ascii="宋体" w:hAnsi="宋体"/>
                <w:color w:val="auto"/>
                <w:szCs w:val="21"/>
                <w:highlight w:val="none"/>
                <w:u w:val="single"/>
              </w:rPr>
            </w:pPr>
            <w:r>
              <w:rPr>
                <w:rStyle w:val="127"/>
                <w:rFonts w:ascii="宋体" w:hAnsi="宋体"/>
                <w:color w:val="auto"/>
                <w:szCs w:val="21"/>
                <w:highlight w:val="none"/>
                <w:u w:val="single"/>
              </w:rPr>
              <w:t>详见本工程招标公告。</w:t>
            </w:r>
          </w:p>
        </w:tc>
      </w:tr>
      <w:tr w14:paraId="3E771F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noWrap w:val="0"/>
            <w:vAlign w:val="center"/>
          </w:tcPr>
          <w:p w14:paraId="7F8FA127">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8</w:t>
            </w:r>
          </w:p>
        </w:tc>
        <w:tc>
          <w:tcPr>
            <w:tcW w:w="981" w:type="dxa"/>
            <w:noWrap w:val="0"/>
            <w:vAlign w:val="center"/>
          </w:tcPr>
          <w:p w14:paraId="09CC1959">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2.2</w:t>
            </w:r>
          </w:p>
        </w:tc>
        <w:tc>
          <w:tcPr>
            <w:tcW w:w="1552" w:type="dxa"/>
            <w:noWrap w:val="0"/>
            <w:vAlign w:val="center"/>
          </w:tcPr>
          <w:p w14:paraId="709AC898">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工期要求</w:t>
            </w:r>
          </w:p>
        </w:tc>
        <w:tc>
          <w:tcPr>
            <w:tcW w:w="5910" w:type="dxa"/>
            <w:noWrap w:val="0"/>
            <w:vAlign w:val="center"/>
          </w:tcPr>
          <w:p w14:paraId="0C799570">
            <w:pPr>
              <w:spacing w:line="276" w:lineRule="auto"/>
              <w:ind w:left="62" w:right="62"/>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暂定</w:t>
            </w:r>
            <w:r>
              <w:rPr>
                <w:rFonts w:hint="eastAsia" w:ascii="宋体" w:hAnsi="宋体" w:cs="宋体"/>
                <w:color w:val="auto"/>
                <w:kern w:val="0"/>
                <w:szCs w:val="21"/>
                <w:highlight w:val="none"/>
              </w:rPr>
              <w:t>总工期：</w:t>
            </w:r>
            <w:r>
              <w:rPr>
                <w:rFonts w:hint="eastAsia" w:ascii="宋体" w:hAnsi="宋体" w:cs="宋体"/>
                <w:color w:val="auto"/>
                <w:kern w:val="0"/>
                <w:szCs w:val="21"/>
                <w:highlight w:val="none"/>
                <w:u w:val="single"/>
                <w:lang w:val="en-US" w:eastAsia="zh-CN"/>
              </w:rPr>
              <w:t>731</w:t>
            </w:r>
            <w:r>
              <w:rPr>
                <w:rFonts w:hint="eastAsia" w:ascii="宋体" w:hAnsi="宋体" w:cs="宋体"/>
                <w:color w:val="auto"/>
                <w:kern w:val="0"/>
                <w:szCs w:val="21"/>
                <w:highlight w:val="none"/>
                <w:u w:val="none"/>
                <w:lang w:val="en-US" w:eastAsia="zh-CN"/>
              </w:rPr>
              <w:t>日历</w:t>
            </w:r>
            <w:r>
              <w:rPr>
                <w:rFonts w:hint="eastAsia" w:ascii="宋体" w:hAnsi="宋体" w:cs="宋体"/>
                <w:color w:val="auto"/>
                <w:kern w:val="0"/>
                <w:szCs w:val="21"/>
                <w:highlight w:val="none"/>
              </w:rPr>
              <w:t>天</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2025年12月30日</w:t>
            </w:r>
            <w:r>
              <w:rPr>
                <w:rFonts w:hint="eastAsia" w:ascii="宋体" w:hAnsi="宋体" w:cs="宋体"/>
                <w:color w:val="auto"/>
                <w:kern w:val="0"/>
                <w:szCs w:val="21"/>
                <w:highlight w:val="none"/>
                <w:u w:val="single"/>
              </w:rPr>
              <w:t>至</w:t>
            </w:r>
            <w:r>
              <w:rPr>
                <w:rFonts w:hint="eastAsia" w:ascii="宋体" w:hAnsi="宋体" w:cs="宋体"/>
                <w:color w:val="auto"/>
                <w:kern w:val="0"/>
                <w:szCs w:val="21"/>
                <w:highlight w:val="none"/>
                <w:u w:val="single"/>
                <w:lang w:val="en-US" w:eastAsia="zh-CN"/>
              </w:rPr>
              <w:t>2027</w:t>
            </w:r>
            <w:r>
              <w:rPr>
                <w:rFonts w:hint="eastAsia" w:ascii="宋体" w:hAnsi="宋体" w:cs="宋体"/>
                <w:color w:val="auto"/>
                <w:kern w:val="0"/>
                <w:szCs w:val="21"/>
                <w:highlight w:val="none"/>
                <w:u w:val="single"/>
              </w:rPr>
              <w:t>年</w:t>
            </w:r>
            <w:r>
              <w:rPr>
                <w:rFonts w:hint="eastAsia" w:ascii="宋体" w:hAnsi="宋体" w:cs="宋体"/>
                <w:color w:val="auto"/>
                <w:kern w:val="0"/>
                <w:szCs w:val="21"/>
                <w:highlight w:val="none"/>
                <w:u w:val="single"/>
                <w:lang w:val="en-US" w:eastAsia="zh-CN"/>
              </w:rPr>
              <w:t>12</w:t>
            </w:r>
            <w:r>
              <w:rPr>
                <w:rFonts w:hint="eastAsia" w:ascii="宋体" w:hAnsi="宋体" w:cs="宋体"/>
                <w:color w:val="auto"/>
                <w:kern w:val="0"/>
                <w:szCs w:val="21"/>
                <w:highlight w:val="none"/>
                <w:u w:val="single"/>
              </w:rPr>
              <w:t>月</w:t>
            </w:r>
            <w:r>
              <w:rPr>
                <w:rFonts w:hint="eastAsia" w:ascii="宋体" w:hAnsi="宋体" w:cs="宋体"/>
                <w:color w:val="auto"/>
                <w:kern w:val="0"/>
                <w:szCs w:val="21"/>
                <w:highlight w:val="none"/>
                <w:u w:val="single"/>
                <w:lang w:val="en-US" w:eastAsia="zh-CN"/>
              </w:rPr>
              <w:t>31</w:t>
            </w:r>
            <w:r>
              <w:rPr>
                <w:rFonts w:hint="eastAsia" w:ascii="宋体" w:hAnsi="宋体" w:cs="宋体"/>
                <w:color w:val="auto"/>
                <w:kern w:val="0"/>
                <w:szCs w:val="21"/>
                <w:highlight w:val="none"/>
                <w:u w:val="single"/>
              </w:rPr>
              <w:t>日</w:t>
            </w:r>
            <w:r>
              <w:rPr>
                <w:rFonts w:hint="eastAsia" w:ascii="宋体" w:hAnsi="宋体" w:cs="宋体"/>
                <w:color w:val="auto"/>
                <w:kern w:val="0"/>
                <w:szCs w:val="21"/>
                <w:highlight w:val="none"/>
                <w:u w:val="single"/>
                <w:lang w:eastAsia="zh-CN"/>
              </w:rPr>
              <w:t>）</w:t>
            </w:r>
            <w:r>
              <w:rPr>
                <w:rFonts w:hint="eastAsia" w:ascii="宋体" w:hAnsi="宋体" w:cs="宋体"/>
                <w:color w:val="auto"/>
                <w:kern w:val="0"/>
                <w:szCs w:val="21"/>
                <w:highlight w:val="none"/>
              </w:rPr>
              <w:t>。</w:t>
            </w:r>
            <w:r>
              <w:rPr>
                <w:rFonts w:hint="eastAsia"/>
                <w:color w:val="auto"/>
                <w:highlight w:val="none"/>
              </w:rPr>
              <w:t>（本工程正式签署合同时，施工工期按中标投标文件承诺工期。）工期由监理单位发出开工令之日起计算，至验收合格之日止</w:t>
            </w:r>
            <w:r>
              <w:rPr>
                <w:rFonts w:hint="eastAsia" w:ascii="宋体" w:hAnsi="宋体" w:cs="宋体"/>
                <w:color w:val="auto"/>
                <w:kern w:val="0"/>
                <w:szCs w:val="21"/>
                <w:highlight w:val="none"/>
              </w:rPr>
              <w:t>。</w:t>
            </w:r>
          </w:p>
          <w:p w14:paraId="7A6EE776">
            <w:pPr>
              <w:spacing w:line="276" w:lineRule="auto"/>
              <w:ind w:left="62" w:right="62"/>
              <w:rPr>
                <w:rFonts w:hint="eastAsia" w:eastAsia="宋体"/>
                <w:color w:val="auto"/>
                <w:highlight w:val="none"/>
                <w:lang w:eastAsia="zh-CN"/>
              </w:rPr>
            </w:pPr>
            <w:r>
              <w:rPr>
                <w:rFonts w:hint="eastAsia" w:ascii="宋体" w:hAnsi="宋体" w:cs="宋体"/>
                <w:color w:val="auto"/>
                <w:kern w:val="0"/>
                <w:szCs w:val="21"/>
                <w:highlight w:val="none"/>
                <w:lang w:val="en-US" w:eastAsia="zh-CN"/>
              </w:rPr>
              <w:t>注：</w:t>
            </w:r>
            <w:r>
              <w:rPr>
                <w:rFonts w:hint="eastAsia" w:ascii="宋体" w:hAnsi="宋体" w:cs="宋体"/>
                <w:color w:val="auto"/>
                <w:kern w:val="0"/>
                <w:szCs w:val="21"/>
                <w:highlight w:val="none"/>
              </w:rPr>
              <w:t>包含施工实施建设阶段、竣工验收、资料编制归档、交付使用手续办理等以及各阶段的相关报批、检验、审查、备案等时间</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lang w:eastAsia="zh-CN"/>
              </w:rPr>
              <w:t>本项目分批次腾挪施工，每批次自场地移交至完工施工时间不得超过2.5个月（腾挪计划详</w:t>
            </w:r>
            <w:r>
              <w:rPr>
                <w:rFonts w:hint="eastAsia" w:ascii="宋体" w:hAnsi="宋体" w:cs="宋体"/>
                <w:color w:val="auto"/>
                <w:kern w:val="0"/>
                <w:szCs w:val="21"/>
                <w:highlight w:val="none"/>
                <w:lang w:val="en-US" w:eastAsia="zh-CN"/>
              </w:rPr>
              <w:t>见</w:t>
            </w:r>
            <w:r>
              <w:rPr>
                <w:rFonts w:hint="eastAsia" w:ascii="宋体" w:hAnsi="宋体" w:cs="宋体"/>
                <w:color w:val="auto"/>
                <w:kern w:val="0"/>
                <w:szCs w:val="21"/>
                <w:highlight w:val="none"/>
                <w:lang w:eastAsia="zh-CN"/>
              </w:rPr>
              <w:t>招标文件《第五章  技术条件（工程建设标准）》附件1《1号楼门诊区域腾挪施工形象进度计划》，特别说明：腾挪计划将视项目实际推进情况会做出调整，</w:t>
            </w:r>
            <w:r>
              <w:rPr>
                <w:rFonts w:hint="eastAsia" w:ascii="宋体" w:hAnsi="宋体" w:cs="宋体"/>
                <w:color w:val="auto"/>
                <w:kern w:val="0"/>
                <w:szCs w:val="21"/>
                <w:highlight w:val="none"/>
                <w:lang w:val="en-US" w:eastAsia="zh-CN"/>
              </w:rPr>
              <w:t>承包人</w:t>
            </w:r>
            <w:r>
              <w:rPr>
                <w:rFonts w:hint="eastAsia" w:ascii="宋体" w:hAnsi="宋体" w:cs="宋体"/>
                <w:color w:val="auto"/>
                <w:kern w:val="0"/>
                <w:szCs w:val="21"/>
                <w:highlight w:val="none"/>
                <w:lang w:eastAsia="zh-CN"/>
              </w:rPr>
              <w:t>应无条件响应及执行）。（</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lang w:eastAsia="zh-CN"/>
              </w:rPr>
              <w:t>本项目法定节假日期间需保障正常施工，承包人需提交与施工计划匹配的法定节假日（含春节、国庆节、劳动节等）期间管理人员、施工作业人员安排表。</w:t>
            </w:r>
          </w:p>
        </w:tc>
      </w:tr>
      <w:tr w14:paraId="32A623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noWrap w:val="0"/>
            <w:vAlign w:val="center"/>
          </w:tcPr>
          <w:p w14:paraId="35AF9B15">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9</w:t>
            </w:r>
          </w:p>
        </w:tc>
        <w:tc>
          <w:tcPr>
            <w:tcW w:w="981" w:type="dxa"/>
            <w:noWrap w:val="0"/>
            <w:vAlign w:val="center"/>
          </w:tcPr>
          <w:p w14:paraId="3A628794">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3.1</w:t>
            </w:r>
          </w:p>
        </w:tc>
        <w:tc>
          <w:tcPr>
            <w:tcW w:w="1552" w:type="dxa"/>
            <w:noWrap w:val="0"/>
            <w:vAlign w:val="center"/>
          </w:tcPr>
          <w:p w14:paraId="6F0787CA">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资金来源</w:t>
            </w:r>
          </w:p>
        </w:tc>
        <w:tc>
          <w:tcPr>
            <w:tcW w:w="5910" w:type="dxa"/>
            <w:noWrap w:val="0"/>
            <w:vAlign w:val="center"/>
          </w:tcPr>
          <w:p w14:paraId="51DB7A68">
            <w:pPr>
              <w:spacing w:line="276" w:lineRule="auto"/>
              <w:ind w:left="62" w:right="62"/>
              <w:rPr>
                <w:rStyle w:val="127"/>
                <w:rFonts w:ascii="宋体" w:hAnsi="宋体"/>
                <w:color w:val="auto"/>
                <w:szCs w:val="21"/>
                <w:highlight w:val="none"/>
                <w:u w:val="single"/>
              </w:rPr>
            </w:pPr>
            <w:r>
              <w:rPr>
                <w:rFonts w:hint="eastAsia" w:ascii="宋体" w:hAnsi="宋体" w:cs="宋体"/>
                <w:bCs/>
                <w:snapToGrid w:val="0"/>
                <w:color w:val="auto"/>
                <w:kern w:val="0"/>
                <w:szCs w:val="21"/>
                <w:highlight w:val="none"/>
              </w:rPr>
              <w:t>详见本工程招标公告。</w:t>
            </w:r>
          </w:p>
        </w:tc>
      </w:tr>
      <w:tr w14:paraId="29764F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noWrap w:val="0"/>
            <w:vAlign w:val="center"/>
          </w:tcPr>
          <w:p w14:paraId="3E33B4B7">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10</w:t>
            </w:r>
          </w:p>
        </w:tc>
        <w:tc>
          <w:tcPr>
            <w:tcW w:w="981" w:type="dxa"/>
            <w:noWrap w:val="0"/>
            <w:vAlign w:val="center"/>
          </w:tcPr>
          <w:p w14:paraId="55A29458">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4.1</w:t>
            </w:r>
          </w:p>
        </w:tc>
        <w:tc>
          <w:tcPr>
            <w:tcW w:w="1552" w:type="dxa"/>
            <w:noWrap w:val="0"/>
            <w:vAlign w:val="center"/>
          </w:tcPr>
          <w:p w14:paraId="7E5FF6B4">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投标人资质等级及项目负责人等级要求</w:t>
            </w:r>
          </w:p>
        </w:tc>
        <w:tc>
          <w:tcPr>
            <w:tcW w:w="5910" w:type="dxa"/>
            <w:noWrap w:val="0"/>
            <w:vAlign w:val="center"/>
          </w:tcPr>
          <w:p w14:paraId="08583A25">
            <w:pPr>
              <w:spacing w:line="276" w:lineRule="auto"/>
              <w:ind w:left="62" w:right="62"/>
              <w:rPr>
                <w:rStyle w:val="127"/>
                <w:rFonts w:ascii="宋体" w:hAnsi="宋体"/>
                <w:color w:val="auto"/>
                <w:szCs w:val="21"/>
                <w:highlight w:val="none"/>
              </w:rPr>
            </w:pPr>
            <w:r>
              <w:rPr>
                <w:rStyle w:val="127"/>
                <w:rFonts w:ascii="宋体" w:hAnsi="宋体"/>
                <w:color w:val="auto"/>
                <w:szCs w:val="21"/>
                <w:highlight w:val="none"/>
              </w:rPr>
              <w:t>详见本工程招标公告。</w:t>
            </w:r>
          </w:p>
        </w:tc>
      </w:tr>
      <w:tr w14:paraId="4773D6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noWrap w:val="0"/>
            <w:vAlign w:val="center"/>
          </w:tcPr>
          <w:p w14:paraId="4BB49C6A">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11</w:t>
            </w:r>
          </w:p>
        </w:tc>
        <w:tc>
          <w:tcPr>
            <w:tcW w:w="981" w:type="dxa"/>
            <w:noWrap w:val="0"/>
            <w:vAlign w:val="center"/>
          </w:tcPr>
          <w:p w14:paraId="69EE7DA3">
            <w:pPr>
              <w:spacing w:line="276" w:lineRule="auto"/>
              <w:ind w:left="62" w:right="62" w:firstLine="458"/>
              <w:jc w:val="center"/>
              <w:rPr>
                <w:rStyle w:val="127"/>
                <w:rFonts w:ascii="宋体" w:hAnsi="宋体"/>
                <w:color w:val="auto"/>
                <w:szCs w:val="21"/>
                <w:highlight w:val="none"/>
              </w:rPr>
            </w:pPr>
          </w:p>
        </w:tc>
        <w:tc>
          <w:tcPr>
            <w:tcW w:w="1552" w:type="dxa"/>
            <w:noWrap w:val="0"/>
            <w:vAlign w:val="center"/>
          </w:tcPr>
          <w:p w14:paraId="583D9518">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资格审查方式</w:t>
            </w:r>
          </w:p>
        </w:tc>
        <w:tc>
          <w:tcPr>
            <w:tcW w:w="5910" w:type="dxa"/>
            <w:noWrap w:val="0"/>
            <w:vAlign w:val="center"/>
          </w:tcPr>
          <w:p w14:paraId="4B56D46B">
            <w:pPr>
              <w:spacing w:line="276" w:lineRule="auto"/>
              <w:ind w:left="62" w:right="62"/>
              <w:rPr>
                <w:rStyle w:val="127"/>
                <w:rFonts w:ascii="宋体" w:hAnsi="宋体"/>
                <w:color w:val="auto"/>
                <w:szCs w:val="21"/>
                <w:highlight w:val="none"/>
              </w:rPr>
            </w:pPr>
            <w:r>
              <w:rPr>
                <w:rStyle w:val="127"/>
                <w:rFonts w:ascii="宋体" w:hAnsi="宋体"/>
                <w:color w:val="auto"/>
                <w:szCs w:val="21"/>
                <w:highlight w:val="none"/>
              </w:rPr>
              <w:t>详见本工程招标公告。</w:t>
            </w:r>
          </w:p>
        </w:tc>
      </w:tr>
      <w:tr w14:paraId="0721C7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noWrap w:val="0"/>
            <w:vAlign w:val="center"/>
          </w:tcPr>
          <w:p w14:paraId="21D18093">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12</w:t>
            </w:r>
          </w:p>
        </w:tc>
        <w:tc>
          <w:tcPr>
            <w:tcW w:w="981" w:type="dxa"/>
            <w:noWrap w:val="0"/>
            <w:vAlign w:val="center"/>
          </w:tcPr>
          <w:p w14:paraId="3B1A0DA9">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13.1</w:t>
            </w:r>
          </w:p>
        </w:tc>
        <w:tc>
          <w:tcPr>
            <w:tcW w:w="1552" w:type="dxa"/>
            <w:noWrap w:val="0"/>
            <w:vAlign w:val="center"/>
          </w:tcPr>
          <w:p w14:paraId="6514B912">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报价以及单价和总价计算方式</w:t>
            </w:r>
          </w:p>
        </w:tc>
        <w:tc>
          <w:tcPr>
            <w:tcW w:w="5910" w:type="dxa"/>
            <w:noWrap w:val="0"/>
            <w:vAlign w:val="center"/>
          </w:tcPr>
          <w:p w14:paraId="262042D7">
            <w:pPr>
              <w:spacing w:line="276" w:lineRule="auto"/>
              <w:ind w:left="62" w:right="62"/>
              <w:rPr>
                <w:rStyle w:val="127"/>
                <w:rFonts w:hint="eastAsia" w:ascii="宋体" w:hAnsi="宋体"/>
                <w:color w:val="auto"/>
                <w:szCs w:val="21"/>
                <w:highlight w:val="none"/>
              </w:rPr>
            </w:pPr>
            <w:bookmarkStart w:id="3" w:name="EBdfd7e3fe86a241738f1c1d356c309534"/>
            <w:r>
              <w:rPr>
                <w:rFonts w:hint="eastAsia" w:ascii="宋体" w:hAnsi="宋体"/>
                <w:color w:val="auto"/>
                <w:szCs w:val="21"/>
                <w:highlight w:val="none"/>
              </w:rPr>
              <w:t>工程量清单计价，按国家、省有关计价规范执行。</w:t>
            </w:r>
            <w:bookmarkEnd w:id="3"/>
          </w:p>
        </w:tc>
      </w:tr>
      <w:tr w14:paraId="2AABEA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noWrap w:val="0"/>
            <w:vAlign w:val="center"/>
          </w:tcPr>
          <w:p w14:paraId="764C9480">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13</w:t>
            </w:r>
          </w:p>
        </w:tc>
        <w:tc>
          <w:tcPr>
            <w:tcW w:w="981" w:type="dxa"/>
            <w:noWrap w:val="0"/>
            <w:vAlign w:val="center"/>
          </w:tcPr>
          <w:p w14:paraId="1F7E0570">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15.1</w:t>
            </w:r>
          </w:p>
        </w:tc>
        <w:tc>
          <w:tcPr>
            <w:tcW w:w="1552" w:type="dxa"/>
            <w:noWrap w:val="0"/>
            <w:vAlign w:val="center"/>
          </w:tcPr>
          <w:p w14:paraId="3D801D1A">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投标有效期</w:t>
            </w:r>
          </w:p>
        </w:tc>
        <w:tc>
          <w:tcPr>
            <w:tcW w:w="5910" w:type="dxa"/>
            <w:noWrap w:val="0"/>
            <w:vAlign w:val="center"/>
          </w:tcPr>
          <w:p w14:paraId="7BFCF44A">
            <w:pPr>
              <w:spacing w:line="276" w:lineRule="auto"/>
              <w:ind w:left="62" w:right="62"/>
              <w:rPr>
                <w:rStyle w:val="127"/>
                <w:rFonts w:ascii="宋体" w:hAnsi="宋体"/>
                <w:color w:val="auto"/>
                <w:szCs w:val="21"/>
                <w:highlight w:val="none"/>
                <w:u w:val="single"/>
              </w:rPr>
            </w:pPr>
            <w:r>
              <w:rPr>
                <w:rStyle w:val="127"/>
                <w:rFonts w:ascii="宋体" w:hAnsi="宋体"/>
                <w:color w:val="auto"/>
                <w:szCs w:val="21"/>
                <w:highlight w:val="none"/>
                <w:u w:val="single"/>
              </w:rPr>
              <w:t>90</w:t>
            </w:r>
            <w:r>
              <w:rPr>
                <w:rStyle w:val="127"/>
                <w:rFonts w:ascii="宋体" w:hAnsi="宋体"/>
                <w:color w:val="auto"/>
                <w:szCs w:val="21"/>
                <w:highlight w:val="none"/>
              </w:rPr>
              <w:t>日历天。（从投标截止之日计起）</w:t>
            </w:r>
          </w:p>
        </w:tc>
      </w:tr>
      <w:tr w14:paraId="69736F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noWrap w:val="0"/>
            <w:vAlign w:val="center"/>
          </w:tcPr>
          <w:p w14:paraId="5F1B7119">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14</w:t>
            </w:r>
          </w:p>
        </w:tc>
        <w:tc>
          <w:tcPr>
            <w:tcW w:w="981" w:type="dxa"/>
            <w:noWrap w:val="0"/>
            <w:vAlign w:val="center"/>
          </w:tcPr>
          <w:p w14:paraId="6EF8F9DD">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16.1</w:t>
            </w:r>
          </w:p>
        </w:tc>
        <w:tc>
          <w:tcPr>
            <w:tcW w:w="1552" w:type="dxa"/>
            <w:noWrap w:val="0"/>
            <w:vAlign w:val="center"/>
          </w:tcPr>
          <w:p w14:paraId="6D9DCA0C">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投标保证金</w:t>
            </w:r>
          </w:p>
        </w:tc>
        <w:tc>
          <w:tcPr>
            <w:tcW w:w="5910" w:type="dxa"/>
            <w:noWrap w:val="0"/>
            <w:vAlign w:val="center"/>
          </w:tcPr>
          <w:p w14:paraId="75C8697E">
            <w:pPr>
              <w:pStyle w:val="149"/>
              <w:spacing w:line="276" w:lineRule="auto"/>
              <w:ind w:left="62" w:right="62"/>
              <w:rPr>
                <w:rFonts w:hint="eastAsia" w:ascii="宋体" w:hAnsi="宋体"/>
                <w:bCs/>
                <w:color w:val="auto"/>
                <w:szCs w:val="21"/>
                <w:highlight w:val="none"/>
              </w:rPr>
            </w:pPr>
            <w:r>
              <w:rPr>
                <w:rFonts w:ascii="宋体" w:hAnsi="宋体" w:cs="宋体"/>
                <w:color w:val="auto"/>
                <w:kern w:val="0"/>
                <w:szCs w:val="21"/>
                <w:highlight w:val="none"/>
              </w:rPr>
              <w:t>本项目不收取投标保证金。</w:t>
            </w:r>
          </w:p>
        </w:tc>
      </w:tr>
      <w:tr w14:paraId="4E08DA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noWrap w:val="0"/>
            <w:vAlign w:val="center"/>
          </w:tcPr>
          <w:p w14:paraId="42F1509A">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15</w:t>
            </w:r>
          </w:p>
        </w:tc>
        <w:tc>
          <w:tcPr>
            <w:tcW w:w="981" w:type="dxa"/>
            <w:noWrap w:val="0"/>
            <w:vAlign w:val="center"/>
          </w:tcPr>
          <w:p w14:paraId="4B325518">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5</w:t>
            </w:r>
          </w:p>
        </w:tc>
        <w:tc>
          <w:tcPr>
            <w:tcW w:w="1552" w:type="dxa"/>
            <w:noWrap w:val="0"/>
            <w:vAlign w:val="center"/>
          </w:tcPr>
          <w:p w14:paraId="4274741F">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踏勘现场</w:t>
            </w:r>
          </w:p>
        </w:tc>
        <w:tc>
          <w:tcPr>
            <w:tcW w:w="5910" w:type="dxa"/>
            <w:noWrap w:val="0"/>
            <w:vAlign w:val="center"/>
          </w:tcPr>
          <w:p w14:paraId="74909FA9">
            <w:pPr>
              <w:spacing w:line="276" w:lineRule="auto"/>
              <w:ind w:left="62" w:right="62"/>
              <w:jc w:val="left"/>
              <w:rPr>
                <w:rStyle w:val="127"/>
                <w:rFonts w:ascii="宋体" w:hAnsi="宋体"/>
                <w:color w:val="auto"/>
                <w:szCs w:val="21"/>
                <w:highlight w:val="none"/>
              </w:rPr>
            </w:pPr>
            <w:r>
              <w:rPr>
                <w:rStyle w:val="127"/>
                <w:rFonts w:ascii="宋体" w:hAnsi="宋体"/>
                <w:color w:val="auto"/>
                <w:szCs w:val="21"/>
                <w:highlight w:val="none"/>
              </w:rPr>
              <w:t>招标人不集中组织，由投标人自行踏勘。</w:t>
            </w:r>
          </w:p>
        </w:tc>
      </w:tr>
      <w:tr w14:paraId="37FCA2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noWrap w:val="0"/>
            <w:vAlign w:val="center"/>
          </w:tcPr>
          <w:p w14:paraId="25F7505D">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16</w:t>
            </w:r>
          </w:p>
        </w:tc>
        <w:tc>
          <w:tcPr>
            <w:tcW w:w="981" w:type="dxa"/>
            <w:noWrap w:val="0"/>
            <w:vAlign w:val="center"/>
          </w:tcPr>
          <w:p w14:paraId="17487B4D">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8</w:t>
            </w:r>
          </w:p>
        </w:tc>
        <w:tc>
          <w:tcPr>
            <w:tcW w:w="1552" w:type="dxa"/>
            <w:noWrap w:val="0"/>
            <w:vAlign w:val="center"/>
          </w:tcPr>
          <w:p w14:paraId="041926EF">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投标答疑</w:t>
            </w:r>
          </w:p>
        </w:tc>
        <w:tc>
          <w:tcPr>
            <w:tcW w:w="5910" w:type="dxa"/>
            <w:noWrap w:val="0"/>
            <w:vAlign w:val="center"/>
          </w:tcPr>
          <w:p w14:paraId="24ED3B00">
            <w:pPr>
              <w:ind w:left="62" w:right="62"/>
              <w:rPr>
                <w:rFonts w:hint="eastAsia" w:ascii="宋体" w:hAnsi="宋体" w:cs="宋体"/>
                <w:color w:val="auto"/>
                <w:szCs w:val="21"/>
                <w:highlight w:val="none"/>
              </w:rPr>
            </w:pPr>
            <w:r>
              <w:rPr>
                <w:rFonts w:hint="eastAsia" w:ascii="宋体" w:hAnsi="宋体" w:cs="宋体"/>
                <w:color w:val="auto"/>
                <w:szCs w:val="21"/>
                <w:highlight w:val="none"/>
              </w:rPr>
              <w:t>1、疑问提交时间：</w:t>
            </w:r>
            <w:r>
              <w:rPr>
                <w:rFonts w:hint="eastAsia" w:ascii="宋体" w:hAnsi="宋体" w:cs="宋体"/>
                <w:color w:val="auto"/>
                <w:szCs w:val="21"/>
                <w:highlight w:val="none"/>
                <w:u w:val="single"/>
              </w:rPr>
              <w:t>在递交投标文件截止日期前18日</w:t>
            </w:r>
            <w:r>
              <w:rPr>
                <w:rFonts w:hint="eastAsia" w:ascii="宋体" w:hAnsi="宋体" w:cs="宋体"/>
                <w:color w:val="auto"/>
                <w:szCs w:val="21"/>
                <w:highlight w:val="none"/>
              </w:rPr>
              <w:t>；</w:t>
            </w:r>
          </w:p>
          <w:p w14:paraId="1C7C9505">
            <w:pPr>
              <w:ind w:left="62" w:right="62"/>
              <w:rPr>
                <w:rFonts w:hint="eastAsia" w:ascii="宋体" w:hAnsi="宋体" w:cs="宋体"/>
                <w:color w:val="auto"/>
                <w:szCs w:val="21"/>
                <w:highlight w:val="none"/>
              </w:rPr>
            </w:pPr>
            <w:r>
              <w:rPr>
                <w:rFonts w:hint="eastAsia" w:ascii="宋体" w:hAnsi="宋体" w:cs="宋体"/>
                <w:color w:val="auto"/>
                <w:szCs w:val="21"/>
                <w:highlight w:val="none"/>
              </w:rPr>
              <w:t>2、形式：投标人的疑问通过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交易平台提交。</w:t>
            </w:r>
          </w:p>
          <w:p w14:paraId="02100101">
            <w:pPr>
              <w:ind w:left="62" w:right="62"/>
              <w:rPr>
                <w:rFonts w:hint="eastAsia" w:ascii="宋体" w:hAnsi="宋体" w:cs="宋体"/>
                <w:color w:val="auto"/>
                <w:szCs w:val="21"/>
                <w:highlight w:val="none"/>
              </w:rPr>
            </w:pPr>
            <w:r>
              <w:rPr>
                <w:rFonts w:hint="eastAsia" w:ascii="宋体" w:hAnsi="宋体" w:cs="宋体"/>
                <w:color w:val="auto"/>
                <w:szCs w:val="21"/>
                <w:highlight w:val="none"/>
              </w:rPr>
              <w:t>3、招标人澄清、修补或答疑期限：在递交投标文件截止日期前</w:t>
            </w:r>
            <w:r>
              <w:rPr>
                <w:rFonts w:hint="eastAsia" w:ascii="宋体" w:hAnsi="宋体" w:cs="宋体"/>
                <w:color w:val="auto"/>
                <w:szCs w:val="21"/>
                <w:highlight w:val="none"/>
                <w:u w:val="single"/>
              </w:rPr>
              <w:t>15</w:t>
            </w:r>
            <w:r>
              <w:rPr>
                <w:rFonts w:hint="eastAsia" w:ascii="宋体" w:hAnsi="宋体" w:cs="宋体"/>
                <w:color w:val="auto"/>
                <w:szCs w:val="21"/>
                <w:highlight w:val="none"/>
              </w:rPr>
              <w:t>日；</w:t>
            </w:r>
          </w:p>
          <w:p w14:paraId="720E7D56">
            <w:pPr>
              <w:ind w:left="62" w:right="62"/>
              <w:rPr>
                <w:rFonts w:hint="eastAsia" w:ascii="宋体" w:hAnsi="宋体" w:cs="宋体"/>
                <w:color w:val="auto"/>
                <w:szCs w:val="21"/>
                <w:highlight w:val="none"/>
              </w:rPr>
            </w:pPr>
            <w:r>
              <w:rPr>
                <w:rFonts w:hint="eastAsia" w:ascii="宋体" w:hAnsi="宋体" w:cs="宋体"/>
                <w:color w:val="auto"/>
                <w:szCs w:val="21"/>
                <w:highlight w:val="none"/>
              </w:rPr>
              <w:t>4、网上答疑的操作指南为：</w:t>
            </w:r>
            <w:r>
              <w:rPr>
                <w:rFonts w:hint="eastAsia" w:ascii="宋体" w:hAnsi="宋体" w:cs="宋体"/>
                <w:color w:val="auto"/>
                <w:szCs w:val="21"/>
                <w:highlight w:val="none"/>
                <w:u w:val="single"/>
              </w:rPr>
              <w:t>投标人登录广州公共资源交易中心数字交易平台→进入“我是投标人”页面→进入“招标答疑提问”页面→通过项目编号或名称找到所需的项目→在上述答疑时间内点击“答疑提问”→无记名或匿名提出问题。</w:t>
            </w:r>
          </w:p>
        </w:tc>
      </w:tr>
      <w:tr w14:paraId="7D2ECB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noWrap w:val="0"/>
            <w:vAlign w:val="center"/>
          </w:tcPr>
          <w:p w14:paraId="49E581E1">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17</w:t>
            </w:r>
          </w:p>
        </w:tc>
        <w:tc>
          <w:tcPr>
            <w:tcW w:w="981" w:type="dxa"/>
            <w:noWrap w:val="0"/>
            <w:vAlign w:val="center"/>
          </w:tcPr>
          <w:p w14:paraId="215F00C0">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20.1</w:t>
            </w:r>
          </w:p>
        </w:tc>
        <w:tc>
          <w:tcPr>
            <w:tcW w:w="1552" w:type="dxa"/>
            <w:noWrap w:val="0"/>
            <w:vAlign w:val="center"/>
          </w:tcPr>
          <w:p w14:paraId="39D1823A">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投标截止时间</w:t>
            </w:r>
          </w:p>
        </w:tc>
        <w:tc>
          <w:tcPr>
            <w:tcW w:w="5910" w:type="dxa"/>
            <w:noWrap w:val="0"/>
            <w:vAlign w:val="center"/>
          </w:tcPr>
          <w:p w14:paraId="20C9B2F2">
            <w:pPr>
              <w:spacing w:line="276" w:lineRule="auto"/>
              <w:ind w:left="62" w:right="62"/>
              <w:rPr>
                <w:rStyle w:val="127"/>
                <w:rFonts w:ascii="宋体" w:hAnsi="宋体"/>
                <w:strike/>
                <w:color w:val="auto"/>
                <w:szCs w:val="21"/>
                <w:highlight w:val="none"/>
              </w:rPr>
            </w:pPr>
            <w:r>
              <w:rPr>
                <w:rStyle w:val="127"/>
                <w:rFonts w:ascii="宋体" w:hAnsi="宋体"/>
                <w:color w:val="auto"/>
                <w:szCs w:val="21"/>
                <w:highlight w:val="none"/>
                <w:u w:val="single"/>
              </w:rPr>
              <w:t>202</w:t>
            </w:r>
            <w:r>
              <w:rPr>
                <w:rStyle w:val="127"/>
                <w:rFonts w:hint="eastAsia" w:ascii="宋体" w:hAnsi="宋体"/>
                <w:color w:val="auto"/>
                <w:szCs w:val="21"/>
                <w:highlight w:val="none"/>
                <w:u w:val="single"/>
              </w:rPr>
              <w:t>5</w:t>
            </w:r>
            <w:r>
              <w:rPr>
                <w:rStyle w:val="127"/>
                <w:rFonts w:ascii="宋体" w:hAnsi="宋体"/>
                <w:color w:val="auto"/>
                <w:szCs w:val="21"/>
                <w:highlight w:val="none"/>
              </w:rPr>
              <w:t>年</w:t>
            </w:r>
            <w:r>
              <w:rPr>
                <w:rStyle w:val="127"/>
                <w:rFonts w:ascii="宋体" w:hAnsi="宋体"/>
                <w:color w:val="auto"/>
                <w:szCs w:val="21"/>
                <w:highlight w:val="none"/>
                <w:u w:val="single"/>
              </w:rPr>
              <w:t xml:space="preserve">  </w:t>
            </w:r>
            <w:r>
              <w:rPr>
                <w:rStyle w:val="127"/>
                <w:rFonts w:ascii="宋体" w:hAnsi="宋体"/>
                <w:color w:val="auto"/>
                <w:szCs w:val="21"/>
                <w:highlight w:val="none"/>
              </w:rPr>
              <w:t>月</w:t>
            </w:r>
            <w:r>
              <w:rPr>
                <w:rStyle w:val="127"/>
                <w:rFonts w:ascii="宋体" w:hAnsi="宋体"/>
                <w:color w:val="auto"/>
                <w:szCs w:val="21"/>
                <w:highlight w:val="none"/>
                <w:u w:val="single"/>
              </w:rPr>
              <w:t xml:space="preserve"> </w:t>
            </w:r>
            <w:r>
              <w:rPr>
                <w:rStyle w:val="127"/>
                <w:color w:val="auto"/>
                <w:highlight w:val="none"/>
                <w:u w:val="single"/>
              </w:rPr>
              <w:t xml:space="preserve"> </w:t>
            </w:r>
            <w:r>
              <w:rPr>
                <w:rStyle w:val="127"/>
                <w:rFonts w:ascii="宋体" w:hAnsi="宋体"/>
                <w:color w:val="auto"/>
                <w:szCs w:val="21"/>
                <w:highlight w:val="none"/>
              </w:rPr>
              <w:t>日</w:t>
            </w:r>
            <w:r>
              <w:rPr>
                <w:rStyle w:val="127"/>
                <w:rFonts w:ascii="宋体" w:hAnsi="宋体"/>
                <w:color w:val="auto"/>
                <w:szCs w:val="21"/>
                <w:highlight w:val="none"/>
                <w:u w:val="single"/>
              </w:rPr>
              <w:t xml:space="preserve"> </w:t>
            </w:r>
            <w:r>
              <w:rPr>
                <w:rStyle w:val="127"/>
                <w:color w:val="auto"/>
                <w:highlight w:val="none"/>
                <w:u w:val="single"/>
              </w:rPr>
              <w:t xml:space="preserve"> </w:t>
            </w:r>
            <w:r>
              <w:rPr>
                <w:rStyle w:val="127"/>
                <w:rFonts w:ascii="宋体" w:hAnsi="宋体"/>
                <w:color w:val="auto"/>
                <w:szCs w:val="21"/>
                <w:highlight w:val="none"/>
              </w:rPr>
              <w:t>时（北京时间）。</w:t>
            </w:r>
          </w:p>
        </w:tc>
      </w:tr>
      <w:tr w14:paraId="3F5414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noWrap w:val="0"/>
            <w:vAlign w:val="center"/>
          </w:tcPr>
          <w:p w14:paraId="439C503E">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18</w:t>
            </w:r>
          </w:p>
        </w:tc>
        <w:tc>
          <w:tcPr>
            <w:tcW w:w="981" w:type="dxa"/>
            <w:noWrap w:val="0"/>
            <w:vAlign w:val="center"/>
          </w:tcPr>
          <w:p w14:paraId="4016C313">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20.1</w:t>
            </w:r>
          </w:p>
        </w:tc>
        <w:tc>
          <w:tcPr>
            <w:tcW w:w="1552" w:type="dxa"/>
            <w:noWrap w:val="0"/>
            <w:vAlign w:val="center"/>
          </w:tcPr>
          <w:p w14:paraId="33593FD1">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开标开始时间和地点</w:t>
            </w:r>
          </w:p>
        </w:tc>
        <w:tc>
          <w:tcPr>
            <w:tcW w:w="5910" w:type="dxa"/>
            <w:noWrap w:val="0"/>
            <w:vAlign w:val="center"/>
          </w:tcPr>
          <w:p w14:paraId="439A97AC">
            <w:pPr>
              <w:spacing w:line="276" w:lineRule="auto"/>
              <w:ind w:left="62" w:right="62"/>
              <w:rPr>
                <w:rStyle w:val="127"/>
                <w:rFonts w:ascii="宋体" w:hAnsi="宋体"/>
                <w:color w:val="auto"/>
                <w:szCs w:val="21"/>
                <w:highlight w:val="none"/>
              </w:rPr>
            </w:pPr>
            <w:r>
              <w:rPr>
                <w:rStyle w:val="127"/>
                <w:rFonts w:ascii="宋体" w:hAnsi="宋体"/>
                <w:color w:val="auto"/>
                <w:szCs w:val="21"/>
                <w:highlight w:val="none"/>
              </w:rPr>
              <w:t>（技术标和经济标同时开标）</w:t>
            </w:r>
          </w:p>
          <w:p w14:paraId="514B2DE2">
            <w:pPr>
              <w:spacing w:line="276" w:lineRule="auto"/>
              <w:ind w:left="62" w:right="62"/>
              <w:rPr>
                <w:rStyle w:val="127"/>
                <w:rFonts w:ascii="宋体" w:hAnsi="宋体"/>
                <w:color w:val="auto"/>
                <w:szCs w:val="21"/>
                <w:highlight w:val="none"/>
              </w:rPr>
            </w:pPr>
            <w:r>
              <w:rPr>
                <w:rStyle w:val="127"/>
                <w:rFonts w:hint="eastAsia" w:ascii="宋体" w:hAnsi="宋体"/>
                <w:color w:val="auto"/>
                <w:szCs w:val="21"/>
                <w:highlight w:val="none"/>
              </w:rPr>
              <w:t>1</w:t>
            </w:r>
            <w:r>
              <w:rPr>
                <w:rStyle w:val="127"/>
                <w:rFonts w:ascii="宋体" w:hAnsi="宋体"/>
                <w:color w:val="auto"/>
                <w:szCs w:val="21"/>
                <w:highlight w:val="none"/>
              </w:rPr>
              <w:t>.开标开始时间：</w:t>
            </w:r>
            <w:r>
              <w:rPr>
                <w:rStyle w:val="127"/>
                <w:rFonts w:ascii="宋体" w:hAnsi="宋体"/>
                <w:color w:val="auto"/>
                <w:szCs w:val="21"/>
                <w:highlight w:val="none"/>
                <w:u w:val="single"/>
              </w:rPr>
              <w:t>202</w:t>
            </w:r>
            <w:r>
              <w:rPr>
                <w:rStyle w:val="127"/>
                <w:rFonts w:hint="eastAsia" w:ascii="宋体" w:hAnsi="宋体"/>
                <w:color w:val="auto"/>
                <w:szCs w:val="21"/>
                <w:highlight w:val="none"/>
                <w:u w:val="single"/>
              </w:rPr>
              <w:t>5</w:t>
            </w:r>
            <w:r>
              <w:rPr>
                <w:rStyle w:val="127"/>
                <w:rFonts w:ascii="宋体" w:hAnsi="宋体"/>
                <w:color w:val="auto"/>
                <w:szCs w:val="21"/>
                <w:highlight w:val="none"/>
              </w:rPr>
              <w:t>年</w:t>
            </w:r>
            <w:r>
              <w:rPr>
                <w:rStyle w:val="127"/>
                <w:rFonts w:ascii="宋体" w:hAnsi="宋体"/>
                <w:color w:val="auto"/>
                <w:szCs w:val="21"/>
                <w:highlight w:val="none"/>
                <w:u w:val="single"/>
              </w:rPr>
              <w:t xml:space="preserve">  </w:t>
            </w:r>
            <w:r>
              <w:rPr>
                <w:rStyle w:val="127"/>
                <w:rFonts w:ascii="宋体" w:hAnsi="宋体"/>
                <w:color w:val="auto"/>
                <w:szCs w:val="21"/>
                <w:highlight w:val="none"/>
              </w:rPr>
              <w:t>月</w:t>
            </w:r>
            <w:r>
              <w:rPr>
                <w:rStyle w:val="127"/>
                <w:rFonts w:ascii="宋体" w:hAnsi="宋体"/>
                <w:color w:val="auto"/>
                <w:szCs w:val="21"/>
                <w:highlight w:val="none"/>
                <w:u w:val="single"/>
              </w:rPr>
              <w:t xml:space="preserve">  </w:t>
            </w:r>
            <w:r>
              <w:rPr>
                <w:rStyle w:val="127"/>
                <w:rFonts w:ascii="宋体" w:hAnsi="宋体"/>
                <w:color w:val="auto"/>
                <w:szCs w:val="21"/>
                <w:highlight w:val="none"/>
              </w:rPr>
              <w:t>日</w:t>
            </w:r>
            <w:r>
              <w:rPr>
                <w:rStyle w:val="127"/>
                <w:rFonts w:ascii="宋体" w:hAnsi="宋体"/>
                <w:color w:val="auto"/>
                <w:szCs w:val="21"/>
                <w:highlight w:val="none"/>
                <w:u w:val="single"/>
              </w:rPr>
              <w:t xml:space="preserve">  </w:t>
            </w:r>
            <w:r>
              <w:rPr>
                <w:rStyle w:val="127"/>
                <w:rFonts w:ascii="宋体" w:hAnsi="宋体"/>
                <w:color w:val="auto"/>
                <w:szCs w:val="21"/>
                <w:highlight w:val="none"/>
              </w:rPr>
              <w:t>时</w:t>
            </w:r>
            <w:r>
              <w:rPr>
                <w:rStyle w:val="127"/>
                <w:rFonts w:ascii="宋体" w:hAnsi="宋体"/>
                <w:color w:val="auto"/>
                <w:szCs w:val="21"/>
                <w:highlight w:val="none"/>
                <w:u w:val="single"/>
              </w:rPr>
              <w:t xml:space="preserve">  </w:t>
            </w:r>
            <w:r>
              <w:rPr>
                <w:rStyle w:val="127"/>
                <w:rFonts w:ascii="宋体" w:hAnsi="宋体"/>
                <w:color w:val="auto"/>
                <w:szCs w:val="21"/>
                <w:highlight w:val="none"/>
              </w:rPr>
              <w:t>分（与投标截止时间为同一时间），地点：</w:t>
            </w:r>
            <w:r>
              <w:rPr>
                <w:rStyle w:val="127"/>
                <w:rFonts w:ascii="宋体" w:hAnsi="宋体"/>
                <w:color w:val="auto"/>
                <w:szCs w:val="21"/>
                <w:highlight w:val="none"/>
                <w:u w:val="single"/>
              </w:rPr>
              <w:t>广州公共资源交易中心  开标室</w:t>
            </w:r>
            <w:r>
              <w:rPr>
                <w:rStyle w:val="127"/>
                <w:rFonts w:hint="eastAsia" w:ascii="宋体" w:hAnsi="宋体"/>
                <w:color w:val="auto"/>
                <w:szCs w:val="21"/>
                <w:highlight w:val="none"/>
                <w:u w:val="single"/>
              </w:rPr>
              <w:t>。</w:t>
            </w:r>
            <w:r>
              <w:rPr>
                <w:rStyle w:val="127"/>
                <w:rFonts w:hint="eastAsia" w:ascii="宋体" w:hAnsi="宋体"/>
                <w:color w:val="auto"/>
                <w:szCs w:val="21"/>
                <w:highlight w:val="none"/>
              </w:rPr>
              <w:t>投标人也可选择参加在线开标，具体按照交易平台相关指南进行操作。详见：广州交易集团有限公司（广州公共资源交易中心）网站（http:/ www.gzggzy.cn）服务指南栏目。</w:t>
            </w:r>
          </w:p>
          <w:p w14:paraId="27D8F12A">
            <w:pPr>
              <w:spacing w:line="276" w:lineRule="auto"/>
              <w:ind w:left="62" w:right="62"/>
              <w:rPr>
                <w:rStyle w:val="127"/>
                <w:rFonts w:ascii="宋体" w:hAnsi="宋体"/>
                <w:color w:val="auto"/>
                <w:szCs w:val="21"/>
                <w:highlight w:val="none"/>
              </w:rPr>
            </w:pPr>
            <w:r>
              <w:rPr>
                <w:rStyle w:val="127"/>
                <w:rFonts w:ascii="宋体" w:hAnsi="宋体"/>
                <w:color w:val="auto"/>
                <w:szCs w:val="21"/>
                <w:highlight w:val="none"/>
              </w:rPr>
              <w:t>注：投标文件解密问题。投标人只用执行一次解密，招标人执行解密次数根据招标文件开标次数确定。</w:t>
            </w:r>
          </w:p>
          <w:p w14:paraId="08E94718">
            <w:pPr>
              <w:spacing w:line="276" w:lineRule="auto"/>
              <w:ind w:left="62" w:right="62"/>
              <w:rPr>
                <w:rStyle w:val="127"/>
                <w:rFonts w:ascii="宋体" w:hAnsi="宋体"/>
                <w:color w:val="auto"/>
                <w:szCs w:val="21"/>
                <w:highlight w:val="none"/>
              </w:rPr>
            </w:pPr>
            <w:r>
              <w:rPr>
                <w:rStyle w:val="127"/>
                <w:rFonts w:ascii="宋体" w:hAnsi="宋体"/>
                <w:color w:val="auto"/>
                <w:szCs w:val="21"/>
                <w:highlight w:val="none"/>
              </w:rPr>
              <w:t>2.递交投标文件备用光盘时间：</w:t>
            </w:r>
            <w:r>
              <w:rPr>
                <w:rStyle w:val="127"/>
                <w:rFonts w:ascii="宋体" w:hAnsi="宋体"/>
                <w:color w:val="auto"/>
                <w:szCs w:val="21"/>
                <w:highlight w:val="none"/>
                <w:u w:val="single"/>
              </w:rPr>
              <w:t>202</w:t>
            </w:r>
            <w:r>
              <w:rPr>
                <w:rStyle w:val="127"/>
                <w:rFonts w:hint="eastAsia" w:ascii="宋体" w:hAnsi="宋体"/>
                <w:color w:val="auto"/>
                <w:szCs w:val="21"/>
                <w:highlight w:val="none"/>
                <w:u w:val="single"/>
              </w:rPr>
              <w:t>5</w:t>
            </w:r>
            <w:r>
              <w:rPr>
                <w:rStyle w:val="127"/>
                <w:rFonts w:ascii="宋体" w:hAnsi="宋体"/>
                <w:color w:val="auto"/>
                <w:szCs w:val="21"/>
                <w:highlight w:val="none"/>
              </w:rPr>
              <w:t>年</w:t>
            </w:r>
            <w:r>
              <w:rPr>
                <w:rStyle w:val="127"/>
                <w:rFonts w:ascii="宋体" w:hAnsi="宋体"/>
                <w:color w:val="auto"/>
                <w:szCs w:val="21"/>
                <w:highlight w:val="none"/>
                <w:u w:val="single"/>
              </w:rPr>
              <w:t xml:space="preserve">  </w:t>
            </w:r>
            <w:r>
              <w:rPr>
                <w:rStyle w:val="127"/>
                <w:rFonts w:ascii="宋体" w:hAnsi="宋体"/>
                <w:color w:val="auto"/>
                <w:szCs w:val="21"/>
                <w:highlight w:val="none"/>
              </w:rPr>
              <w:t>月</w:t>
            </w:r>
            <w:r>
              <w:rPr>
                <w:rStyle w:val="127"/>
                <w:rFonts w:ascii="宋体" w:hAnsi="宋体"/>
                <w:color w:val="auto"/>
                <w:szCs w:val="21"/>
                <w:highlight w:val="none"/>
                <w:u w:val="single"/>
              </w:rPr>
              <w:t xml:space="preserve">  </w:t>
            </w:r>
            <w:r>
              <w:rPr>
                <w:rStyle w:val="127"/>
                <w:rFonts w:ascii="宋体" w:hAnsi="宋体"/>
                <w:color w:val="auto"/>
                <w:szCs w:val="21"/>
                <w:highlight w:val="none"/>
              </w:rPr>
              <w:t>日</w:t>
            </w:r>
            <w:r>
              <w:rPr>
                <w:rStyle w:val="127"/>
                <w:rFonts w:ascii="宋体" w:hAnsi="宋体"/>
                <w:color w:val="auto"/>
                <w:szCs w:val="21"/>
                <w:highlight w:val="none"/>
                <w:u w:val="single"/>
              </w:rPr>
              <w:t xml:space="preserve">  </w:t>
            </w:r>
            <w:r>
              <w:rPr>
                <w:rStyle w:val="127"/>
                <w:rFonts w:ascii="宋体" w:hAnsi="宋体"/>
                <w:color w:val="auto"/>
                <w:szCs w:val="21"/>
                <w:highlight w:val="none"/>
              </w:rPr>
              <w:t>时</w:t>
            </w:r>
            <w:r>
              <w:rPr>
                <w:rStyle w:val="127"/>
                <w:rFonts w:ascii="宋体" w:hAnsi="宋体"/>
                <w:color w:val="auto"/>
                <w:szCs w:val="21"/>
                <w:highlight w:val="none"/>
                <w:u w:val="single"/>
              </w:rPr>
              <w:t xml:space="preserve">  </w:t>
            </w:r>
            <w:r>
              <w:rPr>
                <w:rStyle w:val="127"/>
                <w:rFonts w:ascii="宋体" w:hAnsi="宋体"/>
                <w:color w:val="auto"/>
                <w:szCs w:val="21"/>
                <w:highlight w:val="none"/>
              </w:rPr>
              <w:t>分至</w:t>
            </w:r>
            <w:r>
              <w:rPr>
                <w:rStyle w:val="127"/>
                <w:rFonts w:ascii="宋体" w:hAnsi="宋体"/>
                <w:color w:val="auto"/>
                <w:szCs w:val="21"/>
                <w:highlight w:val="none"/>
                <w:u w:val="single"/>
              </w:rPr>
              <w:t>202</w:t>
            </w:r>
            <w:r>
              <w:rPr>
                <w:rStyle w:val="127"/>
                <w:rFonts w:hint="eastAsia" w:ascii="宋体" w:hAnsi="宋体"/>
                <w:color w:val="auto"/>
                <w:szCs w:val="21"/>
                <w:highlight w:val="none"/>
                <w:u w:val="single"/>
              </w:rPr>
              <w:t>5</w:t>
            </w:r>
            <w:r>
              <w:rPr>
                <w:rStyle w:val="127"/>
                <w:rFonts w:ascii="宋体" w:hAnsi="宋体"/>
                <w:color w:val="auto"/>
                <w:szCs w:val="21"/>
                <w:highlight w:val="none"/>
              </w:rPr>
              <w:t>年</w:t>
            </w:r>
            <w:r>
              <w:rPr>
                <w:rStyle w:val="127"/>
                <w:rFonts w:ascii="宋体" w:hAnsi="宋体"/>
                <w:color w:val="auto"/>
                <w:szCs w:val="21"/>
                <w:highlight w:val="none"/>
                <w:u w:val="single"/>
              </w:rPr>
              <w:t xml:space="preserve">  </w:t>
            </w:r>
            <w:r>
              <w:rPr>
                <w:rStyle w:val="127"/>
                <w:rFonts w:ascii="宋体" w:hAnsi="宋体"/>
                <w:color w:val="auto"/>
                <w:szCs w:val="21"/>
                <w:highlight w:val="none"/>
              </w:rPr>
              <w:t>月</w:t>
            </w:r>
            <w:r>
              <w:rPr>
                <w:rStyle w:val="127"/>
                <w:rFonts w:ascii="宋体" w:hAnsi="宋体"/>
                <w:color w:val="auto"/>
                <w:szCs w:val="21"/>
                <w:highlight w:val="none"/>
                <w:u w:val="single"/>
              </w:rPr>
              <w:t xml:space="preserve">  </w:t>
            </w:r>
            <w:r>
              <w:rPr>
                <w:rStyle w:val="127"/>
                <w:rFonts w:ascii="宋体" w:hAnsi="宋体"/>
                <w:color w:val="auto"/>
                <w:szCs w:val="21"/>
                <w:highlight w:val="none"/>
              </w:rPr>
              <w:t>日</w:t>
            </w:r>
            <w:r>
              <w:rPr>
                <w:rStyle w:val="127"/>
                <w:rFonts w:ascii="宋体" w:hAnsi="宋体"/>
                <w:color w:val="auto"/>
                <w:szCs w:val="21"/>
                <w:highlight w:val="none"/>
                <w:u w:val="single"/>
              </w:rPr>
              <w:t xml:space="preserve">  </w:t>
            </w:r>
            <w:r>
              <w:rPr>
                <w:rStyle w:val="127"/>
                <w:rFonts w:ascii="宋体" w:hAnsi="宋体"/>
                <w:color w:val="auto"/>
                <w:szCs w:val="21"/>
                <w:highlight w:val="none"/>
              </w:rPr>
              <w:t>时</w:t>
            </w:r>
            <w:r>
              <w:rPr>
                <w:rStyle w:val="127"/>
                <w:rFonts w:ascii="宋体" w:hAnsi="宋体"/>
                <w:color w:val="auto"/>
                <w:szCs w:val="21"/>
                <w:highlight w:val="none"/>
                <w:u w:val="single"/>
              </w:rPr>
              <w:t xml:space="preserve">  </w:t>
            </w:r>
            <w:r>
              <w:rPr>
                <w:rStyle w:val="127"/>
                <w:rFonts w:ascii="宋体" w:hAnsi="宋体"/>
                <w:color w:val="auto"/>
                <w:szCs w:val="21"/>
                <w:highlight w:val="none"/>
              </w:rPr>
              <w:t>分；递交地点：</w:t>
            </w:r>
            <w:r>
              <w:rPr>
                <w:rStyle w:val="127"/>
                <w:rFonts w:ascii="宋体" w:hAnsi="宋体"/>
                <w:color w:val="auto"/>
                <w:szCs w:val="21"/>
                <w:highlight w:val="none"/>
                <w:u w:val="single"/>
              </w:rPr>
              <w:t>广州公共资源交易中心  开标室</w:t>
            </w:r>
            <w:r>
              <w:rPr>
                <w:rFonts w:hint="eastAsia" w:ascii="宋体" w:hAnsi="宋体"/>
                <w:color w:val="auto"/>
                <w:szCs w:val="21"/>
                <w:highlight w:val="none"/>
                <w:u w:val="single"/>
              </w:rPr>
              <w:t>（广州市天河区天润路333号）</w:t>
            </w:r>
            <w:r>
              <w:rPr>
                <w:rStyle w:val="127"/>
                <w:rFonts w:ascii="宋体" w:hAnsi="宋体"/>
                <w:color w:val="auto"/>
                <w:szCs w:val="21"/>
                <w:highlight w:val="none"/>
              </w:rPr>
              <w:t>。</w:t>
            </w:r>
          </w:p>
          <w:p w14:paraId="39F23EB8">
            <w:pPr>
              <w:spacing w:line="276" w:lineRule="auto"/>
              <w:ind w:left="62" w:right="62"/>
              <w:rPr>
                <w:rStyle w:val="127"/>
                <w:rFonts w:ascii="宋体" w:hAnsi="宋体"/>
                <w:color w:val="auto"/>
                <w:szCs w:val="21"/>
                <w:highlight w:val="none"/>
              </w:rPr>
            </w:pPr>
            <w:r>
              <w:rPr>
                <w:rFonts w:hint="eastAsia" w:ascii="宋体" w:hAnsi="宋体"/>
                <w:color w:val="auto"/>
                <w:szCs w:val="21"/>
                <w:highlight w:val="none"/>
              </w:rPr>
              <w:t>注：</w:t>
            </w:r>
            <w:r>
              <w:rPr>
                <w:rStyle w:val="127"/>
                <w:rFonts w:ascii="宋体" w:hAnsi="宋体"/>
                <w:color w:val="auto"/>
                <w:szCs w:val="21"/>
                <w:highlight w:val="none"/>
              </w:rPr>
              <w:t>上述时间及地点是否有改变，请密切留意</w:t>
            </w:r>
            <w:r>
              <w:rPr>
                <w:rStyle w:val="127"/>
                <w:rFonts w:hint="eastAsia" w:ascii="宋体" w:hAnsi="宋体"/>
                <w:color w:val="auto"/>
                <w:szCs w:val="21"/>
                <w:highlight w:val="none"/>
                <w:lang w:val="en-US" w:eastAsia="zh-CN"/>
              </w:rPr>
              <w:t>补充公告和</w:t>
            </w:r>
            <w:r>
              <w:rPr>
                <w:rStyle w:val="127"/>
                <w:rFonts w:ascii="宋体" w:hAnsi="宋体"/>
                <w:color w:val="auto"/>
                <w:szCs w:val="21"/>
                <w:highlight w:val="none"/>
              </w:rPr>
              <w:t>招标答疑纪要的相关信息。</w:t>
            </w:r>
          </w:p>
        </w:tc>
      </w:tr>
      <w:tr w14:paraId="3D3CB4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noWrap w:val="0"/>
            <w:vAlign w:val="center"/>
          </w:tcPr>
          <w:p w14:paraId="6FB25458">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19</w:t>
            </w:r>
          </w:p>
        </w:tc>
        <w:tc>
          <w:tcPr>
            <w:tcW w:w="981" w:type="dxa"/>
            <w:noWrap w:val="0"/>
            <w:vAlign w:val="center"/>
          </w:tcPr>
          <w:p w14:paraId="1179B5B3">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26</w:t>
            </w:r>
          </w:p>
        </w:tc>
        <w:tc>
          <w:tcPr>
            <w:tcW w:w="1552" w:type="dxa"/>
            <w:noWrap w:val="0"/>
            <w:vAlign w:val="center"/>
          </w:tcPr>
          <w:p w14:paraId="472465D9">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开标评标办法</w:t>
            </w:r>
          </w:p>
        </w:tc>
        <w:tc>
          <w:tcPr>
            <w:tcW w:w="5910" w:type="dxa"/>
            <w:noWrap w:val="0"/>
            <w:vAlign w:val="center"/>
          </w:tcPr>
          <w:p w14:paraId="27A0BDFF">
            <w:pPr>
              <w:spacing w:after="120"/>
              <w:rPr>
                <w:rFonts w:ascii="宋体" w:hAnsi="宋体" w:cs="宋体"/>
                <w:color w:val="auto"/>
                <w:szCs w:val="21"/>
                <w:highlight w:val="none"/>
              </w:rPr>
            </w:pPr>
            <w:r>
              <w:rPr>
                <w:rFonts w:hint="eastAsia" w:ascii="宋体" w:hAnsi="宋体" w:cs="宋体"/>
                <w:color w:val="auto"/>
                <w:szCs w:val="21"/>
                <w:highlight w:val="none"/>
              </w:rPr>
              <w:t>方式一：选取</w:t>
            </w:r>
            <w:r>
              <w:rPr>
                <w:rFonts w:hint="eastAsia" w:ascii="宋体" w:hAnsi="宋体" w:cs="宋体"/>
                <w:color w:val="auto"/>
                <w:szCs w:val="21"/>
                <w:highlight w:val="none"/>
                <w:u w:val="single"/>
              </w:rPr>
              <w:t>办法六（适合综合评分法三，技术标与经济标同时开启）</w:t>
            </w:r>
          </w:p>
          <w:p w14:paraId="7B749372">
            <w:pPr>
              <w:ind w:firstLine="420" w:firstLineChars="200"/>
              <w:rPr>
                <w:rFonts w:ascii="宋体" w:hAnsi="宋体" w:cs="宋体"/>
                <w:b/>
                <w:color w:val="auto"/>
                <w:szCs w:val="21"/>
                <w:highlight w:val="none"/>
                <w:u w:val="single"/>
                <w:lang w:bidi="ar"/>
              </w:rPr>
            </w:pPr>
            <w:r>
              <w:rPr>
                <w:rFonts w:hint="eastAsia" w:ascii="宋体" w:hAnsi="宋体" w:cs="宋体"/>
                <w:b/>
                <w:color w:val="auto"/>
                <w:szCs w:val="21"/>
                <w:highlight w:val="none"/>
                <w:u w:val="single"/>
                <w:lang w:bidi="ar"/>
              </w:rPr>
              <w:t>第一阶段得分（满分100分）</w:t>
            </w:r>
            <w:r>
              <w:rPr>
                <w:rFonts w:ascii="宋体" w:hAnsi="宋体" w:cs="宋体"/>
                <w:b/>
                <w:color w:val="auto"/>
                <w:szCs w:val="21"/>
                <w:highlight w:val="none"/>
                <w:u w:val="single"/>
                <w:lang w:bidi="ar"/>
              </w:rPr>
              <w:t>=</w:t>
            </w:r>
            <w:r>
              <w:rPr>
                <w:rFonts w:hint="eastAsia" w:ascii="宋体" w:hAnsi="宋体" w:cs="宋体"/>
                <w:b/>
                <w:color w:val="auto"/>
                <w:szCs w:val="21"/>
                <w:highlight w:val="none"/>
                <w:u w:val="single"/>
                <w:lang w:bidi="ar"/>
              </w:rPr>
              <w:t>技术标项目团队评审得分</w:t>
            </w:r>
            <w:r>
              <w:rPr>
                <w:rFonts w:hint="eastAsia" w:ascii="宋体" w:hAnsi="宋体" w:cs="宋体"/>
                <w:b/>
                <w:color w:val="auto"/>
                <w:szCs w:val="21"/>
                <w:highlight w:val="none"/>
                <w:u w:val="single"/>
                <w:lang w:eastAsia="zh-CN" w:bidi="ar"/>
              </w:rPr>
              <w:t>（项目管理班子答辩</w:t>
            </w:r>
            <w:r>
              <w:rPr>
                <w:rFonts w:ascii="宋体" w:hAnsi="宋体" w:cs="宋体"/>
                <w:b/>
                <w:color w:val="auto"/>
                <w:szCs w:val="21"/>
                <w:highlight w:val="none"/>
                <w:u w:val="single"/>
                <w:lang w:bidi="ar"/>
              </w:rPr>
              <w:t>得分15分+</w:t>
            </w:r>
            <w:r>
              <w:rPr>
                <w:rFonts w:hint="eastAsia" w:ascii="宋体" w:hAnsi="宋体" w:cs="宋体"/>
                <w:b/>
                <w:color w:val="auto"/>
                <w:szCs w:val="21"/>
                <w:highlight w:val="none"/>
                <w:u w:val="single"/>
                <w:lang w:bidi="ar"/>
              </w:rPr>
              <w:t>项目管理机构</w:t>
            </w:r>
            <w:r>
              <w:rPr>
                <w:rFonts w:ascii="宋体" w:hAnsi="宋体" w:cs="宋体"/>
                <w:b/>
                <w:color w:val="auto"/>
                <w:szCs w:val="21"/>
                <w:highlight w:val="none"/>
                <w:u w:val="single"/>
                <w:lang w:bidi="ar"/>
              </w:rPr>
              <w:t>得分</w:t>
            </w:r>
            <w:r>
              <w:rPr>
                <w:rFonts w:hint="eastAsia" w:ascii="宋体" w:hAnsi="宋体" w:cs="宋体"/>
                <w:b/>
                <w:color w:val="auto"/>
                <w:szCs w:val="21"/>
                <w:highlight w:val="none"/>
                <w:u w:val="single"/>
                <w:lang w:bidi="ar"/>
              </w:rPr>
              <w:t>85</w:t>
            </w:r>
            <w:r>
              <w:rPr>
                <w:rFonts w:ascii="宋体" w:hAnsi="宋体" w:cs="宋体"/>
                <w:b/>
                <w:color w:val="auto"/>
                <w:szCs w:val="21"/>
                <w:highlight w:val="none"/>
                <w:u w:val="single"/>
                <w:lang w:bidi="ar"/>
              </w:rPr>
              <w:t>分</w:t>
            </w:r>
            <w:r>
              <w:rPr>
                <w:rFonts w:hint="eastAsia" w:ascii="宋体" w:hAnsi="宋体" w:cs="宋体"/>
                <w:b/>
                <w:color w:val="auto"/>
                <w:szCs w:val="21"/>
                <w:highlight w:val="none"/>
                <w:u w:val="single"/>
                <w:lang w:eastAsia="zh-CN" w:bidi="ar"/>
              </w:rPr>
              <w:t>）</w:t>
            </w:r>
            <w:r>
              <w:rPr>
                <w:rFonts w:hint="eastAsia" w:ascii="宋体" w:hAnsi="宋体" w:cs="宋体"/>
                <w:b/>
                <w:color w:val="auto"/>
                <w:szCs w:val="21"/>
                <w:highlight w:val="none"/>
                <w:u w:val="single"/>
                <w:lang w:bidi="ar"/>
              </w:rPr>
              <w:t>；</w:t>
            </w:r>
          </w:p>
          <w:p w14:paraId="2B524C63">
            <w:pPr>
              <w:ind w:firstLine="420" w:firstLineChars="200"/>
              <w:rPr>
                <w:rFonts w:ascii="宋体" w:hAnsi="宋体" w:cs="宋体"/>
                <w:b/>
                <w:color w:val="auto"/>
                <w:szCs w:val="21"/>
                <w:highlight w:val="none"/>
                <w:u w:val="single"/>
                <w:lang w:bidi="ar"/>
              </w:rPr>
            </w:pPr>
            <w:r>
              <w:rPr>
                <w:rFonts w:hint="eastAsia" w:ascii="宋体" w:hAnsi="宋体" w:cs="宋体"/>
                <w:b/>
                <w:color w:val="auto"/>
                <w:szCs w:val="21"/>
                <w:highlight w:val="none"/>
                <w:u w:val="single"/>
                <w:lang w:bidi="ar"/>
              </w:rPr>
              <w:t>第二阶段得分（满分100分）</w:t>
            </w:r>
            <w:r>
              <w:rPr>
                <w:rFonts w:ascii="宋体" w:hAnsi="宋体" w:cs="宋体"/>
                <w:b/>
                <w:color w:val="auto"/>
                <w:szCs w:val="21"/>
                <w:highlight w:val="none"/>
                <w:u w:val="single"/>
                <w:lang w:bidi="ar"/>
              </w:rPr>
              <w:t>=</w:t>
            </w:r>
            <w:r>
              <w:rPr>
                <w:rFonts w:hint="eastAsia" w:ascii="宋体" w:hAnsi="宋体" w:cs="宋体"/>
                <w:b/>
                <w:color w:val="auto"/>
                <w:szCs w:val="21"/>
                <w:highlight w:val="none"/>
                <w:u w:val="single"/>
                <w:lang w:bidi="ar"/>
              </w:rPr>
              <w:t>第一阶</w:t>
            </w:r>
            <w:r>
              <w:rPr>
                <w:rFonts w:ascii="宋体" w:hAnsi="宋体" w:cs="宋体"/>
                <w:b/>
                <w:color w:val="auto"/>
                <w:szCs w:val="21"/>
                <w:highlight w:val="none"/>
                <w:u w:val="single"/>
                <w:lang w:bidi="ar"/>
              </w:rPr>
              <w:t>段的</w:t>
            </w:r>
            <w:r>
              <w:rPr>
                <w:rFonts w:hint="eastAsia" w:ascii="宋体" w:hAnsi="宋体" w:cs="宋体"/>
                <w:b/>
                <w:color w:val="auto"/>
                <w:szCs w:val="21"/>
                <w:highlight w:val="none"/>
                <w:u w:val="single"/>
                <w:lang w:eastAsia="zh-CN" w:bidi="ar"/>
              </w:rPr>
              <w:t>项目管理班子答辩</w:t>
            </w:r>
            <w:r>
              <w:rPr>
                <w:rFonts w:hint="eastAsia" w:ascii="宋体" w:hAnsi="宋体" w:cs="宋体"/>
                <w:b/>
                <w:color w:val="auto"/>
                <w:szCs w:val="21"/>
                <w:highlight w:val="none"/>
                <w:u w:val="single"/>
                <w:lang w:bidi="ar"/>
              </w:rPr>
              <w:t>得分</w:t>
            </w:r>
            <w:r>
              <w:rPr>
                <w:rFonts w:ascii="宋体" w:hAnsi="宋体" w:cs="宋体"/>
                <w:b/>
                <w:color w:val="auto"/>
                <w:szCs w:val="21"/>
                <w:highlight w:val="none"/>
                <w:u w:val="single"/>
                <w:lang w:bidi="ar"/>
              </w:rPr>
              <w:t>15分</w:t>
            </w:r>
            <w:r>
              <w:rPr>
                <w:rFonts w:hint="eastAsia" w:ascii="宋体" w:hAnsi="宋体" w:cs="宋体"/>
                <w:b/>
                <w:color w:val="auto"/>
                <w:szCs w:val="21"/>
                <w:highlight w:val="none"/>
                <w:u w:val="single"/>
                <w:lang w:bidi="ar"/>
              </w:rPr>
              <w:t>+企业资信得分(100分)×</w:t>
            </w:r>
            <w:r>
              <w:rPr>
                <w:rFonts w:hint="eastAsia" w:ascii="宋体" w:hAnsi="宋体" w:cs="宋体"/>
                <w:b/>
                <w:color w:val="auto"/>
                <w:szCs w:val="21"/>
                <w:highlight w:val="none"/>
                <w:u w:val="single"/>
                <w:lang w:val="en-US" w:eastAsia="zh-CN" w:bidi="ar"/>
              </w:rPr>
              <w:t>权重（</w:t>
            </w:r>
            <w:r>
              <w:rPr>
                <w:rFonts w:hint="eastAsia" w:ascii="宋体" w:hAnsi="宋体" w:cs="宋体"/>
                <w:b/>
                <w:color w:val="auto"/>
                <w:szCs w:val="21"/>
                <w:highlight w:val="none"/>
                <w:u w:val="single"/>
                <w:lang w:bidi="ar"/>
              </w:rPr>
              <w:t>5%</w:t>
            </w:r>
            <w:r>
              <w:rPr>
                <w:rFonts w:hint="eastAsia" w:ascii="宋体" w:hAnsi="宋体" w:cs="宋体"/>
                <w:b/>
                <w:color w:val="auto"/>
                <w:szCs w:val="21"/>
                <w:highlight w:val="none"/>
                <w:u w:val="single"/>
                <w:lang w:eastAsia="zh-CN" w:bidi="ar"/>
              </w:rPr>
              <w:t>）</w:t>
            </w:r>
            <w:r>
              <w:rPr>
                <w:rFonts w:hint="eastAsia" w:ascii="宋体" w:hAnsi="宋体" w:cs="宋体"/>
                <w:b/>
                <w:color w:val="auto"/>
                <w:szCs w:val="21"/>
                <w:highlight w:val="none"/>
                <w:u w:val="single"/>
                <w:lang w:bidi="ar"/>
              </w:rPr>
              <w:t>+经济得分（100分）×权重(80%)。</w:t>
            </w:r>
          </w:p>
          <w:p w14:paraId="11F7BC19">
            <w:pPr>
              <w:pStyle w:val="4"/>
              <w:ind w:firstLineChars="200"/>
              <w:rPr>
                <w:rStyle w:val="127"/>
                <w:rFonts w:ascii="宋体" w:hAnsi="宋体"/>
                <w:color w:val="auto"/>
                <w:szCs w:val="21"/>
                <w:highlight w:val="none"/>
              </w:rPr>
            </w:pPr>
            <w:r>
              <w:rPr>
                <w:rFonts w:hint="eastAsia" w:ascii="宋体" w:hAnsi="宋体" w:cs="宋体"/>
                <w:color w:val="auto"/>
                <w:szCs w:val="21"/>
                <w:highlight w:val="none"/>
                <w:u w:val="single"/>
                <w:lang w:bidi="ar"/>
              </w:rPr>
              <w:t>总得分相同的投标文件，以</w:t>
            </w:r>
            <w:r>
              <w:rPr>
                <w:rFonts w:hint="eastAsia" w:ascii="宋体" w:hAnsi="宋体" w:cs="宋体"/>
                <w:color w:val="auto"/>
                <w:szCs w:val="21"/>
                <w:highlight w:val="none"/>
                <w:u w:val="single"/>
                <w:lang w:eastAsia="zh-CN" w:bidi="ar"/>
              </w:rPr>
              <w:t>项目管理班子答辩</w:t>
            </w:r>
            <w:r>
              <w:rPr>
                <w:rFonts w:hint="eastAsia" w:ascii="宋体" w:hAnsi="宋体" w:cs="宋体"/>
                <w:color w:val="auto"/>
                <w:szCs w:val="21"/>
                <w:highlight w:val="none"/>
                <w:u w:val="single"/>
                <w:lang w:bidi="ar"/>
              </w:rPr>
              <w:t>得分较高的排前；总得分与</w:t>
            </w:r>
            <w:r>
              <w:rPr>
                <w:rFonts w:hint="eastAsia" w:ascii="宋体" w:hAnsi="宋体" w:cs="宋体"/>
                <w:color w:val="auto"/>
                <w:szCs w:val="21"/>
                <w:highlight w:val="none"/>
                <w:u w:val="single"/>
                <w:lang w:eastAsia="zh-CN" w:bidi="ar"/>
              </w:rPr>
              <w:t>项目管理班子答辩</w:t>
            </w:r>
            <w:r>
              <w:rPr>
                <w:rFonts w:hint="eastAsia" w:ascii="宋体" w:hAnsi="宋体" w:cs="宋体"/>
                <w:color w:val="auto"/>
                <w:szCs w:val="21"/>
                <w:highlight w:val="none"/>
                <w:u w:val="single"/>
                <w:lang w:bidi="ar"/>
              </w:rPr>
              <w:t>得分均相同的投标文件，以企业资信得分较高的排前，总得分、</w:t>
            </w:r>
            <w:r>
              <w:rPr>
                <w:rFonts w:hint="eastAsia" w:ascii="宋体" w:hAnsi="宋体" w:cs="宋体"/>
                <w:color w:val="auto"/>
                <w:szCs w:val="21"/>
                <w:highlight w:val="none"/>
                <w:u w:val="single"/>
                <w:lang w:eastAsia="zh-CN" w:bidi="ar"/>
              </w:rPr>
              <w:t>项目管理班子答辩</w:t>
            </w:r>
            <w:r>
              <w:rPr>
                <w:rFonts w:hint="eastAsia" w:ascii="宋体" w:hAnsi="宋体" w:cs="宋体"/>
                <w:color w:val="auto"/>
                <w:szCs w:val="21"/>
                <w:highlight w:val="none"/>
                <w:u w:val="single"/>
                <w:lang w:bidi="ar"/>
              </w:rPr>
              <w:t>得分及企业资信得分均相同的投标文件，以报价较低的排前；如仍存在相同情况，则由评标委员会采用记名投票方式，以得票多的优先。</w:t>
            </w:r>
          </w:p>
        </w:tc>
      </w:tr>
      <w:tr w14:paraId="1C7C6F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noWrap w:val="0"/>
            <w:vAlign w:val="center"/>
          </w:tcPr>
          <w:p w14:paraId="6D4875F0">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20</w:t>
            </w:r>
          </w:p>
        </w:tc>
        <w:tc>
          <w:tcPr>
            <w:tcW w:w="981" w:type="dxa"/>
            <w:noWrap w:val="0"/>
            <w:vAlign w:val="center"/>
          </w:tcPr>
          <w:p w14:paraId="59979B1E">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29.1</w:t>
            </w:r>
          </w:p>
        </w:tc>
        <w:tc>
          <w:tcPr>
            <w:tcW w:w="1552" w:type="dxa"/>
            <w:noWrap w:val="0"/>
            <w:vAlign w:val="center"/>
          </w:tcPr>
          <w:p w14:paraId="4D90D7C3">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履约担保</w:t>
            </w:r>
          </w:p>
        </w:tc>
        <w:tc>
          <w:tcPr>
            <w:tcW w:w="5910" w:type="dxa"/>
            <w:noWrap w:val="0"/>
            <w:vAlign w:val="center"/>
          </w:tcPr>
          <w:p w14:paraId="48A91AEA">
            <w:pPr>
              <w:pStyle w:val="12"/>
              <w:topLinePunct/>
              <w:adjustRightInd w:val="0"/>
              <w:spacing w:after="0" w:line="276" w:lineRule="auto"/>
              <w:ind w:left="62" w:right="62"/>
              <w:rPr>
                <w:rFonts w:ascii="宋体" w:hAnsi="宋体"/>
                <w:color w:val="auto"/>
                <w:sz w:val="21"/>
                <w:szCs w:val="21"/>
                <w:highlight w:val="none"/>
              </w:rPr>
            </w:pPr>
            <w:r>
              <w:rPr>
                <w:rFonts w:hint="eastAsia" w:ascii="宋体" w:hAnsi="宋体"/>
                <w:color w:val="auto"/>
                <w:sz w:val="21"/>
                <w:szCs w:val="21"/>
                <w:highlight w:val="none"/>
              </w:rPr>
              <w:t>方式一：</w:t>
            </w:r>
            <w:r>
              <w:rPr>
                <w:rFonts w:hint="eastAsia" w:ascii="宋体" w:hAnsi="宋体" w:cs="宋体"/>
                <w:color w:val="auto"/>
                <w:kern w:val="0"/>
                <w:sz w:val="21"/>
                <w:szCs w:val="21"/>
                <w:highlight w:val="none"/>
              </w:rPr>
              <w:t>中标人提供的履约保证金为中标价款的10%（注：如中标人为中小企业，履约保证金为中标价款的5%。具体要求详见合同）</w:t>
            </w:r>
          </w:p>
        </w:tc>
      </w:tr>
      <w:tr w14:paraId="20563C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noWrap w:val="0"/>
            <w:vAlign w:val="center"/>
          </w:tcPr>
          <w:p w14:paraId="55CC2D10">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21</w:t>
            </w:r>
          </w:p>
        </w:tc>
        <w:tc>
          <w:tcPr>
            <w:tcW w:w="981" w:type="dxa"/>
            <w:noWrap w:val="0"/>
            <w:vAlign w:val="center"/>
          </w:tcPr>
          <w:p w14:paraId="62431860">
            <w:pPr>
              <w:spacing w:line="276" w:lineRule="auto"/>
              <w:ind w:left="62" w:right="62"/>
              <w:jc w:val="center"/>
              <w:rPr>
                <w:rStyle w:val="127"/>
                <w:rFonts w:ascii="宋体" w:hAnsi="宋体"/>
                <w:color w:val="auto"/>
                <w:szCs w:val="21"/>
                <w:highlight w:val="none"/>
              </w:rPr>
            </w:pPr>
          </w:p>
        </w:tc>
        <w:tc>
          <w:tcPr>
            <w:tcW w:w="1552" w:type="dxa"/>
            <w:noWrap w:val="0"/>
            <w:vAlign w:val="center"/>
          </w:tcPr>
          <w:p w14:paraId="58FA42C3">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最高投标限价</w:t>
            </w:r>
          </w:p>
        </w:tc>
        <w:tc>
          <w:tcPr>
            <w:tcW w:w="5910" w:type="dxa"/>
            <w:noWrap w:val="0"/>
            <w:vAlign w:val="center"/>
          </w:tcPr>
          <w:p w14:paraId="65F77E24">
            <w:pPr>
              <w:spacing w:line="276" w:lineRule="auto"/>
              <w:ind w:left="62" w:right="62"/>
              <w:rPr>
                <w:rStyle w:val="127"/>
                <w:rFonts w:ascii="宋体" w:hAnsi="宋体"/>
                <w:color w:val="auto"/>
                <w:szCs w:val="21"/>
                <w:highlight w:val="none"/>
              </w:rPr>
            </w:pPr>
            <w:r>
              <w:rPr>
                <w:rStyle w:val="127"/>
                <w:rFonts w:ascii="宋体" w:hAnsi="宋体"/>
                <w:color w:val="auto"/>
                <w:szCs w:val="21"/>
                <w:highlight w:val="none"/>
              </w:rPr>
              <w:t>本项目最高投标限价为人民币</w:t>
            </w:r>
            <w:r>
              <w:rPr>
                <w:rFonts w:hint="eastAsia" w:ascii="宋体" w:hAnsi="宋体"/>
                <w:b/>
                <w:bCs/>
                <w:color w:val="auto"/>
                <w:szCs w:val="21"/>
                <w:highlight w:val="none"/>
                <w:u w:val="single"/>
                <w:lang w:eastAsia="zh-CN"/>
              </w:rPr>
              <w:t>60112005.59</w:t>
            </w:r>
            <w:r>
              <w:rPr>
                <w:rFonts w:hint="eastAsia" w:ascii="宋体" w:hAnsi="宋体"/>
                <w:color w:val="auto"/>
                <w:szCs w:val="21"/>
                <w:highlight w:val="none"/>
              </w:rPr>
              <w:t>元。</w:t>
            </w:r>
          </w:p>
        </w:tc>
      </w:tr>
      <w:tr w14:paraId="52748C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noWrap w:val="0"/>
            <w:vAlign w:val="center"/>
          </w:tcPr>
          <w:p w14:paraId="05D2CC62">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22</w:t>
            </w:r>
          </w:p>
        </w:tc>
        <w:tc>
          <w:tcPr>
            <w:tcW w:w="981" w:type="dxa"/>
            <w:noWrap w:val="0"/>
            <w:vAlign w:val="center"/>
          </w:tcPr>
          <w:p w14:paraId="01865764">
            <w:pPr>
              <w:spacing w:line="276" w:lineRule="auto"/>
              <w:ind w:left="62" w:right="62"/>
              <w:jc w:val="center"/>
              <w:rPr>
                <w:rStyle w:val="127"/>
                <w:rFonts w:ascii="宋体" w:hAnsi="宋体"/>
                <w:color w:val="auto"/>
                <w:szCs w:val="21"/>
                <w:highlight w:val="none"/>
              </w:rPr>
            </w:pPr>
          </w:p>
        </w:tc>
        <w:tc>
          <w:tcPr>
            <w:tcW w:w="1552" w:type="dxa"/>
            <w:noWrap w:val="0"/>
            <w:vAlign w:val="center"/>
          </w:tcPr>
          <w:p w14:paraId="41FEA0BD">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非竞争费用</w:t>
            </w:r>
          </w:p>
        </w:tc>
        <w:tc>
          <w:tcPr>
            <w:tcW w:w="5910" w:type="dxa"/>
            <w:noWrap w:val="0"/>
            <w:vAlign w:val="center"/>
          </w:tcPr>
          <w:p w14:paraId="09CA533B">
            <w:pPr>
              <w:spacing w:line="276" w:lineRule="auto"/>
              <w:ind w:left="62" w:right="62"/>
              <w:rPr>
                <w:rStyle w:val="127"/>
                <w:rFonts w:ascii="宋体" w:hAnsi="宋体"/>
                <w:color w:val="auto"/>
                <w:szCs w:val="21"/>
                <w:highlight w:val="none"/>
              </w:rPr>
            </w:pPr>
            <w:r>
              <w:rPr>
                <w:rFonts w:ascii="宋体" w:hAnsi="宋体"/>
                <w:color w:val="auto"/>
                <w:szCs w:val="21"/>
                <w:highlight w:val="none"/>
              </w:rPr>
              <w:t>本项目</w:t>
            </w:r>
            <w:r>
              <w:rPr>
                <w:rFonts w:hint="eastAsia" w:ascii="宋体" w:hAnsi="宋体"/>
                <w:color w:val="auto"/>
                <w:szCs w:val="21"/>
                <w:highlight w:val="none"/>
                <w:lang w:eastAsia="zh-CN"/>
              </w:rPr>
              <w:t>安全生产措施费</w:t>
            </w:r>
            <w:r>
              <w:rPr>
                <w:rFonts w:ascii="宋体" w:hAnsi="宋体"/>
                <w:color w:val="auto"/>
                <w:szCs w:val="21"/>
                <w:highlight w:val="none"/>
              </w:rPr>
              <w:t>为</w:t>
            </w:r>
            <w:r>
              <w:rPr>
                <w:rFonts w:hint="eastAsia" w:ascii="宋体" w:hAnsi="宋体"/>
                <w:b/>
                <w:bCs/>
                <w:color w:val="auto"/>
                <w:szCs w:val="21"/>
                <w:highlight w:val="none"/>
                <w:u w:val="single"/>
                <w:lang w:eastAsia="zh-CN"/>
              </w:rPr>
              <w:t>1825177.47</w:t>
            </w:r>
            <w:r>
              <w:rPr>
                <w:rFonts w:hint="eastAsia" w:ascii="宋体" w:hAnsi="宋体"/>
                <w:color w:val="auto"/>
                <w:szCs w:val="21"/>
                <w:highlight w:val="none"/>
              </w:rPr>
              <w:t>元</w:t>
            </w:r>
            <w:r>
              <w:rPr>
                <w:rFonts w:ascii="宋体" w:hAnsi="宋体"/>
                <w:color w:val="auto"/>
                <w:szCs w:val="21"/>
                <w:highlight w:val="none"/>
              </w:rPr>
              <w:t>，暂列金额为</w:t>
            </w:r>
            <w:r>
              <w:rPr>
                <w:rFonts w:hint="eastAsia" w:ascii="宋体" w:hAnsi="宋体"/>
                <w:b/>
                <w:bCs/>
                <w:color w:val="auto"/>
                <w:szCs w:val="21"/>
                <w:highlight w:val="none"/>
                <w:u w:val="single"/>
                <w:lang w:eastAsia="zh-CN"/>
              </w:rPr>
              <w:t>4462069.46</w:t>
            </w:r>
            <w:r>
              <w:rPr>
                <w:rFonts w:hint="eastAsia" w:ascii="宋体" w:hAnsi="宋体"/>
                <w:color w:val="auto"/>
                <w:szCs w:val="21"/>
                <w:highlight w:val="none"/>
              </w:rPr>
              <w:t>元</w:t>
            </w:r>
            <w:r>
              <w:rPr>
                <w:rFonts w:ascii="宋体" w:hAnsi="宋体"/>
                <w:color w:val="auto"/>
                <w:szCs w:val="21"/>
                <w:highlight w:val="none"/>
              </w:rPr>
              <w:t>。</w:t>
            </w:r>
            <w:r>
              <w:rPr>
                <w:rFonts w:hint="eastAsia" w:ascii="宋体" w:hAnsi="宋体"/>
                <w:color w:val="auto"/>
                <w:szCs w:val="21"/>
                <w:highlight w:val="none"/>
              </w:rPr>
              <w:t>详见：《最高投标限价公布函》</w:t>
            </w:r>
            <w:r>
              <w:rPr>
                <w:rFonts w:ascii="宋体" w:hAnsi="宋体"/>
                <w:color w:val="auto"/>
                <w:szCs w:val="21"/>
                <w:highlight w:val="none"/>
              </w:rPr>
              <w:t>（未按招标文件规定的金额填写的，由评标委员会按照招标文件规定的金额进行修正）</w:t>
            </w:r>
          </w:p>
        </w:tc>
      </w:tr>
      <w:tr w14:paraId="7F498B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noWrap w:val="0"/>
            <w:vAlign w:val="center"/>
          </w:tcPr>
          <w:p w14:paraId="5E1E07C3">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23</w:t>
            </w:r>
          </w:p>
        </w:tc>
        <w:tc>
          <w:tcPr>
            <w:tcW w:w="981" w:type="dxa"/>
            <w:noWrap w:val="0"/>
            <w:vAlign w:val="center"/>
          </w:tcPr>
          <w:p w14:paraId="03E49D62">
            <w:pPr>
              <w:spacing w:line="276" w:lineRule="auto"/>
              <w:ind w:left="62" w:right="62"/>
              <w:jc w:val="center"/>
              <w:rPr>
                <w:rStyle w:val="127"/>
                <w:rFonts w:ascii="宋体" w:hAnsi="宋体"/>
                <w:color w:val="auto"/>
                <w:szCs w:val="21"/>
                <w:highlight w:val="none"/>
              </w:rPr>
            </w:pPr>
          </w:p>
        </w:tc>
        <w:tc>
          <w:tcPr>
            <w:tcW w:w="1552" w:type="dxa"/>
            <w:noWrap w:val="0"/>
            <w:vAlign w:val="center"/>
          </w:tcPr>
          <w:p w14:paraId="0937CE20">
            <w:pPr>
              <w:pStyle w:val="120"/>
              <w:spacing w:after="0" w:line="276" w:lineRule="auto"/>
              <w:ind w:left="62" w:right="62" w:firstLine="0"/>
              <w:jc w:val="center"/>
              <w:rPr>
                <w:rStyle w:val="127"/>
                <w:rFonts w:ascii="宋体" w:hAnsi="宋体"/>
                <w:color w:val="auto"/>
                <w:kern w:val="2"/>
                <w:sz w:val="21"/>
                <w:szCs w:val="21"/>
                <w:highlight w:val="none"/>
              </w:rPr>
            </w:pPr>
            <w:r>
              <w:rPr>
                <w:rStyle w:val="127"/>
                <w:rFonts w:ascii="宋体" w:hAnsi="宋体"/>
                <w:color w:val="auto"/>
                <w:kern w:val="2"/>
                <w:sz w:val="21"/>
                <w:szCs w:val="21"/>
                <w:highlight w:val="none"/>
              </w:rPr>
              <w:t>保修期</w:t>
            </w:r>
          </w:p>
        </w:tc>
        <w:tc>
          <w:tcPr>
            <w:tcW w:w="5910" w:type="dxa"/>
            <w:noWrap w:val="0"/>
            <w:vAlign w:val="center"/>
          </w:tcPr>
          <w:p w14:paraId="01A6EFE4">
            <w:pPr>
              <w:spacing w:line="276" w:lineRule="auto"/>
              <w:ind w:left="62" w:right="62"/>
              <w:rPr>
                <w:rStyle w:val="127"/>
                <w:rFonts w:ascii="宋体" w:hAnsi="宋体"/>
                <w:color w:val="auto"/>
                <w:szCs w:val="21"/>
                <w:highlight w:val="none"/>
              </w:rPr>
            </w:pPr>
            <w:r>
              <w:rPr>
                <w:rStyle w:val="127"/>
                <w:rFonts w:ascii="宋体" w:hAnsi="宋体"/>
                <w:color w:val="auto"/>
                <w:szCs w:val="21"/>
                <w:highlight w:val="none"/>
              </w:rPr>
              <w:t>按照《建设工程质量管理条例》规定。</w:t>
            </w:r>
          </w:p>
        </w:tc>
      </w:tr>
      <w:tr w14:paraId="2BB9F3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noWrap w:val="0"/>
            <w:vAlign w:val="center"/>
          </w:tcPr>
          <w:p w14:paraId="399EC004">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24</w:t>
            </w:r>
          </w:p>
        </w:tc>
        <w:tc>
          <w:tcPr>
            <w:tcW w:w="981" w:type="dxa"/>
            <w:noWrap w:val="0"/>
            <w:vAlign w:val="center"/>
          </w:tcPr>
          <w:p w14:paraId="7811F0DD">
            <w:pPr>
              <w:spacing w:line="276" w:lineRule="auto"/>
              <w:ind w:left="62" w:right="62"/>
              <w:jc w:val="center"/>
              <w:rPr>
                <w:rStyle w:val="127"/>
                <w:rFonts w:ascii="宋体" w:hAnsi="宋体"/>
                <w:color w:val="auto"/>
                <w:szCs w:val="21"/>
                <w:highlight w:val="none"/>
              </w:rPr>
            </w:pPr>
          </w:p>
        </w:tc>
        <w:tc>
          <w:tcPr>
            <w:tcW w:w="1552" w:type="dxa"/>
            <w:noWrap w:val="0"/>
            <w:vAlign w:val="center"/>
          </w:tcPr>
          <w:p w14:paraId="1D77F9A3">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计算评标参考价的等分点值</w:t>
            </w:r>
          </w:p>
        </w:tc>
        <w:tc>
          <w:tcPr>
            <w:tcW w:w="5910" w:type="dxa"/>
            <w:noWrap w:val="0"/>
            <w:vAlign w:val="center"/>
          </w:tcPr>
          <w:p w14:paraId="38372D59">
            <w:pPr>
              <w:spacing w:line="276" w:lineRule="auto"/>
              <w:ind w:left="62" w:right="62"/>
              <w:rPr>
                <w:rStyle w:val="127"/>
                <w:rFonts w:ascii="宋体" w:hAnsi="宋体"/>
                <w:color w:val="auto"/>
                <w:szCs w:val="21"/>
                <w:highlight w:val="none"/>
              </w:rPr>
            </w:pPr>
            <w:r>
              <w:rPr>
                <w:rStyle w:val="127"/>
                <w:rFonts w:hint="eastAsia" w:ascii="宋体" w:hAnsi="宋体"/>
                <w:color w:val="auto"/>
                <w:highlight w:val="none"/>
              </w:rPr>
              <w:t>计算评标参考价的等分点值X在开标前从【0，100】的整数中随机抽取。</w:t>
            </w:r>
          </w:p>
        </w:tc>
      </w:tr>
      <w:tr w14:paraId="78D90D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657" w:type="dxa"/>
            <w:noWrap w:val="0"/>
            <w:vAlign w:val="center"/>
          </w:tcPr>
          <w:p w14:paraId="355EB6D5">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25</w:t>
            </w:r>
          </w:p>
        </w:tc>
        <w:tc>
          <w:tcPr>
            <w:tcW w:w="981" w:type="dxa"/>
            <w:noWrap w:val="0"/>
            <w:vAlign w:val="center"/>
          </w:tcPr>
          <w:p w14:paraId="6F703A2C">
            <w:pPr>
              <w:spacing w:line="276" w:lineRule="auto"/>
              <w:ind w:left="62" w:right="62" w:firstLine="458"/>
              <w:jc w:val="center"/>
              <w:rPr>
                <w:rStyle w:val="127"/>
                <w:rFonts w:ascii="宋体" w:hAnsi="宋体"/>
                <w:color w:val="auto"/>
                <w:szCs w:val="21"/>
                <w:highlight w:val="none"/>
              </w:rPr>
            </w:pPr>
          </w:p>
        </w:tc>
        <w:tc>
          <w:tcPr>
            <w:tcW w:w="1552" w:type="dxa"/>
            <w:noWrap w:val="0"/>
            <w:vAlign w:val="center"/>
          </w:tcPr>
          <w:p w14:paraId="22DAFA66">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进入第二阶段评审的家数</w:t>
            </w:r>
          </w:p>
        </w:tc>
        <w:tc>
          <w:tcPr>
            <w:tcW w:w="5910" w:type="dxa"/>
            <w:noWrap w:val="0"/>
            <w:vAlign w:val="center"/>
          </w:tcPr>
          <w:p w14:paraId="5CC61904">
            <w:pPr>
              <w:ind w:left="71" w:leftChars="34"/>
              <w:rPr>
                <w:rFonts w:ascii="宋体" w:hAnsi="宋体" w:eastAsia="宋体" w:cs="宋体"/>
                <w:color w:val="auto"/>
                <w:szCs w:val="21"/>
                <w:highlight w:val="none"/>
                <w:u w:val="single"/>
                <w:lang w:bidi="ar"/>
              </w:rPr>
            </w:pPr>
            <w:r>
              <w:rPr>
                <w:rFonts w:ascii="宋体" w:hAnsi="宋体" w:eastAsia="宋体" w:cs="宋体"/>
                <w:color w:val="auto"/>
                <w:szCs w:val="21"/>
                <w:highlight w:val="none"/>
                <w:u w:val="single"/>
                <w:lang w:bidi="ar"/>
              </w:rPr>
              <w:fldChar w:fldCharType="begin"/>
            </w:r>
            <w:r>
              <w:rPr>
                <w:rFonts w:ascii="宋体" w:hAnsi="宋体" w:eastAsia="宋体" w:cs="宋体"/>
                <w:color w:val="auto"/>
                <w:szCs w:val="21"/>
                <w:highlight w:val="none"/>
                <w:u w:val="single"/>
                <w:lang w:bidi="ar"/>
              </w:rPr>
              <w:instrText xml:space="preserve"> = 1 \* GB3 </w:instrText>
            </w:r>
            <w:r>
              <w:rPr>
                <w:rFonts w:ascii="宋体" w:hAnsi="宋体" w:eastAsia="宋体" w:cs="宋体"/>
                <w:color w:val="auto"/>
                <w:szCs w:val="21"/>
                <w:highlight w:val="none"/>
                <w:u w:val="single"/>
                <w:lang w:bidi="ar"/>
              </w:rPr>
              <w:fldChar w:fldCharType="separate"/>
            </w:r>
            <w:r>
              <w:rPr>
                <w:rFonts w:hint="eastAsia" w:ascii="宋体" w:hAnsi="宋体" w:eastAsia="宋体" w:cs="宋体"/>
                <w:color w:val="auto"/>
                <w:szCs w:val="21"/>
                <w:highlight w:val="none"/>
                <w:u w:val="single"/>
                <w:lang w:bidi="ar"/>
              </w:rPr>
              <w:t>①</w:t>
            </w:r>
            <w:r>
              <w:rPr>
                <w:rFonts w:ascii="宋体" w:hAnsi="宋体" w:eastAsia="宋体" w:cs="宋体"/>
                <w:color w:val="auto"/>
                <w:szCs w:val="21"/>
                <w:highlight w:val="none"/>
                <w:u w:val="single"/>
                <w:lang w:bidi="ar"/>
              </w:rPr>
              <w:fldChar w:fldCharType="end"/>
            </w:r>
            <w:r>
              <w:rPr>
                <w:rFonts w:hint="eastAsia" w:ascii="宋体" w:hAnsi="宋体" w:eastAsia="宋体" w:cs="宋体"/>
                <w:color w:val="auto"/>
                <w:szCs w:val="21"/>
                <w:highlight w:val="none"/>
                <w:u w:val="single"/>
                <w:lang w:bidi="ar"/>
              </w:rPr>
              <w:t>通过技术有效性审查的投标人均进入第二阶段（适用于通过技术有效性审查家数在</w:t>
            </w:r>
            <w:r>
              <w:rPr>
                <w:rFonts w:ascii="宋体" w:hAnsi="宋体" w:eastAsia="宋体" w:cs="宋体"/>
                <w:color w:val="auto"/>
                <w:szCs w:val="21"/>
                <w:highlight w:val="none"/>
                <w:u w:val="single"/>
                <w:lang w:bidi="ar"/>
              </w:rPr>
              <w:t>[3,9]中的）。</w:t>
            </w:r>
          </w:p>
          <w:p w14:paraId="188A372C">
            <w:pPr>
              <w:ind w:left="71" w:leftChars="34"/>
              <w:rPr>
                <w:rFonts w:ascii="宋体" w:hAnsi="宋体" w:eastAsia="宋体" w:cs="宋体"/>
                <w:color w:val="auto"/>
                <w:szCs w:val="21"/>
                <w:highlight w:val="none"/>
                <w:u w:val="single"/>
                <w:lang w:bidi="ar"/>
              </w:rPr>
            </w:pPr>
            <w:r>
              <w:rPr>
                <w:rFonts w:ascii="宋体" w:hAnsi="宋体" w:eastAsia="宋体" w:cs="宋体"/>
                <w:color w:val="auto"/>
                <w:szCs w:val="21"/>
                <w:highlight w:val="none"/>
                <w:u w:val="single"/>
                <w:lang w:bidi="ar"/>
              </w:rPr>
              <w:fldChar w:fldCharType="begin"/>
            </w:r>
            <w:r>
              <w:rPr>
                <w:rFonts w:ascii="宋体" w:hAnsi="宋体" w:eastAsia="宋体" w:cs="宋体"/>
                <w:color w:val="auto"/>
                <w:szCs w:val="21"/>
                <w:highlight w:val="none"/>
                <w:u w:val="single"/>
                <w:lang w:bidi="ar"/>
              </w:rPr>
              <w:instrText xml:space="preserve"> = 2 \* GB3 </w:instrText>
            </w:r>
            <w:r>
              <w:rPr>
                <w:rFonts w:ascii="宋体" w:hAnsi="宋体" w:eastAsia="宋体" w:cs="宋体"/>
                <w:color w:val="auto"/>
                <w:szCs w:val="21"/>
                <w:highlight w:val="none"/>
                <w:u w:val="single"/>
                <w:lang w:bidi="ar"/>
              </w:rPr>
              <w:fldChar w:fldCharType="separate"/>
            </w:r>
            <w:r>
              <w:rPr>
                <w:rFonts w:hint="eastAsia" w:ascii="宋体" w:hAnsi="宋体" w:eastAsia="宋体" w:cs="宋体"/>
                <w:color w:val="auto"/>
                <w:szCs w:val="21"/>
                <w:highlight w:val="none"/>
                <w:u w:val="single"/>
                <w:lang w:bidi="ar"/>
              </w:rPr>
              <w:t>②</w:t>
            </w:r>
            <w:r>
              <w:rPr>
                <w:rFonts w:ascii="宋体" w:hAnsi="宋体" w:eastAsia="宋体" w:cs="宋体"/>
                <w:color w:val="auto"/>
                <w:szCs w:val="21"/>
                <w:highlight w:val="none"/>
                <w:u w:val="single"/>
                <w:lang w:bidi="ar"/>
              </w:rPr>
              <w:fldChar w:fldCharType="end"/>
            </w:r>
            <w:r>
              <w:rPr>
                <w:rFonts w:hint="eastAsia" w:ascii="宋体" w:hAnsi="宋体" w:eastAsia="宋体" w:cs="宋体"/>
                <w:color w:val="auto"/>
                <w:szCs w:val="21"/>
                <w:highlight w:val="none"/>
                <w:u w:val="single"/>
                <w:lang w:bidi="ar"/>
              </w:rPr>
              <w:t>将第一阶段得分由高至低排序，前</w:t>
            </w:r>
            <w:r>
              <w:rPr>
                <w:rFonts w:ascii="宋体" w:hAnsi="宋体" w:eastAsia="宋体" w:cs="宋体"/>
                <w:color w:val="auto"/>
                <w:szCs w:val="21"/>
                <w:highlight w:val="none"/>
                <w:u w:val="single"/>
                <w:lang w:bidi="ar"/>
              </w:rPr>
              <w:t>9名投标人进入第二阶段评审（适用于通过技术有效性审查家数大于9家的，招标人可根据工程具体情况，确定不少于9家进入第二阶段）。</w:t>
            </w:r>
          </w:p>
          <w:p w14:paraId="55AD7872">
            <w:pPr>
              <w:spacing w:line="276" w:lineRule="auto"/>
              <w:ind w:left="62" w:right="62"/>
              <w:rPr>
                <w:rStyle w:val="127"/>
                <w:rFonts w:ascii="宋体" w:hAnsi="宋体"/>
                <w:color w:val="auto"/>
                <w:szCs w:val="21"/>
                <w:highlight w:val="none"/>
              </w:rPr>
            </w:pPr>
            <w:r>
              <w:rPr>
                <w:rFonts w:hint="eastAsia" w:ascii="宋体" w:hAnsi="宋体" w:eastAsia="宋体" w:cs="宋体"/>
                <w:color w:val="auto"/>
                <w:szCs w:val="21"/>
                <w:highlight w:val="none"/>
                <w:u w:val="single"/>
                <w:lang w:bidi="ar"/>
              </w:rPr>
              <w:t>本款适用于选择评标办法一至评标办法六。进入第二阶段的投标人家数应符合行政监管部门的要求。</w:t>
            </w:r>
          </w:p>
        </w:tc>
      </w:tr>
      <w:tr w14:paraId="3F5AA8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noWrap w:val="0"/>
            <w:vAlign w:val="center"/>
          </w:tcPr>
          <w:p w14:paraId="6E714CC3">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26</w:t>
            </w:r>
          </w:p>
        </w:tc>
        <w:tc>
          <w:tcPr>
            <w:tcW w:w="981" w:type="dxa"/>
            <w:noWrap w:val="0"/>
            <w:vAlign w:val="center"/>
          </w:tcPr>
          <w:p w14:paraId="03697C5D">
            <w:pPr>
              <w:spacing w:line="276" w:lineRule="auto"/>
              <w:ind w:left="62" w:right="62"/>
              <w:jc w:val="center"/>
              <w:rPr>
                <w:rStyle w:val="127"/>
                <w:rFonts w:ascii="宋体" w:hAnsi="宋体"/>
                <w:color w:val="auto"/>
                <w:szCs w:val="21"/>
                <w:highlight w:val="none"/>
              </w:rPr>
            </w:pPr>
          </w:p>
        </w:tc>
        <w:tc>
          <w:tcPr>
            <w:tcW w:w="1552" w:type="dxa"/>
            <w:noWrap w:val="0"/>
            <w:vAlign w:val="center"/>
          </w:tcPr>
          <w:p w14:paraId="040031B5">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工程成本警戒价</w:t>
            </w:r>
          </w:p>
        </w:tc>
        <w:tc>
          <w:tcPr>
            <w:tcW w:w="5910" w:type="dxa"/>
            <w:noWrap w:val="0"/>
            <w:vAlign w:val="center"/>
          </w:tcPr>
          <w:p w14:paraId="28F64074">
            <w:pPr>
              <w:spacing w:line="276" w:lineRule="auto"/>
              <w:ind w:left="62" w:right="62"/>
              <w:rPr>
                <w:rStyle w:val="127"/>
                <w:rFonts w:ascii="宋体" w:hAnsi="宋体"/>
                <w:color w:val="auto"/>
                <w:szCs w:val="21"/>
                <w:highlight w:val="none"/>
              </w:rPr>
            </w:pPr>
            <w:r>
              <w:rPr>
                <w:rStyle w:val="127"/>
                <w:rFonts w:ascii="宋体" w:hAnsi="宋体"/>
                <w:color w:val="auto"/>
                <w:szCs w:val="21"/>
                <w:highlight w:val="none"/>
              </w:rPr>
              <w:t>工程成本警戒价为</w:t>
            </w:r>
            <w:r>
              <w:rPr>
                <w:rStyle w:val="127"/>
                <w:rFonts w:hint="eastAsia" w:ascii="宋体" w:hAnsi="宋体"/>
                <w:color w:val="auto"/>
                <w:szCs w:val="21"/>
                <w:highlight w:val="none"/>
                <w:u w:val="single"/>
                <w:lang w:val="en-US" w:eastAsia="zh-CN"/>
              </w:rPr>
              <w:t>54100805.03</w:t>
            </w:r>
            <w:r>
              <w:rPr>
                <w:rStyle w:val="127"/>
                <w:rFonts w:ascii="宋体" w:hAnsi="宋体"/>
                <w:color w:val="auto"/>
                <w:szCs w:val="21"/>
                <w:highlight w:val="none"/>
              </w:rPr>
              <w:t>元（招标控制价的</w:t>
            </w:r>
            <w:r>
              <w:rPr>
                <w:rStyle w:val="127"/>
                <w:rFonts w:hint="eastAsia" w:ascii="宋体" w:hAnsi="宋体"/>
                <w:color w:val="auto"/>
                <w:szCs w:val="21"/>
                <w:highlight w:val="none"/>
                <w:lang w:val="en-US" w:eastAsia="zh-CN"/>
              </w:rPr>
              <w:t>90</w:t>
            </w:r>
            <w:r>
              <w:rPr>
                <w:rStyle w:val="127"/>
                <w:rFonts w:ascii="宋体" w:hAnsi="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06523610">
            <w:pPr>
              <w:spacing w:line="276" w:lineRule="auto"/>
              <w:ind w:left="62" w:right="62"/>
              <w:rPr>
                <w:rStyle w:val="127"/>
                <w:rFonts w:ascii="宋体" w:hAnsi="宋体"/>
                <w:color w:val="auto"/>
                <w:szCs w:val="21"/>
                <w:highlight w:val="none"/>
                <w:u w:val="single"/>
              </w:rPr>
            </w:pPr>
            <w:r>
              <w:rPr>
                <w:rStyle w:val="127"/>
                <w:rFonts w:ascii="宋体" w:hAnsi="宋体"/>
                <w:color w:val="auto"/>
                <w:szCs w:val="21"/>
                <w:highlight w:val="none"/>
              </w:rPr>
              <w:t>注：为充分体现招标人意愿及落实项目招标人负责制，警戒价由招标人决定。</w:t>
            </w:r>
          </w:p>
        </w:tc>
      </w:tr>
      <w:tr w14:paraId="2ED713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noWrap w:val="0"/>
            <w:vAlign w:val="center"/>
          </w:tcPr>
          <w:p w14:paraId="79B7A545">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27</w:t>
            </w:r>
          </w:p>
        </w:tc>
        <w:tc>
          <w:tcPr>
            <w:tcW w:w="981" w:type="dxa"/>
            <w:noWrap w:val="0"/>
            <w:vAlign w:val="center"/>
          </w:tcPr>
          <w:p w14:paraId="750A6F9B">
            <w:pPr>
              <w:spacing w:line="276" w:lineRule="auto"/>
              <w:ind w:left="62" w:right="62"/>
              <w:jc w:val="center"/>
              <w:rPr>
                <w:rStyle w:val="127"/>
                <w:rFonts w:ascii="宋体" w:hAnsi="宋体"/>
                <w:color w:val="auto"/>
                <w:szCs w:val="21"/>
                <w:highlight w:val="none"/>
              </w:rPr>
            </w:pPr>
          </w:p>
        </w:tc>
        <w:tc>
          <w:tcPr>
            <w:tcW w:w="1552" w:type="dxa"/>
            <w:noWrap w:val="0"/>
            <w:vAlign w:val="center"/>
          </w:tcPr>
          <w:p w14:paraId="4DDC485D">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第一阶段各分值的权重</w:t>
            </w:r>
          </w:p>
        </w:tc>
        <w:tc>
          <w:tcPr>
            <w:tcW w:w="5910" w:type="dxa"/>
            <w:noWrap w:val="0"/>
            <w:vAlign w:val="center"/>
          </w:tcPr>
          <w:p w14:paraId="247D9760">
            <w:pPr>
              <w:spacing w:line="276" w:lineRule="auto"/>
              <w:ind w:left="62" w:right="62"/>
              <w:rPr>
                <w:rStyle w:val="127"/>
                <w:rFonts w:ascii="宋体" w:hAnsi="宋体"/>
                <w:color w:val="auto"/>
                <w:szCs w:val="21"/>
                <w:highlight w:val="none"/>
              </w:rPr>
            </w:pPr>
            <w:r>
              <w:rPr>
                <w:rFonts w:hint="eastAsia" w:ascii="宋体" w:hAnsi="宋体" w:eastAsia="宋体" w:cs="宋体"/>
                <w:color w:val="auto"/>
                <w:szCs w:val="21"/>
                <w:highlight w:val="none"/>
                <w:u w:val="single"/>
                <w:lang w:bidi="ar"/>
              </w:rPr>
              <w:t>第一阶段得分</w:t>
            </w:r>
            <w:r>
              <w:rPr>
                <w:rFonts w:ascii="宋体" w:hAnsi="宋体" w:eastAsia="宋体" w:cs="宋体"/>
                <w:color w:val="auto"/>
                <w:szCs w:val="21"/>
                <w:highlight w:val="none"/>
                <w:u w:val="single"/>
                <w:lang w:bidi="ar"/>
              </w:rPr>
              <w:t>=</w:t>
            </w:r>
            <w:r>
              <w:rPr>
                <w:rFonts w:hint="eastAsia" w:ascii="宋体" w:hAnsi="宋体" w:eastAsia="宋体" w:cs="宋体"/>
                <w:color w:val="auto"/>
                <w:szCs w:val="21"/>
                <w:highlight w:val="none"/>
                <w:u w:val="single"/>
                <w:lang w:bidi="ar"/>
              </w:rPr>
              <w:t>技术标项目团队评审得分：满分为</w:t>
            </w:r>
            <w:r>
              <w:rPr>
                <w:rFonts w:ascii="宋体" w:hAnsi="宋体" w:eastAsia="宋体" w:cs="宋体"/>
                <w:color w:val="auto"/>
                <w:szCs w:val="21"/>
                <w:highlight w:val="none"/>
                <w:u w:val="single"/>
                <w:lang w:bidi="ar"/>
              </w:rPr>
              <w:t>100分（</w:t>
            </w:r>
            <w:r>
              <w:rPr>
                <w:rFonts w:hint="eastAsia" w:ascii="宋体" w:hAnsi="宋体" w:cs="宋体"/>
                <w:color w:val="auto"/>
                <w:szCs w:val="21"/>
                <w:highlight w:val="none"/>
                <w:u w:val="single"/>
                <w:lang w:eastAsia="zh-CN" w:bidi="ar"/>
              </w:rPr>
              <w:t>项目管理班子答辩</w:t>
            </w:r>
            <w:r>
              <w:rPr>
                <w:rFonts w:hint="eastAsia" w:ascii="宋体" w:hAnsi="宋体" w:cs="宋体"/>
                <w:color w:val="auto"/>
                <w:szCs w:val="21"/>
                <w:highlight w:val="none"/>
                <w:u w:val="single"/>
                <w:lang w:val="en-US" w:eastAsia="zh-CN" w:bidi="ar"/>
              </w:rPr>
              <w:t>15</w:t>
            </w:r>
            <w:r>
              <w:rPr>
                <w:rFonts w:ascii="宋体" w:hAnsi="宋体" w:eastAsia="宋体" w:cs="宋体"/>
                <w:color w:val="auto"/>
                <w:szCs w:val="21"/>
                <w:highlight w:val="none"/>
                <w:u w:val="single"/>
                <w:lang w:bidi="ar"/>
              </w:rPr>
              <w:t>分+项目管理机构</w:t>
            </w:r>
            <w:r>
              <w:rPr>
                <w:rFonts w:hint="eastAsia" w:ascii="宋体" w:hAnsi="宋体" w:cs="宋体"/>
                <w:color w:val="auto"/>
                <w:szCs w:val="21"/>
                <w:highlight w:val="none"/>
                <w:u w:val="single"/>
                <w:lang w:val="en-US" w:eastAsia="zh-CN" w:bidi="ar"/>
              </w:rPr>
              <w:t>85</w:t>
            </w:r>
            <w:r>
              <w:rPr>
                <w:rFonts w:ascii="宋体" w:hAnsi="宋体" w:eastAsia="宋体" w:cs="宋体"/>
                <w:color w:val="auto"/>
                <w:szCs w:val="21"/>
                <w:highlight w:val="none"/>
                <w:u w:val="single"/>
                <w:lang w:bidi="ar"/>
              </w:rPr>
              <w:t>分）。</w:t>
            </w:r>
          </w:p>
        </w:tc>
      </w:tr>
      <w:tr w14:paraId="70CF34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noWrap w:val="0"/>
            <w:vAlign w:val="center"/>
          </w:tcPr>
          <w:p w14:paraId="6D3816E7">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28</w:t>
            </w:r>
          </w:p>
        </w:tc>
        <w:tc>
          <w:tcPr>
            <w:tcW w:w="981" w:type="dxa"/>
            <w:noWrap w:val="0"/>
            <w:vAlign w:val="center"/>
          </w:tcPr>
          <w:p w14:paraId="4D657BC5">
            <w:pPr>
              <w:spacing w:line="276" w:lineRule="auto"/>
              <w:ind w:left="62" w:right="62"/>
              <w:jc w:val="center"/>
              <w:rPr>
                <w:rStyle w:val="127"/>
                <w:rFonts w:ascii="宋体" w:hAnsi="宋体"/>
                <w:color w:val="auto"/>
                <w:szCs w:val="21"/>
                <w:highlight w:val="none"/>
              </w:rPr>
            </w:pPr>
          </w:p>
        </w:tc>
        <w:tc>
          <w:tcPr>
            <w:tcW w:w="1552" w:type="dxa"/>
            <w:noWrap w:val="0"/>
            <w:vAlign w:val="center"/>
          </w:tcPr>
          <w:p w14:paraId="0D153982">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评标委员会人数</w:t>
            </w:r>
          </w:p>
        </w:tc>
        <w:tc>
          <w:tcPr>
            <w:tcW w:w="5910" w:type="dxa"/>
            <w:noWrap w:val="0"/>
            <w:vAlign w:val="center"/>
          </w:tcPr>
          <w:p w14:paraId="69106B2F">
            <w:pPr>
              <w:spacing w:line="276" w:lineRule="auto"/>
              <w:ind w:left="62" w:right="62"/>
              <w:rPr>
                <w:rStyle w:val="127"/>
                <w:rFonts w:ascii="宋体" w:hAnsi="宋体"/>
                <w:color w:val="auto"/>
                <w:szCs w:val="21"/>
                <w:highlight w:val="none"/>
              </w:rPr>
            </w:pPr>
            <w:r>
              <w:rPr>
                <w:rStyle w:val="127"/>
                <w:rFonts w:ascii="宋体" w:hAnsi="宋体"/>
                <w:color w:val="auto"/>
                <w:szCs w:val="21"/>
                <w:highlight w:val="none"/>
              </w:rPr>
              <w:t>评标委员会由招标人依法组建。</w:t>
            </w:r>
          </w:p>
          <w:p w14:paraId="6742F9C6">
            <w:pPr>
              <w:spacing w:line="276" w:lineRule="auto"/>
              <w:ind w:left="62" w:right="62"/>
              <w:rPr>
                <w:rStyle w:val="127"/>
                <w:rFonts w:hint="eastAsia" w:ascii="宋体" w:hAnsi="宋体"/>
                <w:color w:val="auto"/>
                <w:szCs w:val="21"/>
                <w:highlight w:val="none"/>
              </w:rPr>
            </w:pPr>
            <w:r>
              <w:rPr>
                <w:rStyle w:val="127"/>
                <w:rFonts w:hint="eastAsia" w:ascii="宋体" w:hAnsi="宋体"/>
                <w:color w:val="auto"/>
                <w:szCs w:val="21"/>
                <w:highlight w:val="none"/>
              </w:rPr>
              <w:t>评标委员会构成：</w:t>
            </w:r>
            <w:r>
              <w:rPr>
                <w:rStyle w:val="127"/>
                <w:rFonts w:hint="eastAsia" w:ascii="宋体" w:hAnsi="宋体"/>
                <w:color w:val="auto"/>
                <w:szCs w:val="21"/>
                <w:highlight w:val="none"/>
                <w:lang w:val="en-US" w:eastAsia="zh-CN"/>
              </w:rPr>
              <w:t>9</w:t>
            </w:r>
            <w:r>
              <w:rPr>
                <w:rStyle w:val="127"/>
                <w:rFonts w:hint="eastAsia" w:ascii="宋体" w:hAnsi="宋体"/>
                <w:color w:val="auto"/>
                <w:szCs w:val="21"/>
                <w:highlight w:val="none"/>
              </w:rPr>
              <w:t>人，其中招标人代表</w:t>
            </w:r>
            <w:r>
              <w:rPr>
                <w:rStyle w:val="127"/>
                <w:rFonts w:hint="eastAsia" w:ascii="宋体" w:hAnsi="宋体"/>
                <w:color w:val="auto"/>
                <w:szCs w:val="21"/>
                <w:highlight w:val="none"/>
                <w:lang w:val="en-US" w:eastAsia="zh-CN"/>
              </w:rPr>
              <w:t>3</w:t>
            </w:r>
            <w:r>
              <w:rPr>
                <w:rStyle w:val="127"/>
                <w:rFonts w:hint="eastAsia" w:ascii="宋体" w:hAnsi="宋体"/>
                <w:color w:val="auto"/>
                <w:szCs w:val="21"/>
                <w:highlight w:val="none"/>
              </w:rPr>
              <w:t>人，专家</w:t>
            </w:r>
            <w:r>
              <w:rPr>
                <w:rStyle w:val="127"/>
                <w:rFonts w:hint="eastAsia" w:ascii="宋体" w:hAnsi="宋体"/>
                <w:color w:val="auto"/>
                <w:szCs w:val="21"/>
                <w:highlight w:val="none"/>
                <w:lang w:val="en-US" w:eastAsia="zh-CN"/>
              </w:rPr>
              <w:t>6</w:t>
            </w:r>
            <w:r>
              <w:rPr>
                <w:rStyle w:val="127"/>
                <w:rFonts w:hint="eastAsia" w:ascii="宋体" w:hAnsi="宋体"/>
                <w:color w:val="auto"/>
                <w:szCs w:val="21"/>
                <w:highlight w:val="none"/>
              </w:rPr>
              <w:t>人；</w:t>
            </w:r>
          </w:p>
          <w:p w14:paraId="218B3C29">
            <w:pPr>
              <w:spacing w:line="276" w:lineRule="auto"/>
              <w:ind w:left="62" w:right="62"/>
              <w:rPr>
                <w:rStyle w:val="127"/>
                <w:rFonts w:ascii="宋体" w:hAnsi="宋体"/>
                <w:color w:val="auto"/>
                <w:szCs w:val="21"/>
                <w:highlight w:val="none"/>
              </w:rPr>
            </w:pPr>
            <w:r>
              <w:rPr>
                <w:rStyle w:val="127"/>
                <w:rFonts w:hint="eastAsia" w:ascii="宋体" w:hAnsi="宋体"/>
                <w:color w:val="auto"/>
                <w:szCs w:val="21"/>
                <w:highlight w:val="none"/>
              </w:rPr>
              <w:t>评标专家确定方式：在</w:t>
            </w:r>
            <w:r>
              <w:rPr>
                <w:rStyle w:val="127"/>
                <w:rFonts w:hint="eastAsia" w:ascii="宋体" w:hAnsi="宋体"/>
                <w:color w:val="auto"/>
                <w:szCs w:val="21"/>
                <w:highlight w:val="none"/>
                <w:lang w:val="en-US" w:eastAsia="zh-CN"/>
              </w:rPr>
              <w:t>广东</w:t>
            </w:r>
            <w:r>
              <w:rPr>
                <w:rStyle w:val="127"/>
                <w:rFonts w:hint="eastAsia" w:ascii="宋体" w:hAnsi="宋体"/>
                <w:color w:val="auto"/>
                <w:szCs w:val="21"/>
                <w:highlight w:val="none"/>
              </w:rPr>
              <w:t>省综合评标评审专家库中随机抽取有关技术、经济方面的专家。</w:t>
            </w:r>
          </w:p>
        </w:tc>
      </w:tr>
      <w:tr w14:paraId="2E89DD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noWrap w:val="0"/>
            <w:vAlign w:val="center"/>
          </w:tcPr>
          <w:p w14:paraId="4F2FF62D">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29</w:t>
            </w:r>
          </w:p>
        </w:tc>
        <w:tc>
          <w:tcPr>
            <w:tcW w:w="981" w:type="dxa"/>
            <w:noWrap w:val="0"/>
            <w:vAlign w:val="center"/>
          </w:tcPr>
          <w:p w14:paraId="653B55B1">
            <w:pPr>
              <w:spacing w:line="276" w:lineRule="auto"/>
              <w:ind w:left="62" w:right="62"/>
              <w:jc w:val="center"/>
              <w:rPr>
                <w:rStyle w:val="127"/>
                <w:rFonts w:ascii="宋体" w:hAnsi="宋体"/>
                <w:color w:val="auto"/>
                <w:szCs w:val="21"/>
                <w:highlight w:val="none"/>
              </w:rPr>
            </w:pPr>
          </w:p>
        </w:tc>
        <w:tc>
          <w:tcPr>
            <w:tcW w:w="1552" w:type="dxa"/>
            <w:noWrap w:val="0"/>
            <w:vAlign w:val="center"/>
          </w:tcPr>
          <w:p w14:paraId="3BFF1F30">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企业综合诚信评价分数</w:t>
            </w:r>
          </w:p>
        </w:tc>
        <w:tc>
          <w:tcPr>
            <w:tcW w:w="5910" w:type="dxa"/>
            <w:noWrap w:val="0"/>
            <w:vAlign w:val="center"/>
          </w:tcPr>
          <w:p w14:paraId="23CE2A51">
            <w:pPr>
              <w:pStyle w:val="18"/>
              <w:spacing w:line="276" w:lineRule="auto"/>
              <w:ind w:left="62" w:right="62"/>
              <w:rPr>
                <w:rFonts w:hint="eastAsia"/>
                <w:color w:val="auto"/>
                <w:highlight w:val="none"/>
              </w:rPr>
            </w:pPr>
            <w:r>
              <w:rPr>
                <w:rStyle w:val="127"/>
                <w:rFonts w:hint="eastAsia" w:ascii="宋体" w:hAnsi="宋体"/>
                <w:color w:val="auto"/>
                <w:sz w:val="21"/>
                <w:szCs w:val="21"/>
                <w:highlight w:val="none"/>
              </w:rPr>
              <w:t>本款不适用。</w:t>
            </w:r>
          </w:p>
        </w:tc>
      </w:tr>
      <w:tr w14:paraId="1C5DB5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noWrap w:val="0"/>
            <w:vAlign w:val="center"/>
          </w:tcPr>
          <w:p w14:paraId="1524B00D">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30</w:t>
            </w:r>
          </w:p>
        </w:tc>
        <w:tc>
          <w:tcPr>
            <w:tcW w:w="981" w:type="dxa"/>
            <w:noWrap w:val="0"/>
            <w:vAlign w:val="center"/>
          </w:tcPr>
          <w:p w14:paraId="13D4008F">
            <w:pPr>
              <w:spacing w:line="276" w:lineRule="auto"/>
              <w:ind w:left="62" w:right="62" w:firstLine="458"/>
              <w:jc w:val="center"/>
              <w:rPr>
                <w:rStyle w:val="127"/>
                <w:rFonts w:ascii="宋体" w:hAnsi="宋体"/>
                <w:strike/>
                <w:color w:val="auto"/>
                <w:szCs w:val="21"/>
                <w:highlight w:val="none"/>
              </w:rPr>
            </w:pPr>
          </w:p>
        </w:tc>
        <w:tc>
          <w:tcPr>
            <w:tcW w:w="1552" w:type="dxa"/>
            <w:noWrap w:val="0"/>
            <w:vAlign w:val="center"/>
          </w:tcPr>
          <w:p w14:paraId="60C2C50C">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第二阶段投标人名次的排序方法（适用于办法一、办法二）</w:t>
            </w:r>
          </w:p>
        </w:tc>
        <w:tc>
          <w:tcPr>
            <w:tcW w:w="5910" w:type="dxa"/>
            <w:noWrap w:val="0"/>
            <w:vAlign w:val="center"/>
          </w:tcPr>
          <w:p w14:paraId="05721DEC">
            <w:pPr>
              <w:spacing w:line="276" w:lineRule="auto"/>
              <w:ind w:left="62" w:right="62"/>
              <w:rPr>
                <w:rStyle w:val="127"/>
                <w:rFonts w:ascii="宋体" w:hAnsi="宋体"/>
                <w:color w:val="auto"/>
                <w:szCs w:val="21"/>
                <w:highlight w:val="none"/>
              </w:rPr>
            </w:pPr>
            <w:r>
              <w:rPr>
                <w:rFonts w:hint="eastAsia" w:ascii="宋体" w:hAnsi="宋体"/>
                <w:color w:val="auto"/>
                <w:szCs w:val="21"/>
                <w:highlight w:val="none"/>
              </w:rPr>
              <w:t>本款不适用。</w:t>
            </w:r>
          </w:p>
        </w:tc>
      </w:tr>
      <w:tr w14:paraId="631B46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noWrap w:val="0"/>
            <w:vAlign w:val="center"/>
          </w:tcPr>
          <w:p w14:paraId="058C00DA">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31</w:t>
            </w:r>
          </w:p>
        </w:tc>
        <w:tc>
          <w:tcPr>
            <w:tcW w:w="981" w:type="dxa"/>
            <w:noWrap w:val="0"/>
            <w:vAlign w:val="center"/>
          </w:tcPr>
          <w:p w14:paraId="5E09ED6E">
            <w:pPr>
              <w:spacing w:line="276" w:lineRule="auto"/>
              <w:ind w:left="62" w:right="62" w:firstLine="458"/>
              <w:jc w:val="center"/>
              <w:rPr>
                <w:rStyle w:val="127"/>
                <w:rFonts w:ascii="宋体" w:hAnsi="宋体"/>
                <w:strike/>
                <w:color w:val="auto"/>
                <w:szCs w:val="21"/>
                <w:highlight w:val="none"/>
              </w:rPr>
            </w:pPr>
          </w:p>
        </w:tc>
        <w:tc>
          <w:tcPr>
            <w:tcW w:w="1552" w:type="dxa"/>
            <w:noWrap w:val="0"/>
            <w:vAlign w:val="center"/>
          </w:tcPr>
          <w:p w14:paraId="599B62BD">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经济分相同情况下的排序方法（适用于办法三、办法四）</w:t>
            </w:r>
          </w:p>
        </w:tc>
        <w:tc>
          <w:tcPr>
            <w:tcW w:w="5910" w:type="dxa"/>
            <w:noWrap w:val="0"/>
            <w:vAlign w:val="center"/>
          </w:tcPr>
          <w:p w14:paraId="5B7A08BD">
            <w:pPr>
              <w:spacing w:line="276" w:lineRule="auto"/>
              <w:ind w:left="62" w:right="62"/>
              <w:rPr>
                <w:rStyle w:val="127"/>
                <w:rFonts w:ascii="宋体" w:hAnsi="宋体"/>
                <w:color w:val="auto"/>
                <w:szCs w:val="21"/>
                <w:highlight w:val="none"/>
              </w:rPr>
            </w:pPr>
            <w:r>
              <w:rPr>
                <w:rFonts w:hint="eastAsia" w:ascii="宋体" w:hAnsi="宋体"/>
                <w:color w:val="auto"/>
                <w:szCs w:val="21"/>
                <w:highlight w:val="none"/>
              </w:rPr>
              <w:t>本款不适用。</w:t>
            </w:r>
          </w:p>
        </w:tc>
      </w:tr>
      <w:tr w14:paraId="60CEE2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noWrap w:val="0"/>
            <w:vAlign w:val="center"/>
          </w:tcPr>
          <w:p w14:paraId="23E8C643">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32</w:t>
            </w:r>
          </w:p>
        </w:tc>
        <w:tc>
          <w:tcPr>
            <w:tcW w:w="981" w:type="dxa"/>
            <w:noWrap w:val="0"/>
            <w:vAlign w:val="center"/>
          </w:tcPr>
          <w:p w14:paraId="0984BD60">
            <w:pPr>
              <w:spacing w:line="276" w:lineRule="auto"/>
              <w:ind w:left="62" w:right="62" w:firstLine="458"/>
              <w:jc w:val="center"/>
              <w:rPr>
                <w:rStyle w:val="127"/>
                <w:rFonts w:ascii="宋体" w:hAnsi="宋体"/>
                <w:color w:val="auto"/>
                <w:szCs w:val="21"/>
                <w:highlight w:val="none"/>
              </w:rPr>
            </w:pPr>
          </w:p>
        </w:tc>
        <w:tc>
          <w:tcPr>
            <w:tcW w:w="1552" w:type="dxa"/>
            <w:noWrap w:val="0"/>
            <w:vAlign w:val="center"/>
          </w:tcPr>
          <w:p w14:paraId="7153CDBE">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第二阶段投标人名次的排序方法（适用于办法五、办法六）</w:t>
            </w:r>
          </w:p>
        </w:tc>
        <w:tc>
          <w:tcPr>
            <w:tcW w:w="5910" w:type="dxa"/>
            <w:noWrap w:val="0"/>
            <w:vAlign w:val="center"/>
          </w:tcPr>
          <w:p w14:paraId="63E9E770">
            <w:pPr>
              <w:spacing w:line="276" w:lineRule="auto"/>
              <w:ind w:left="62" w:right="62"/>
              <w:rPr>
                <w:rFonts w:hint="eastAsia" w:ascii="宋体" w:hAnsi="宋体" w:eastAsia="宋体" w:cs="宋体"/>
                <w:color w:val="auto"/>
                <w:szCs w:val="21"/>
                <w:highlight w:val="none"/>
                <w:u w:val="single"/>
                <w:lang w:bidi="ar"/>
              </w:rPr>
            </w:pPr>
            <w:r>
              <w:rPr>
                <w:rFonts w:hint="eastAsia" w:ascii="宋体" w:hAnsi="宋体" w:eastAsia="宋体" w:cs="宋体"/>
                <w:color w:val="auto"/>
                <w:szCs w:val="21"/>
                <w:highlight w:val="none"/>
                <w:u w:val="single"/>
                <w:lang w:bidi="ar"/>
              </w:rPr>
              <w:t>选取方法</w:t>
            </w:r>
            <w:r>
              <w:rPr>
                <w:rFonts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bidi="ar"/>
              </w:rPr>
              <w:t xml:space="preserve">一 </w:t>
            </w:r>
          </w:p>
          <w:p w14:paraId="4A7E8E95">
            <w:pPr>
              <w:spacing w:line="276" w:lineRule="auto"/>
              <w:ind w:left="62" w:right="62"/>
              <w:rPr>
                <w:rStyle w:val="127"/>
                <w:rFonts w:ascii="宋体" w:hAnsi="宋体"/>
                <w:color w:val="auto"/>
                <w:szCs w:val="21"/>
                <w:highlight w:val="none"/>
              </w:rPr>
            </w:pPr>
            <w:r>
              <w:rPr>
                <w:rFonts w:hint="eastAsia" w:ascii="宋体" w:hAnsi="宋体" w:eastAsia="宋体" w:cs="宋体"/>
                <w:color w:val="auto"/>
                <w:szCs w:val="21"/>
                <w:highlight w:val="none"/>
                <w:u w:val="single"/>
                <w:lang w:bidi="ar"/>
              </w:rPr>
              <w:t>方法一：评标委员会按照“</w:t>
            </w:r>
            <w:r>
              <w:rPr>
                <w:rFonts w:hint="eastAsia" w:ascii="宋体" w:hAnsi="宋体" w:eastAsia="宋体" w:cs="宋体"/>
                <w:b/>
                <w:color w:val="auto"/>
                <w:szCs w:val="21"/>
                <w:highlight w:val="none"/>
                <w:u w:val="single"/>
                <w:lang w:bidi="ar"/>
              </w:rPr>
              <w:t>总得分（满分为</w:t>
            </w:r>
            <w:r>
              <w:rPr>
                <w:rFonts w:ascii="宋体" w:hAnsi="宋体" w:eastAsia="宋体" w:cs="宋体"/>
                <w:b/>
                <w:color w:val="auto"/>
                <w:szCs w:val="21"/>
                <w:highlight w:val="none"/>
                <w:u w:val="single"/>
                <w:lang w:bidi="ar"/>
              </w:rPr>
              <w:t>100分）</w:t>
            </w:r>
            <w:r>
              <w:rPr>
                <w:rFonts w:ascii="宋体" w:hAnsi="宋体" w:cs="宋体"/>
                <w:b/>
                <w:color w:val="auto"/>
                <w:szCs w:val="21"/>
                <w:highlight w:val="none"/>
                <w:u w:val="single"/>
                <w:lang w:bidi="ar"/>
              </w:rPr>
              <w:t>=</w:t>
            </w:r>
            <w:r>
              <w:rPr>
                <w:rFonts w:hint="eastAsia" w:ascii="宋体" w:hAnsi="宋体" w:cs="宋体"/>
                <w:b/>
                <w:color w:val="auto"/>
                <w:szCs w:val="21"/>
                <w:highlight w:val="none"/>
                <w:u w:val="single"/>
                <w:lang w:bidi="ar"/>
              </w:rPr>
              <w:t>第一阶</w:t>
            </w:r>
            <w:r>
              <w:rPr>
                <w:rFonts w:ascii="宋体" w:hAnsi="宋体" w:cs="宋体"/>
                <w:b/>
                <w:color w:val="auto"/>
                <w:szCs w:val="21"/>
                <w:highlight w:val="none"/>
                <w:u w:val="single"/>
                <w:lang w:bidi="ar"/>
              </w:rPr>
              <w:t>段的</w:t>
            </w:r>
            <w:r>
              <w:rPr>
                <w:rFonts w:hint="eastAsia" w:ascii="宋体" w:hAnsi="宋体" w:cs="宋体"/>
                <w:b/>
                <w:color w:val="auto"/>
                <w:szCs w:val="21"/>
                <w:highlight w:val="none"/>
                <w:u w:val="single"/>
                <w:lang w:eastAsia="zh-CN" w:bidi="ar"/>
              </w:rPr>
              <w:t>项目管理班子答辩</w:t>
            </w:r>
            <w:r>
              <w:rPr>
                <w:rFonts w:hint="eastAsia" w:ascii="宋体" w:hAnsi="宋体" w:cs="宋体"/>
                <w:b/>
                <w:color w:val="auto"/>
                <w:szCs w:val="21"/>
                <w:highlight w:val="none"/>
                <w:u w:val="single"/>
                <w:lang w:bidi="ar"/>
              </w:rPr>
              <w:t>得分</w:t>
            </w:r>
            <w:r>
              <w:rPr>
                <w:rFonts w:ascii="宋体" w:hAnsi="宋体" w:cs="宋体"/>
                <w:b/>
                <w:color w:val="auto"/>
                <w:szCs w:val="21"/>
                <w:highlight w:val="none"/>
                <w:u w:val="single"/>
                <w:lang w:bidi="ar"/>
              </w:rPr>
              <w:t>15分</w:t>
            </w:r>
            <w:r>
              <w:rPr>
                <w:rFonts w:hint="eastAsia" w:ascii="宋体" w:hAnsi="宋体" w:cs="宋体"/>
                <w:b/>
                <w:color w:val="auto"/>
                <w:szCs w:val="21"/>
                <w:highlight w:val="none"/>
                <w:u w:val="single"/>
                <w:lang w:bidi="ar"/>
              </w:rPr>
              <w:t>+企业资信得分(100分)×</w:t>
            </w:r>
            <w:r>
              <w:rPr>
                <w:rFonts w:hint="eastAsia" w:ascii="宋体" w:hAnsi="宋体" w:cs="宋体"/>
                <w:b/>
                <w:color w:val="auto"/>
                <w:szCs w:val="21"/>
                <w:highlight w:val="none"/>
                <w:u w:val="single"/>
                <w:lang w:val="en-US" w:eastAsia="zh-CN" w:bidi="ar"/>
              </w:rPr>
              <w:t>权重（</w:t>
            </w:r>
            <w:r>
              <w:rPr>
                <w:rFonts w:hint="eastAsia" w:ascii="宋体" w:hAnsi="宋体" w:cs="宋体"/>
                <w:b/>
                <w:color w:val="auto"/>
                <w:szCs w:val="21"/>
                <w:highlight w:val="none"/>
                <w:u w:val="single"/>
                <w:lang w:bidi="ar"/>
              </w:rPr>
              <w:t>5%</w:t>
            </w:r>
            <w:r>
              <w:rPr>
                <w:rFonts w:hint="eastAsia" w:ascii="宋体" w:hAnsi="宋体" w:cs="宋体"/>
                <w:b/>
                <w:color w:val="auto"/>
                <w:szCs w:val="21"/>
                <w:highlight w:val="none"/>
                <w:u w:val="single"/>
                <w:lang w:eastAsia="zh-CN" w:bidi="ar"/>
              </w:rPr>
              <w:t>）</w:t>
            </w:r>
            <w:r>
              <w:rPr>
                <w:rFonts w:hint="eastAsia" w:ascii="宋体" w:hAnsi="宋体" w:cs="宋体"/>
                <w:b/>
                <w:color w:val="auto"/>
                <w:szCs w:val="21"/>
                <w:highlight w:val="none"/>
                <w:u w:val="single"/>
                <w:lang w:bidi="ar"/>
              </w:rPr>
              <w:t>+经济得分（100分）×权重(80%)。</w:t>
            </w:r>
            <w:r>
              <w:rPr>
                <w:rFonts w:hint="eastAsia" w:ascii="宋体" w:hAnsi="宋体" w:eastAsia="宋体" w:cs="宋体"/>
                <w:color w:val="auto"/>
                <w:szCs w:val="21"/>
                <w:highlight w:val="none"/>
                <w:u w:val="single"/>
                <w:lang w:bidi="ar"/>
              </w:rPr>
              <w:t>”的公式，计算各有效投标文件的总得分，并按照总得分从高到低排序。</w:t>
            </w:r>
            <w:r>
              <w:rPr>
                <w:rFonts w:hint="eastAsia" w:ascii="宋体" w:hAnsi="宋体" w:cs="宋体"/>
                <w:color w:val="auto"/>
                <w:szCs w:val="21"/>
                <w:highlight w:val="none"/>
                <w:u w:val="single"/>
                <w:lang w:bidi="ar"/>
              </w:rPr>
              <w:t>总得分相同的投标文件，以</w:t>
            </w:r>
            <w:r>
              <w:rPr>
                <w:rFonts w:hint="eastAsia" w:ascii="宋体" w:hAnsi="宋体" w:cs="宋体"/>
                <w:color w:val="auto"/>
                <w:szCs w:val="21"/>
                <w:highlight w:val="none"/>
                <w:u w:val="single"/>
                <w:lang w:eastAsia="zh-CN" w:bidi="ar"/>
              </w:rPr>
              <w:t>项目管理班子答辩</w:t>
            </w:r>
            <w:r>
              <w:rPr>
                <w:rFonts w:hint="eastAsia" w:ascii="宋体" w:hAnsi="宋体" w:cs="宋体"/>
                <w:color w:val="auto"/>
                <w:szCs w:val="21"/>
                <w:highlight w:val="none"/>
                <w:u w:val="single"/>
                <w:lang w:bidi="ar"/>
              </w:rPr>
              <w:t>得分较高的排前；总得分与</w:t>
            </w:r>
            <w:r>
              <w:rPr>
                <w:rFonts w:hint="eastAsia" w:ascii="宋体" w:hAnsi="宋体" w:cs="宋体"/>
                <w:color w:val="auto"/>
                <w:szCs w:val="21"/>
                <w:highlight w:val="none"/>
                <w:u w:val="single"/>
                <w:lang w:eastAsia="zh-CN" w:bidi="ar"/>
              </w:rPr>
              <w:t>项目管理班子答辩</w:t>
            </w:r>
            <w:r>
              <w:rPr>
                <w:rFonts w:hint="eastAsia" w:ascii="宋体" w:hAnsi="宋体" w:cs="宋体"/>
                <w:color w:val="auto"/>
                <w:szCs w:val="21"/>
                <w:highlight w:val="none"/>
                <w:u w:val="single"/>
                <w:lang w:bidi="ar"/>
              </w:rPr>
              <w:t>得分均相同的投标文件，以企业资信得分较高的排前，总得分、</w:t>
            </w:r>
            <w:r>
              <w:rPr>
                <w:rFonts w:hint="eastAsia" w:ascii="宋体" w:hAnsi="宋体" w:cs="宋体"/>
                <w:color w:val="auto"/>
                <w:szCs w:val="21"/>
                <w:highlight w:val="none"/>
                <w:u w:val="single"/>
                <w:lang w:eastAsia="zh-CN" w:bidi="ar"/>
              </w:rPr>
              <w:t>项目管理班子答辩</w:t>
            </w:r>
            <w:r>
              <w:rPr>
                <w:rFonts w:hint="eastAsia" w:ascii="宋体" w:hAnsi="宋体" w:cs="宋体"/>
                <w:color w:val="auto"/>
                <w:szCs w:val="21"/>
                <w:highlight w:val="none"/>
                <w:u w:val="single"/>
                <w:lang w:bidi="ar"/>
              </w:rPr>
              <w:t>得分及企业资信得分均相同的投标文件，以报价较低的排前；如仍存在相同情况，则由评标委员会采用记名投票方式，以得票多的优先。</w:t>
            </w:r>
          </w:p>
        </w:tc>
      </w:tr>
      <w:tr w14:paraId="66C48C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noWrap w:val="0"/>
            <w:vAlign w:val="center"/>
          </w:tcPr>
          <w:p w14:paraId="456DB90A">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33</w:t>
            </w:r>
          </w:p>
        </w:tc>
        <w:tc>
          <w:tcPr>
            <w:tcW w:w="981" w:type="dxa"/>
            <w:noWrap w:val="0"/>
            <w:vAlign w:val="center"/>
          </w:tcPr>
          <w:p w14:paraId="20187C9E">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13.4、13.5.2</w:t>
            </w:r>
          </w:p>
        </w:tc>
        <w:tc>
          <w:tcPr>
            <w:tcW w:w="1552" w:type="dxa"/>
            <w:noWrap w:val="0"/>
            <w:vAlign w:val="center"/>
          </w:tcPr>
          <w:p w14:paraId="280E1F7B">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合同价款的调整办法</w:t>
            </w:r>
          </w:p>
        </w:tc>
        <w:tc>
          <w:tcPr>
            <w:tcW w:w="5910" w:type="dxa"/>
            <w:noWrap w:val="0"/>
            <w:vAlign w:val="center"/>
          </w:tcPr>
          <w:p w14:paraId="48AE88AE">
            <w:pPr>
              <w:spacing w:line="276" w:lineRule="auto"/>
              <w:ind w:left="62" w:right="62"/>
              <w:rPr>
                <w:rStyle w:val="127"/>
                <w:rFonts w:ascii="宋体" w:hAnsi="宋体"/>
                <w:color w:val="auto"/>
                <w:szCs w:val="21"/>
                <w:highlight w:val="none"/>
                <w:u w:val="single"/>
              </w:rPr>
            </w:pPr>
            <w:r>
              <w:rPr>
                <w:color w:val="auto"/>
                <w:highlight w:val="none"/>
                <w:u w:val="single"/>
              </w:rPr>
              <w:t>按合同条款相关约定调整。</w:t>
            </w:r>
          </w:p>
        </w:tc>
      </w:tr>
      <w:tr w14:paraId="6305AE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noWrap w:val="0"/>
            <w:vAlign w:val="center"/>
          </w:tcPr>
          <w:p w14:paraId="67E399C3">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34</w:t>
            </w:r>
          </w:p>
        </w:tc>
        <w:tc>
          <w:tcPr>
            <w:tcW w:w="981" w:type="dxa"/>
            <w:noWrap w:val="0"/>
            <w:vAlign w:val="center"/>
          </w:tcPr>
          <w:p w14:paraId="24BA9249">
            <w:pPr>
              <w:spacing w:line="276" w:lineRule="auto"/>
              <w:ind w:left="62" w:right="62"/>
              <w:jc w:val="center"/>
              <w:rPr>
                <w:rStyle w:val="127"/>
                <w:rFonts w:ascii="宋体" w:hAnsi="宋体"/>
                <w:color w:val="auto"/>
                <w:szCs w:val="21"/>
                <w:highlight w:val="none"/>
              </w:rPr>
            </w:pPr>
          </w:p>
        </w:tc>
        <w:tc>
          <w:tcPr>
            <w:tcW w:w="1552" w:type="dxa"/>
            <w:noWrap w:val="0"/>
            <w:vAlign w:val="center"/>
          </w:tcPr>
          <w:p w14:paraId="355898C4">
            <w:pPr>
              <w:spacing w:line="276" w:lineRule="auto"/>
              <w:ind w:left="62" w:right="62"/>
              <w:jc w:val="center"/>
              <w:rPr>
                <w:rStyle w:val="127"/>
                <w:rFonts w:ascii="宋体" w:hAnsi="宋体"/>
                <w:color w:val="auto"/>
                <w:szCs w:val="21"/>
                <w:highlight w:val="none"/>
              </w:rPr>
            </w:pPr>
            <w:r>
              <w:rPr>
                <w:rStyle w:val="127"/>
                <w:rFonts w:hint="eastAsia" w:ascii="宋体" w:hAnsi="宋体"/>
                <w:color w:val="auto"/>
                <w:kern w:val="0"/>
                <w:szCs w:val="21"/>
                <w:highlight w:val="none"/>
                <w:lang w:val="zh-CN"/>
              </w:rPr>
              <w:t>建设工程质量检测单位</w:t>
            </w:r>
          </w:p>
        </w:tc>
        <w:tc>
          <w:tcPr>
            <w:tcW w:w="5910" w:type="dxa"/>
            <w:noWrap w:val="0"/>
            <w:vAlign w:val="center"/>
          </w:tcPr>
          <w:p w14:paraId="135CAB93">
            <w:pPr>
              <w:spacing w:line="276" w:lineRule="auto"/>
              <w:ind w:left="62" w:right="62"/>
              <w:rPr>
                <w:rStyle w:val="127"/>
                <w:rFonts w:ascii="宋体" w:hAnsi="宋体"/>
                <w:color w:val="auto"/>
                <w:kern w:val="0"/>
                <w:szCs w:val="21"/>
                <w:highlight w:val="none"/>
                <w:u w:val="single"/>
                <w:lang w:val="zh-CN"/>
              </w:rPr>
            </w:pPr>
            <w:r>
              <w:rPr>
                <w:rStyle w:val="127"/>
                <w:rFonts w:hint="eastAsia" w:ascii="宋体" w:hAnsi="宋体"/>
                <w:color w:val="auto"/>
                <w:kern w:val="0"/>
                <w:szCs w:val="21"/>
                <w:highlight w:val="none"/>
                <w:u w:val="singl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7D5E0B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noWrap w:val="0"/>
            <w:vAlign w:val="center"/>
          </w:tcPr>
          <w:p w14:paraId="0A324DA6">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35</w:t>
            </w:r>
          </w:p>
        </w:tc>
        <w:tc>
          <w:tcPr>
            <w:tcW w:w="981" w:type="dxa"/>
            <w:noWrap w:val="0"/>
            <w:vAlign w:val="center"/>
          </w:tcPr>
          <w:p w14:paraId="1A0A98C5">
            <w:pPr>
              <w:spacing w:line="276" w:lineRule="auto"/>
              <w:ind w:left="62" w:right="62"/>
              <w:jc w:val="center"/>
              <w:rPr>
                <w:rStyle w:val="127"/>
                <w:rFonts w:ascii="宋体" w:hAnsi="宋体"/>
                <w:color w:val="auto"/>
                <w:szCs w:val="21"/>
                <w:highlight w:val="none"/>
              </w:rPr>
            </w:pPr>
          </w:p>
        </w:tc>
        <w:tc>
          <w:tcPr>
            <w:tcW w:w="1552" w:type="dxa"/>
            <w:noWrap w:val="0"/>
            <w:vAlign w:val="center"/>
          </w:tcPr>
          <w:p w14:paraId="26D49B30">
            <w:pPr>
              <w:spacing w:line="276" w:lineRule="auto"/>
              <w:ind w:left="62" w:right="62"/>
              <w:jc w:val="center"/>
              <w:rPr>
                <w:rStyle w:val="127"/>
                <w:rFonts w:ascii="宋体" w:hAnsi="宋体"/>
                <w:color w:val="auto"/>
                <w:kern w:val="0"/>
                <w:szCs w:val="21"/>
                <w:highlight w:val="none"/>
                <w:lang w:val="zh-CN"/>
              </w:rPr>
            </w:pPr>
            <w:r>
              <w:rPr>
                <w:rStyle w:val="127"/>
                <w:rFonts w:ascii="宋体" w:hAnsi="宋体"/>
                <w:color w:val="auto"/>
                <w:kern w:val="0"/>
                <w:szCs w:val="21"/>
                <w:highlight w:val="none"/>
                <w:lang w:val="zh-CN"/>
              </w:rPr>
              <w:t>分包</w:t>
            </w:r>
          </w:p>
        </w:tc>
        <w:tc>
          <w:tcPr>
            <w:tcW w:w="5910" w:type="dxa"/>
            <w:noWrap w:val="0"/>
            <w:vAlign w:val="center"/>
          </w:tcPr>
          <w:p w14:paraId="29BE092F">
            <w:pP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□不允许；</w:t>
            </w:r>
          </w:p>
          <w:p w14:paraId="7010ADBF">
            <w:pP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■允许：</w:t>
            </w:r>
          </w:p>
          <w:p w14:paraId="6E141155">
            <w:pPr>
              <w:rPr>
                <w:rFonts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分包内容要求：</w:t>
            </w:r>
            <w:r>
              <w:rPr>
                <w:rFonts w:hint="eastAsia" w:ascii="宋体" w:hAnsi="宋体" w:cs="宋体"/>
                <w:color w:val="auto"/>
                <w:kern w:val="0"/>
                <w:szCs w:val="21"/>
                <w:highlight w:val="none"/>
                <w:u w:val="single"/>
                <w:lang w:val="zh-CN"/>
              </w:rPr>
              <w:t>非主体的工程、非关键性的工作</w:t>
            </w:r>
          </w:p>
          <w:p w14:paraId="5FA3B548">
            <w:pPr>
              <w:rPr>
                <w:rFonts w:ascii="宋体" w:hAnsi="宋体" w:cs="宋体"/>
                <w:color w:val="auto"/>
                <w:kern w:val="0"/>
                <w:szCs w:val="21"/>
                <w:highlight w:val="none"/>
              </w:rPr>
            </w:pPr>
            <w:r>
              <w:rPr>
                <w:rFonts w:hint="eastAsia" w:ascii="宋体" w:hAnsi="宋体" w:cs="宋体"/>
                <w:color w:val="auto"/>
                <w:kern w:val="0"/>
                <w:szCs w:val="21"/>
                <w:highlight w:val="none"/>
                <w:lang w:val="zh-CN"/>
              </w:rPr>
              <w:t>分包金额要求：</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rPr>
              <w:t>。</w:t>
            </w:r>
          </w:p>
          <w:p w14:paraId="4C4B5623">
            <w:pPr>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对分包人的资质要求：</w:t>
            </w:r>
            <w:r>
              <w:rPr>
                <w:rFonts w:hint="eastAsia" w:ascii="宋体" w:hAnsi="宋体" w:cs="宋体"/>
                <w:color w:val="auto"/>
                <w:kern w:val="0"/>
                <w:szCs w:val="21"/>
                <w:highlight w:val="none"/>
                <w:u w:val="single"/>
              </w:rPr>
              <w:t>相对应的资质</w:t>
            </w:r>
            <w:r>
              <w:rPr>
                <w:rFonts w:hint="eastAsia" w:ascii="宋体" w:hAnsi="宋体" w:cs="宋体"/>
                <w:color w:val="auto"/>
                <w:kern w:val="0"/>
                <w:szCs w:val="21"/>
                <w:highlight w:val="none"/>
              </w:rPr>
              <w:t>。</w:t>
            </w:r>
          </w:p>
          <w:p w14:paraId="28472E47">
            <w:pPr>
              <w:pStyle w:val="49"/>
              <w:rPr>
                <w:rFonts w:hint="eastAsia" w:ascii="宋体" w:hAnsi="宋体" w:eastAsia="宋体" w:cs="宋体"/>
                <w:color w:val="auto"/>
                <w:highlight w:val="none"/>
              </w:rPr>
            </w:pPr>
            <w:r>
              <w:rPr>
                <w:rFonts w:hint="eastAsia" w:ascii="宋体" w:hAnsi="宋体" w:eastAsia="宋体" w:cs="宋体"/>
                <w:color w:val="auto"/>
                <w:highlight w:val="none"/>
              </w:rPr>
              <w:t>为促进中小企业发展，本工程约定如下：</w:t>
            </w:r>
          </w:p>
          <w:p w14:paraId="1CDE8267">
            <w:pPr>
              <w:spacing w:line="276" w:lineRule="auto"/>
              <w:ind w:left="62" w:right="62"/>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 xml:space="preserve">1.承包人不属于中小企业的，必须将本项目合同分包给一家或者多家中小企业，或采购中小企业作为供应商提供的材料设备及将劳务分包给中小企业。前述各方式中，中小企业累计承担的合同份额占项目总投资额的比例达到40%以上（其中预留给小微企业的部分不低于项目总投资额的28%。最终比例以发包人审核确认为准），拟分包的中小企业与承包人之间不得存在直接控股、管理关系。 </w:t>
            </w:r>
          </w:p>
          <w:p w14:paraId="101061E7">
            <w:pPr>
              <w:spacing w:line="276" w:lineRule="auto"/>
              <w:ind w:left="62" w:right="62"/>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承包人属于中型企业的，必须将本项目合同分包给一家或者多家小微企业，或采购小微企业作为供应商提供的材料设备及将劳务分包给小微企业。小微企业承担的合同份额不低于项目总投资额的28%（最终比例以发包人审核确认为准），拟分包的中小企业与承包人之间不得存在直接控股、管理关系。</w:t>
            </w:r>
          </w:p>
          <w:p w14:paraId="228D9426">
            <w:pPr>
              <w:spacing w:line="276" w:lineRule="auto"/>
              <w:ind w:left="62" w:right="62"/>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3.承包人属于小微企业的，是否采取分包不作强制要求。</w:t>
            </w:r>
          </w:p>
          <w:p w14:paraId="2323D1A4">
            <w:pPr>
              <w:spacing w:line="276" w:lineRule="auto"/>
              <w:ind w:left="62" w:right="62"/>
              <w:rPr>
                <w:color w:val="auto"/>
                <w:highlight w:val="none"/>
                <w:lang w:val="zh-CN"/>
              </w:rPr>
            </w:pPr>
            <w:r>
              <w:rPr>
                <w:rFonts w:hint="eastAsia" w:ascii="宋体" w:hAnsi="宋体" w:eastAsia="宋体" w:cs="宋体"/>
                <w:color w:val="auto"/>
                <w:kern w:val="0"/>
                <w:szCs w:val="21"/>
                <w:highlight w:val="none"/>
                <w:lang w:val="zh-CN"/>
              </w:rPr>
              <w:t>对分包人的其他要求：</w:t>
            </w:r>
            <w:r>
              <w:rPr>
                <w:rFonts w:hint="eastAsia" w:ascii="宋体" w:hAnsi="宋体" w:eastAsia="宋体" w:cs="宋体"/>
                <w:color w:val="auto"/>
                <w:kern w:val="0"/>
                <w:szCs w:val="21"/>
                <w:highlight w:val="none"/>
                <w:u w:val="single"/>
                <w:lang w:val="zh-CN"/>
              </w:rPr>
              <w:t>未在以往工程中不充分履约行为被本项目招标人书面拒绝投标的，或未被纳入联合惩戒范围的。须经发包人和总监理工程师书面同意。</w:t>
            </w:r>
          </w:p>
        </w:tc>
      </w:tr>
      <w:tr w14:paraId="5C7FC9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noWrap w:val="0"/>
            <w:vAlign w:val="center"/>
          </w:tcPr>
          <w:p w14:paraId="35810576">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36</w:t>
            </w:r>
          </w:p>
        </w:tc>
        <w:tc>
          <w:tcPr>
            <w:tcW w:w="981" w:type="dxa"/>
            <w:noWrap w:val="0"/>
            <w:vAlign w:val="center"/>
          </w:tcPr>
          <w:p w14:paraId="24189038">
            <w:pPr>
              <w:spacing w:line="276" w:lineRule="auto"/>
              <w:ind w:left="62" w:right="62"/>
              <w:jc w:val="center"/>
              <w:rPr>
                <w:rStyle w:val="127"/>
                <w:rFonts w:ascii="宋体" w:hAnsi="宋体"/>
                <w:color w:val="auto"/>
                <w:szCs w:val="21"/>
                <w:highlight w:val="none"/>
              </w:rPr>
            </w:pPr>
          </w:p>
        </w:tc>
        <w:tc>
          <w:tcPr>
            <w:tcW w:w="1552" w:type="dxa"/>
            <w:noWrap w:val="0"/>
            <w:vAlign w:val="center"/>
          </w:tcPr>
          <w:p w14:paraId="07360155">
            <w:pPr>
              <w:spacing w:line="276" w:lineRule="auto"/>
              <w:ind w:left="62" w:right="62"/>
              <w:jc w:val="center"/>
              <w:rPr>
                <w:rStyle w:val="127"/>
                <w:rFonts w:ascii="宋体" w:hAnsi="宋体"/>
                <w:color w:val="auto"/>
                <w:kern w:val="0"/>
                <w:szCs w:val="21"/>
                <w:highlight w:val="none"/>
                <w:lang w:val="zh-CN"/>
              </w:rPr>
            </w:pPr>
            <w:r>
              <w:rPr>
                <w:rStyle w:val="127"/>
                <w:rFonts w:ascii="宋体" w:hAnsi="宋体"/>
                <w:color w:val="auto"/>
                <w:szCs w:val="21"/>
                <w:highlight w:val="none"/>
              </w:rPr>
              <w:t>电子招标投标解密失败及突发情况的补救</w:t>
            </w:r>
          </w:p>
        </w:tc>
        <w:tc>
          <w:tcPr>
            <w:tcW w:w="5910" w:type="dxa"/>
            <w:noWrap w:val="0"/>
            <w:vAlign w:val="center"/>
          </w:tcPr>
          <w:p w14:paraId="66D876C8">
            <w:pPr>
              <w:spacing w:line="276" w:lineRule="auto"/>
              <w:ind w:left="62" w:right="62"/>
              <w:rPr>
                <w:rStyle w:val="127"/>
                <w:rFonts w:hint="eastAsia" w:ascii="宋体" w:hAnsi="宋体"/>
                <w:color w:val="auto"/>
                <w:szCs w:val="21"/>
                <w:highlight w:val="none"/>
              </w:rPr>
            </w:pPr>
            <w:r>
              <w:rPr>
                <w:rStyle w:val="127"/>
                <w:rFonts w:hint="eastAsia" w:ascii="宋体" w:hAnsi="宋体"/>
                <w:color w:val="auto"/>
                <w:szCs w:val="21"/>
                <w:highlight w:val="none"/>
              </w:rPr>
              <w:t>1、按照交易平台关于全流程电子化项目的相关指南进行操作。详见：</w:t>
            </w:r>
            <w:r>
              <w:rPr>
                <w:rStyle w:val="127"/>
                <w:rFonts w:hint="eastAsia" w:ascii="宋体" w:hAnsi="宋体"/>
                <w:color w:val="auto"/>
                <w:szCs w:val="21"/>
                <w:highlight w:val="none"/>
                <w:u w:val="single"/>
              </w:rPr>
              <w:t>广州交易集团有限公司（广州公共资源交易中心）（</w:t>
            </w:r>
            <w:r>
              <w:rPr>
                <w:rStyle w:val="127"/>
                <w:rFonts w:ascii="宋体" w:hAnsi="宋体"/>
                <w:color w:val="auto"/>
                <w:szCs w:val="21"/>
                <w:highlight w:val="none"/>
                <w:u w:val="single"/>
              </w:rPr>
              <w:t>http://www.gzggzy.cn/</w:t>
            </w:r>
            <w:r>
              <w:rPr>
                <w:rStyle w:val="127"/>
                <w:rFonts w:hint="eastAsia" w:ascii="宋体" w:hAnsi="宋体"/>
                <w:color w:val="auto"/>
                <w:szCs w:val="21"/>
                <w:highlight w:val="none"/>
                <w:u w:val="single"/>
              </w:rPr>
              <w:t>）网站发布的最新指引。</w:t>
            </w:r>
            <w:r>
              <w:rPr>
                <w:rStyle w:val="127"/>
                <w:rFonts w:hint="eastAsia" w:ascii="宋体" w:hAnsi="宋体"/>
                <w:color w:val="auto"/>
                <w:szCs w:val="21"/>
                <w:highlight w:val="none"/>
              </w:rPr>
              <w:t xml:space="preserve">  </w:t>
            </w:r>
          </w:p>
          <w:p w14:paraId="39FB624D">
            <w:pPr>
              <w:spacing w:line="276" w:lineRule="auto"/>
              <w:ind w:left="62" w:right="62"/>
              <w:rPr>
                <w:rStyle w:val="127"/>
                <w:rFonts w:hint="eastAsia" w:ascii="宋体" w:hAnsi="宋体"/>
                <w:color w:val="auto"/>
                <w:szCs w:val="21"/>
                <w:highlight w:val="none"/>
              </w:rPr>
            </w:pPr>
            <w:r>
              <w:rPr>
                <w:rStyle w:val="127"/>
                <w:rFonts w:hint="eastAsia" w:ascii="宋体" w:hAnsi="宋体"/>
                <w:color w:val="auto"/>
                <w:szCs w:val="21"/>
                <w:highlight w:val="none"/>
              </w:rPr>
              <w:t>2、提交投标文件光盘备用</w:t>
            </w:r>
          </w:p>
          <w:p w14:paraId="3C49795A">
            <w:pPr>
              <w:spacing w:line="276" w:lineRule="auto"/>
              <w:ind w:left="62" w:right="62"/>
              <w:rPr>
                <w:rStyle w:val="127"/>
                <w:rFonts w:hint="eastAsia" w:ascii="宋体" w:hAnsi="宋体"/>
                <w:color w:val="auto"/>
                <w:szCs w:val="21"/>
                <w:highlight w:val="none"/>
              </w:rPr>
            </w:pPr>
            <w:r>
              <w:rPr>
                <w:rStyle w:val="127"/>
                <w:rFonts w:hint="eastAsia" w:ascii="宋体" w:hAnsi="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58CFECDC">
            <w:pPr>
              <w:spacing w:line="276" w:lineRule="auto"/>
              <w:ind w:left="62" w:right="62"/>
              <w:rPr>
                <w:rStyle w:val="127"/>
                <w:rFonts w:hint="eastAsia" w:ascii="宋体" w:hAnsi="宋体"/>
                <w:color w:val="auto"/>
                <w:szCs w:val="21"/>
                <w:highlight w:val="none"/>
              </w:rPr>
            </w:pPr>
            <w:r>
              <w:rPr>
                <w:rStyle w:val="127"/>
                <w:rFonts w:hint="eastAsia" w:ascii="宋体" w:hAnsi="宋体"/>
                <w:color w:val="auto"/>
                <w:szCs w:val="21"/>
                <w:highlight w:val="none"/>
              </w:rPr>
              <w:t xml:space="preserve"> 3、补救方案</w:t>
            </w:r>
          </w:p>
          <w:p w14:paraId="13D625CD">
            <w:pPr>
              <w:spacing w:line="276" w:lineRule="auto"/>
              <w:ind w:left="62" w:right="62"/>
              <w:rPr>
                <w:rStyle w:val="127"/>
                <w:rFonts w:hint="eastAsia" w:ascii="宋体" w:hAnsi="宋体"/>
                <w:color w:val="auto"/>
                <w:szCs w:val="21"/>
                <w:highlight w:val="none"/>
              </w:rPr>
            </w:pPr>
            <w:r>
              <w:rPr>
                <w:rStyle w:val="127"/>
                <w:rFonts w:hint="eastAsia" w:ascii="宋体" w:hAnsi="宋体"/>
                <w:color w:val="auto"/>
                <w:szCs w:val="21"/>
                <w:highlight w:val="none"/>
              </w:rPr>
              <w:t>（1）投标文件解密失败的补救方案：</w:t>
            </w:r>
          </w:p>
          <w:p w14:paraId="43CC9A04">
            <w:pPr>
              <w:spacing w:line="276" w:lineRule="auto"/>
              <w:ind w:left="62" w:right="62"/>
              <w:rPr>
                <w:rStyle w:val="127"/>
                <w:rFonts w:hint="eastAsia" w:ascii="宋体" w:hAnsi="宋体"/>
                <w:color w:val="auto"/>
                <w:szCs w:val="21"/>
                <w:highlight w:val="none"/>
              </w:rPr>
            </w:pPr>
            <w:r>
              <w:rPr>
                <w:rStyle w:val="127"/>
                <w:rFonts w:hint="eastAsia" w:ascii="宋体" w:hAnsi="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3404A502">
            <w:pPr>
              <w:spacing w:line="276" w:lineRule="auto"/>
              <w:ind w:left="62" w:right="62"/>
              <w:rPr>
                <w:rStyle w:val="127"/>
                <w:rFonts w:hint="eastAsia" w:ascii="宋体" w:hAnsi="宋体"/>
                <w:color w:val="auto"/>
                <w:szCs w:val="21"/>
                <w:highlight w:val="none"/>
              </w:rPr>
            </w:pPr>
            <w:r>
              <w:rPr>
                <w:rStyle w:val="127"/>
                <w:rFonts w:hint="eastAsia" w:ascii="宋体" w:hAnsi="宋体"/>
                <w:color w:val="auto"/>
                <w:szCs w:val="21"/>
                <w:highlight w:val="none"/>
              </w:rPr>
              <w:t>（2）评标时突发情况的补救方案</w:t>
            </w:r>
          </w:p>
          <w:p w14:paraId="3F7739FA">
            <w:pPr>
              <w:spacing w:line="276" w:lineRule="auto"/>
              <w:ind w:left="62" w:right="62"/>
              <w:rPr>
                <w:rStyle w:val="127"/>
                <w:rFonts w:hint="eastAsia" w:ascii="宋体" w:hAnsi="宋体"/>
                <w:color w:val="auto"/>
                <w:szCs w:val="21"/>
                <w:highlight w:val="none"/>
              </w:rPr>
            </w:pPr>
            <w:r>
              <w:rPr>
                <w:rStyle w:val="127"/>
                <w:rFonts w:hint="eastAsia" w:ascii="宋体" w:hAnsi="宋体"/>
                <w:color w:val="auto"/>
                <w:szCs w:val="21"/>
                <w:highlight w:val="none"/>
              </w:rPr>
              <w:t>若遇不可抗力发生（指网络瘫痪、服务器损坏、交易系统故障短期无法恢复等因素），由评标委员会开启投标人递交的全部投标文件光盘，并按光盘内容进行评审。</w:t>
            </w:r>
          </w:p>
          <w:p w14:paraId="02659EEB">
            <w:pPr>
              <w:spacing w:line="276" w:lineRule="auto"/>
              <w:ind w:left="62" w:right="62"/>
              <w:rPr>
                <w:rStyle w:val="127"/>
                <w:rFonts w:ascii="宋体" w:hAnsi="宋体"/>
                <w:color w:val="auto"/>
                <w:kern w:val="0"/>
                <w:szCs w:val="21"/>
                <w:highlight w:val="none"/>
                <w:lang w:val="zh-CN"/>
              </w:rPr>
            </w:pPr>
            <w:r>
              <w:rPr>
                <w:rStyle w:val="127"/>
                <w:rFonts w:hint="eastAsia" w:ascii="宋体" w:hAnsi="宋体"/>
                <w:color w:val="auto"/>
                <w:szCs w:val="21"/>
                <w:highlight w:val="none"/>
              </w:rPr>
              <w:t>（3）除发生上述情况外，开标评标均以投标人通过交易平台网上递交的电子投标文件为准。</w:t>
            </w:r>
          </w:p>
        </w:tc>
      </w:tr>
      <w:tr w14:paraId="54C773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noWrap w:val="0"/>
            <w:vAlign w:val="center"/>
          </w:tcPr>
          <w:p w14:paraId="47BDEBA4">
            <w:pPr>
              <w:spacing w:line="276" w:lineRule="auto"/>
              <w:ind w:left="62" w:right="62"/>
              <w:jc w:val="center"/>
              <w:rPr>
                <w:rStyle w:val="127"/>
                <w:rFonts w:ascii="宋体" w:hAnsi="宋体"/>
                <w:color w:val="auto"/>
                <w:szCs w:val="21"/>
                <w:highlight w:val="none"/>
              </w:rPr>
            </w:pPr>
            <w:r>
              <w:rPr>
                <w:rStyle w:val="127"/>
                <w:rFonts w:hint="eastAsia" w:ascii="宋体" w:hAnsi="宋体"/>
                <w:color w:val="auto"/>
                <w:szCs w:val="21"/>
                <w:highlight w:val="none"/>
              </w:rPr>
              <w:t>37</w:t>
            </w:r>
          </w:p>
        </w:tc>
        <w:tc>
          <w:tcPr>
            <w:tcW w:w="981" w:type="dxa"/>
            <w:noWrap w:val="0"/>
            <w:vAlign w:val="center"/>
          </w:tcPr>
          <w:p w14:paraId="1D5B837D">
            <w:pPr>
              <w:spacing w:line="276" w:lineRule="auto"/>
              <w:ind w:left="62" w:right="62"/>
              <w:jc w:val="center"/>
              <w:rPr>
                <w:rStyle w:val="127"/>
                <w:rFonts w:ascii="宋体" w:hAnsi="宋体"/>
                <w:color w:val="auto"/>
                <w:szCs w:val="21"/>
                <w:highlight w:val="none"/>
              </w:rPr>
            </w:pPr>
          </w:p>
        </w:tc>
        <w:tc>
          <w:tcPr>
            <w:tcW w:w="1552" w:type="dxa"/>
            <w:noWrap w:val="0"/>
            <w:vAlign w:val="center"/>
          </w:tcPr>
          <w:p w14:paraId="36E0D4CD">
            <w:pPr>
              <w:spacing w:line="276" w:lineRule="auto"/>
              <w:ind w:left="62" w:right="62"/>
              <w:jc w:val="center"/>
              <w:rPr>
                <w:rStyle w:val="127"/>
                <w:rFonts w:ascii="宋体" w:hAnsi="宋体"/>
                <w:color w:val="auto"/>
                <w:szCs w:val="21"/>
                <w:highlight w:val="none"/>
              </w:rPr>
            </w:pPr>
            <w:r>
              <w:rPr>
                <w:rStyle w:val="127"/>
                <w:rFonts w:hint="eastAsia" w:ascii="宋体" w:hAnsi="宋体"/>
                <w:color w:val="auto"/>
                <w:szCs w:val="21"/>
                <w:highlight w:val="none"/>
              </w:rPr>
              <w:t>招标人对中标人参与“百千万工程”的具体要求</w:t>
            </w:r>
          </w:p>
        </w:tc>
        <w:tc>
          <w:tcPr>
            <w:tcW w:w="5910" w:type="dxa"/>
            <w:noWrap w:val="0"/>
            <w:vAlign w:val="center"/>
          </w:tcPr>
          <w:p w14:paraId="074E9272">
            <w:pPr>
              <w:spacing w:line="276" w:lineRule="auto"/>
              <w:ind w:left="62" w:right="62"/>
              <w:rPr>
                <w:rStyle w:val="127"/>
                <w:rFonts w:hint="eastAsia" w:ascii="宋体" w:hAnsi="宋体"/>
                <w:color w:val="auto"/>
                <w:szCs w:val="21"/>
                <w:highlight w:val="none"/>
              </w:rPr>
            </w:pPr>
            <w:r>
              <w:rPr>
                <w:rStyle w:val="127"/>
                <w:rFonts w:hint="eastAsia" w:ascii="宋体" w:hAnsi="宋体"/>
                <w:color w:val="auto"/>
                <w:szCs w:val="21"/>
                <w:highlight w:val="none"/>
              </w:rPr>
              <w:t>说明与要求：</w:t>
            </w:r>
          </w:p>
          <w:p w14:paraId="5532A5B8">
            <w:pPr>
              <w:spacing w:line="276" w:lineRule="auto"/>
              <w:ind w:left="62" w:right="62"/>
              <w:rPr>
                <w:rStyle w:val="127"/>
                <w:rFonts w:hint="eastAsia" w:ascii="宋体" w:hAnsi="宋体"/>
                <w:color w:val="auto"/>
                <w:szCs w:val="21"/>
                <w:highlight w:val="none"/>
              </w:rPr>
            </w:pPr>
            <w:r>
              <w:rPr>
                <w:rStyle w:val="127"/>
                <w:rFonts w:hint="eastAsia" w:ascii="宋体" w:hAnsi="宋体"/>
                <w:color w:val="auto"/>
                <w:szCs w:val="21"/>
                <w:highlight w:val="none"/>
              </w:rPr>
              <w:t>█具体要求在中标后按照投标承诺和招标人的要求执行。</w:t>
            </w:r>
          </w:p>
          <w:p w14:paraId="3E88B6D1">
            <w:pPr>
              <w:spacing w:line="276" w:lineRule="auto"/>
              <w:ind w:left="62" w:right="62"/>
              <w:rPr>
                <w:rStyle w:val="127"/>
                <w:rFonts w:hint="eastAsia" w:ascii="宋体" w:hAnsi="宋体"/>
                <w:color w:val="auto"/>
                <w:szCs w:val="21"/>
                <w:highlight w:val="none"/>
              </w:rPr>
            </w:pPr>
            <w:r>
              <w:rPr>
                <w:rStyle w:val="127"/>
                <w:rFonts w:hint="eastAsia" w:ascii="宋体" w:hAnsi="宋体"/>
                <w:color w:val="auto"/>
                <w:szCs w:val="21"/>
                <w:highlight w:val="none"/>
              </w:rPr>
              <w:t>□具体要求：</w:t>
            </w:r>
            <w:r>
              <w:rPr>
                <w:rStyle w:val="127"/>
                <w:rFonts w:hint="eastAsia" w:ascii="宋体" w:hAnsi="宋体"/>
                <w:color w:val="auto"/>
                <w:szCs w:val="21"/>
                <w:highlight w:val="none"/>
                <w:u w:val="single"/>
              </w:rPr>
              <w:t>（由招标人填写）</w:t>
            </w:r>
          </w:p>
        </w:tc>
      </w:tr>
      <w:tr w14:paraId="06D81D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noWrap w:val="0"/>
            <w:vAlign w:val="center"/>
          </w:tcPr>
          <w:p w14:paraId="7688B98B">
            <w:pPr>
              <w:spacing w:line="276" w:lineRule="auto"/>
              <w:ind w:left="62" w:right="62"/>
              <w:jc w:val="center"/>
              <w:rPr>
                <w:rStyle w:val="127"/>
                <w:rFonts w:ascii="宋体" w:hAnsi="宋体"/>
                <w:color w:val="auto"/>
                <w:szCs w:val="21"/>
                <w:highlight w:val="none"/>
              </w:rPr>
            </w:pPr>
            <w:r>
              <w:rPr>
                <w:rStyle w:val="127"/>
                <w:rFonts w:hint="eastAsia" w:ascii="宋体" w:hAnsi="宋体"/>
                <w:color w:val="auto"/>
                <w:szCs w:val="21"/>
                <w:highlight w:val="none"/>
              </w:rPr>
              <w:t>38</w:t>
            </w:r>
          </w:p>
        </w:tc>
        <w:tc>
          <w:tcPr>
            <w:tcW w:w="981" w:type="dxa"/>
            <w:noWrap w:val="0"/>
            <w:vAlign w:val="center"/>
          </w:tcPr>
          <w:p w14:paraId="4B0A4DA2">
            <w:pPr>
              <w:spacing w:line="276" w:lineRule="auto"/>
              <w:ind w:left="62" w:right="62"/>
              <w:jc w:val="center"/>
              <w:rPr>
                <w:rStyle w:val="127"/>
                <w:rFonts w:ascii="宋体" w:hAnsi="宋体"/>
                <w:color w:val="auto"/>
                <w:szCs w:val="21"/>
                <w:highlight w:val="none"/>
              </w:rPr>
            </w:pPr>
            <w:r>
              <w:rPr>
                <w:rFonts w:hint="eastAsia" w:ascii="宋体" w:hAnsi="宋体" w:cs="宋体"/>
                <w:bCs/>
                <w:color w:val="auto"/>
                <w:szCs w:val="21"/>
                <w:highlight w:val="none"/>
                <w:u w:val="single"/>
              </w:rPr>
              <w:t>增加</w:t>
            </w:r>
          </w:p>
        </w:tc>
        <w:tc>
          <w:tcPr>
            <w:tcW w:w="1552" w:type="dxa"/>
            <w:noWrap w:val="0"/>
            <w:vAlign w:val="center"/>
          </w:tcPr>
          <w:p w14:paraId="168FCF5C">
            <w:pPr>
              <w:spacing w:line="276" w:lineRule="auto"/>
              <w:ind w:left="62" w:right="62"/>
              <w:jc w:val="center"/>
              <w:rPr>
                <w:rStyle w:val="127"/>
                <w:rFonts w:ascii="宋体" w:hAnsi="宋体"/>
                <w:color w:val="auto"/>
                <w:szCs w:val="21"/>
                <w:highlight w:val="none"/>
              </w:rPr>
            </w:pPr>
            <w:r>
              <w:rPr>
                <w:rFonts w:hint="eastAsia" w:ascii="宋体" w:hAnsi="宋体" w:cs="宋体"/>
                <w:bCs/>
                <w:color w:val="auto"/>
                <w:szCs w:val="21"/>
                <w:highlight w:val="none"/>
                <w:u w:val="single"/>
              </w:rPr>
              <w:t>其他费用</w:t>
            </w:r>
          </w:p>
        </w:tc>
        <w:tc>
          <w:tcPr>
            <w:tcW w:w="5910" w:type="dxa"/>
            <w:noWrap w:val="0"/>
            <w:vAlign w:val="center"/>
          </w:tcPr>
          <w:p w14:paraId="6E0A38C4">
            <w:pPr>
              <w:rPr>
                <w:rFonts w:hint="eastAsia" w:ascii="宋体" w:hAnsi="宋体" w:cs="宋体"/>
                <w:b/>
                <w:color w:val="auto"/>
                <w:szCs w:val="21"/>
                <w:highlight w:val="none"/>
              </w:rPr>
            </w:pPr>
            <w:r>
              <w:rPr>
                <w:rStyle w:val="127"/>
                <w:rFonts w:hint="eastAsia" w:ascii="宋体" w:hAnsi="宋体"/>
                <w:color w:val="auto"/>
                <w:szCs w:val="21"/>
                <w:highlight w:val="none"/>
              </w:rPr>
              <w:t>1、</w:t>
            </w:r>
            <w:r>
              <w:rPr>
                <w:rFonts w:hint="eastAsia" w:ascii="宋体" w:hAnsi="宋体" w:cs="宋体"/>
                <w:b/>
                <w:color w:val="auto"/>
                <w:szCs w:val="21"/>
                <w:highlight w:val="none"/>
              </w:rPr>
              <w:t>本招标项目的招标代理服务费由中标人向招标代理单位一次性支付。（招标代理服务费依照《国家计委关于印发〈招标代理服务收费管理暂行办法〉的通知》（计价格[2002]1980号）的计费标准</w:t>
            </w:r>
            <w:r>
              <w:rPr>
                <w:rFonts w:hint="eastAsia" w:ascii="宋体" w:hAnsi="宋体" w:cs="宋体"/>
                <w:b/>
                <w:color w:val="auto"/>
                <w:szCs w:val="21"/>
                <w:highlight w:val="none"/>
                <w:lang w:val="en-US" w:eastAsia="zh-CN"/>
              </w:rPr>
              <w:t>下浮20%</w:t>
            </w:r>
            <w:r>
              <w:rPr>
                <w:rFonts w:hint="eastAsia" w:ascii="宋体" w:hAnsi="宋体" w:cs="宋体"/>
                <w:b/>
                <w:color w:val="auto"/>
                <w:szCs w:val="21"/>
                <w:highlight w:val="none"/>
              </w:rPr>
              <w:t>收取）</w:t>
            </w:r>
          </w:p>
          <w:p w14:paraId="17F9125F">
            <w:pPr>
              <w:ind w:left="62" w:right="62"/>
              <w:jc w:val="left"/>
              <w:rPr>
                <w:rStyle w:val="127"/>
                <w:rFonts w:hint="eastAsia" w:ascii="宋体" w:hAnsi="宋体"/>
                <w:color w:val="auto"/>
                <w:szCs w:val="21"/>
                <w:highlight w:val="none"/>
              </w:rPr>
            </w:pPr>
            <w:r>
              <w:rPr>
                <w:rStyle w:val="127"/>
                <w:rFonts w:hint="eastAsia" w:ascii="宋体" w:hAnsi="宋体"/>
                <w:b/>
                <w:bCs/>
                <w:color w:val="auto"/>
                <w:szCs w:val="21"/>
                <w:highlight w:val="none"/>
              </w:rPr>
              <w:t>2、中标人应根据政府有关规定，向广州公共资源交易中心缴纳公共资源交易服务费，投标单位应自行了解公共资源交易服务费收费标准。</w:t>
            </w:r>
          </w:p>
        </w:tc>
      </w:tr>
    </w:tbl>
    <w:p w14:paraId="097109F5">
      <w:pPr>
        <w:pStyle w:val="141"/>
        <w:spacing w:line="276" w:lineRule="auto"/>
        <w:ind w:left="0"/>
        <w:jc w:val="left"/>
        <w:outlineLvl w:val="1"/>
        <w:rPr>
          <w:rFonts w:hint="eastAsia" w:ascii="宋体" w:hAnsi="宋体" w:cs="Courier New"/>
          <w:strike/>
          <w:color w:val="auto"/>
          <w:sz w:val="21"/>
          <w:szCs w:val="21"/>
          <w:highlight w:val="none"/>
        </w:rPr>
      </w:pPr>
      <w:bookmarkStart w:id="4" w:name="_Toc105005587"/>
      <w:bookmarkStart w:id="5" w:name="_Toc185324315"/>
      <w:bookmarkStart w:id="6" w:name="_Toc105014621"/>
      <w:r>
        <w:rPr>
          <w:rFonts w:hint="eastAsia" w:ascii="宋体" w:hAnsi="宋体" w:cs="Courier New"/>
          <w:strike/>
          <w:color w:val="auto"/>
          <w:sz w:val="21"/>
          <w:szCs w:val="21"/>
          <w:highlight w:val="none"/>
        </w:rPr>
        <w:t>注：企业综合诚信评价得分即企业综合诚信评价60日诚信分，以下同。</w:t>
      </w:r>
      <w:bookmarkEnd w:id="4"/>
      <w:bookmarkEnd w:id="5"/>
      <w:bookmarkEnd w:id="6"/>
    </w:p>
    <w:p w14:paraId="3FB38E50">
      <w:pPr>
        <w:pStyle w:val="141"/>
        <w:spacing w:line="360" w:lineRule="auto"/>
        <w:outlineLvl w:val="1"/>
        <w:rPr>
          <w:rStyle w:val="127"/>
          <w:rFonts w:ascii="宋体" w:hAnsi="宋体"/>
          <w:b/>
          <w:color w:val="auto"/>
          <w:highlight w:val="none"/>
        </w:rPr>
      </w:pPr>
      <w:r>
        <w:rPr>
          <w:rStyle w:val="127"/>
          <w:rFonts w:ascii="宋体" w:hAnsi="宋体"/>
          <w:b/>
          <w:color w:val="auto"/>
          <w:highlight w:val="none"/>
        </w:rPr>
        <w:br w:type="page"/>
      </w:r>
      <w:bookmarkStart w:id="7" w:name="_Toc185324316"/>
      <w:r>
        <w:rPr>
          <w:rStyle w:val="127"/>
          <w:rFonts w:ascii="宋体" w:hAnsi="宋体"/>
          <w:b/>
          <w:color w:val="auto"/>
          <w:highlight w:val="none"/>
        </w:rPr>
        <w:t>二、投标须知修改表</w:t>
      </w:r>
      <w:bookmarkEnd w:id="7"/>
    </w:p>
    <w:p w14:paraId="6BB0E050">
      <w:pPr>
        <w:pStyle w:val="120"/>
        <w:spacing w:line="360" w:lineRule="auto"/>
        <w:rPr>
          <w:rStyle w:val="127"/>
          <w:rFonts w:ascii="宋体" w:hAnsi="宋体"/>
          <w:b/>
          <w:color w:val="auto"/>
          <w:sz w:val="21"/>
          <w:szCs w:val="21"/>
          <w:highlight w:val="none"/>
        </w:rPr>
      </w:pPr>
      <w:r>
        <w:rPr>
          <w:rStyle w:val="127"/>
          <w:rFonts w:ascii="宋体" w:hAnsi="宋体"/>
          <w:b/>
          <w:color w:val="auto"/>
          <w:sz w:val="21"/>
          <w:szCs w:val="21"/>
          <w:highlight w:val="none"/>
        </w:rPr>
        <w:t>声明：</w:t>
      </w:r>
      <w:r>
        <w:rPr>
          <w:rStyle w:val="127"/>
          <w:rFonts w:hint="eastAsia" w:ascii="宋体" w:hAnsi="宋体"/>
          <w:b/>
          <w:color w:val="auto"/>
          <w:sz w:val="21"/>
          <w:szCs w:val="21"/>
          <w:highlight w:val="none"/>
        </w:rPr>
        <w:t>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14:paraId="45704F9B">
      <w:pPr>
        <w:spacing w:line="48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条款号：2.5             修改类型：增加</w:t>
      </w:r>
    </w:p>
    <w:p w14:paraId="23DDD1FA">
      <w:pPr>
        <w:pBdr>
          <w:bottom w:val="single" w:color="auto" w:sz="6" w:space="1"/>
        </w:pBdr>
        <w:spacing w:line="36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2.5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29EE1D55">
      <w:pPr>
        <w:spacing w:line="48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条款号：5.1             修改类型：修改</w:t>
      </w:r>
    </w:p>
    <w:p w14:paraId="1D8E4751">
      <w:pPr>
        <w:spacing w:line="360" w:lineRule="auto"/>
        <w:ind w:firstLine="420" w:firstLineChars="200"/>
        <w:rPr>
          <w:rFonts w:hint="eastAsia"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bCs/>
          <w:color w:val="auto"/>
          <w:szCs w:val="21"/>
          <w:highlight w:val="none"/>
        </w:rPr>
        <w:t>5.1 投标人应按本投标须知前附表第15项所述时间和要求对工程现场及周围环境进行踏勘，</w:t>
      </w:r>
      <w:r>
        <w:rPr>
          <w:rFonts w:hint="eastAsia" w:ascii="宋体" w:hAnsi="宋体" w:cs="宋体"/>
          <w:color w:val="auto"/>
          <w:szCs w:val="21"/>
          <w:highlight w:val="none"/>
        </w:rPr>
        <w:t>投标人应充分重视和仔细地进行这种考察，</w:t>
      </w:r>
      <w:r>
        <w:rPr>
          <w:rFonts w:hint="eastAsia" w:ascii="宋体" w:hAnsi="宋体" w:cs="宋体"/>
          <w:bCs/>
          <w:color w:val="auto"/>
          <w:szCs w:val="21"/>
          <w:highlight w:val="none"/>
        </w:rPr>
        <w:t>以便投标人获取</w:t>
      </w:r>
      <w:r>
        <w:rPr>
          <w:rFonts w:hint="eastAsia" w:ascii="宋体" w:hAnsi="宋体" w:cs="宋体"/>
          <w:color w:val="auto"/>
          <w:szCs w:val="21"/>
          <w:highlight w:val="none"/>
        </w:rPr>
        <w:t>那些须投标人自己负责的</w:t>
      </w:r>
      <w:r>
        <w:rPr>
          <w:rFonts w:hint="eastAsia" w:ascii="宋体" w:hAnsi="宋体" w:cs="宋体"/>
          <w:bCs/>
          <w:color w:val="auto"/>
          <w:szCs w:val="21"/>
          <w:highlight w:val="none"/>
        </w:rPr>
        <w:t>有关编制投标文件和签署合同所涉及现场所有的资料。</w:t>
      </w:r>
      <w:r>
        <w:rPr>
          <w:rFonts w:hint="eastAsia" w:ascii="宋体" w:hAnsi="宋体" w:cs="宋体"/>
          <w:color w:val="auto"/>
          <w:szCs w:val="21"/>
          <w:highlight w:val="none"/>
        </w:rPr>
        <w:t>一旦中标，这种考察即被认为其结果已在中标文件中得到充分反映。考察现场的费用由投标人自己承担。</w:t>
      </w:r>
    </w:p>
    <w:p w14:paraId="4A17DDF8">
      <w:pPr>
        <w:pBdr>
          <w:bottom w:val="single" w:color="auto" w:sz="4" w:space="1"/>
        </w:pBdr>
        <w:spacing w:line="360" w:lineRule="auto"/>
        <w:ind w:firstLine="420"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color w:val="auto"/>
          <w:szCs w:val="21"/>
          <w:highlight w:val="none"/>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hint="eastAsia" w:ascii="宋体" w:hAnsi="宋体" w:cs="宋体"/>
          <w:color w:val="auto"/>
          <w:szCs w:val="21"/>
          <w:highlight w:val="none"/>
        </w:rPr>
        <w:t>一旦中标，这种考察即被认为其结果已在中标文件中得到充分反映。考察现场的费用由投标人自己承担。</w:t>
      </w:r>
    </w:p>
    <w:p w14:paraId="72E2A82E">
      <w:pPr>
        <w:spacing w:line="36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条款号： 7.1            修改类型：修改</w:t>
      </w:r>
    </w:p>
    <w:p w14:paraId="483E5212">
      <w:pP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14:paraId="7E5B6C65">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第一章  </w:t>
      </w:r>
      <w:r>
        <w:rPr>
          <w:rFonts w:hint="eastAsia" w:ascii="宋体" w:hAnsi="宋体" w:cs="宋体"/>
          <w:color w:val="auto"/>
          <w:sz w:val="21"/>
          <w:szCs w:val="21"/>
          <w:highlight w:val="none"/>
        </w:rPr>
        <w:t>投标须知</w:t>
      </w:r>
    </w:p>
    <w:p w14:paraId="3F32BA96">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第二章  </w:t>
      </w:r>
      <w:r>
        <w:rPr>
          <w:rFonts w:hint="eastAsia" w:ascii="宋体" w:hAnsi="宋体" w:cs="宋体"/>
          <w:color w:val="auto"/>
          <w:sz w:val="21"/>
          <w:szCs w:val="21"/>
          <w:highlight w:val="none"/>
        </w:rPr>
        <w:t>开标、评标及定标办法</w:t>
      </w:r>
    </w:p>
    <w:p w14:paraId="6C705805">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第三章  合同条款</w:t>
      </w:r>
    </w:p>
    <w:p w14:paraId="6B1E4398">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第四章  </w:t>
      </w:r>
      <w:r>
        <w:rPr>
          <w:rFonts w:hint="eastAsia" w:ascii="宋体" w:hAnsi="宋体" w:cs="宋体"/>
          <w:color w:val="auto"/>
          <w:sz w:val="21"/>
          <w:szCs w:val="21"/>
          <w:highlight w:val="none"/>
        </w:rPr>
        <w:t>投标文件格式</w:t>
      </w:r>
    </w:p>
    <w:p w14:paraId="7D3543DD">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第五章  </w:t>
      </w:r>
      <w:r>
        <w:rPr>
          <w:rFonts w:hint="eastAsia" w:ascii="宋体" w:hAnsi="宋体" w:cs="宋体"/>
          <w:color w:val="auto"/>
          <w:sz w:val="21"/>
          <w:szCs w:val="21"/>
          <w:highlight w:val="none"/>
        </w:rPr>
        <w:t>技术条件（工程建设标准）（另册）</w:t>
      </w:r>
    </w:p>
    <w:p w14:paraId="300AE60A">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第六章  </w:t>
      </w:r>
      <w:r>
        <w:rPr>
          <w:rFonts w:hint="eastAsia" w:ascii="宋体" w:hAnsi="宋体" w:cs="宋体"/>
          <w:color w:val="auto"/>
          <w:sz w:val="21"/>
          <w:szCs w:val="21"/>
          <w:highlight w:val="none"/>
        </w:rPr>
        <w:t>图纸及勘察资料（另册）</w:t>
      </w:r>
    </w:p>
    <w:p w14:paraId="6CF0E0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第七章  招标工程量清单（另册）</w:t>
      </w:r>
    </w:p>
    <w:p w14:paraId="54DC16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第八章  最高投标限价</w:t>
      </w:r>
    </w:p>
    <w:p w14:paraId="23A9BA86">
      <w:pPr>
        <w:pBdr>
          <w:bottom w:val="none" w:color="auto" w:sz="0"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3A70A4B1">
      <w:pP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14:paraId="6175159B">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第一章  </w:t>
      </w:r>
      <w:r>
        <w:rPr>
          <w:rFonts w:hint="eastAsia" w:ascii="宋体" w:hAnsi="宋体" w:cs="宋体"/>
          <w:color w:val="auto"/>
          <w:sz w:val="21"/>
          <w:szCs w:val="21"/>
          <w:highlight w:val="none"/>
        </w:rPr>
        <w:t>投标须知</w:t>
      </w:r>
    </w:p>
    <w:p w14:paraId="25E2E540">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第二章  </w:t>
      </w:r>
      <w:r>
        <w:rPr>
          <w:rFonts w:hint="eastAsia" w:ascii="宋体" w:hAnsi="宋体" w:cs="宋体"/>
          <w:color w:val="auto"/>
          <w:sz w:val="21"/>
          <w:szCs w:val="21"/>
          <w:highlight w:val="none"/>
        </w:rPr>
        <w:t>开标、评标及定标办法</w:t>
      </w:r>
    </w:p>
    <w:p w14:paraId="52281B43">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第三章  合同条款</w:t>
      </w:r>
    </w:p>
    <w:p w14:paraId="3CC4C68D">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第四章  </w:t>
      </w:r>
      <w:r>
        <w:rPr>
          <w:rFonts w:hint="eastAsia" w:ascii="宋体" w:hAnsi="宋体" w:cs="宋体"/>
          <w:color w:val="auto"/>
          <w:sz w:val="21"/>
          <w:szCs w:val="21"/>
          <w:highlight w:val="none"/>
        </w:rPr>
        <w:t>投标文件格式</w:t>
      </w:r>
    </w:p>
    <w:p w14:paraId="1A3AFE4A">
      <w:pPr>
        <w:pStyle w:val="4"/>
        <w:spacing w:after="0" w:line="360" w:lineRule="auto"/>
        <w:ind w:left="-2" w:firstLineChars="200"/>
        <w:rPr>
          <w:rFonts w:hint="eastAsia" w:ascii="宋体" w:hAnsi="宋体" w:cs="宋体"/>
          <w:color w:val="auto"/>
          <w:sz w:val="21"/>
          <w:szCs w:val="21"/>
          <w:highlight w:val="none"/>
          <w:u w:val="single"/>
        </w:rPr>
      </w:pPr>
      <w:r>
        <w:rPr>
          <w:rFonts w:hint="eastAsia" w:ascii="宋体" w:hAnsi="宋体" w:cs="宋体"/>
          <w:bCs/>
          <w:color w:val="auto"/>
          <w:sz w:val="21"/>
          <w:szCs w:val="21"/>
          <w:highlight w:val="none"/>
        </w:rPr>
        <w:t xml:space="preserve">第五章  </w:t>
      </w:r>
      <w:r>
        <w:rPr>
          <w:rFonts w:hint="eastAsia" w:ascii="宋体" w:hAnsi="宋体" w:cs="宋体"/>
          <w:color w:val="auto"/>
          <w:sz w:val="21"/>
          <w:szCs w:val="21"/>
          <w:highlight w:val="none"/>
          <w:u w:val="single"/>
        </w:rPr>
        <w:t>技术条件（工程建设标准）</w:t>
      </w:r>
    </w:p>
    <w:p w14:paraId="307D7915">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第六章  </w:t>
      </w:r>
      <w:r>
        <w:rPr>
          <w:rFonts w:hint="eastAsia" w:ascii="宋体" w:hAnsi="宋体" w:cs="宋体"/>
          <w:color w:val="auto"/>
          <w:sz w:val="21"/>
          <w:szCs w:val="21"/>
          <w:highlight w:val="none"/>
        </w:rPr>
        <w:t>图纸及勘察资料（另册）</w:t>
      </w:r>
    </w:p>
    <w:p w14:paraId="086FC255">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第七章  招标</w:t>
      </w:r>
      <w:r>
        <w:rPr>
          <w:rFonts w:hint="eastAsia" w:ascii="宋体" w:hAnsi="宋体" w:cs="宋体"/>
          <w:color w:val="auto"/>
          <w:sz w:val="21"/>
          <w:szCs w:val="21"/>
          <w:highlight w:val="none"/>
        </w:rPr>
        <w:t xml:space="preserve">工程量清单（另册） </w:t>
      </w:r>
    </w:p>
    <w:p w14:paraId="2F93DF21">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第八章  最高投标限价</w:t>
      </w:r>
    </w:p>
    <w:p w14:paraId="69A73003">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78E79914">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条款号：8.1          修改类型：修改</w:t>
      </w:r>
    </w:p>
    <w:p w14:paraId="6111A389">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原文</w:t>
      </w:r>
      <w:r>
        <w:rPr>
          <w:rStyle w:val="127"/>
          <w:rFonts w:hint="eastAsia" w:ascii="宋体" w:hAnsi="宋体"/>
          <w:b/>
          <w:color w:val="auto"/>
          <w:szCs w:val="21"/>
          <w:highlight w:val="none"/>
        </w:rPr>
        <w:t>：</w:t>
      </w:r>
      <w:r>
        <w:rPr>
          <w:rStyle w:val="127"/>
          <w:rFonts w:ascii="宋体" w:hAnsi="宋体"/>
          <w:color w:val="auto"/>
          <w:szCs w:val="21"/>
          <w:highlight w:val="none"/>
        </w:rPr>
        <w:t>8.1投标人若对招标文件（包括招标图纸）中有疑问，可以书面形式通过</w:t>
      </w:r>
      <w:r>
        <w:rPr>
          <w:rStyle w:val="127"/>
          <w:rFonts w:ascii="宋体" w:hAnsi="宋体"/>
          <w:color w:val="auto"/>
          <w:szCs w:val="21"/>
          <w:highlight w:val="none"/>
          <w:u w:val="single"/>
        </w:rPr>
        <w:t xml:space="preserve">        </w:t>
      </w:r>
      <w:r>
        <w:rPr>
          <w:rStyle w:val="127"/>
          <w:rFonts w:ascii="宋体" w:hAnsi="宋体"/>
          <w:color w:val="auto"/>
          <w:szCs w:val="21"/>
          <w:highlight w:val="none"/>
        </w:rPr>
        <w:t>交易平台提交给招标人或招标代理人，提交形式见本须知前附表第16项。</w:t>
      </w:r>
    </w:p>
    <w:p w14:paraId="0F3F57D7">
      <w:pPr>
        <w:pBdr>
          <w:bottom w:val="single" w:color="000000" w:sz="6" w:space="1"/>
        </w:pBdr>
        <w:spacing w:line="360" w:lineRule="auto"/>
        <w:ind w:firstLine="420" w:firstLineChars="200"/>
        <w:rPr>
          <w:rStyle w:val="127"/>
          <w:rFonts w:ascii="宋体" w:hAnsi="宋体"/>
          <w:color w:val="auto"/>
          <w:szCs w:val="21"/>
          <w:highlight w:val="none"/>
        </w:rPr>
      </w:pPr>
      <w:r>
        <w:rPr>
          <w:rStyle w:val="127"/>
          <w:rFonts w:ascii="宋体" w:hAnsi="宋体"/>
          <w:b/>
          <w:color w:val="auto"/>
          <w:szCs w:val="21"/>
          <w:highlight w:val="none"/>
        </w:rPr>
        <w:t>现文：</w:t>
      </w:r>
      <w:r>
        <w:rPr>
          <w:rStyle w:val="127"/>
          <w:rFonts w:ascii="宋体" w:hAnsi="宋体"/>
          <w:color w:val="auto"/>
          <w:szCs w:val="21"/>
          <w:highlight w:val="none"/>
        </w:rPr>
        <w:t>8.1投标人若对招标文件</w:t>
      </w:r>
      <w:r>
        <w:rPr>
          <w:rStyle w:val="127"/>
          <w:rFonts w:ascii="宋体" w:hAnsi="宋体"/>
          <w:color w:val="auto"/>
          <w:szCs w:val="21"/>
          <w:highlight w:val="none"/>
          <w:u w:val="single"/>
        </w:rPr>
        <w:t>（包括招标图纸、</w:t>
      </w:r>
      <w:r>
        <w:rPr>
          <w:rStyle w:val="127"/>
          <w:rFonts w:hint="eastAsia" w:ascii="宋体" w:hAnsi="宋体"/>
          <w:color w:val="auto"/>
          <w:szCs w:val="21"/>
          <w:highlight w:val="none"/>
          <w:u w:val="single"/>
        </w:rPr>
        <w:t>招标工程量</w:t>
      </w:r>
      <w:r>
        <w:rPr>
          <w:rStyle w:val="127"/>
          <w:rFonts w:ascii="宋体" w:hAnsi="宋体"/>
          <w:color w:val="auto"/>
          <w:szCs w:val="21"/>
          <w:highlight w:val="none"/>
          <w:u w:val="single"/>
        </w:rPr>
        <w:t>清单、合同条款等）</w:t>
      </w:r>
      <w:r>
        <w:rPr>
          <w:rStyle w:val="127"/>
          <w:rFonts w:ascii="宋体" w:hAnsi="宋体"/>
          <w:color w:val="auto"/>
          <w:szCs w:val="21"/>
          <w:highlight w:val="none"/>
        </w:rPr>
        <w:t>中有疑问，可以书面形式通过</w:t>
      </w:r>
      <w:r>
        <w:rPr>
          <w:rStyle w:val="127"/>
          <w:rFonts w:ascii="宋体" w:hAnsi="宋体"/>
          <w:color w:val="auto"/>
          <w:szCs w:val="21"/>
          <w:highlight w:val="none"/>
          <w:u w:val="single"/>
        </w:rPr>
        <w:t>广州公共资源交易中心</w:t>
      </w:r>
      <w:r>
        <w:rPr>
          <w:rStyle w:val="127"/>
          <w:rFonts w:ascii="宋体" w:hAnsi="宋体"/>
          <w:color w:val="auto"/>
          <w:szCs w:val="21"/>
          <w:highlight w:val="none"/>
        </w:rPr>
        <w:t>交易平台提交给招标人或招标代理人，提交形式见本须知前附表第16项。</w:t>
      </w:r>
    </w:p>
    <w:p w14:paraId="31E5B99B">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条款号：8.2          修改类型：修改</w:t>
      </w:r>
    </w:p>
    <w:p w14:paraId="7A1F505D">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原文：</w:t>
      </w:r>
      <w:r>
        <w:rPr>
          <w:rStyle w:val="127"/>
          <w:rFonts w:ascii="宋体" w:hAnsi="宋体"/>
          <w:color w:val="auto"/>
          <w:szCs w:val="21"/>
          <w:highlight w:val="none"/>
        </w:rPr>
        <w:t>8.2招标答疑会会议纪要将在提交投标文件截止时间15日前在</w:t>
      </w:r>
      <w:r>
        <w:rPr>
          <w:rStyle w:val="127"/>
          <w:rFonts w:ascii="宋体" w:hAnsi="宋体"/>
          <w:color w:val="auto"/>
          <w:szCs w:val="21"/>
          <w:highlight w:val="none"/>
          <w:u w:val="single"/>
        </w:rPr>
        <w:t xml:space="preserve">   </w:t>
      </w:r>
      <w:r>
        <w:rPr>
          <w:rStyle w:val="127"/>
          <w:rFonts w:ascii="宋体" w:hAnsi="宋体"/>
          <w:color w:val="auto"/>
          <w:szCs w:val="21"/>
          <w:highlight w:val="none"/>
        </w:rPr>
        <w:t>交易平台 “项目答疑纪要”专区公开发布。答疑纪要一经在</w:t>
      </w:r>
      <w:r>
        <w:rPr>
          <w:rStyle w:val="127"/>
          <w:rFonts w:ascii="宋体" w:hAnsi="宋体"/>
          <w:color w:val="auto"/>
          <w:szCs w:val="21"/>
          <w:highlight w:val="none"/>
          <w:u w:val="single"/>
        </w:rPr>
        <w:t xml:space="preserve">   </w:t>
      </w:r>
      <w:r>
        <w:rPr>
          <w:rStyle w:val="127"/>
          <w:rFonts w:ascii="宋体" w:hAnsi="宋体"/>
          <w:color w:val="auto"/>
          <w:szCs w:val="21"/>
          <w:highlight w:val="none"/>
        </w:rPr>
        <w:t>交易平台发布，视作已发放给所有投标人。</w:t>
      </w:r>
    </w:p>
    <w:p w14:paraId="4F9E5BCA">
      <w:pPr>
        <w:pBdr>
          <w:bottom w:val="single" w:color="000000" w:sz="6" w:space="1"/>
        </w:pBdr>
        <w:spacing w:line="360" w:lineRule="auto"/>
        <w:ind w:firstLine="420" w:firstLineChars="200"/>
        <w:rPr>
          <w:rStyle w:val="127"/>
          <w:rFonts w:ascii="宋体" w:hAnsi="宋体"/>
          <w:color w:val="auto"/>
          <w:szCs w:val="21"/>
          <w:highlight w:val="none"/>
        </w:rPr>
      </w:pPr>
      <w:r>
        <w:rPr>
          <w:rStyle w:val="127"/>
          <w:rFonts w:ascii="宋体" w:hAnsi="宋体"/>
          <w:b/>
          <w:color w:val="auto"/>
          <w:szCs w:val="21"/>
          <w:highlight w:val="none"/>
        </w:rPr>
        <w:t>现文：</w:t>
      </w:r>
      <w:r>
        <w:rPr>
          <w:rStyle w:val="127"/>
          <w:rFonts w:ascii="宋体" w:hAnsi="宋体"/>
          <w:color w:val="auto"/>
          <w:szCs w:val="21"/>
          <w:highlight w:val="none"/>
        </w:rPr>
        <w:t>8.2招标答疑会会议纪要将在提交投标文件截止时间15日前在</w:t>
      </w:r>
      <w:r>
        <w:rPr>
          <w:rStyle w:val="127"/>
          <w:rFonts w:hint="eastAsia" w:ascii="宋体" w:hAnsi="宋体"/>
          <w:color w:val="auto"/>
          <w:szCs w:val="21"/>
          <w:highlight w:val="none"/>
          <w:u w:val="single"/>
        </w:rPr>
        <w:t>广州交易集团有限公司（广州公共资源交易中心）</w:t>
      </w:r>
      <w:r>
        <w:rPr>
          <w:rStyle w:val="127"/>
          <w:rFonts w:ascii="宋体" w:hAnsi="宋体"/>
          <w:color w:val="auto"/>
          <w:szCs w:val="21"/>
          <w:highlight w:val="none"/>
        </w:rPr>
        <w:t>交易平台“项目答疑纪要”专区公开发布。答疑纪要一经在</w:t>
      </w:r>
      <w:r>
        <w:rPr>
          <w:rStyle w:val="127"/>
          <w:rFonts w:hint="eastAsia" w:ascii="宋体" w:hAnsi="宋体"/>
          <w:color w:val="auto"/>
          <w:szCs w:val="21"/>
          <w:highlight w:val="none"/>
          <w:u w:val="single"/>
        </w:rPr>
        <w:t>广州交易集团有限公司（广州公共资源交易中心）</w:t>
      </w:r>
      <w:r>
        <w:rPr>
          <w:rStyle w:val="127"/>
          <w:rFonts w:ascii="宋体" w:hAnsi="宋体"/>
          <w:color w:val="auto"/>
          <w:szCs w:val="21"/>
          <w:highlight w:val="none"/>
        </w:rPr>
        <w:t>交易平台发布，视作已发放给所有投标人。</w:t>
      </w:r>
    </w:p>
    <w:p w14:paraId="368AB6EB">
      <w:pPr>
        <w:spacing w:line="36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条款号：8.3                    修改类型：修改</w:t>
      </w:r>
    </w:p>
    <w:p w14:paraId="766915D2">
      <w:pPr>
        <w:pBdr>
          <w:bottom w:val="single" w:color="auto" w:sz="6" w:space="1"/>
        </w:pBdr>
        <w:spacing w:line="360" w:lineRule="auto"/>
        <w:ind w:firstLine="470" w:firstLineChars="224"/>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8.3答疑会会议纪要为招标文件的一部分。</w:t>
      </w:r>
    </w:p>
    <w:p w14:paraId="6595B77D">
      <w:pPr>
        <w:pBdr>
          <w:bottom w:val="single" w:color="auto" w:sz="6" w:space="1"/>
        </w:pBdr>
        <w:spacing w:line="360" w:lineRule="auto"/>
        <w:ind w:firstLine="470" w:firstLineChars="224"/>
        <w:rPr>
          <w:rFonts w:hint="eastAsia"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8.3</w:t>
      </w:r>
      <w:r>
        <w:rPr>
          <w:rFonts w:hint="eastAsia" w:ascii="宋体" w:hAnsi="宋体" w:cs="宋体"/>
          <w:bCs/>
          <w:color w:val="auto"/>
          <w:szCs w:val="21"/>
          <w:highlight w:val="none"/>
          <w:u w:val="single"/>
        </w:rPr>
        <w:t>招标答疑纪要</w:t>
      </w:r>
      <w:r>
        <w:rPr>
          <w:rFonts w:hint="eastAsia" w:ascii="宋体" w:hAnsi="宋体" w:cs="宋体"/>
          <w:bCs/>
          <w:color w:val="auto"/>
          <w:szCs w:val="21"/>
          <w:highlight w:val="none"/>
        </w:rPr>
        <w:t>为招标文件的一部分。</w:t>
      </w:r>
    </w:p>
    <w:p w14:paraId="22B48099">
      <w:pPr>
        <w:pStyle w:val="4"/>
        <w:spacing w:line="460" w:lineRule="exact"/>
        <w:ind w:firstLine="420"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条款号：8.4</w:t>
      </w:r>
      <w:r>
        <w:rPr>
          <w:rFonts w:hint="eastAsia" w:ascii="宋体" w:hAnsi="宋体" w:cs="宋体"/>
          <w:color w:val="auto"/>
          <w:sz w:val="21"/>
          <w:szCs w:val="21"/>
          <w:highlight w:val="none"/>
        </w:rPr>
        <w:t xml:space="preserve">                  </w:t>
      </w:r>
      <w:r>
        <w:rPr>
          <w:rFonts w:hint="eastAsia" w:ascii="宋体" w:hAnsi="宋体" w:cs="宋体"/>
          <w:b/>
          <w:color w:val="auto"/>
          <w:sz w:val="21"/>
          <w:szCs w:val="21"/>
          <w:highlight w:val="none"/>
        </w:rPr>
        <w:t>修改类型：修改</w:t>
      </w:r>
    </w:p>
    <w:p w14:paraId="47B77E23">
      <w:pPr>
        <w:pStyle w:val="4"/>
        <w:spacing w:line="460" w:lineRule="exact"/>
        <w:ind w:firstLine="411" w:firstLineChars="196"/>
        <w:rPr>
          <w:rFonts w:hint="eastAsia"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8.4若招标答疑会会议纪要与招标文件有矛盾，以答疑会议纪要最后发出的书面形式的文件为准。</w:t>
      </w:r>
    </w:p>
    <w:p w14:paraId="51129BBA">
      <w:pPr>
        <w:pBdr>
          <w:bottom w:val="single" w:color="auto" w:sz="6" w:space="1"/>
        </w:pBdr>
        <w:spacing w:line="460" w:lineRule="exact"/>
        <w:ind w:firstLine="411" w:firstLineChars="196"/>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8.4若</w:t>
      </w:r>
      <w:r>
        <w:rPr>
          <w:rFonts w:hint="eastAsia" w:ascii="宋体" w:hAnsi="宋体" w:cs="宋体"/>
          <w:color w:val="auto"/>
          <w:szCs w:val="21"/>
          <w:highlight w:val="none"/>
          <w:u w:val="single"/>
        </w:rPr>
        <w:t>招标答疑纪要</w:t>
      </w:r>
      <w:r>
        <w:rPr>
          <w:rFonts w:hint="eastAsia" w:ascii="宋体" w:hAnsi="宋体" w:cs="宋体"/>
          <w:color w:val="auto"/>
          <w:szCs w:val="21"/>
          <w:highlight w:val="none"/>
        </w:rPr>
        <w:t>与招标文件有矛盾时，以</w:t>
      </w:r>
      <w:r>
        <w:rPr>
          <w:rFonts w:hint="eastAsia" w:ascii="宋体" w:hAnsi="宋体" w:cs="宋体"/>
          <w:color w:val="auto"/>
          <w:szCs w:val="21"/>
          <w:highlight w:val="none"/>
          <w:u w:val="single"/>
        </w:rPr>
        <w:t>广州交易集团有限公司（广州公共资源交易中心）交易平台</w:t>
      </w:r>
      <w:r>
        <w:rPr>
          <w:rFonts w:hint="eastAsia" w:ascii="宋体" w:hAnsi="宋体" w:cs="宋体"/>
          <w:color w:val="auto"/>
          <w:szCs w:val="21"/>
          <w:highlight w:val="none"/>
        </w:rPr>
        <w:t>最后发布的答疑纪要为准。</w:t>
      </w:r>
    </w:p>
    <w:p w14:paraId="236A1D3E">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条款号：9.2          修改类型：修改</w:t>
      </w:r>
    </w:p>
    <w:p w14:paraId="7C11373E">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原文：</w:t>
      </w:r>
      <w:r>
        <w:rPr>
          <w:rStyle w:val="127"/>
          <w:rFonts w:ascii="宋体" w:hAnsi="宋体"/>
          <w:color w:val="auto"/>
          <w:szCs w:val="21"/>
          <w:highlight w:val="none"/>
        </w:rPr>
        <w:t>9.2招标文件的澄清或修改将在</w:t>
      </w:r>
      <w:r>
        <w:rPr>
          <w:rStyle w:val="127"/>
          <w:rFonts w:ascii="宋体" w:hAnsi="宋体"/>
          <w:color w:val="auto"/>
          <w:szCs w:val="21"/>
          <w:highlight w:val="none"/>
          <w:u w:val="single"/>
        </w:rPr>
        <w:t xml:space="preserve">        </w:t>
      </w:r>
      <w:r>
        <w:rPr>
          <w:rStyle w:val="127"/>
          <w:rFonts w:ascii="宋体" w:hAnsi="宋体"/>
          <w:color w:val="auto"/>
          <w:szCs w:val="21"/>
          <w:highlight w:val="none"/>
        </w:rPr>
        <w:t>交易平台“项目答疑纪要”专区公开发布。答疑纪要一经在</w:t>
      </w:r>
      <w:r>
        <w:rPr>
          <w:rStyle w:val="127"/>
          <w:rFonts w:ascii="宋体" w:hAnsi="宋体"/>
          <w:color w:val="auto"/>
          <w:szCs w:val="21"/>
          <w:highlight w:val="none"/>
          <w:u w:val="single"/>
        </w:rPr>
        <w:t xml:space="preserve">        </w:t>
      </w:r>
      <w:r>
        <w:rPr>
          <w:rStyle w:val="127"/>
          <w:rFonts w:ascii="宋体" w:hAnsi="宋体"/>
          <w:color w:val="auto"/>
          <w:szCs w:val="21"/>
          <w:highlight w:val="none"/>
        </w:rPr>
        <w:t>交易平台发布，视作已发放给所有投标人，以</w:t>
      </w:r>
      <w:r>
        <w:rPr>
          <w:rStyle w:val="127"/>
          <w:rFonts w:ascii="宋体" w:hAnsi="宋体"/>
          <w:color w:val="auto"/>
          <w:szCs w:val="21"/>
          <w:highlight w:val="none"/>
          <w:u w:val="single"/>
        </w:rPr>
        <w:t xml:space="preserve">        </w:t>
      </w:r>
      <w:r>
        <w:rPr>
          <w:rStyle w:val="127"/>
          <w:rFonts w:ascii="宋体" w:hAnsi="宋体"/>
          <w:color w:val="auto"/>
          <w:szCs w:val="21"/>
          <w:highlight w:val="none"/>
        </w:rPr>
        <w:t>交易平台上网发布时间作为送达时间。</w:t>
      </w:r>
    </w:p>
    <w:p w14:paraId="28538813">
      <w:pPr>
        <w:pBdr>
          <w:bottom w:val="single" w:color="000000" w:sz="6" w:space="1"/>
        </w:pBdr>
        <w:spacing w:line="360" w:lineRule="auto"/>
        <w:ind w:firstLine="420" w:firstLineChars="200"/>
        <w:rPr>
          <w:rStyle w:val="127"/>
          <w:rFonts w:ascii="宋体" w:hAnsi="宋体"/>
          <w:color w:val="auto"/>
          <w:szCs w:val="21"/>
          <w:highlight w:val="none"/>
        </w:rPr>
      </w:pPr>
      <w:r>
        <w:rPr>
          <w:rStyle w:val="127"/>
          <w:rFonts w:ascii="宋体" w:hAnsi="宋体"/>
          <w:b/>
          <w:color w:val="auto"/>
          <w:szCs w:val="21"/>
          <w:highlight w:val="none"/>
        </w:rPr>
        <w:t>现文：</w:t>
      </w:r>
      <w:r>
        <w:rPr>
          <w:rStyle w:val="127"/>
          <w:rFonts w:ascii="宋体" w:hAnsi="宋体"/>
          <w:color w:val="auto"/>
          <w:szCs w:val="21"/>
          <w:highlight w:val="none"/>
        </w:rPr>
        <w:t>9.2招标文件的澄清或修改将在</w:t>
      </w:r>
      <w:r>
        <w:rPr>
          <w:rStyle w:val="127"/>
          <w:rFonts w:hint="eastAsia" w:ascii="宋体" w:hAnsi="宋体"/>
          <w:color w:val="auto"/>
          <w:szCs w:val="21"/>
          <w:highlight w:val="none"/>
          <w:u w:val="single"/>
        </w:rPr>
        <w:t>广州交易集团有限公司（广州公共资源交易中心）</w:t>
      </w:r>
      <w:r>
        <w:rPr>
          <w:rStyle w:val="127"/>
          <w:rFonts w:ascii="宋体" w:hAnsi="宋体"/>
          <w:color w:val="auto"/>
          <w:szCs w:val="21"/>
          <w:highlight w:val="none"/>
        </w:rPr>
        <w:t>交易平台“项目答疑纪要”专区公开发布。答疑纪要一经在</w:t>
      </w:r>
      <w:r>
        <w:rPr>
          <w:rStyle w:val="127"/>
          <w:rFonts w:hint="eastAsia" w:ascii="宋体" w:hAnsi="宋体"/>
          <w:color w:val="auto"/>
          <w:szCs w:val="21"/>
          <w:highlight w:val="none"/>
          <w:u w:val="single"/>
        </w:rPr>
        <w:t>广州交易集团有限公司（广州公共资源交易中心）</w:t>
      </w:r>
      <w:r>
        <w:rPr>
          <w:rStyle w:val="127"/>
          <w:rFonts w:ascii="宋体" w:hAnsi="宋体"/>
          <w:color w:val="auto"/>
          <w:szCs w:val="21"/>
          <w:highlight w:val="none"/>
        </w:rPr>
        <w:t>交易平台发布，视作已发放给所有投标人，以</w:t>
      </w:r>
      <w:r>
        <w:rPr>
          <w:rStyle w:val="127"/>
          <w:rFonts w:hint="eastAsia" w:ascii="宋体" w:hAnsi="宋体"/>
          <w:color w:val="auto"/>
          <w:szCs w:val="21"/>
          <w:highlight w:val="none"/>
          <w:u w:val="single"/>
        </w:rPr>
        <w:t>广州交易集团有限公司（广州公共资源交易中心）</w:t>
      </w:r>
      <w:r>
        <w:rPr>
          <w:rStyle w:val="127"/>
          <w:rFonts w:ascii="宋体" w:hAnsi="宋体"/>
          <w:color w:val="auto"/>
          <w:szCs w:val="21"/>
          <w:highlight w:val="none"/>
        </w:rPr>
        <w:t>交易平台上网发布时间作为送达时间。</w:t>
      </w:r>
    </w:p>
    <w:p w14:paraId="3C6E3A85">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条款号：9.4          修改类型：修改</w:t>
      </w:r>
    </w:p>
    <w:p w14:paraId="70B7C49A">
      <w:pPr>
        <w:spacing w:line="360" w:lineRule="auto"/>
        <w:ind w:firstLine="420" w:firstLineChars="200"/>
        <w:rPr>
          <w:rStyle w:val="127"/>
          <w:rFonts w:ascii="宋体" w:hAnsi="宋体"/>
          <w:color w:val="auto"/>
          <w:szCs w:val="21"/>
          <w:highlight w:val="none"/>
        </w:rPr>
      </w:pPr>
      <w:r>
        <w:rPr>
          <w:rStyle w:val="127"/>
          <w:rFonts w:ascii="宋体" w:hAnsi="宋体"/>
          <w:b/>
          <w:color w:val="auto"/>
          <w:szCs w:val="21"/>
          <w:highlight w:val="none"/>
        </w:rPr>
        <w:t>原文：</w:t>
      </w:r>
      <w:r>
        <w:rPr>
          <w:rStyle w:val="127"/>
          <w:rFonts w:ascii="宋体" w:hAnsi="宋体"/>
          <w:color w:val="auto"/>
          <w:szCs w:val="21"/>
          <w:highlight w:val="none"/>
        </w:rPr>
        <w:t>9.4招标文件的澄清或修改均以书面形式明确的内容为准。当招标文件的澄清、修改、补充等在同一内容的表述不一致时，以最后发出的书面形式的文件为准。</w:t>
      </w:r>
    </w:p>
    <w:p w14:paraId="14ED071C">
      <w:pPr>
        <w:pBdr>
          <w:bottom w:val="single" w:color="000000" w:sz="6" w:space="1"/>
        </w:pBdr>
        <w:spacing w:line="360" w:lineRule="auto"/>
        <w:ind w:firstLine="420" w:firstLineChars="200"/>
        <w:rPr>
          <w:rStyle w:val="127"/>
          <w:rFonts w:ascii="宋体" w:hAnsi="宋体"/>
          <w:color w:val="auto"/>
          <w:szCs w:val="21"/>
          <w:highlight w:val="none"/>
        </w:rPr>
      </w:pPr>
      <w:r>
        <w:rPr>
          <w:rStyle w:val="127"/>
          <w:rFonts w:ascii="宋体" w:hAnsi="宋体"/>
          <w:b/>
          <w:bCs/>
          <w:color w:val="auto"/>
          <w:szCs w:val="21"/>
          <w:highlight w:val="none"/>
        </w:rPr>
        <w:t>现文：</w:t>
      </w:r>
      <w:r>
        <w:rPr>
          <w:rStyle w:val="127"/>
          <w:rFonts w:ascii="宋体" w:hAnsi="宋体"/>
          <w:color w:val="auto"/>
          <w:szCs w:val="21"/>
          <w:highlight w:val="none"/>
        </w:rPr>
        <w:t>9.4</w:t>
      </w:r>
      <w:r>
        <w:rPr>
          <w:rStyle w:val="127"/>
          <w:rFonts w:ascii="宋体" w:hAnsi="宋体"/>
          <w:color w:val="auto"/>
          <w:szCs w:val="21"/>
          <w:highlight w:val="none"/>
          <w:u w:val="single"/>
        </w:rPr>
        <w:t>招标文件的澄清或修改将在</w:t>
      </w:r>
      <w:r>
        <w:rPr>
          <w:rStyle w:val="127"/>
          <w:rFonts w:hint="eastAsia" w:ascii="宋体" w:hAnsi="宋体"/>
          <w:color w:val="auto"/>
          <w:szCs w:val="21"/>
          <w:highlight w:val="none"/>
          <w:u w:val="single"/>
        </w:rPr>
        <w:t>广州交易集团有限公司（广州公共资源交易中心）</w:t>
      </w:r>
      <w:r>
        <w:rPr>
          <w:rStyle w:val="127"/>
          <w:rFonts w:ascii="宋体" w:hAnsi="宋体"/>
          <w:color w:val="auto"/>
          <w:szCs w:val="21"/>
          <w:highlight w:val="none"/>
          <w:u w:val="single"/>
        </w:rPr>
        <w:t>交易平台“项目答疑纪要”专区公开发布。</w:t>
      </w:r>
      <w:r>
        <w:rPr>
          <w:rStyle w:val="127"/>
          <w:rFonts w:ascii="宋体" w:hAnsi="宋体"/>
          <w:color w:val="auto"/>
          <w:szCs w:val="21"/>
          <w:highlight w:val="none"/>
        </w:rPr>
        <w:t>当招标文件的澄清、修改、补充等在同一内容的表述不一致时，以</w:t>
      </w:r>
      <w:r>
        <w:rPr>
          <w:rStyle w:val="127"/>
          <w:rFonts w:hint="eastAsia" w:ascii="宋体" w:hAnsi="宋体"/>
          <w:color w:val="auto"/>
          <w:szCs w:val="21"/>
          <w:highlight w:val="none"/>
          <w:u w:val="single"/>
        </w:rPr>
        <w:t>广州交易集团有限公司（广州公共资源交易中心）</w:t>
      </w:r>
      <w:r>
        <w:rPr>
          <w:rStyle w:val="127"/>
          <w:rFonts w:ascii="宋体" w:hAnsi="宋体"/>
          <w:color w:val="auto"/>
          <w:szCs w:val="21"/>
          <w:highlight w:val="none"/>
        </w:rPr>
        <w:t>最后发出的文件为准。</w:t>
      </w:r>
    </w:p>
    <w:p w14:paraId="6B804136">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条款号：11.2          修改类型：修改</w:t>
      </w:r>
    </w:p>
    <w:p w14:paraId="283E6662">
      <w:pPr>
        <w:spacing w:line="360" w:lineRule="auto"/>
        <w:ind w:firstLine="420" w:firstLineChars="200"/>
        <w:rPr>
          <w:rStyle w:val="127"/>
          <w:rFonts w:ascii="宋体" w:hAnsi="宋体"/>
          <w:bCs/>
          <w:color w:val="auto"/>
          <w:szCs w:val="21"/>
          <w:highlight w:val="none"/>
        </w:rPr>
      </w:pPr>
      <w:r>
        <w:rPr>
          <w:rStyle w:val="127"/>
          <w:rFonts w:ascii="宋体" w:hAnsi="宋体"/>
          <w:b/>
          <w:color w:val="auto"/>
          <w:szCs w:val="21"/>
          <w:highlight w:val="none"/>
        </w:rPr>
        <w:t>原文：</w:t>
      </w:r>
      <w:r>
        <w:rPr>
          <w:rStyle w:val="127"/>
          <w:rFonts w:ascii="宋体" w:hAnsi="宋体"/>
          <w:bCs/>
          <w:color w:val="auto"/>
          <w:szCs w:val="21"/>
          <w:highlight w:val="none"/>
        </w:rPr>
        <w:t>11.2投标文件技术标部分主要包括下列内容</w:t>
      </w:r>
      <w:r>
        <w:rPr>
          <w:rStyle w:val="127"/>
          <w:rFonts w:hint="eastAsia" w:ascii="宋体" w:hAnsi="宋体"/>
          <w:bCs/>
          <w:color w:val="auto"/>
          <w:szCs w:val="21"/>
          <w:highlight w:val="none"/>
        </w:rPr>
        <w:t>：</w:t>
      </w:r>
    </w:p>
    <w:p w14:paraId="504062CB">
      <w:pPr>
        <w:spacing w:line="360" w:lineRule="auto"/>
        <w:ind w:firstLine="420" w:firstLineChars="200"/>
        <w:rPr>
          <w:rStyle w:val="127"/>
          <w:rFonts w:ascii="宋体" w:hAnsi="宋体"/>
          <w:bCs/>
          <w:color w:val="auto"/>
          <w:szCs w:val="21"/>
          <w:highlight w:val="none"/>
        </w:rPr>
      </w:pPr>
      <w:r>
        <w:rPr>
          <w:rStyle w:val="127"/>
          <w:rFonts w:ascii="宋体" w:hAnsi="宋体"/>
          <w:bCs/>
          <w:color w:val="auto"/>
          <w:szCs w:val="21"/>
          <w:highlight w:val="none"/>
        </w:rPr>
        <w:t>11.2.1 技术投标文件</w:t>
      </w:r>
      <w:r>
        <w:rPr>
          <w:rStyle w:val="127"/>
          <w:rFonts w:ascii="宋体" w:hAnsi="宋体"/>
          <w:color w:val="auto"/>
          <w:szCs w:val="21"/>
          <w:highlight w:val="none"/>
        </w:rPr>
        <w:t>(按招标文件的要求填写)</w:t>
      </w:r>
      <w:r>
        <w:rPr>
          <w:rStyle w:val="127"/>
          <w:rFonts w:ascii="宋体" w:hAnsi="宋体"/>
          <w:bCs/>
          <w:color w:val="auto"/>
          <w:szCs w:val="21"/>
          <w:highlight w:val="none"/>
        </w:rPr>
        <w:t>；</w:t>
      </w:r>
    </w:p>
    <w:p w14:paraId="74AABB83">
      <w:pPr>
        <w:spacing w:line="360" w:lineRule="auto"/>
        <w:ind w:firstLine="420" w:firstLineChars="200"/>
        <w:rPr>
          <w:rStyle w:val="127"/>
          <w:rFonts w:ascii="宋体" w:hAnsi="宋体"/>
          <w:bCs/>
          <w:color w:val="auto"/>
          <w:szCs w:val="21"/>
          <w:highlight w:val="none"/>
        </w:rPr>
      </w:pPr>
      <w:r>
        <w:rPr>
          <w:rStyle w:val="127"/>
          <w:rFonts w:ascii="宋体" w:hAnsi="宋体"/>
          <w:bCs/>
          <w:color w:val="auto"/>
          <w:szCs w:val="21"/>
          <w:highlight w:val="none"/>
        </w:rPr>
        <w:t>11.2.2 资格审查文件：</w:t>
      </w:r>
    </w:p>
    <w:p w14:paraId="106F3E2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（1）投标人声明；</w:t>
      </w:r>
    </w:p>
    <w:p w14:paraId="6F08CC9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（2）法定代表人证明书、法定代表人签字或盖章的本投标文件授权委托证明书；</w:t>
      </w:r>
    </w:p>
    <w:p w14:paraId="51CA16F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（3）企业营业执照扫描件或电子证照；</w:t>
      </w:r>
    </w:p>
    <w:p w14:paraId="55CD064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（4）企业资质证书扫描件或电子证照；</w:t>
      </w:r>
    </w:p>
    <w:p w14:paraId="0C4850E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（5）建筑施工企业安全生产许可证扫描件或电子证照；</w:t>
      </w:r>
    </w:p>
    <w:p w14:paraId="26CC1B9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（6）项目负责人（按网上投标登记时选择拟投入本项目的项目负责人）；</w:t>
      </w:r>
    </w:p>
    <w:p w14:paraId="1533031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（7）专职安全员（按网上投标登记时选择拟投入本项目的专职安全员）；</w:t>
      </w:r>
    </w:p>
    <w:p w14:paraId="44ADD98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（8）拟委托技术负责人的相关证书、资料（具体要求由招标人明确）；</w:t>
      </w:r>
    </w:p>
    <w:p w14:paraId="3747DF0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（9）拟委派项目负责人的有效期内的建造师注册证书扫描件或电子证书； </w:t>
      </w:r>
    </w:p>
    <w:p w14:paraId="553DA91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（10）项目负责人在有效期内的安全生产考核合格证书（B类）或建筑施工企业项目负责人安全生产考核合格证书扫描件或电子证书；</w:t>
      </w:r>
    </w:p>
    <w:p w14:paraId="30B43CB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（11）专职安全员须具有在有效期内的安全生产考核合格证书（C类）或建筑施工企业专职安全生产管理人员安全生产考核合格证书扫描件或电子证书；</w:t>
      </w:r>
    </w:p>
    <w:p w14:paraId="26BED42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（12）用于资格审查的业绩（设置业绩要求时选择此项，投标人</w:t>
      </w:r>
      <w:r>
        <w:rPr>
          <w:rFonts w:hint="eastAsia" w:ascii="宋体" w:hAnsi="宋体"/>
          <w:color w:val="auto"/>
          <w:szCs w:val="21"/>
          <w:highlight w:val="none"/>
        </w:rPr>
        <w:t>须提供类似工程业绩的项目名称及项目编号，具体格式由招标人自定</w:t>
      </w:r>
      <w:r>
        <w:rPr>
          <w:rFonts w:hint="eastAsia" w:ascii="宋体" w:hAnsi="宋体"/>
          <w:bCs/>
          <w:color w:val="auto"/>
          <w:szCs w:val="21"/>
          <w:highlight w:val="none"/>
        </w:rPr>
        <w:t>）；</w:t>
      </w:r>
    </w:p>
    <w:p w14:paraId="1126D9E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（13）资格审查前，投标人须在广州市住房和城乡建设局建立企业信用档案，拟担任本工程项目负责人、专职安全员须是本企业信用档案中的在册人员；</w:t>
      </w:r>
    </w:p>
    <w:p w14:paraId="772CDE8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（14）列明主办单位的联合体工作协议（采用联合体投标时需递交，投标人拟任本工程项目负责人应为联合体主办方信用档案中的在册人员，</w:t>
      </w:r>
      <w:r>
        <w:rPr>
          <w:rFonts w:hint="eastAsia" w:ascii="宋体" w:hAnsi="宋体"/>
          <w:color w:val="auto"/>
          <w:szCs w:val="21"/>
          <w:highlight w:val="none"/>
        </w:rPr>
        <w:t>联合体工作协议应明确约定各方拟承担的工作和责任</w:t>
      </w:r>
      <w:r>
        <w:rPr>
          <w:rFonts w:hint="eastAsia" w:ascii="宋体" w:hAnsi="宋体"/>
          <w:bCs/>
          <w:color w:val="auto"/>
          <w:szCs w:val="21"/>
          <w:highlight w:val="none"/>
        </w:rPr>
        <w:t xml:space="preserve">）； </w:t>
      </w:r>
    </w:p>
    <w:p w14:paraId="27F9E827">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注：1.相关电子证书按规定需打印后手写本人签名的，应按照规定手写本人签名后再扫描提交。</w:t>
      </w:r>
    </w:p>
    <w:p w14:paraId="7734837C">
      <w:pPr>
        <w:spacing w:line="360" w:lineRule="auto"/>
        <w:ind w:firstLine="420" w:firstLineChars="200"/>
        <w:rPr>
          <w:rStyle w:val="127"/>
          <w:rFonts w:ascii="宋体" w:hAnsi="宋体"/>
          <w:bCs/>
          <w:color w:val="auto"/>
          <w:szCs w:val="21"/>
          <w:highlight w:val="none"/>
        </w:rPr>
      </w:pPr>
      <w:r>
        <w:rPr>
          <w:rFonts w:hint="eastAsia" w:ascii="宋体" w:hAnsi="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284121BC">
      <w:pPr>
        <w:spacing w:line="360" w:lineRule="auto"/>
        <w:ind w:firstLine="420" w:firstLineChars="200"/>
        <w:rPr>
          <w:rStyle w:val="127"/>
          <w:rFonts w:ascii="宋体" w:hAnsi="宋体"/>
          <w:bCs/>
          <w:color w:val="auto"/>
          <w:szCs w:val="21"/>
          <w:highlight w:val="none"/>
        </w:rPr>
      </w:pPr>
      <w:r>
        <w:rPr>
          <w:rStyle w:val="127"/>
          <w:rFonts w:ascii="宋体" w:hAnsi="宋体"/>
          <w:color w:val="auto"/>
          <w:szCs w:val="21"/>
          <w:highlight w:val="none"/>
        </w:rPr>
        <w:t>11.2.3项目管理机构配备。</w:t>
      </w:r>
    </w:p>
    <w:p w14:paraId="35B12947">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（1）投标人应列出该项目工程的施工组织机构构成和画出机构框架图及其负责人；</w:t>
      </w:r>
    </w:p>
    <w:p w14:paraId="12981275">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（2）投标人应详细列出该施工组织机构中主要成员的名单、简历资料、职务职称和在本项目中拟担任的职务等资料，并附上有关证明材料扫描件；</w:t>
      </w:r>
    </w:p>
    <w:p w14:paraId="7266E9BA">
      <w:pPr>
        <w:spacing w:line="360" w:lineRule="auto"/>
        <w:ind w:firstLine="420" w:firstLineChars="200"/>
        <w:rPr>
          <w:rStyle w:val="127"/>
          <w:rFonts w:ascii="宋体" w:hAnsi="宋体"/>
          <w:bCs/>
          <w:color w:val="auto"/>
          <w:szCs w:val="21"/>
          <w:highlight w:val="none"/>
        </w:rPr>
      </w:pPr>
      <w:r>
        <w:rPr>
          <w:rFonts w:hint="eastAsia" w:ascii="宋体" w:hAnsi="宋体"/>
          <w:color w:val="auto"/>
          <w:szCs w:val="21"/>
          <w:highlight w:val="none"/>
        </w:rPr>
        <w:t>（3）其他辅助说明资料。</w:t>
      </w:r>
    </w:p>
    <w:p w14:paraId="3E10DA0F">
      <w:pPr>
        <w:spacing w:line="360" w:lineRule="auto"/>
        <w:ind w:firstLine="420" w:firstLineChars="200"/>
        <w:rPr>
          <w:rStyle w:val="127"/>
          <w:rFonts w:ascii="宋体" w:hAnsi="宋体"/>
          <w:bCs/>
          <w:color w:val="auto"/>
          <w:szCs w:val="21"/>
          <w:highlight w:val="none"/>
        </w:rPr>
      </w:pPr>
      <w:r>
        <w:rPr>
          <w:rStyle w:val="127"/>
          <w:rFonts w:ascii="宋体" w:hAnsi="宋体"/>
          <w:color w:val="auto"/>
          <w:szCs w:val="21"/>
          <w:highlight w:val="none"/>
        </w:rPr>
        <w:t>11.2.4投标人在广州市可使用适合本工程的机械设备（附：机械设备为自有或租赁的说明；及承诺机械设备如属于租赁的，其租赁是不属于重复租赁）。</w:t>
      </w:r>
    </w:p>
    <w:p w14:paraId="6FE6D598">
      <w:pPr>
        <w:spacing w:line="360" w:lineRule="auto"/>
        <w:ind w:firstLine="420" w:firstLineChars="200"/>
        <w:rPr>
          <w:rStyle w:val="127"/>
          <w:rFonts w:ascii="宋体" w:hAnsi="宋体"/>
          <w:color w:val="auto"/>
          <w:szCs w:val="21"/>
          <w:highlight w:val="none"/>
        </w:rPr>
      </w:pPr>
      <w:r>
        <w:rPr>
          <w:rStyle w:val="127"/>
          <w:rFonts w:ascii="宋体" w:hAnsi="宋体"/>
          <w:color w:val="auto"/>
          <w:szCs w:val="21"/>
          <w:highlight w:val="none"/>
        </w:rPr>
        <w:t>11.2.5施工组织设计或施工方案。</w:t>
      </w:r>
    </w:p>
    <w:p w14:paraId="42AA3C8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（1）投标人在编制施工组织设计或施工方案时应按照招标人提出的施工现场建筑垃圾源头减量的具体要求以及建筑垃圾综合利用产品的使用要求提供相应措施。</w:t>
      </w:r>
    </w:p>
    <w:p w14:paraId="71E7838E">
      <w:pPr>
        <w:spacing w:line="360" w:lineRule="auto"/>
        <w:ind w:firstLine="420" w:firstLineChars="200"/>
        <w:rPr>
          <w:rFonts w:hint="eastAsia" w:ascii="宋体" w:hAnsi="宋体"/>
          <w:b/>
          <w:bCs/>
          <w:color w:val="auto"/>
          <w:szCs w:val="21"/>
          <w:highlight w:val="none"/>
        </w:rPr>
      </w:pPr>
      <w:r>
        <w:rPr>
          <w:rFonts w:hint="eastAsia" w:ascii="宋体" w:hAnsi="宋体"/>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3724B738">
      <w:pPr>
        <w:spacing w:line="360" w:lineRule="auto"/>
        <w:ind w:firstLine="420" w:firstLineChars="200"/>
        <w:rPr>
          <w:rStyle w:val="127"/>
          <w:rFonts w:ascii="宋体" w:hAnsi="宋体"/>
          <w:bCs/>
          <w:color w:val="auto"/>
          <w:szCs w:val="21"/>
          <w:highlight w:val="none"/>
        </w:rPr>
      </w:pPr>
      <w:r>
        <w:rPr>
          <w:rStyle w:val="127"/>
          <w:rFonts w:ascii="宋体" w:hAnsi="宋体"/>
          <w:color w:val="auto"/>
          <w:szCs w:val="21"/>
          <w:highlight w:val="none"/>
        </w:rPr>
        <w:t>11.2.6按照</w:t>
      </w:r>
      <w:r>
        <w:rPr>
          <w:rStyle w:val="127"/>
          <w:rFonts w:ascii="宋体" w:hAnsi="宋体"/>
          <w:bCs/>
          <w:color w:val="auto"/>
          <w:szCs w:val="21"/>
          <w:highlight w:val="none"/>
        </w:rPr>
        <w:t>招标文件要求</w:t>
      </w:r>
      <w:r>
        <w:rPr>
          <w:rStyle w:val="127"/>
          <w:rFonts w:ascii="宋体" w:hAnsi="宋体"/>
          <w:color w:val="auto"/>
          <w:szCs w:val="21"/>
          <w:highlight w:val="none"/>
        </w:rPr>
        <w:t>填写的《参与编制技术标投标文件人员名单》。</w:t>
      </w:r>
    </w:p>
    <w:p w14:paraId="573F36CC">
      <w:pPr>
        <w:spacing w:line="360" w:lineRule="auto"/>
        <w:ind w:firstLine="420" w:firstLineChars="200"/>
        <w:rPr>
          <w:rStyle w:val="127"/>
          <w:rFonts w:ascii="宋体" w:hAnsi="宋体"/>
          <w:bCs/>
          <w:color w:val="auto"/>
          <w:szCs w:val="21"/>
          <w:highlight w:val="none"/>
        </w:rPr>
      </w:pPr>
      <w:r>
        <w:rPr>
          <w:rStyle w:val="127"/>
          <w:rFonts w:ascii="宋体" w:hAnsi="宋体"/>
          <w:b/>
          <w:color w:val="auto"/>
          <w:szCs w:val="21"/>
          <w:highlight w:val="none"/>
        </w:rPr>
        <w:t>现文：</w:t>
      </w:r>
      <w:r>
        <w:rPr>
          <w:rStyle w:val="127"/>
          <w:rFonts w:ascii="宋体" w:hAnsi="宋体"/>
          <w:bCs/>
          <w:color w:val="auto"/>
          <w:szCs w:val="21"/>
          <w:highlight w:val="none"/>
        </w:rPr>
        <w:t>11.2投标文件技术标部分主要包括下列内容:</w:t>
      </w:r>
    </w:p>
    <w:p w14:paraId="774149C6">
      <w:pPr>
        <w:spacing w:line="360" w:lineRule="auto"/>
        <w:ind w:firstLine="420" w:firstLineChars="200"/>
        <w:rPr>
          <w:rStyle w:val="127"/>
          <w:rFonts w:ascii="宋体" w:hAnsi="宋体"/>
          <w:bCs/>
          <w:color w:val="auto"/>
          <w:szCs w:val="21"/>
          <w:highlight w:val="none"/>
        </w:rPr>
      </w:pPr>
      <w:r>
        <w:rPr>
          <w:rStyle w:val="127"/>
          <w:rFonts w:ascii="宋体" w:hAnsi="宋体"/>
          <w:bCs/>
          <w:color w:val="auto"/>
          <w:szCs w:val="21"/>
          <w:highlight w:val="none"/>
        </w:rPr>
        <w:t>11.2.1 技术投标文件</w:t>
      </w:r>
      <w:r>
        <w:rPr>
          <w:rStyle w:val="127"/>
          <w:rFonts w:ascii="宋体" w:hAnsi="宋体"/>
          <w:color w:val="auto"/>
          <w:szCs w:val="21"/>
          <w:highlight w:val="none"/>
        </w:rPr>
        <w:t>(按招标文件的要求填写)</w:t>
      </w:r>
      <w:r>
        <w:rPr>
          <w:rStyle w:val="127"/>
          <w:rFonts w:ascii="宋体" w:hAnsi="宋体"/>
          <w:bCs/>
          <w:color w:val="auto"/>
          <w:szCs w:val="21"/>
          <w:highlight w:val="none"/>
        </w:rPr>
        <w:t>；</w:t>
      </w:r>
    </w:p>
    <w:p w14:paraId="3CB2AEE6">
      <w:pPr>
        <w:spacing w:line="360" w:lineRule="auto"/>
        <w:ind w:firstLine="420" w:firstLineChars="200"/>
        <w:rPr>
          <w:rStyle w:val="127"/>
          <w:rFonts w:ascii="宋体" w:hAnsi="宋体"/>
          <w:bCs/>
          <w:color w:val="auto"/>
          <w:szCs w:val="21"/>
          <w:highlight w:val="none"/>
          <w:u w:val="single"/>
        </w:rPr>
      </w:pPr>
      <w:r>
        <w:rPr>
          <w:rStyle w:val="127"/>
          <w:rFonts w:ascii="宋体" w:hAnsi="宋体"/>
          <w:bCs/>
          <w:color w:val="auto"/>
          <w:szCs w:val="21"/>
          <w:highlight w:val="none"/>
          <w:u w:val="single"/>
        </w:rPr>
        <w:t>（1）广州建设工程施工招标投标书</w:t>
      </w:r>
      <w:r>
        <w:rPr>
          <w:rStyle w:val="127"/>
          <w:rFonts w:hint="eastAsia" w:ascii="宋体" w:hAnsi="宋体"/>
          <w:color w:val="auto"/>
          <w:highlight w:val="none"/>
          <w:u w:val="single"/>
        </w:rPr>
        <w:t>（按招标文件第四章技术标投标文件格式）</w:t>
      </w:r>
      <w:r>
        <w:rPr>
          <w:rStyle w:val="127"/>
          <w:rFonts w:ascii="宋体" w:hAnsi="宋体"/>
          <w:bCs/>
          <w:color w:val="auto"/>
          <w:szCs w:val="21"/>
          <w:highlight w:val="none"/>
          <w:u w:val="single"/>
        </w:rPr>
        <w:t>；</w:t>
      </w:r>
    </w:p>
    <w:p w14:paraId="074F15CD">
      <w:pPr>
        <w:spacing w:line="360" w:lineRule="auto"/>
        <w:ind w:firstLine="420" w:firstLineChars="200"/>
        <w:rPr>
          <w:rStyle w:val="127"/>
          <w:rFonts w:ascii="宋体" w:hAnsi="宋体"/>
          <w:bCs/>
          <w:color w:val="auto"/>
          <w:szCs w:val="21"/>
          <w:highlight w:val="none"/>
        </w:rPr>
      </w:pPr>
      <w:r>
        <w:rPr>
          <w:rStyle w:val="127"/>
          <w:rFonts w:ascii="宋体" w:hAnsi="宋体"/>
          <w:bCs/>
          <w:color w:val="auto"/>
          <w:szCs w:val="21"/>
          <w:highlight w:val="none"/>
        </w:rPr>
        <w:t>11.2.2 资格审查文件：</w:t>
      </w:r>
    </w:p>
    <w:p w14:paraId="21A7C9F0">
      <w:pPr>
        <w:spacing w:line="360" w:lineRule="auto"/>
        <w:ind w:firstLine="420" w:firstLineChars="200"/>
        <w:rPr>
          <w:rStyle w:val="127"/>
          <w:rFonts w:ascii="宋体" w:hAnsi="宋体"/>
          <w:color w:val="auto"/>
          <w:highlight w:val="none"/>
        </w:rPr>
      </w:pPr>
      <w:r>
        <w:rPr>
          <w:rStyle w:val="127"/>
          <w:rFonts w:ascii="宋体" w:hAnsi="宋体"/>
          <w:bCs/>
          <w:color w:val="auto"/>
          <w:szCs w:val="21"/>
          <w:highlight w:val="none"/>
        </w:rPr>
        <w:t>（1）投标人声</w:t>
      </w:r>
      <w:r>
        <w:rPr>
          <w:rStyle w:val="127"/>
          <w:rFonts w:ascii="宋体" w:hAnsi="宋体"/>
          <w:color w:val="auto"/>
          <w:highlight w:val="none"/>
        </w:rPr>
        <w:t>明</w:t>
      </w:r>
      <w:r>
        <w:rPr>
          <w:rStyle w:val="127"/>
          <w:rFonts w:hint="eastAsia" w:ascii="宋体" w:hAnsi="宋体"/>
          <w:color w:val="auto"/>
          <w:highlight w:val="none"/>
          <w:u w:val="single"/>
        </w:rPr>
        <w:t>（按招标公告附件</w:t>
      </w:r>
      <w:r>
        <w:rPr>
          <w:rStyle w:val="127"/>
          <w:rFonts w:hint="eastAsia" w:ascii="宋体" w:hAnsi="宋体"/>
          <w:color w:val="auto"/>
          <w:highlight w:val="none"/>
          <w:u w:val="single"/>
          <w:lang w:val="en-US" w:eastAsia="zh-CN"/>
        </w:rPr>
        <w:t>一</w:t>
      </w:r>
      <w:r>
        <w:rPr>
          <w:rStyle w:val="127"/>
          <w:rFonts w:hint="eastAsia" w:ascii="宋体" w:hAnsi="宋体"/>
          <w:color w:val="auto"/>
          <w:highlight w:val="none"/>
          <w:u w:val="single"/>
        </w:rPr>
        <w:t>的格式及内容提交）</w:t>
      </w:r>
      <w:r>
        <w:rPr>
          <w:rStyle w:val="127"/>
          <w:rFonts w:ascii="宋体" w:hAnsi="宋体"/>
          <w:color w:val="auto"/>
          <w:highlight w:val="none"/>
          <w:u w:val="single"/>
        </w:rPr>
        <w:t>；</w:t>
      </w:r>
      <w:r>
        <w:rPr>
          <w:rStyle w:val="127"/>
          <w:rFonts w:ascii="宋体" w:hAnsi="宋体"/>
          <w:color w:val="auto"/>
          <w:highlight w:val="none"/>
        </w:rPr>
        <w:t xml:space="preserve"> </w:t>
      </w:r>
    </w:p>
    <w:p w14:paraId="48FB5C6E">
      <w:pPr>
        <w:spacing w:line="360" w:lineRule="auto"/>
        <w:ind w:firstLine="420" w:firstLineChars="200"/>
        <w:rPr>
          <w:rStyle w:val="127"/>
          <w:rFonts w:ascii="宋体" w:hAnsi="宋体"/>
          <w:color w:val="auto"/>
          <w:highlight w:val="none"/>
        </w:rPr>
      </w:pPr>
      <w:r>
        <w:rPr>
          <w:rStyle w:val="127"/>
          <w:rFonts w:ascii="宋体" w:hAnsi="宋体"/>
          <w:color w:val="auto"/>
          <w:highlight w:val="none"/>
        </w:rPr>
        <w:t>（2）法定代表人证明书、法定代表人签字或盖章的本投标文件授权委托证明书；</w:t>
      </w:r>
    </w:p>
    <w:p w14:paraId="2AACA01E">
      <w:pPr>
        <w:spacing w:line="360" w:lineRule="auto"/>
        <w:ind w:firstLine="420" w:firstLineChars="200"/>
        <w:rPr>
          <w:rFonts w:hint="eastAsia" w:ascii="宋体" w:hAnsi="宋体"/>
          <w:color w:val="auto"/>
          <w:highlight w:val="none"/>
        </w:rPr>
      </w:pPr>
      <w:r>
        <w:rPr>
          <w:rFonts w:hint="eastAsia" w:ascii="宋体" w:hAnsi="宋体"/>
          <w:color w:val="auto"/>
          <w:highlight w:val="none"/>
        </w:rPr>
        <w:t>（3）企业营业执照扫描件或电子证照；</w:t>
      </w:r>
    </w:p>
    <w:p w14:paraId="6F454D9C">
      <w:pPr>
        <w:spacing w:line="360" w:lineRule="auto"/>
        <w:ind w:firstLine="420" w:firstLineChars="200"/>
        <w:rPr>
          <w:rFonts w:hint="eastAsia" w:ascii="宋体" w:hAnsi="宋体"/>
          <w:color w:val="auto"/>
          <w:highlight w:val="none"/>
        </w:rPr>
      </w:pPr>
      <w:r>
        <w:rPr>
          <w:rFonts w:hint="eastAsia" w:ascii="宋体" w:hAnsi="宋体"/>
          <w:color w:val="auto"/>
          <w:highlight w:val="none"/>
        </w:rPr>
        <w:t>（4）企业资质证书扫描件或电子证照；</w:t>
      </w:r>
    </w:p>
    <w:p w14:paraId="19CC026C">
      <w:pPr>
        <w:spacing w:line="360" w:lineRule="auto"/>
        <w:ind w:firstLine="420" w:firstLineChars="200"/>
        <w:rPr>
          <w:rFonts w:hint="eastAsia" w:ascii="宋体" w:hAnsi="宋体"/>
          <w:color w:val="auto"/>
          <w:highlight w:val="none"/>
        </w:rPr>
      </w:pPr>
      <w:r>
        <w:rPr>
          <w:rFonts w:hint="eastAsia" w:ascii="宋体" w:hAnsi="宋体"/>
          <w:color w:val="auto"/>
          <w:highlight w:val="none"/>
        </w:rPr>
        <w:t>（5）建筑施工企业安全生产许可证扫描件或电子证照；</w:t>
      </w:r>
    </w:p>
    <w:p w14:paraId="12FB4B28">
      <w:pPr>
        <w:spacing w:line="360" w:lineRule="auto"/>
        <w:ind w:firstLine="420" w:firstLineChars="200"/>
        <w:rPr>
          <w:rFonts w:hint="eastAsia" w:ascii="宋体" w:hAnsi="宋体"/>
          <w:color w:val="auto"/>
          <w:highlight w:val="none"/>
        </w:rPr>
      </w:pPr>
      <w:r>
        <w:rPr>
          <w:rFonts w:hint="eastAsia" w:ascii="宋体" w:hAnsi="宋体"/>
          <w:color w:val="auto"/>
          <w:highlight w:val="none"/>
        </w:rPr>
        <w:t>（6）项目负责人（按网上投标登记时选择拟投标的项目负责人）；</w:t>
      </w:r>
    </w:p>
    <w:p w14:paraId="0D67F461">
      <w:pPr>
        <w:spacing w:line="360" w:lineRule="auto"/>
        <w:ind w:firstLine="420" w:firstLineChars="200"/>
        <w:rPr>
          <w:rFonts w:hint="eastAsia" w:ascii="宋体" w:hAnsi="宋体"/>
          <w:color w:val="auto"/>
          <w:highlight w:val="none"/>
        </w:rPr>
      </w:pPr>
      <w:r>
        <w:rPr>
          <w:rFonts w:hint="eastAsia" w:ascii="宋体" w:hAnsi="宋体"/>
          <w:color w:val="auto"/>
          <w:highlight w:val="none"/>
        </w:rPr>
        <w:t>（7）专职安全员（按网上投标登记时选择拟投标的专职安全员）；</w:t>
      </w:r>
    </w:p>
    <w:p w14:paraId="20AE6BB6">
      <w:pPr>
        <w:spacing w:line="360" w:lineRule="auto"/>
        <w:ind w:firstLine="420" w:firstLineChars="200"/>
        <w:rPr>
          <w:rFonts w:hint="eastAsia" w:ascii="宋体" w:hAnsi="宋体"/>
          <w:color w:val="auto"/>
          <w:highlight w:val="none"/>
        </w:rPr>
      </w:pPr>
      <w:r>
        <w:rPr>
          <w:rFonts w:hint="eastAsia" w:ascii="宋体" w:hAnsi="宋体"/>
          <w:color w:val="auto"/>
          <w:highlight w:val="none"/>
        </w:rPr>
        <w:t>（8）</w:t>
      </w:r>
      <w:r>
        <w:rPr>
          <w:rFonts w:hint="eastAsia" w:ascii="宋体" w:hAnsi="宋体"/>
          <w:color w:val="auto"/>
          <w:highlight w:val="none"/>
          <w:u w:val="single"/>
        </w:rPr>
        <w:t>拟委派技术负责人的职称证书扫描件</w:t>
      </w:r>
      <w:r>
        <w:rPr>
          <w:rFonts w:hint="eastAsia" w:ascii="宋体" w:hAnsi="宋体"/>
          <w:color w:val="auto"/>
          <w:highlight w:val="none"/>
          <w:u w:val="single"/>
          <w:lang w:val="en-US" w:eastAsia="zh-CN"/>
        </w:rPr>
        <w:t>或电子证书</w:t>
      </w:r>
      <w:r>
        <w:rPr>
          <w:rFonts w:hint="eastAsia" w:ascii="宋体" w:hAnsi="宋体"/>
          <w:color w:val="auto"/>
          <w:highlight w:val="none"/>
          <w:u w:val="single"/>
        </w:rPr>
        <w:t>；</w:t>
      </w:r>
    </w:p>
    <w:p w14:paraId="6E0409C4">
      <w:pPr>
        <w:spacing w:line="360" w:lineRule="auto"/>
        <w:ind w:firstLine="420" w:firstLineChars="200"/>
        <w:rPr>
          <w:rFonts w:hint="eastAsia" w:ascii="宋体" w:hAnsi="宋体"/>
          <w:color w:val="auto"/>
          <w:highlight w:val="none"/>
        </w:rPr>
      </w:pPr>
      <w:r>
        <w:rPr>
          <w:rFonts w:hint="eastAsia" w:ascii="宋体" w:hAnsi="宋体"/>
          <w:bCs/>
          <w:color w:val="auto"/>
          <w:szCs w:val="21"/>
          <w:highlight w:val="none"/>
        </w:rPr>
        <w:t>（9）拟委派项目负责人的有效期内的建造师注册证书扫描件或电子证书；</w:t>
      </w:r>
    </w:p>
    <w:p w14:paraId="3DA04291">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（10）项目负责人在有效期内的安全生产考核合格证书（B类）或建筑施工企业项目负责人安全生产考核合格证书扫描件或电子证书；</w:t>
      </w:r>
    </w:p>
    <w:p w14:paraId="7958CE5C">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（11）专职安全员须具有在有效期内的安全生产考核合格证书（C类）或建筑施工企业专职安全生产管理人员安全生产考核合格证书（C3类）扫描件或电子证书；</w:t>
      </w:r>
    </w:p>
    <w:p w14:paraId="4851C353">
      <w:pPr>
        <w:spacing w:line="360" w:lineRule="auto"/>
        <w:ind w:firstLine="420" w:firstLineChars="200"/>
        <w:rPr>
          <w:rFonts w:hint="eastAsia" w:ascii="宋体" w:hAnsi="宋体"/>
          <w:color w:val="auto"/>
          <w:highlight w:val="none"/>
        </w:rPr>
      </w:pPr>
      <w:r>
        <w:rPr>
          <w:rFonts w:hint="eastAsia" w:ascii="宋体" w:hAnsi="宋体"/>
          <w:color w:val="auto"/>
          <w:highlight w:val="none"/>
        </w:rPr>
        <w:t>（12）</w:t>
      </w:r>
      <w:r>
        <w:rPr>
          <w:rFonts w:hint="eastAsia" w:ascii="宋体" w:hAnsi="宋体"/>
          <w:bCs/>
          <w:color w:val="auto"/>
          <w:highlight w:val="none"/>
        </w:rPr>
        <w:t>资格审查前，投标人须在广州市住房和城乡建设局建立企业信用档案，拟担任本工程项目负责人、专职安全员须是本企业信用档案中的在册人员</w:t>
      </w:r>
      <w:r>
        <w:rPr>
          <w:rFonts w:hint="eastAsia" w:ascii="宋体" w:hAnsi="宋体"/>
          <w:color w:val="auto"/>
          <w:highlight w:val="none"/>
        </w:rPr>
        <w:t>。</w:t>
      </w:r>
    </w:p>
    <w:p w14:paraId="64C084BE">
      <w:pPr>
        <w:spacing w:line="360" w:lineRule="auto"/>
        <w:ind w:firstLine="420" w:firstLineChars="200"/>
        <w:rPr>
          <w:rFonts w:hint="eastAsia" w:ascii="宋体" w:hAnsi="宋体"/>
          <w:color w:val="auto"/>
          <w:highlight w:val="none"/>
          <w:u w:val="single"/>
        </w:rPr>
      </w:pPr>
      <w:r>
        <w:rPr>
          <w:rFonts w:hint="eastAsia" w:ascii="宋体" w:hAnsi="宋体"/>
          <w:color w:val="auto"/>
          <w:highlight w:val="none"/>
          <w:u w:val="single"/>
        </w:rPr>
        <w:t>（</w:t>
      </w:r>
      <w:r>
        <w:rPr>
          <w:rFonts w:hint="default" w:ascii="宋体" w:hAnsi="宋体"/>
          <w:color w:val="auto"/>
          <w:highlight w:val="none"/>
          <w:u w:val="single"/>
          <w:lang w:val="en-US"/>
        </w:rPr>
        <w:t>13</w:t>
      </w:r>
      <w:r>
        <w:rPr>
          <w:rFonts w:hint="eastAsia" w:ascii="宋体" w:hAnsi="宋体"/>
          <w:color w:val="auto"/>
          <w:highlight w:val="none"/>
          <w:u w:val="single"/>
        </w:rPr>
        <w:t>）投标人认为应提交的其他资料。</w:t>
      </w:r>
    </w:p>
    <w:p w14:paraId="71ED010C">
      <w:pPr>
        <w:pStyle w:val="16"/>
        <w:spacing w:line="360" w:lineRule="auto"/>
        <w:ind w:firstLine="420" w:firstLineChars="200"/>
        <w:rPr>
          <w:rFonts w:hint="eastAsia" w:hAnsi="宋体" w:eastAsia="宋体"/>
          <w:color w:val="auto"/>
          <w:szCs w:val="22"/>
          <w:highlight w:val="none"/>
        </w:rPr>
      </w:pPr>
      <w:r>
        <w:rPr>
          <w:rFonts w:hint="eastAsia" w:hAnsi="宋体" w:eastAsia="宋体"/>
          <w:color w:val="auto"/>
          <w:szCs w:val="22"/>
          <w:highlight w:val="none"/>
          <w:u w:val="single"/>
        </w:rPr>
        <w:t>（</w:t>
      </w:r>
      <w:r>
        <w:rPr>
          <w:rFonts w:hint="default" w:hAnsi="宋体" w:eastAsia="宋体"/>
          <w:color w:val="auto"/>
          <w:szCs w:val="22"/>
          <w:highlight w:val="none"/>
          <w:u w:val="single"/>
          <w:lang w:val="en-US"/>
        </w:rPr>
        <w:t>14</w:t>
      </w:r>
      <w:r>
        <w:rPr>
          <w:rFonts w:hint="eastAsia" w:hAnsi="宋体" w:eastAsia="宋体"/>
          <w:color w:val="auto"/>
          <w:szCs w:val="22"/>
          <w:highlight w:val="none"/>
          <w:u w:val="single"/>
        </w:rPr>
        <w:t>）投标人未被列入拖欠农民工工资失信联合惩戒对象名单和失信被执行人（投标人无需提供资料，按投标截止时间广州交易集团有限公司(广州公共资源交易中心)交易系统比对的结果进行评审）</w:t>
      </w:r>
      <w:r>
        <w:rPr>
          <w:rFonts w:hint="eastAsia" w:hAnsi="宋体" w:eastAsia="宋体"/>
          <w:color w:val="auto"/>
          <w:szCs w:val="22"/>
          <w:highlight w:val="none"/>
          <w:u w:val="single"/>
          <w:lang w:eastAsia="zh-CN"/>
        </w:rPr>
        <w:t>。</w:t>
      </w:r>
    </w:p>
    <w:p w14:paraId="1541F62B">
      <w:pPr>
        <w:spacing w:line="360" w:lineRule="auto"/>
        <w:ind w:firstLine="420" w:firstLineChars="200"/>
        <w:rPr>
          <w:rFonts w:ascii="宋体" w:hAnsi="宋体"/>
          <w:color w:val="auto"/>
          <w:highlight w:val="none"/>
        </w:rPr>
      </w:pPr>
      <w:r>
        <w:rPr>
          <w:rFonts w:hint="eastAsia" w:ascii="宋体" w:hAnsi="宋体"/>
          <w:color w:val="auto"/>
          <w:highlight w:val="none"/>
        </w:rPr>
        <w:t>注：1.相关电子证书按规定需打印后手写本人签名的，应按照规定手写本人签名后再扫描提交。</w:t>
      </w:r>
    </w:p>
    <w:p w14:paraId="1FFA9C25">
      <w:pPr>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03076777">
      <w:pPr>
        <w:pBdr>
          <w:bottom w:val="single" w:color="auto" w:sz="4" w:space="1"/>
        </w:pBd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11.2.3 广州建设工程施工技术标招标投标书（技术部分格式3）。</w:t>
      </w:r>
    </w:p>
    <w:p w14:paraId="0D265581">
      <w:pPr>
        <w:pBdr>
          <w:bottom w:val="single" w:color="auto" w:sz="4" w:space="1"/>
        </w:pBd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11.2.4 投标人廉洁承诺书（技术部分格式4）</w:t>
      </w:r>
    </w:p>
    <w:p w14:paraId="480AECC4">
      <w:pPr>
        <w:pBdr>
          <w:bottom w:val="single" w:color="auto" w:sz="4" w:space="1"/>
        </w:pBd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11.2.5 企业资信等相关资料（技术部分格式5）：按《技术标详细审查评分表》要求提交。</w:t>
      </w:r>
    </w:p>
    <w:p w14:paraId="468997F3">
      <w:pPr>
        <w:pBdr>
          <w:bottom w:val="single" w:color="auto" w:sz="4" w:space="1"/>
        </w:pBd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11.2.6响应招标文件所附施工组织设计要点的承诺书（技术部分格式6）</w:t>
      </w:r>
    </w:p>
    <w:p w14:paraId="0E006FE7">
      <w:pPr>
        <w:pBdr>
          <w:bottom w:val="single" w:color="auto" w:sz="4" w:space="1"/>
        </w:pBd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11.2.7参与编制技术标投标文件人员名单（技术部分格式7）</w:t>
      </w:r>
    </w:p>
    <w:p w14:paraId="02FC74E7">
      <w:pPr>
        <w:pBdr>
          <w:bottom w:val="single" w:color="auto" w:sz="4" w:space="1"/>
        </w:pBd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11.2.8施工项目管理团队人员信息表（技术部分格式8）</w:t>
      </w:r>
    </w:p>
    <w:p w14:paraId="25D15EEE">
      <w:pPr>
        <w:pBdr>
          <w:bottom w:val="single" w:color="auto" w:sz="4" w:space="1"/>
        </w:pBd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11.2.9技术负责人（或其他项目管理机构人员）基本情况表（技术部分格式9）</w:t>
      </w:r>
    </w:p>
    <w:p w14:paraId="24448280">
      <w:pPr>
        <w:pBdr>
          <w:bottom w:val="single" w:color="auto" w:sz="4" w:space="1"/>
        </w:pBd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11.2.10危险性较大的分部分项工程清单及超过一定规模的危险性较大的分部分项工程清单（技术部分格式10）。</w:t>
      </w:r>
    </w:p>
    <w:p w14:paraId="5C2B96CE">
      <w:pPr>
        <w:pBdr>
          <w:bottom w:val="single" w:color="auto" w:sz="4" w:space="1"/>
        </w:pBdr>
        <w:spacing w:line="360"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rPr>
        <w:t>11.2.11分包方案情况一览表（技术部分格式1</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eastAsia="zh-CN"/>
        </w:rPr>
        <w:t>。</w:t>
      </w:r>
    </w:p>
    <w:p w14:paraId="28BF88BC">
      <w:pPr>
        <w:pBdr>
          <w:bottom w:val="single" w:color="auto" w:sz="4" w:space="1"/>
        </w:pBd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rPr>
        <w:t>11.2.1</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rPr>
        <w:t>主要设备、材料拟选用品牌</w:t>
      </w:r>
      <w:r>
        <w:rPr>
          <w:rFonts w:hint="eastAsia" w:ascii="宋体" w:hAnsi="宋体" w:eastAsia="宋体" w:cs="宋体"/>
          <w:color w:val="auto"/>
          <w:szCs w:val="21"/>
          <w:highlight w:val="none"/>
          <w:u w:val="single"/>
          <w:lang w:val="en-US" w:eastAsia="zh-CN"/>
        </w:rPr>
        <w:t>/厂家</w:t>
      </w:r>
      <w:r>
        <w:rPr>
          <w:rFonts w:hint="eastAsia" w:ascii="宋体" w:hAnsi="宋体" w:eastAsia="宋体" w:cs="宋体"/>
          <w:color w:val="auto"/>
          <w:szCs w:val="21"/>
          <w:highlight w:val="none"/>
          <w:u w:val="single"/>
        </w:rPr>
        <w:t>表（技术部分格式1</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w:t>
      </w:r>
    </w:p>
    <w:p w14:paraId="0C242F12">
      <w:pPr>
        <w:pBdr>
          <w:bottom w:val="single" w:color="auto" w:sz="4" w:space="1"/>
        </w:pBd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11.2.1</w:t>
      </w:r>
      <w:r>
        <w:rPr>
          <w:rFonts w:hint="eastAsia" w:ascii="宋体" w:hAnsi="宋体" w:cs="宋体"/>
          <w:color w:val="auto"/>
          <w:szCs w:val="21"/>
          <w:highlight w:val="none"/>
          <w:u w:val="single"/>
          <w:lang w:val="en-US" w:eastAsia="zh-CN"/>
        </w:rPr>
        <w:t>3</w:t>
      </w:r>
      <w:r>
        <w:rPr>
          <w:rFonts w:hint="eastAsia" w:ascii="宋体" w:cs="宋体"/>
          <w:bCs/>
          <w:color w:val="auto"/>
          <w:szCs w:val="21"/>
          <w:highlight w:val="none"/>
          <w:u w:val="single"/>
        </w:rPr>
        <w:t>其他投标人认为应该提供的资料</w:t>
      </w:r>
      <w:r>
        <w:rPr>
          <w:rFonts w:hint="eastAsia" w:ascii="宋体" w:hAnsi="宋体" w:cs="宋体"/>
          <w:color w:val="auto"/>
          <w:szCs w:val="21"/>
          <w:highlight w:val="none"/>
          <w:u w:val="single"/>
        </w:rPr>
        <w:t>。</w:t>
      </w:r>
    </w:p>
    <w:p w14:paraId="681BBEDF">
      <w:pPr>
        <w:tabs>
          <w:tab w:val="left" w:pos="1125"/>
        </w:tabs>
        <w:spacing w:line="360" w:lineRule="auto"/>
        <w:ind w:firstLine="420" w:firstLineChars="200"/>
        <w:rPr>
          <w:rFonts w:ascii="宋体" w:hAnsi="宋体" w:cs="宋体"/>
          <w:color w:val="auto"/>
          <w:szCs w:val="21"/>
          <w:highlight w:val="none"/>
        </w:rPr>
      </w:pPr>
      <w:r>
        <w:rPr>
          <w:rFonts w:hint="eastAsia" w:ascii="宋体" w:hAnsi="宋体" w:cs="宋体"/>
          <w:b/>
          <w:bCs/>
          <w:color w:val="auto"/>
          <w:szCs w:val="21"/>
          <w:highlight w:val="none"/>
        </w:rPr>
        <w:t>条款号：  11.3               修改类型：修改</w:t>
      </w:r>
    </w:p>
    <w:p w14:paraId="44F30E97">
      <w:pPr>
        <w:spacing w:line="360" w:lineRule="auto"/>
        <w:ind w:firstLine="420" w:firstLineChars="200"/>
        <w:rPr>
          <w:rFonts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11.3 经济部分投标文件主要包括下列内容：</w:t>
      </w:r>
    </w:p>
    <w:p w14:paraId="505A8C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11.3.1 经济投标文件(按招标文件的要求填写)。</w:t>
      </w:r>
    </w:p>
    <w:p w14:paraId="378FFE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29D431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（1）投标总价封面、扉页；</w:t>
      </w:r>
    </w:p>
    <w:p w14:paraId="0A9113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（2）总说明；</w:t>
      </w:r>
    </w:p>
    <w:p w14:paraId="27E03F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（3）工程项目投标报价汇总表；</w:t>
      </w:r>
    </w:p>
    <w:p w14:paraId="7ADFC3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（4）单项工程投标报价汇总表；</w:t>
      </w:r>
    </w:p>
    <w:p w14:paraId="2A460F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（5）单位工程投标报价汇总表；</w:t>
      </w:r>
    </w:p>
    <w:p w14:paraId="679CA1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（6）分部分项工程清单与计价表；</w:t>
      </w:r>
    </w:p>
    <w:p w14:paraId="6BCD61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（7）单价措施项目清单与计价表；</w:t>
      </w:r>
    </w:p>
    <w:p w14:paraId="154953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（8）总价措施项目清单与计价表；</w:t>
      </w:r>
    </w:p>
    <w:p w14:paraId="47381E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（9）综合单价分析表；</w:t>
      </w:r>
    </w:p>
    <w:p w14:paraId="4CA0D9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（10）其他项目清单与计价汇总表；</w:t>
      </w:r>
    </w:p>
    <w:p w14:paraId="723865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（11）暂列金额明细表；</w:t>
      </w:r>
    </w:p>
    <w:p w14:paraId="4D31BE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（12）材料（工程设备）暂估价明细表；</w:t>
      </w:r>
    </w:p>
    <w:p w14:paraId="6E7309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（13）专业工程暂估价明细表；</w:t>
      </w:r>
    </w:p>
    <w:p w14:paraId="42C4A1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（14）计日工表；</w:t>
      </w:r>
    </w:p>
    <w:p w14:paraId="73C64A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（15）总承包服务计价表；</w:t>
      </w:r>
    </w:p>
    <w:p w14:paraId="0CF98A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（16）规费和税金项目计价表；</w:t>
      </w:r>
    </w:p>
    <w:p w14:paraId="60DB95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（17）人工、主要材料和设备一览表。</w:t>
      </w:r>
    </w:p>
    <w:p w14:paraId="6BDE0E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11.3.3按照招标文件要求填写的《参与编制经济标投标文件人员名单》。</w:t>
      </w:r>
    </w:p>
    <w:p w14:paraId="6FDD3D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14:paraId="4D95B85E">
      <w:pPr>
        <w:pBdr>
          <w:bottom w:val="single" w:color="auto" w:sz="6" w:space="1"/>
        </w:pBdr>
        <w:adjustRightInd w:val="0"/>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 xml:space="preserve">11.3 </w:t>
      </w:r>
      <w:r>
        <w:rPr>
          <w:rFonts w:hint="eastAsia" w:ascii="宋体" w:hAnsi="宋体" w:cs="宋体"/>
          <w:b/>
          <w:bCs/>
          <w:color w:val="auto"/>
          <w:szCs w:val="21"/>
          <w:highlight w:val="none"/>
          <w:u w:val="single"/>
        </w:rPr>
        <w:t>经济部分投标文件</w:t>
      </w:r>
      <w:r>
        <w:rPr>
          <w:rFonts w:hint="eastAsia" w:ascii="宋体" w:hAnsi="宋体" w:cs="宋体"/>
          <w:bCs/>
          <w:color w:val="auto"/>
          <w:szCs w:val="21"/>
          <w:highlight w:val="none"/>
        </w:rPr>
        <w:t>主要包括下列内容:</w:t>
      </w:r>
    </w:p>
    <w:p w14:paraId="07CB621B">
      <w:pPr>
        <w:pBdr>
          <w:bottom w:val="single" w:color="auto" w:sz="6" w:space="1"/>
        </w:pBdr>
        <w:adjustRightIn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11.3.1 </w:t>
      </w:r>
      <w:r>
        <w:rPr>
          <w:rFonts w:hint="eastAsia" w:ascii="宋体" w:hAnsi="宋体" w:cs="宋体"/>
          <w:color w:val="auto"/>
          <w:szCs w:val="21"/>
          <w:highlight w:val="none"/>
          <w:u w:val="single"/>
        </w:rPr>
        <w:t>目录。</w:t>
      </w:r>
    </w:p>
    <w:p w14:paraId="644DFBC6">
      <w:pPr>
        <w:pBdr>
          <w:bottom w:val="single" w:color="auto" w:sz="6" w:space="1"/>
        </w:pBdr>
        <w:adjustRightIn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11.3.2</w:t>
      </w:r>
      <w:r>
        <w:rPr>
          <w:rFonts w:hint="eastAsia" w:ascii="宋体" w:hAnsi="宋体" w:cs="宋体"/>
          <w:color w:val="auto"/>
          <w:szCs w:val="21"/>
          <w:highlight w:val="none"/>
          <w:u w:val="single"/>
        </w:rPr>
        <w:t>广州建设工程施工招标投标书（经济部分格式2）</w:t>
      </w:r>
      <w:r>
        <w:rPr>
          <w:rFonts w:hint="eastAsia" w:ascii="宋体" w:hAnsi="宋体" w:cs="宋体"/>
          <w:color w:val="auto"/>
          <w:szCs w:val="21"/>
          <w:highlight w:val="none"/>
        </w:rPr>
        <w:t>。</w:t>
      </w:r>
    </w:p>
    <w:p w14:paraId="7AAE0685">
      <w:pPr>
        <w:pBdr>
          <w:bottom w:val="single" w:color="auto" w:sz="6" w:space="1"/>
        </w:pBd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11.3.3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color w:val="auto"/>
          <w:szCs w:val="21"/>
          <w:highlight w:val="none"/>
          <w:u w:val="single"/>
        </w:rPr>
        <w:t>（投标报价的工程量清单的组成、格式等由广州公共资源交易中心的投标文件管理软件自动生成）</w:t>
      </w:r>
    </w:p>
    <w:p w14:paraId="0E3AE847">
      <w:pPr>
        <w:pBdr>
          <w:bottom w:val="single" w:color="auto" w:sz="6" w:space="1"/>
        </w:pBd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11.3.4按照招标文件要求填写的《参与编制经济标投标文件人员名单》</w:t>
      </w:r>
      <w:r>
        <w:rPr>
          <w:rFonts w:hint="eastAsia" w:ascii="宋体" w:hAnsi="宋体" w:cs="宋体"/>
          <w:color w:val="auto"/>
          <w:szCs w:val="21"/>
          <w:highlight w:val="none"/>
          <w:u w:val="single"/>
        </w:rPr>
        <w:t>（经济部分格式4）</w:t>
      </w:r>
      <w:r>
        <w:rPr>
          <w:rFonts w:hint="eastAsia" w:ascii="宋体" w:hAnsi="宋体" w:cs="宋体"/>
          <w:color w:val="auto"/>
          <w:szCs w:val="21"/>
          <w:highlight w:val="none"/>
        </w:rPr>
        <w:t>。</w:t>
      </w:r>
    </w:p>
    <w:p w14:paraId="7ABE390C">
      <w:pPr>
        <w:pBdr>
          <w:bottom w:val="single" w:color="auto" w:sz="6" w:space="1"/>
        </w:pBdr>
        <w:adjustRightIn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11.3.5</w:t>
      </w:r>
      <w:r>
        <w:rPr>
          <w:rFonts w:hint="eastAsia" w:ascii="宋体" w:hAnsi="宋体" w:cs="宋体"/>
          <w:color w:val="auto"/>
          <w:szCs w:val="21"/>
          <w:highlight w:val="none"/>
          <w:u w:val="single"/>
        </w:rPr>
        <w:t>《对投标文件编制的承诺》（经济部分格式5）。</w:t>
      </w:r>
    </w:p>
    <w:p w14:paraId="1ADB1707">
      <w:pPr>
        <w:pBdr>
          <w:bottom w:val="single" w:color="auto" w:sz="6" w:space="1"/>
        </w:pBdr>
        <w:tabs>
          <w:tab w:val="left" w:pos="6329"/>
        </w:tabs>
        <w:spacing w:line="360" w:lineRule="auto"/>
        <w:ind w:firstLine="420" w:firstLineChars="200"/>
        <w:rPr>
          <w:rFonts w:hint="eastAsia" w:ascii="宋体" w:hAnsi="宋体"/>
          <w:bCs/>
          <w:color w:val="auto"/>
          <w:szCs w:val="21"/>
          <w:highlight w:val="none"/>
        </w:rPr>
      </w:pPr>
      <w:r>
        <w:rPr>
          <w:rFonts w:hint="eastAsia" w:ascii="宋体" w:hAnsi="宋体" w:cs="宋体"/>
          <w:color w:val="auto"/>
          <w:szCs w:val="21"/>
          <w:highlight w:val="none"/>
        </w:rPr>
        <w:t>11.3.6 若投标人的投标报价低于工程成本警戒价的，投标人还须提供详细的施工组织设计、单价、措施性费用、单价分析表、主要材料价格表、投标人成本分析供评标委员会评审。</w:t>
      </w:r>
    </w:p>
    <w:p w14:paraId="5AEB44F8">
      <w:pPr>
        <w:spacing w:line="360" w:lineRule="auto"/>
        <w:ind w:firstLine="420" w:firstLineChars="200"/>
        <w:rPr>
          <w:rFonts w:hint="eastAsia" w:ascii="宋体" w:hAnsi="宋体"/>
          <w:b/>
          <w:color w:val="auto"/>
          <w:szCs w:val="21"/>
          <w:highlight w:val="none"/>
        </w:rPr>
      </w:pPr>
      <w:r>
        <w:rPr>
          <w:rFonts w:hint="eastAsia" w:ascii="宋体" w:hAnsi="宋体"/>
          <w:b/>
          <w:color w:val="auto"/>
          <w:szCs w:val="21"/>
          <w:highlight w:val="none"/>
        </w:rPr>
        <w:t>条款号：1</w:t>
      </w:r>
      <w:r>
        <w:rPr>
          <w:rFonts w:ascii="宋体" w:hAnsi="宋体"/>
          <w:b/>
          <w:color w:val="auto"/>
          <w:szCs w:val="21"/>
          <w:highlight w:val="none"/>
        </w:rPr>
        <w:t xml:space="preserve">2.2          </w:t>
      </w:r>
      <w:r>
        <w:rPr>
          <w:rFonts w:hint="eastAsia" w:ascii="宋体" w:hAnsi="宋体"/>
          <w:b/>
          <w:color w:val="auto"/>
          <w:szCs w:val="21"/>
          <w:highlight w:val="none"/>
        </w:rPr>
        <w:t>修改类型：</w:t>
      </w:r>
      <w:r>
        <w:rPr>
          <w:rStyle w:val="127"/>
          <w:rFonts w:ascii="宋体" w:hAnsi="宋体"/>
          <w:b/>
          <w:color w:val="auto"/>
          <w:szCs w:val="21"/>
          <w:highlight w:val="none"/>
        </w:rPr>
        <w:t>修改</w:t>
      </w:r>
    </w:p>
    <w:p w14:paraId="4519D8C7">
      <w:pPr>
        <w:pBdr>
          <w:bottom w:val="single" w:color="auto" w:sz="6" w:space="1"/>
        </w:pBdr>
        <w:tabs>
          <w:tab w:val="left" w:pos="6329"/>
        </w:tabs>
        <w:spacing w:line="360" w:lineRule="auto"/>
        <w:ind w:firstLine="420" w:firstLineChars="200"/>
        <w:rPr>
          <w:rFonts w:hint="eastAsia" w:ascii="宋体" w:hAnsi="宋体"/>
          <w:bCs/>
          <w:color w:val="auto"/>
          <w:szCs w:val="21"/>
          <w:highlight w:val="none"/>
        </w:rPr>
      </w:pPr>
      <w:r>
        <w:rPr>
          <w:rFonts w:hint="eastAsia" w:ascii="宋体" w:hAnsi="宋体"/>
          <w:b/>
          <w:color w:val="auto"/>
          <w:szCs w:val="21"/>
          <w:highlight w:val="none"/>
        </w:rPr>
        <w:t>原文：</w:t>
      </w:r>
      <w:r>
        <w:rPr>
          <w:rFonts w:ascii="宋体" w:hAnsi="宋体"/>
          <w:bCs/>
          <w:color w:val="auto"/>
          <w:szCs w:val="21"/>
          <w:highlight w:val="none"/>
        </w:rPr>
        <w:t xml:space="preserve">12.2 </w:t>
      </w:r>
      <w:r>
        <w:rPr>
          <w:rFonts w:hint="eastAsia" w:ascii="宋体" w:hAnsi="宋体"/>
          <w:color w:val="auto"/>
          <w:szCs w:val="21"/>
          <w:highlight w:val="none"/>
        </w:rPr>
        <w:t>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bCs/>
          <w:color w:val="auto"/>
          <w:szCs w:val="21"/>
          <w:highlight w:val="none"/>
        </w:rPr>
        <w:t>。</w:t>
      </w:r>
    </w:p>
    <w:p w14:paraId="471903D5">
      <w:pPr>
        <w:pBdr>
          <w:bottom w:val="single" w:color="auto" w:sz="6" w:space="1"/>
        </w:pBdr>
        <w:tabs>
          <w:tab w:val="left" w:pos="6329"/>
        </w:tabs>
        <w:spacing w:line="360" w:lineRule="auto"/>
        <w:ind w:firstLine="420" w:firstLineChars="200"/>
        <w:rPr>
          <w:rFonts w:hint="eastAsia" w:ascii="宋体" w:hAnsi="宋体"/>
          <w:color w:val="auto"/>
          <w:highlight w:val="none"/>
        </w:rPr>
      </w:pPr>
      <w:r>
        <w:rPr>
          <w:rFonts w:hint="eastAsia" w:ascii="宋体" w:hAnsi="宋体"/>
          <w:color w:val="auto"/>
          <w:highlight w:val="none"/>
        </w:rPr>
        <w:t>注释：投标文件电子文档需要投标人单位盖章的材料，投标人加盖电子印章即可，不得将投标人未对电子文档加盖实物印章作为否决投标的情形。</w:t>
      </w:r>
    </w:p>
    <w:p w14:paraId="23A234FA">
      <w:pPr>
        <w:pBdr>
          <w:bottom w:val="single" w:color="auto" w:sz="6" w:space="1"/>
        </w:pBdr>
        <w:tabs>
          <w:tab w:val="left" w:pos="6329"/>
        </w:tabs>
        <w:spacing w:line="360" w:lineRule="auto"/>
        <w:ind w:firstLine="420" w:firstLineChars="200"/>
        <w:rPr>
          <w:rFonts w:hint="eastAsia" w:ascii="宋体" w:hAnsi="宋体" w:cs="宋体"/>
          <w:color w:val="auto"/>
          <w:szCs w:val="21"/>
          <w:highlight w:val="none"/>
          <w:u w:val="single"/>
        </w:rPr>
      </w:pPr>
      <w:r>
        <w:rPr>
          <w:rFonts w:hint="eastAsia" w:ascii="宋体" w:hAnsi="宋体"/>
          <w:b/>
          <w:color w:val="auto"/>
          <w:szCs w:val="21"/>
          <w:highlight w:val="none"/>
        </w:rPr>
        <w:t>现文：</w:t>
      </w:r>
      <w:r>
        <w:rPr>
          <w:rFonts w:hint="eastAsia" w:ascii="宋体" w:hAnsi="宋体" w:cs="宋体"/>
          <w:color w:val="auto"/>
          <w:szCs w:val="21"/>
          <w:highlight w:val="none"/>
        </w:rPr>
        <w:t>1</w:t>
      </w:r>
      <w:r>
        <w:rPr>
          <w:rFonts w:ascii="宋体" w:hAnsi="宋体" w:cs="宋体"/>
          <w:color w:val="auto"/>
          <w:szCs w:val="21"/>
          <w:highlight w:val="none"/>
        </w:rPr>
        <w:t xml:space="preserve">2.2 </w:t>
      </w:r>
      <w:r>
        <w:rPr>
          <w:rFonts w:hint="eastAsia" w:ascii="宋体" w:hAnsi="宋体" w:cs="宋体"/>
          <w:color w:val="auto"/>
          <w:szCs w:val="21"/>
          <w:highlight w:val="none"/>
        </w:rPr>
        <w:t>投标文件全部采用电子文档，投标文件所附证书证件均为原件</w:t>
      </w:r>
      <w:r>
        <w:rPr>
          <w:rFonts w:hint="eastAsia" w:ascii="宋体" w:hAnsi="宋体" w:cs="宋体"/>
          <w:color w:val="auto"/>
          <w:szCs w:val="21"/>
          <w:highlight w:val="none"/>
          <w:u w:val="single"/>
        </w:rPr>
        <w:t>清晰</w:t>
      </w:r>
      <w:r>
        <w:rPr>
          <w:rFonts w:hint="eastAsia" w:ascii="宋体" w:hAnsi="宋体" w:cs="宋体"/>
          <w:color w:val="auto"/>
          <w:szCs w:val="21"/>
          <w:highlight w:val="none"/>
        </w:rPr>
        <w:t>扫描件，并采用单位数字证书，对投标文件加盖电子印章。投标文件中需个人签字或盖章的，</w:t>
      </w:r>
      <w:r>
        <w:rPr>
          <w:rFonts w:hint="eastAsia" w:ascii="宋体" w:hAnsi="宋体"/>
          <w:color w:val="auto"/>
          <w:szCs w:val="21"/>
          <w:highlight w:val="none"/>
          <w:u w:val="single"/>
        </w:rPr>
        <w:t>应加盖个人电子印章或在线下完成后扫描上传</w:t>
      </w:r>
      <w:r>
        <w:rPr>
          <w:rFonts w:hint="eastAsia" w:ascii="宋体" w:hAnsi="宋体" w:cs="宋体"/>
          <w:color w:val="auto"/>
          <w:szCs w:val="21"/>
          <w:highlight w:val="none"/>
        </w:rPr>
        <w:t>。按照广州公共资源交易中心交易平台关于全流程电子化项目的相关指南进行操作。详见：</w:t>
      </w:r>
      <w:r>
        <w:rPr>
          <w:rFonts w:hint="eastAsia" w:ascii="宋体" w:hAnsi="宋体" w:cs="宋体"/>
          <w:color w:val="auto"/>
          <w:szCs w:val="21"/>
          <w:highlight w:val="none"/>
          <w:u w:val="single"/>
        </w:rPr>
        <w:t>广州公共资源交易中心网站最新指引。</w:t>
      </w:r>
    </w:p>
    <w:p w14:paraId="03A59194">
      <w:pPr>
        <w:pBdr>
          <w:bottom w:val="single" w:color="auto" w:sz="6" w:space="1"/>
        </w:pBdr>
        <w:tabs>
          <w:tab w:val="left" w:pos="6329"/>
        </w:tabs>
        <w:spacing w:line="360" w:lineRule="auto"/>
        <w:ind w:firstLine="420" w:firstLineChars="200"/>
        <w:rPr>
          <w:rFonts w:hint="eastAsia" w:ascii="宋体" w:hAnsi="宋体"/>
          <w:color w:val="auto"/>
          <w:highlight w:val="none"/>
        </w:rPr>
      </w:pPr>
      <w:r>
        <w:rPr>
          <w:rFonts w:hint="eastAsia" w:ascii="宋体" w:hAnsi="宋体"/>
          <w:color w:val="auto"/>
          <w:highlight w:val="none"/>
        </w:rPr>
        <w:t>注释：投标文件电子文档需要投标人单位盖章的材料，投标人加盖电子印章即可，不得将投标人未对电子文档加盖实物印章作为否决投标的情形。</w:t>
      </w:r>
    </w:p>
    <w:p w14:paraId="7FDFFD8E">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 xml:space="preserve">条款号：12.3          </w:t>
      </w:r>
      <w:r>
        <w:rPr>
          <w:rStyle w:val="127"/>
          <w:rFonts w:hint="eastAsia" w:ascii="宋体" w:hAnsi="宋体"/>
          <w:b/>
          <w:color w:val="auto"/>
          <w:szCs w:val="21"/>
          <w:highlight w:val="none"/>
        </w:rPr>
        <w:t>修</w:t>
      </w:r>
      <w:r>
        <w:rPr>
          <w:rStyle w:val="127"/>
          <w:rFonts w:ascii="宋体" w:hAnsi="宋体"/>
          <w:b/>
          <w:color w:val="auto"/>
          <w:szCs w:val="21"/>
          <w:highlight w:val="none"/>
        </w:rPr>
        <w:t>改类型：修改</w:t>
      </w:r>
    </w:p>
    <w:p w14:paraId="24DE8CD4">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原文：</w:t>
      </w:r>
      <w:r>
        <w:rPr>
          <w:rStyle w:val="127"/>
          <w:rFonts w:ascii="宋体" w:hAnsi="宋体"/>
          <w:color w:val="auto"/>
          <w:szCs w:val="21"/>
          <w:highlight w:val="none"/>
        </w:rPr>
        <w:t>12.3</w:t>
      </w:r>
      <w:r>
        <w:rPr>
          <w:rStyle w:val="127"/>
          <w:rFonts w:ascii="宋体" w:hAnsi="宋体"/>
          <w:bCs/>
          <w:color w:val="auto"/>
          <w:szCs w:val="21"/>
          <w:highlight w:val="none"/>
        </w:rPr>
        <w:t>投标文件应按</w:t>
      </w:r>
      <w:r>
        <w:rPr>
          <w:rStyle w:val="127"/>
          <w:rFonts w:ascii="宋体" w:hAnsi="宋体"/>
          <w:color w:val="auto"/>
          <w:szCs w:val="21"/>
          <w:highlight w:val="none"/>
        </w:rPr>
        <w:t>照交易平台关于全流程电子化项目的相关指南进行编制，详见：</w:t>
      </w:r>
      <w:r>
        <w:rPr>
          <w:rStyle w:val="127"/>
          <w:rFonts w:ascii="宋体" w:hAnsi="宋体"/>
          <w:color w:val="auto"/>
          <w:szCs w:val="21"/>
          <w:highlight w:val="none"/>
          <w:u w:val="single"/>
        </w:rPr>
        <w:t xml:space="preserve">            </w:t>
      </w:r>
      <w:r>
        <w:rPr>
          <w:rStyle w:val="127"/>
          <w:rFonts w:ascii="宋体" w:hAnsi="宋体"/>
          <w:color w:val="auto"/>
          <w:szCs w:val="21"/>
          <w:highlight w:val="none"/>
        </w:rPr>
        <w:t>。</w:t>
      </w:r>
    </w:p>
    <w:p w14:paraId="03CE3878">
      <w:pPr>
        <w:pBdr>
          <w:bottom w:val="single" w:color="000000" w:sz="6" w:space="1"/>
        </w:pBdr>
        <w:spacing w:line="360" w:lineRule="auto"/>
        <w:ind w:firstLine="420" w:firstLineChars="200"/>
        <w:rPr>
          <w:rFonts w:ascii="宋体" w:hAnsi="宋体" w:cs="宋体"/>
          <w:color w:val="auto"/>
          <w:highlight w:val="none"/>
        </w:rPr>
      </w:pPr>
      <w:r>
        <w:rPr>
          <w:rStyle w:val="127"/>
          <w:rFonts w:ascii="宋体" w:hAnsi="宋体"/>
          <w:b/>
          <w:color w:val="auto"/>
          <w:szCs w:val="21"/>
          <w:highlight w:val="none"/>
        </w:rPr>
        <w:t>现文：</w:t>
      </w:r>
      <w:r>
        <w:rPr>
          <w:rStyle w:val="127"/>
          <w:rFonts w:ascii="宋体" w:hAnsi="宋体"/>
          <w:color w:val="auto"/>
          <w:szCs w:val="21"/>
          <w:highlight w:val="none"/>
        </w:rPr>
        <w:t xml:space="preserve">12.3 </w:t>
      </w:r>
      <w:r>
        <w:rPr>
          <w:rStyle w:val="127"/>
          <w:rFonts w:ascii="宋体" w:hAnsi="宋体"/>
          <w:bCs/>
          <w:color w:val="auto"/>
          <w:szCs w:val="21"/>
          <w:highlight w:val="none"/>
        </w:rPr>
        <w:t>投标文件应按</w:t>
      </w:r>
      <w:r>
        <w:rPr>
          <w:rStyle w:val="127"/>
          <w:rFonts w:ascii="宋体" w:hAnsi="宋体"/>
          <w:color w:val="auto"/>
          <w:szCs w:val="21"/>
          <w:highlight w:val="none"/>
        </w:rPr>
        <w:t>照交易平台关于全流程电子化项目的相关指南进</w:t>
      </w:r>
      <w:r>
        <w:rPr>
          <w:rFonts w:ascii="宋体" w:hAnsi="宋体" w:cs="宋体"/>
          <w:color w:val="auto"/>
          <w:highlight w:val="none"/>
        </w:rPr>
        <w:t>行编制，详见：</w:t>
      </w:r>
      <w:r>
        <w:rPr>
          <w:rFonts w:hint="eastAsia" w:ascii="宋体" w:hAnsi="宋体" w:cs="宋体"/>
          <w:color w:val="auto"/>
          <w:highlight w:val="none"/>
          <w:u w:val="single"/>
        </w:rPr>
        <w:t>广州公共资源交易中心网站最新指引</w:t>
      </w:r>
      <w:r>
        <w:rPr>
          <w:rFonts w:ascii="宋体" w:hAnsi="宋体" w:cs="宋体"/>
          <w:color w:val="auto"/>
          <w:highlight w:val="none"/>
          <w:u w:val="single"/>
        </w:rPr>
        <w:t>。</w:t>
      </w:r>
    </w:p>
    <w:p w14:paraId="0ADE6993">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条款号：13.1          修改类型：修改</w:t>
      </w:r>
    </w:p>
    <w:p w14:paraId="15392C55">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原文：</w:t>
      </w:r>
      <w:r>
        <w:rPr>
          <w:rStyle w:val="127"/>
          <w:rFonts w:ascii="宋体" w:hAnsi="宋体"/>
          <w:color w:val="auto"/>
          <w:szCs w:val="21"/>
          <w:highlight w:val="none"/>
        </w:rPr>
        <w:t>13.1本工程的投标报价采用投标须知前附表第12项所规定的方式。投标报价（含单价及总价）精确到“分”。</w:t>
      </w:r>
    </w:p>
    <w:p w14:paraId="713B27ED">
      <w:pPr>
        <w:pBdr>
          <w:bottom w:val="single" w:color="000000" w:sz="6" w:space="1"/>
        </w:pBdr>
        <w:spacing w:line="360" w:lineRule="auto"/>
        <w:ind w:firstLine="420" w:firstLineChars="200"/>
        <w:rPr>
          <w:rStyle w:val="127"/>
          <w:rFonts w:hint="eastAsia" w:ascii="宋体" w:hAnsi="宋体"/>
          <w:color w:val="auto"/>
          <w:szCs w:val="21"/>
          <w:highlight w:val="none"/>
          <w:u w:val="single"/>
        </w:rPr>
      </w:pPr>
      <w:r>
        <w:rPr>
          <w:rStyle w:val="127"/>
          <w:rFonts w:ascii="宋体" w:hAnsi="宋体"/>
          <w:b/>
          <w:color w:val="auto"/>
          <w:szCs w:val="21"/>
          <w:highlight w:val="none"/>
        </w:rPr>
        <w:t>现文：</w:t>
      </w:r>
      <w:r>
        <w:rPr>
          <w:rStyle w:val="127"/>
          <w:rFonts w:ascii="宋体" w:hAnsi="宋体"/>
          <w:color w:val="auto"/>
          <w:szCs w:val="21"/>
          <w:highlight w:val="none"/>
        </w:rPr>
        <w:t>13.1本工程的投标报价采用投标须知前附表第12项所规定的方式。投标报价（含单价及总价）精确到“分”。</w:t>
      </w:r>
      <w:r>
        <w:rPr>
          <w:rStyle w:val="127"/>
          <w:rFonts w:ascii="宋体" w:hAnsi="宋体"/>
          <w:color w:val="auto"/>
          <w:szCs w:val="21"/>
          <w:highlight w:val="none"/>
          <w:u w:val="single"/>
        </w:rPr>
        <w:t>投标文件中的大写金额和小写金额不一致的，以大写金额为准。</w:t>
      </w:r>
    </w:p>
    <w:p w14:paraId="59DDA411">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条款号：13.3          修改类型：修改</w:t>
      </w:r>
    </w:p>
    <w:p w14:paraId="27558CEB">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原文：</w:t>
      </w:r>
      <w:r>
        <w:rPr>
          <w:rStyle w:val="127"/>
          <w:rFonts w:ascii="宋体" w:hAnsi="宋体"/>
          <w:color w:val="auto"/>
          <w:szCs w:val="21"/>
          <w:highlight w:val="none"/>
        </w:rPr>
        <w:t>13.3</w:t>
      </w:r>
      <w:r>
        <w:rPr>
          <w:rStyle w:val="127"/>
          <w:rFonts w:hint="eastAsia" w:ascii="宋体" w:hAnsi="宋体"/>
          <w:color w:val="auto"/>
          <w:szCs w:val="21"/>
          <w:highlight w:val="none"/>
        </w:rPr>
        <w:t>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w:t>
      </w:r>
      <w:r>
        <w:rPr>
          <w:rStyle w:val="127"/>
          <w:rFonts w:hint="eastAsia" w:ascii="宋体" w:hAnsi="宋体"/>
          <w:color w:val="auto"/>
          <w:szCs w:val="21"/>
          <w:highlight w:val="none"/>
          <w:lang w:eastAsia="zh-CN"/>
        </w:rPr>
        <w:t>安全生产措施费</w:t>
      </w:r>
      <w:r>
        <w:rPr>
          <w:rStyle w:val="127"/>
          <w:rFonts w:hint="eastAsia" w:ascii="宋体" w:hAnsi="宋体"/>
          <w:color w:val="auto"/>
          <w:szCs w:val="21"/>
          <w:highlight w:val="none"/>
        </w:rPr>
        <w:t>等非竞争性项目明列了单价或合价的金额的，投标人应按照明列的单价或合价的金额报价，未按照规定金额报价的，由评标委员会按照招标文件规定的金额进行修正。</w:t>
      </w:r>
    </w:p>
    <w:p w14:paraId="0492865C">
      <w:pPr>
        <w:pBdr>
          <w:bottom w:val="single" w:color="000000" w:sz="6" w:space="1"/>
        </w:pBdr>
        <w:spacing w:line="360" w:lineRule="auto"/>
        <w:ind w:firstLine="420" w:firstLineChars="200"/>
        <w:rPr>
          <w:rStyle w:val="127"/>
          <w:rFonts w:hint="eastAsia" w:ascii="宋体" w:hAnsi="宋体"/>
          <w:color w:val="auto"/>
          <w:szCs w:val="21"/>
          <w:highlight w:val="none"/>
        </w:rPr>
      </w:pPr>
      <w:r>
        <w:rPr>
          <w:rStyle w:val="127"/>
          <w:rFonts w:ascii="宋体" w:hAnsi="宋体"/>
          <w:b/>
          <w:color w:val="auto"/>
          <w:szCs w:val="21"/>
          <w:highlight w:val="none"/>
        </w:rPr>
        <w:t>现文：</w:t>
      </w:r>
      <w:r>
        <w:rPr>
          <w:rStyle w:val="127"/>
          <w:rFonts w:ascii="宋体" w:hAnsi="宋体"/>
          <w:color w:val="auto"/>
          <w:szCs w:val="21"/>
          <w:highlight w:val="none"/>
        </w:rPr>
        <w:t>13.3</w:t>
      </w:r>
      <w:r>
        <w:rPr>
          <w:rFonts w:hint="eastAsia" w:ascii="宋体" w:hAnsi="宋体" w:cs="宋体"/>
          <w:color w:val="auto"/>
          <w:szCs w:val="21"/>
          <w:highlight w:val="none"/>
        </w:rPr>
        <w:t>投标人的投标报价，应是按照投标须知前附表第8项的工期要求，在投标须知前附表第3项的建设地点，完成投标须知前附表第7项的招标范围内已由招标</w:t>
      </w:r>
      <w:r>
        <w:rPr>
          <w:rStyle w:val="127"/>
          <w:rFonts w:hint="eastAsia" w:ascii="宋体" w:hAnsi="宋体"/>
          <w:color w:val="auto"/>
          <w:highlight w:val="none"/>
        </w:rPr>
        <w:t>人</w:t>
      </w:r>
      <w:r>
        <w:rPr>
          <w:rStyle w:val="127"/>
          <w:rFonts w:hint="eastAsia" w:ascii="宋体" w:hAnsi="宋体"/>
          <w:color w:val="auto"/>
          <w:highlight w:val="none"/>
          <w:u w:val="single"/>
        </w:rPr>
        <w:t>提供的招标图纸（包括有关于本项目招标的相关资料）及</w:t>
      </w:r>
      <w:r>
        <w:rPr>
          <w:rStyle w:val="127"/>
          <w:rFonts w:hint="eastAsia" w:ascii="宋体" w:hAnsi="宋体"/>
          <w:color w:val="auto"/>
          <w:highlight w:val="none"/>
        </w:rPr>
        <w:t>制定的工程量清单列明工作的全部费用，包括但不限于完成工作的成本、利润、税金、技术措施费、大型机械进出场费、风险费以及政策性</w:t>
      </w:r>
      <w:r>
        <w:rPr>
          <w:rFonts w:hint="eastAsia" w:ascii="宋体" w:hAnsi="宋体" w:cs="宋体"/>
          <w:color w:val="auto"/>
          <w:szCs w:val="21"/>
          <w:highlight w:val="none"/>
        </w:rPr>
        <w:t>文件规定费用等，不得以任何理由予以重复计算。招标人提供的工程量清单或招标文件其他部分中有关规费、暂列金额、暂估价、</w:t>
      </w:r>
      <w:r>
        <w:rPr>
          <w:rFonts w:hint="eastAsia" w:ascii="宋体" w:hAnsi="宋体" w:cs="宋体"/>
          <w:color w:val="auto"/>
          <w:szCs w:val="21"/>
          <w:highlight w:val="none"/>
          <w:lang w:eastAsia="zh-CN"/>
        </w:rPr>
        <w:t>安全生产措施费</w:t>
      </w:r>
      <w:r>
        <w:rPr>
          <w:rFonts w:hint="eastAsia" w:ascii="宋体" w:hAnsi="宋体" w:cs="宋体"/>
          <w:color w:val="auto"/>
          <w:szCs w:val="21"/>
          <w:highlight w:val="none"/>
        </w:rPr>
        <w:t>等非竞争性项目明列了单价或合价的金额的，投标人应按照明列的单价或合价的金额报价，未按照规定金额报价的，由评标委员会按照招标文件规定的金额进行修正。</w:t>
      </w:r>
    </w:p>
    <w:p w14:paraId="3862E696">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条款号：13.4          修改类型：修改</w:t>
      </w:r>
    </w:p>
    <w:p w14:paraId="3B61028B">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原文：</w:t>
      </w:r>
      <w:r>
        <w:rPr>
          <w:rStyle w:val="127"/>
          <w:rFonts w:ascii="宋体" w:hAnsi="宋体"/>
          <w:color w:val="auto"/>
          <w:szCs w:val="21"/>
          <w:highlight w:val="none"/>
        </w:rPr>
        <w:t>13.4</w:t>
      </w:r>
      <w:r>
        <w:rPr>
          <w:rStyle w:val="127"/>
          <w:rFonts w:hint="eastAsia" w:ascii="宋体" w:hAnsi="宋体"/>
          <w:color w:val="auto"/>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08FE9DE4">
      <w:pPr>
        <w:pBdr>
          <w:bottom w:val="single" w:color="000000" w:sz="6" w:space="1"/>
        </w:pBdr>
        <w:spacing w:line="360" w:lineRule="auto"/>
        <w:ind w:firstLine="525" w:firstLineChars="250"/>
        <w:jc w:val="left"/>
        <w:rPr>
          <w:rStyle w:val="127"/>
          <w:rFonts w:ascii="宋体" w:hAnsi="宋体"/>
          <w:color w:val="auto"/>
          <w:szCs w:val="21"/>
          <w:highlight w:val="none"/>
        </w:rPr>
      </w:pPr>
      <w:r>
        <w:rPr>
          <w:rStyle w:val="127"/>
          <w:rFonts w:ascii="宋体" w:hAnsi="宋体"/>
          <w:b/>
          <w:color w:val="auto"/>
          <w:szCs w:val="21"/>
          <w:highlight w:val="none"/>
        </w:rPr>
        <w:t>现文：</w:t>
      </w:r>
      <w:r>
        <w:rPr>
          <w:rFonts w:hint="eastAsia" w:ascii="宋体" w:hAnsi="宋体" w:cs="宋体"/>
          <w:color w:val="auto"/>
          <w:szCs w:val="21"/>
          <w:highlight w:val="none"/>
        </w:rPr>
        <w:t>投标人一旦中标，投标人对招标人提供的招标工程量清单中列出的工程项目所报出的综合单价</w:t>
      </w:r>
      <w:r>
        <w:rPr>
          <w:rFonts w:hint="eastAsia" w:ascii="宋体" w:hAnsi="宋体" w:cs="宋体"/>
          <w:color w:val="auto"/>
          <w:szCs w:val="21"/>
          <w:highlight w:val="none"/>
          <w:u w:val="single"/>
        </w:rPr>
        <w:t>和措施项目费（措施项目费必须单列，没有单独列出的，视为已经包含在投标报价中），在工程结算时将不得变更，即在施工过程中即使工程量清单项目的工程量发生变更，中标投标文件列出的综合单价和措施项目费也不发生改变（措施费合同另有约定的，按合同约定），按广州市相关文件执行。</w:t>
      </w:r>
    </w:p>
    <w:p w14:paraId="2C8157D0">
      <w:pPr>
        <w:pBdr>
          <w:bottom w:val="none" w:color="000000" w:sz="0" w:space="1"/>
        </w:pBd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条款号：13.5          修改类型：修改</w:t>
      </w:r>
    </w:p>
    <w:p w14:paraId="738DC7D7">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原文：</w:t>
      </w:r>
      <w:r>
        <w:rPr>
          <w:rStyle w:val="127"/>
          <w:rFonts w:ascii="宋体" w:hAnsi="宋体"/>
          <w:bCs/>
          <w:color w:val="auto"/>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0E73E54D">
      <w:pPr>
        <w:spacing w:line="360" w:lineRule="auto"/>
        <w:ind w:firstLine="420" w:firstLineChars="200"/>
        <w:rPr>
          <w:rStyle w:val="127"/>
          <w:rFonts w:ascii="宋体" w:hAnsi="宋体"/>
          <w:b/>
          <w:color w:val="auto"/>
          <w:szCs w:val="21"/>
          <w:highlight w:val="none"/>
        </w:rPr>
      </w:pPr>
      <w:r>
        <w:rPr>
          <w:rStyle w:val="127"/>
          <w:rFonts w:ascii="宋体" w:hAnsi="宋体"/>
          <w:bCs/>
          <w:color w:val="auto"/>
          <w:szCs w:val="21"/>
          <w:highlight w:val="none"/>
        </w:rPr>
        <w:t>13.5.1中标的投标文件工程量清单中已有相同项目的适用综合单价，则沿用；</w:t>
      </w:r>
    </w:p>
    <w:p w14:paraId="1035D257">
      <w:pPr>
        <w:spacing w:line="360" w:lineRule="auto"/>
        <w:ind w:firstLine="420" w:firstLineChars="200"/>
        <w:rPr>
          <w:rStyle w:val="127"/>
          <w:rFonts w:hint="eastAsia" w:ascii="宋体" w:hAnsi="宋体"/>
          <w:b/>
          <w:color w:val="auto"/>
          <w:szCs w:val="21"/>
          <w:highlight w:val="none"/>
        </w:rPr>
      </w:pPr>
      <w:r>
        <w:rPr>
          <w:rStyle w:val="127"/>
          <w:rFonts w:ascii="宋体" w:hAnsi="宋体"/>
          <w:bCs/>
          <w:color w:val="auto"/>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r>
        <w:rPr>
          <w:rStyle w:val="127"/>
          <w:rFonts w:hint="eastAsia" w:ascii="宋体" w:hAnsi="宋体"/>
          <w:bCs/>
          <w:color w:val="auto"/>
          <w:szCs w:val="21"/>
          <w:highlight w:val="none"/>
        </w:rPr>
        <w:t>；</w:t>
      </w:r>
    </w:p>
    <w:p w14:paraId="1EB9D255">
      <w:pPr>
        <w:spacing w:line="360" w:lineRule="auto"/>
        <w:ind w:firstLine="420" w:firstLineChars="200"/>
        <w:rPr>
          <w:rStyle w:val="127"/>
          <w:rFonts w:ascii="宋体" w:hAnsi="宋体"/>
          <w:bCs/>
          <w:color w:val="auto"/>
          <w:szCs w:val="21"/>
          <w:highlight w:val="none"/>
        </w:rPr>
      </w:pPr>
      <w:r>
        <w:rPr>
          <w:rStyle w:val="127"/>
          <w:rFonts w:ascii="宋体" w:hAnsi="宋体"/>
          <w:bCs/>
          <w:color w:val="auto"/>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r>
        <w:rPr>
          <w:rStyle w:val="127"/>
          <w:rFonts w:hint="eastAsia" w:ascii="宋体" w:hAnsi="宋体"/>
          <w:bCs/>
          <w:color w:val="auto"/>
          <w:szCs w:val="21"/>
          <w:highlight w:val="none"/>
        </w:rPr>
        <w:t>；</w:t>
      </w:r>
    </w:p>
    <w:p w14:paraId="0F922566">
      <w:pPr>
        <w:spacing w:line="360" w:lineRule="auto"/>
        <w:ind w:firstLine="420" w:firstLineChars="200"/>
        <w:rPr>
          <w:rStyle w:val="127"/>
          <w:rFonts w:ascii="宋体" w:hAnsi="宋体"/>
          <w:b/>
          <w:color w:val="auto"/>
          <w:szCs w:val="21"/>
          <w:highlight w:val="none"/>
        </w:rPr>
      </w:pPr>
      <w:r>
        <w:rPr>
          <w:rStyle w:val="127"/>
          <w:rFonts w:ascii="宋体" w:hAnsi="宋体"/>
          <w:bCs/>
          <w:color w:val="auto"/>
          <w:szCs w:val="21"/>
          <w:highlight w:val="none"/>
        </w:rPr>
        <w:t>13.5.4 如相关定额没有相应子目的，其计价方式由招标人在本招标文件第三章中另行规定。未规定的，中标后双方协商约定。</w:t>
      </w:r>
    </w:p>
    <w:p w14:paraId="16CBFF6C">
      <w:pPr>
        <w:pBdr>
          <w:bottom w:val="single" w:color="000000" w:sz="6" w:space="1"/>
        </w:pBdr>
        <w:spacing w:line="360" w:lineRule="auto"/>
        <w:ind w:firstLine="420" w:firstLineChars="200"/>
        <w:rPr>
          <w:rStyle w:val="127"/>
          <w:rFonts w:hint="eastAsia" w:ascii="宋体" w:hAnsi="宋体"/>
          <w:bCs/>
          <w:color w:val="auto"/>
          <w:szCs w:val="21"/>
          <w:highlight w:val="none"/>
          <w:u w:val="single"/>
        </w:rPr>
      </w:pPr>
      <w:r>
        <w:rPr>
          <w:rStyle w:val="127"/>
          <w:rFonts w:ascii="宋体" w:hAnsi="宋体"/>
          <w:b/>
          <w:color w:val="auto"/>
          <w:szCs w:val="21"/>
          <w:highlight w:val="none"/>
        </w:rPr>
        <w:t>现文：</w:t>
      </w:r>
      <w:r>
        <w:rPr>
          <w:rStyle w:val="127"/>
          <w:rFonts w:hint="eastAsia" w:ascii="宋体" w:hAnsi="宋体"/>
          <w:bCs/>
          <w:color w:val="auto"/>
          <w:szCs w:val="21"/>
          <w:highlight w:val="none"/>
          <w:u w:val="single"/>
        </w:rPr>
        <w:t>13.5 变更结算方式按招标文件及施工合同条款相关规定执行。</w:t>
      </w:r>
    </w:p>
    <w:p w14:paraId="31C78149">
      <w:pPr>
        <w:spacing w:line="360" w:lineRule="auto"/>
        <w:ind w:firstLine="409" w:firstLineChars="195"/>
        <w:rPr>
          <w:rFonts w:ascii="宋体" w:hAnsi="宋体" w:cs="宋体"/>
          <w:b/>
          <w:color w:val="auto"/>
          <w:szCs w:val="21"/>
          <w:highlight w:val="none"/>
        </w:rPr>
      </w:pPr>
      <w:r>
        <w:rPr>
          <w:rFonts w:hint="eastAsia" w:ascii="宋体" w:hAnsi="宋体" w:cs="宋体"/>
          <w:b/>
          <w:color w:val="auto"/>
          <w:szCs w:val="21"/>
          <w:highlight w:val="none"/>
        </w:rPr>
        <w:t>条款号：13.6.4                      修改类型：修改</w:t>
      </w:r>
    </w:p>
    <w:p w14:paraId="302777A2">
      <w:pPr>
        <w:spacing w:line="360" w:lineRule="auto"/>
        <w:ind w:firstLine="409"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148CE6C8">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w:t>
      </w:r>
      <w:r>
        <w:rPr>
          <w:rFonts w:hint="eastAsia" w:ascii="宋体" w:hAnsi="宋体" w:cs="宋体"/>
          <w:color w:val="auto"/>
          <w:szCs w:val="21"/>
          <w:highlight w:val="none"/>
          <w:u w:val="single"/>
        </w:rPr>
        <w:t>经发包人同意，</w:t>
      </w:r>
      <w:r>
        <w:rPr>
          <w:rFonts w:hint="eastAsia" w:ascii="宋体" w:hAnsi="宋体" w:cs="宋体"/>
          <w:color w:val="auto"/>
          <w:szCs w:val="21"/>
          <w:highlight w:val="none"/>
        </w:rPr>
        <w:t>由承包人分包，招标人同承包人结算的价格按本投标须知13.5款规定确定。</w:t>
      </w:r>
    </w:p>
    <w:p w14:paraId="25A791F9">
      <w:pPr>
        <w:spacing w:line="360" w:lineRule="auto"/>
        <w:ind w:firstLine="409" w:firstLineChars="195"/>
        <w:rPr>
          <w:rFonts w:ascii="宋体" w:hAnsi="宋体" w:cs="宋体"/>
          <w:b/>
          <w:color w:val="auto"/>
          <w:szCs w:val="21"/>
          <w:highlight w:val="none"/>
        </w:rPr>
      </w:pPr>
      <w:r>
        <w:rPr>
          <w:rFonts w:hint="eastAsia" w:ascii="宋体" w:hAnsi="宋体" w:cs="宋体"/>
          <w:b/>
          <w:color w:val="auto"/>
          <w:szCs w:val="21"/>
          <w:highlight w:val="none"/>
        </w:rPr>
        <w:t>条款号：13.9                     修改类型：修改</w:t>
      </w:r>
    </w:p>
    <w:p w14:paraId="635950B6">
      <w:pPr>
        <w:spacing w:line="360" w:lineRule="auto"/>
        <w:ind w:firstLine="409"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7014D252">
      <w:pPr>
        <w:pStyle w:val="16"/>
        <w:spacing w:line="360" w:lineRule="auto"/>
        <w:ind w:firstLine="420" w:firstLineChars="200"/>
        <w:rPr>
          <w:rFonts w:hint="eastAsia" w:hAnsi="宋体" w:eastAsia="宋体" w:cs="宋体"/>
          <w:color w:val="auto"/>
          <w:szCs w:val="21"/>
          <w:highlight w:val="none"/>
        </w:rPr>
      </w:pPr>
      <w:r>
        <w:rPr>
          <w:rFonts w:hint="eastAsia" w:hAnsi="宋体" w:eastAsia="宋体" w:cs="宋体"/>
          <w:b/>
          <w:bCs/>
          <w:color w:val="auto"/>
          <w:szCs w:val="21"/>
          <w:highlight w:val="none"/>
        </w:rPr>
        <w:t>现文：</w:t>
      </w:r>
      <w:r>
        <w:rPr>
          <w:rFonts w:hint="eastAsia" w:hAnsi="宋体" w:eastAsia="宋体" w:cs="宋体"/>
          <w:color w:val="auto"/>
          <w:szCs w:val="21"/>
          <w:highlight w:val="none"/>
        </w:rPr>
        <w:t>13.9调价机制按施工合同相关规定执行。</w:t>
      </w:r>
    </w:p>
    <w:p w14:paraId="673DD411">
      <w:pPr>
        <w:pBdr>
          <w:top w:val="single" w:color="auto" w:sz="4" w:space="0"/>
        </w:pBdr>
        <w:spacing w:line="440" w:lineRule="exact"/>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条款号：15.2</w:t>
      </w:r>
      <w:r>
        <w:rPr>
          <w:rStyle w:val="127"/>
          <w:rFonts w:ascii="宋体" w:hAnsi="宋体"/>
          <w:b/>
          <w:color w:val="auto"/>
          <w:szCs w:val="21"/>
          <w:highlight w:val="none"/>
        </w:rPr>
        <w:t xml:space="preserve">         </w:t>
      </w:r>
      <w:r>
        <w:rPr>
          <w:rStyle w:val="127"/>
          <w:rFonts w:hint="eastAsia" w:ascii="宋体" w:hAnsi="宋体"/>
          <w:b/>
          <w:color w:val="auto"/>
          <w:szCs w:val="21"/>
          <w:highlight w:val="none"/>
        </w:rPr>
        <w:t xml:space="preserve">           </w:t>
      </w:r>
      <w:r>
        <w:rPr>
          <w:rStyle w:val="127"/>
          <w:rFonts w:ascii="宋体" w:hAnsi="宋体"/>
          <w:b/>
          <w:color w:val="auto"/>
          <w:szCs w:val="21"/>
          <w:highlight w:val="none"/>
        </w:rPr>
        <w:t xml:space="preserve"> </w:t>
      </w:r>
      <w:r>
        <w:rPr>
          <w:rFonts w:hint="eastAsia" w:ascii="宋体" w:hAnsi="宋体" w:cs="宋体"/>
          <w:b/>
          <w:color w:val="auto"/>
          <w:szCs w:val="21"/>
          <w:highlight w:val="none"/>
        </w:rPr>
        <w:t>修改类型：修改</w:t>
      </w:r>
    </w:p>
    <w:p w14:paraId="01D637B0">
      <w:pPr>
        <w:spacing w:line="440" w:lineRule="exact"/>
        <w:ind w:firstLine="470" w:firstLineChars="224"/>
        <w:rPr>
          <w:rFonts w:hint="eastAsia" w:ascii="宋体" w:hAnsi="宋体" w:cs="宋体"/>
          <w:color w:val="auto"/>
          <w:szCs w:val="21"/>
          <w:highlight w:val="none"/>
        </w:rPr>
      </w:pPr>
      <w:r>
        <w:rPr>
          <w:rFonts w:hint="eastAsia" w:ascii="宋体" w:hAnsi="宋体" w:cs="宋体"/>
          <w:b/>
          <w:color w:val="auto"/>
          <w:szCs w:val="21"/>
          <w:highlight w:val="none"/>
        </w:rPr>
        <w:t>原文：15.2</w:t>
      </w:r>
      <w:r>
        <w:rPr>
          <w:rFonts w:hint="eastAsia" w:ascii="宋体" w:hAnsi="宋体" w:cs="宋体"/>
          <w:bCs/>
          <w:color w:val="auto"/>
          <w:szCs w:val="21"/>
          <w:highlight w:val="none"/>
        </w:rPr>
        <w:t xml:space="preserve">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r>
        <w:rPr>
          <w:rFonts w:hint="eastAsia" w:ascii="宋体" w:hAnsi="宋体" w:cs="宋体"/>
          <w:color w:val="auto"/>
          <w:szCs w:val="21"/>
          <w:highlight w:val="none"/>
        </w:rPr>
        <w:t>。</w:t>
      </w:r>
    </w:p>
    <w:p w14:paraId="1A26BDF7">
      <w:pPr>
        <w:pBdr>
          <w:bottom w:val="single" w:color="000000" w:sz="6" w:space="1"/>
        </w:pBdr>
        <w:spacing w:line="360" w:lineRule="auto"/>
        <w:ind w:firstLine="420" w:firstLineChars="200"/>
        <w:rPr>
          <w:rStyle w:val="127"/>
          <w:rFonts w:hint="eastAsia" w:ascii="宋体" w:hAnsi="宋体"/>
          <w:bCs/>
          <w:color w:val="auto"/>
          <w:szCs w:val="21"/>
          <w:highlight w:val="none"/>
          <w:u w:val="single"/>
        </w:rPr>
      </w:pPr>
      <w:r>
        <w:rPr>
          <w:rFonts w:hint="eastAsia" w:ascii="宋体" w:hAnsi="宋体" w:cs="宋体"/>
          <w:b/>
          <w:color w:val="auto"/>
          <w:szCs w:val="21"/>
          <w:highlight w:val="none"/>
        </w:rPr>
        <w:t>现文：</w:t>
      </w:r>
      <w:r>
        <w:rPr>
          <w:rFonts w:hint="eastAsia" w:ascii="宋体" w:hAnsi="宋体" w:cs="宋体"/>
          <w:b/>
          <w:bCs/>
          <w:color w:val="auto"/>
          <w:kern w:val="0"/>
          <w:szCs w:val="21"/>
          <w:highlight w:val="none"/>
        </w:rPr>
        <w:t xml:space="preserve">15.2 </w:t>
      </w:r>
      <w:r>
        <w:rPr>
          <w:rFonts w:hint="eastAsia" w:ascii="宋体" w:hAnsi="宋体" w:cs="宋体"/>
          <w:color w:val="auto"/>
          <w:kern w:val="0"/>
          <w:szCs w:val="21"/>
          <w:highlight w:val="none"/>
        </w:rPr>
        <w:t>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w:t>
      </w:r>
      <w:r>
        <w:rPr>
          <w:rFonts w:hint="eastAsia" w:ascii="宋体" w:hAnsi="宋体" w:cs="宋体"/>
          <w:color w:val="auto"/>
          <w:szCs w:val="21"/>
          <w:highlight w:val="none"/>
        </w:rPr>
        <w:t>。</w:t>
      </w:r>
    </w:p>
    <w:p w14:paraId="0CB25B34">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条款号：16          修改类型：</w:t>
      </w:r>
      <w:r>
        <w:rPr>
          <w:rStyle w:val="127"/>
          <w:rFonts w:hint="eastAsia" w:ascii="宋体" w:hAnsi="宋体"/>
          <w:b/>
          <w:color w:val="auto"/>
          <w:szCs w:val="21"/>
          <w:highlight w:val="none"/>
        </w:rPr>
        <w:t>删除</w:t>
      </w:r>
    </w:p>
    <w:p w14:paraId="4485A3A4">
      <w:pPr>
        <w:spacing w:line="360" w:lineRule="auto"/>
        <w:ind w:firstLine="420" w:firstLineChars="200"/>
        <w:rPr>
          <w:rFonts w:hint="eastAsia" w:ascii="宋体" w:hAnsi="宋体" w:cs="宋体"/>
          <w:b/>
          <w:bCs/>
          <w:color w:val="auto"/>
          <w:kern w:val="0"/>
          <w:szCs w:val="21"/>
          <w:highlight w:val="none"/>
        </w:rPr>
      </w:pPr>
      <w:r>
        <w:rPr>
          <w:rStyle w:val="127"/>
          <w:rFonts w:ascii="宋体" w:hAnsi="宋体"/>
          <w:b/>
          <w:color w:val="auto"/>
          <w:szCs w:val="21"/>
          <w:highlight w:val="none"/>
        </w:rPr>
        <w:t>原文：</w:t>
      </w:r>
      <w:r>
        <w:rPr>
          <w:rFonts w:hint="eastAsia" w:ascii="宋体" w:hAnsi="宋体" w:cs="宋体"/>
          <w:b/>
          <w:bCs/>
          <w:color w:val="auto"/>
          <w:kern w:val="0"/>
          <w:szCs w:val="21"/>
          <w:highlight w:val="none"/>
        </w:rPr>
        <w:t>16．投标保证金</w:t>
      </w:r>
    </w:p>
    <w:p w14:paraId="16F460F4">
      <w:pPr>
        <w:spacing w:line="360" w:lineRule="auto"/>
        <w:ind w:firstLine="420" w:firstLineChars="200"/>
        <w:rPr>
          <w:rStyle w:val="127"/>
          <w:rFonts w:hint="eastAsia" w:ascii="宋体" w:hAnsi="宋体"/>
          <w:bCs/>
          <w:color w:val="auto"/>
          <w:szCs w:val="21"/>
          <w:highlight w:val="none"/>
        </w:rPr>
      </w:pPr>
      <w:r>
        <w:rPr>
          <w:rStyle w:val="127"/>
          <w:rFonts w:hint="eastAsia" w:ascii="宋体" w:hAnsi="宋体"/>
          <w:bCs/>
          <w:color w:val="auto"/>
          <w:szCs w:val="21"/>
          <w:highlight w:val="none"/>
        </w:rPr>
        <w:t>16.1投标人应按投标须知前附表第14项所述金额和时间递交投标保证金。招标人应当允许投标人自主选择现金、银行保函、保证保险、专业工程担保公司担保等方式缴纳投标保证金。</w:t>
      </w:r>
    </w:p>
    <w:p w14:paraId="1A42DFB4">
      <w:pPr>
        <w:spacing w:line="360" w:lineRule="auto"/>
        <w:ind w:firstLine="420" w:firstLineChars="200"/>
        <w:rPr>
          <w:rStyle w:val="127"/>
          <w:rFonts w:hint="eastAsia" w:ascii="宋体" w:hAnsi="宋体"/>
          <w:bCs/>
          <w:color w:val="auto"/>
          <w:szCs w:val="21"/>
          <w:highlight w:val="none"/>
        </w:rPr>
      </w:pPr>
      <w:r>
        <w:rPr>
          <w:rStyle w:val="127"/>
          <w:rFonts w:hint="eastAsia" w:ascii="宋体" w:hAnsi="宋体"/>
          <w:bCs/>
          <w:color w:val="auto"/>
          <w:szCs w:val="21"/>
          <w:highlight w:val="none"/>
        </w:rPr>
        <w:t>16.1.1 采用现金或者支票形式提交的，投标保证金须从投标人的银行基本账户转出。</w:t>
      </w:r>
    </w:p>
    <w:p w14:paraId="4449712D">
      <w:pPr>
        <w:spacing w:line="360" w:lineRule="auto"/>
        <w:ind w:firstLine="420" w:firstLineChars="200"/>
        <w:rPr>
          <w:rStyle w:val="127"/>
          <w:rFonts w:hint="eastAsia" w:ascii="宋体" w:hAnsi="宋体"/>
          <w:bCs/>
          <w:color w:val="auto"/>
          <w:szCs w:val="21"/>
          <w:highlight w:val="none"/>
        </w:rPr>
      </w:pPr>
      <w:r>
        <w:rPr>
          <w:rStyle w:val="127"/>
          <w:rFonts w:hint="eastAsia" w:ascii="宋体" w:hAnsi="宋体"/>
          <w:bCs/>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3BBEFB08">
      <w:pPr>
        <w:spacing w:line="360" w:lineRule="auto"/>
        <w:ind w:firstLine="420" w:firstLineChars="200"/>
        <w:rPr>
          <w:rStyle w:val="127"/>
          <w:rFonts w:hint="eastAsia" w:ascii="宋体" w:hAnsi="宋体"/>
          <w:bCs/>
          <w:color w:val="auto"/>
          <w:szCs w:val="21"/>
          <w:highlight w:val="none"/>
        </w:rPr>
      </w:pPr>
      <w:r>
        <w:rPr>
          <w:rStyle w:val="127"/>
          <w:rFonts w:hint="eastAsia" w:ascii="宋体" w:hAnsi="宋体"/>
          <w:bCs/>
          <w:color w:val="auto"/>
          <w:szCs w:val="21"/>
          <w:highlight w:val="none"/>
        </w:rPr>
        <w:t>16.1.3 采用电子形式的保函、担保或保证保险提交投标保证金的，应在招标文件中明确电子递交途径。</w:t>
      </w:r>
    </w:p>
    <w:p w14:paraId="181A5D43">
      <w:pPr>
        <w:spacing w:line="360" w:lineRule="auto"/>
        <w:ind w:firstLine="420" w:firstLineChars="200"/>
        <w:rPr>
          <w:rStyle w:val="127"/>
          <w:rFonts w:hint="eastAsia" w:ascii="宋体" w:hAnsi="宋体"/>
          <w:bCs/>
          <w:color w:val="auto"/>
          <w:szCs w:val="21"/>
          <w:highlight w:val="none"/>
        </w:rPr>
      </w:pPr>
      <w:r>
        <w:rPr>
          <w:rStyle w:val="127"/>
          <w:rFonts w:hint="eastAsia" w:ascii="宋体" w:hAnsi="宋体"/>
          <w:bCs/>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7DC9F681">
      <w:pPr>
        <w:spacing w:line="360" w:lineRule="auto"/>
        <w:ind w:firstLine="420" w:firstLineChars="200"/>
        <w:rPr>
          <w:rStyle w:val="127"/>
          <w:rFonts w:hint="eastAsia" w:ascii="宋体" w:hAnsi="宋体"/>
          <w:bCs/>
          <w:color w:val="auto"/>
          <w:szCs w:val="21"/>
          <w:highlight w:val="none"/>
        </w:rPr>
      </w:pPr>
      <w:r>
        <w:rPr>
          <w:rStyle w:val="127"/>
          <w:rFonts w:hint="eastAsia" w:ascii="宋体" w:hAnsi="宋体"/>
          <w:bCs/>
          <w:color w:val="auto"/>
          <w:szCs w:val="21"/>
          <w:highlight w:val="none"/>
        </w:rPr>
        <w:t>16.3投标保证金应依据法律法规的相关规定退还。</w:t>
      </w:r>
    </w:p>
    <w:p w14:paraId="7AD1DCD4">
      <w:pPr>
        <w:spacing w:line="360" w:lineRule="auto"/>
        <w:ind w:firstLine="420" w:firstLineChars="200"/>
        <w:rPr>
          <w:rStyle w:val="127"/>
          <w:rFonts w:hint="eastAsia" w:ascii="宋体" w:hAnsi="宋体"/>
          <w:bCs/>
          <w:color w:val="auto"/>
          <w:szCs w:val="21"/>
          <w:highlight w:val="none"/>
        </w:rPr>
      </w:pPr>
      <w:r>
        <w:rPr>
          <w:rStyle w:val="127"/>
          <w:rFonts w:hint="eastAsia" w:ascii="宋体" w:hAnsi="宋体"/>
          <w:bCs/>
          <w:color w:val="auto"/>
          <w:szCs w:val="21"/>
          <w:highlight w:val="none"/>
        </w:rPr>
        <w:t>16.4如有下列情况之一的，招标人可以不予退还投标保证金（是否退还投标保证金由招标人在招标文件中规定）：</w:t>
      </w:r>
    </w:p>
    <w:p w14:paraId="55195AE0">
      <w:pPr>
        <w:spacing w:line="360" w:lineRule="auto"/>
        <w:ind w:firstLine="420" w:firstLineChars="200"/>
        <w:rPr>
          <w:rStyle w:val="127"/>
          <w:rFonts w:hint="eastAsia" w:ascii="宋体" w:hAnsi="宋体"/>
          <w:bCs/>
          <w:color w:val="auto"/>
          <w:szCs w:val="21"/>
          <w:highlight w:val="none"/>
        </w:rPr>
      </w:pPr>
      <w:r>
        <w:rPr>
          <w:rStyle w:val="127"/>
          <w:rFonts w:hint="eastAsia" w:ascii="宋体" w:hAnsi="宋体"/>
          <w:bCs/>
          <w:color w:val="auto"/>
          <w:szCs w:val="21"/>
          <w:highlight w:val="none"/>
        </w:rPr>
        <w:t>16.4.1因投标人原因造成投标文件未解密的；</w:t>
      </w:r>
    </w:p>
    <w:p w14:paraId="54AA1217">
      <w:pPr>
        <w:spacing w:line="360" w:lineRule="auto"/>
        <w:ind w:firstLine="420" w:firstLineChars="200"/>
        <w:rPr>
          <w:rStyle w:val="127"/>
          <w:rFonts w:hint="eastAsia" w:ascii="宋体" w:hAnsi="宋体"/>
          <w:bCs/>
          <w:color w:val="auto"/>
          <w:szCs w:val="21"/>
          <w:highlight w:val="none"/>
        </w:rPr>
      </w:pPr>
      <w:r>
        <w:rPr>
          <w:rStyle w:val="127"/>
          <w:rFonts w:hint="eastAsia" w:ascii="宋体" w:hAnsi="宋体"/>
          <w:bCs/>
          <w:color w:val="auto"/>
          <w:szCs w:val="21"/>
          <w:highlight w:val="none"/>
        </w:rPr>
        <w:t>16.4.2投标人在投标有效期内撤销投标文件；</w:t>
      </w:r>
    </w:p>
    <w:p w14:paraId="7CC72A21">
      <w:pPr>
        <w:spacing w:line="360" w:lineRule="auto"/>
        <w:ind w:firstLine="420" w:firstLineChars="200"/>
        <w:rPr>
          <w:rStyle w:val="127"/>
          <w:rFonts w:hint="eastAsia" w:ascii="宋体" w:hAnsi="宋体"/>
          <w:bCs/>
          <w:color w:val="auto"/>
          <w:szCs w:val="21"/>
          <w:highlight w:val="none"/>
        </w:rPr>
      </w:pPr>
      <w:r>
        <w:rPr>
          <w:rStyle w:val="127"/>
          <w:rFonts w:hint="eastAsia" w:ascii="宋体" w:hAnsi="宋体"/>
          <w:bCs/>
          <w:color w:val="auto"/>
          <w:szCs w:val="21"/>
          <w:highlight w:val="none"/>
        </w:rPr>
        <w:t>16.4.3中标人未能在规定期限内按要求提交履约担保；</w:t>
      </w:r>
    </w:p>
    <w:p w14:paraId="1DFAFF1E">
      <w:pPr>
        <w:spacing w:line="360" w:lineRule="auto"/>
        <w:ind w:firstLine="420" w:firstLineChars="200"/>
        <w:rPr>
          <w:rStyle w:val="127"/>
          <w:rFonts w:hint="eastAsia" w:ascii="宋体" w:hAnsi="宋体"/>
          <w:bCs/>
          <w:color w:val="auto"/>
          <w:szCs w:val="21"/>
          <w:highlight w:val="none"/>
        </w:rPr>
      </w:pPr>
      <w:r>
        <w:rPr>
          <w:rStyle w:val="127"/>
          <w:rFonts w:hint="eastAsia" w:ascii="宋体" w:hAnsi="宋体"/>
          <w:bCs/>
          <w:color w:val="auto"/>
          <w:szCs w:val="21"/>
          <w:highlight w:val="none"/>
        </w:rPr>
        <w:t>16.4.4中标人未能在规定期限内签署合同协议。</w:t>
      </w:r>
    </w:p>
    <w:p w14:paraId="5BA9979C">
      <w:pPr>
        <w:spacing w:line="360" w:lineRule="auto"/>
        <w:ind w:firstLine="420" w:firstLineChars="200"/>
        <w:rPr>
          <w:rStyle w:val="127"/>
          <w:rFonts w:hint="eastAsia" w:ascii="宋体" w:hAnsi="宋体"/>
          <w:bCs/>
          <w:color w:val="auto"/>
          <w:szCs w:val="21"/>
          <w:highlight w:val="none"/>
        </w:rPr>
      </w:pPr>
      <w:r>
        <w:rPr>
          <w:rStyle w:val="127"/>
          <w:rFonts w:hint="eastAsia" w:ascii="宋体" w:hAnsi="宋体"/>
          <w:bCs/>
          <w:color w:val="auto"/>
          <w:szCs w:val="21"/>
          <w:highlight w:val="none"/>
        </w:rPr>
        <w:t>16.5投标人如存在下列情况之一的，将被拒绝在一定时期内参与招标人后续工程投标（拒绝时限需在招标文件中明确）：</w:t>
      </w:r>
    </w:p>
    <w:p w14:paraId="77A729A6">
      <w:pPr>
        <w:spacing w:line="360" w:lineRule="auto"/>
        <w:ind w:firstLine="420" w:firstLineChars="200"/>
        <w:rPr>
          <w:rStyle w:val="127"/>
          <w:rFonts w:hint="eastAsia" w:ascii="宋体" w:hAnsi="宋体"/>
          <w:bCs/>
          <w:color w:val="auto"/>
          <w:szCs w:val="21"/>
          <w:highlight w:val="none"/>
        </w:rPr>
      </w:pPr>
      <w:r>
        <w:rPr>
          <w:rStyle w:val="127"/>
          <w:rFonts w:hint="eastAsia" w:ascii="宋体" w:hAnsi="宋体"/>
          <w:bCs/>
          <w:color w:val="auto"/>
          <w:szCs w:val="21"/>
          <w:highlight w:val="none"/>
        </w:rPr>
        <w:t>16.5.1投标人存在16.4条款所列情形且投标人提交的保函、担保或保证保险无法兑付的；</w:t>
      </w:r>
    </w:p>
    <w:p w14:paraId="3CE16CEA">
      <w:pPr>
        <w:spacing w:line="360" w:lineRule="auto"/>
        <w:ind w:firstLine="420" w:firstLineChars="200"/>
        <w:rPr>
          <w:rStyle w:val="127"/>
          <w:rFonts w:hint="eastAsia" w:ascii="宋体" w:hAnsi="宋体"/>
          <w:bCs/>
          <w:color w:val="auto"/>
          <w:szCs w:val="21"/>
          <w:highlight w:val="none"/>
        </w:rPr>
      </w:pPr>
      <w:r>
        <w:rPr>
          <w:rStyle w:val="127"/>
          <w:rFonts w:hint="eastAsia" w:ascii="宋体" w:hAnsi="宋体"/>
          <w:bCs/>
          <w:color w:val="auto"/>
          <w:szCs w:val="21"/>
          <w:highlight w:val="none"/>
        </w:rPr>
        <w:t>16.5.2采用非电子形式提交投标保证金的投标人存在16.4条款所列情形，且未按招标人要求补交银行保函、专业工程担保公司担保或保证保险原件的；</w:t>
      </w:r>
    </w:p>
    <w:p w14:paraId="63B39813">
      <w:pPr>
        <w:spacing w:line="360" w:lineRule="auto"/>
        <w:ind w:firstLine="420" w:firstLineChars="200"/>
        <w:rPr>
          <w:rStyle w:val="127"/>
          <w:rFonts w:hint="eastAsia" w:ascii="宋体" w:hAnsi="宋体"/>
          <w:bCs/>
          <w:color w:val="auto"/>
          <w:szCs w:val="21"/>
          <w:highlight w:val="none"/>
        </w:rPr>
      </w:pPr>
      <w:r>
        <w:rPr>
          <w:rStyle w:val="127"/>
          <w:rFonts w:hint="eastAsia" w:ascii="宋体" w:hAnsi="宋体"/>
          <w:bCs/>
          <w:color w:val="auto"/>
          <w:szCs w:val="21"/>
          <w:highlight w:val="none"/>
        </w:rPr>
        <w:t>16.5.3按招标文件要求免于提供投标保证金的投标人存在16.4条款所列情形，且未按招标人要求补交投标保证金的；</w:t>
      </w:r>
    </w:p>
    <w:p w14:paraId="2D0C1256">
      <w:pPr>
        <w:spacing w:line="360" w:lineRule="auto"/>
        <w:ind w:firstLine="420" w:firstLineChars="200"/>
        <w:rPr>
          <w:rStyle w:val="127"/>
          <w:rFonts w:hint="eastAsia" w:ascii="宋体" w:hAnsi="宋体"/>
          <w:bCs/>
          <w:color w:val="auto"/>
          <w:szCs w:val="21"/>
          <w:highlight w:val="none"/>
        </w:rPr>
      </w:pPr>
      <w:r>
        <w:rPr>
          <w:rStyle w:val="127"/>
          <w:rFonts w:hint="eastAsia" w:ascii="宋体" w:hAnsi="宋体"/>
          <w:bCs/>
          <w:color w:val="auto"/>
          <w:szCs w:val="21"/>
          <w:highlight w:val="none"/>
        </w:rPr>
        <w:t>16.5.3按招标文件要求免于提供投标保证金的投标人存在16.4条款所列情形的。</w:t>
      </w:r>
    </w:p>
    <w:p w14:paraId="64C4D90C">
      <w:pPr>
        <w:pBdr>
          <w:bottom w:val="single" w:color="000000" w:sz="6" w:space="1"/>
        </w:pBdr>
        <w:spacing w:line="360" w:lineRule="auto"/>
        <w:ind w:firstLine="420" w:firstLineChars="200"/>
        <w:rPr>
          <w:rFonts w:ascii="宋体" w:hAnsi="宋体"/>
          <w:bCs/>
          <w:color w:val="auto"/>
          <w:szCs w:val="21"/>
          <w:highlight w:val="none"/>
        </w:rPr>
      </w:pPr>
      <w:r>
        <w:rPr>
          <w:rFonts w:hint="eastAsia"/>
          <w:color w:val="auto"/>
          <w:highlight w:val="none"/>
        </w:rPr>
        <w:t>注：</w:t>
      </w:r>
      <w:r>
        <w:rPr>
          <w:rStyle w:val="127"/>
          <w:rFonts w:hint="eastAsia" w:ascii="宋体" w:hAnsi="宋体"/>
          <w:bCs/>
          <w:color w:val="auto"/>
          <w:szCs w:val="21"/>
          <w:highlight w:val="none"/>
        </w:rPr>
        <w:t>16.5.3</w:t>
      </w:r>
      <w:r>
        <w:rPr>
          <w:rFonts w:hint="eastAsia"/>
          <w:color w:val="auto"/>
          <w:highlight w:val="none"/>
        </w:rPr>
        <w:t>款由招标人二选一，需在招标文件中明确。</w:t>
      </w:r>
    </w:p>
    <w:p w14:paraId="6A9F623E">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条款号：17.1          修改类型：修改</w:t>
      </w:r>
    </w:p>
    <w:p w14:paraId="4431C801">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原文：</w:t>
      </w:r>
      <w:r>
        <w:rPr>
          <w:rFonts w:hint="eastAsia" w:ascii="宋体" w:hAnsi="宋体"/>
          <w:color w:val="auto"/>
          <w:szCs w:val="21"/>
          <w:highlight w:val="none"/>
        </w:rPr>
        <w:t>17.1投标人应采用单位数字证书，对投标文件加盖电子印章。投标文件中需个人签字或盖章的，应加盖个人电子印章或在线下完成后扫描上传。按照交易平台关于全流程电子化项目的相关指南进行操作。详见：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3620772">
      <w:pPr>
        <w:pBdr>
          <w:bottom w:val="single" w:color="000000" w:sz="6" w:space="1"/>
        </w:pBdr>
        <w:spacing w:line="360" w:lineRule="auto"/>
        <w:ind w:firstLine="420" w:firstLineChars="200"/>
        <w:rPr>
          <w:rStyle w:val="127"/>
          <w:rFonts w:ascii="宋体" w:hAnsi="宋体"/>
          <w:color w:val="auto"/>
          <w:szCs w:val="21"/>
          <w:highlight w:val="none"/>
          <w:u w:val="single"/>
        </w:rPr>
      </w:pPr>
      <w:r>
        <w:rPr>
          <w:rStyle w:val="127"/>
          <w:rFonts w:ascii="宋体" w:hAnsi="宋体"/>
          <w:b/>
          <w:color w:val="auto"/>
          <w:szCs w:val="21"/>
          <w:highlight w:val="none"/>
        </w:rPr>
        <w:t>现文：</w:t>
      </w:r>
      <w:r>
        <w:rPr>
          <w:rStyle w:val="127"/>
          <w:rFonts w:ascii="宋体" w:hAnsi="宋体"/>
          <w:color w:val="auto"/>
          <w:szCs w:val="21"/>
          <w:highlight w:val="none"/>
        </w:rPr>
        <w:t>17.1投标人应采用单位数字证书，</w:t>
      </w:r>
      <w:r>
        <w:rPr>
          <w:rStyle w:val="127"/>
          <w:rFonts w:hint="eastAsia" w:ascii="宋体" w:hAnsi="宋体"/>
          <w:color w:val="auto"/>
          <w:szCs w:val="21"/>
          <w:highlight w:val="none"/>
        </w:rPr>
        <w:t>对投标文件</w:t>
      </w:r>
      <w:r>
        <w:rPr>
          <w:rStyle w:val="127"/>
          <w:rFonts w:ascii="宋体" w:hAnsi="宋体"/>
          <w:color w:val="auto"/>
          <w:szCs w:val="21"/>
          <w:highlight w:val="none"/>
        </w:rPr>
        <w:t>加盖电子印章。投标文件中需个人签字或盖章的，</w:t>
      </w:r>
      <w:r>
        <w:rPr>
          <w:rStyle w:val="127"/>
          <w:rFonts w:hint="eastAsia" w:ascii="宋体" w:hAnsi="宋体"/>
          <w:color w:val="auto"/>
          <w:szCs w:val="21"/>
          <w:highlight w:val="none"/>
        </w:rPr>
        <w:t>应加盖个人电子印章或在线下完成后扫描上传</w:t>
      </w:r>
      <w:r>
        <w:rPr>
          <w:rStyle w:val="127"/>
          <w:rFonts w:ascii="宋体" w:hAnsi="宋体"/>
          <w:color w:val="auto"/>
          <w:szCs w:val="21"/>
          <w:highlight w:val="none"/>
        </w:rPr>
        <w:t>。按照</w:t>
      </w:r>
      <w:r>
        <w:rPr>
          <w:rStyle w:val="127"/>
          <w:rFonts w:hint="eastAsia" w:ascii="宋体" w:hAnsi="宋体"/>
          <w:color w:val="auto"/>
          <w:highlight w:val="none"/>
          <w:u w:val="single"/>
        </w:rPr>
        <w:t>广州交易集团有限公司（广州公共资源交易中心）</w:t>
      </w:r>
      <w:r>
        <w:rPr>
          <w:rStyle w:val="127"/>
          <w:rFonts w:ascii="宋体" w:hAnsi="宋体"/>
          <w:color w:val="auto"/>
          <w:szCs w:val="21"/>
          <w:highlight w:val="none"/>
        </w:rPr>
        <w:t>交易平台关于全流程电子化项目的相关指南进行操作。详见：</w:t>
      </w:r>
      <w:r>
        <w:rPr>
          <w:rStyle w:val="127"/>
          <w:rFonts w:hint="eastAsia" w:ascii="宋体" w:hAnsi="宋体"/>
          <w:color w:val="auto"/>
          <w:highlight w:val="none"/>
          <w:u w:val="single"/>
        </w:rPr>
        <w:t>广州公共资源交易中心网站最新指引</w:t>
      </w:r>
      <w:r>
        <w:rPr>
          <w:rStyle w:val="127"/>
          <w:rFonts w:ascii="宋体" w:hAnsi="宋体"/>
          <w:color w:val="auto"/>
          <w:szCs w:val="21"/>
          <w:highlight w:val="none"/>
          <w:u w:val="single"/>
        </w:rPr>
        <w:t>。</w:t>
      </w:r>
    </w:p>
    <w:p w14:paraId="3F267429">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条款号：18.1          修改类型：修改</w:t>
      </w:r>
    </w:p>
    <w:p w14:paraId="62E6A5DE">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原文：</w:t>
      </w:r>
      <w:r>
        <w:rPr>
          <w:rStyle w:val="127"/>
          <w:rFonts w:ascii="宋体" w:hAnsi="宋体"/>
          <w:color w:val="auto"/>
          <w:szCs w:val="21"/>
          <w:highlight w:val="none"/>
        </w:rPr>
        <w:t>18.1</w:t>
      </w:r>
      <w:r>
        <w:rPr>
          <w:rStyle w:val="127"/>
          <w:rFonts w:ascii="宋体" w:hAnsi="宋体"/>
          <w:bCs/>
          <w:color w:val="auto"/>
          <w:szCs w:val="21"/>
          <w:highlight w:val="none"/>
        </w:rPr>
        <w:t>递交的电子投标文件（不含备用光盘）必须进行加密。按照交易平台关于</w:t>
      </w:r>
      <w:r>
        <w:rPr>
          <w:rStyle w:val="127"/>
          <w:rFonts w:ascii="宋体" w:hAnsi="宋体"/>
          <w:color w:val="auto"/>
          <w:szCs w:val="21"/>
          <w:highlight w:val="none"/>
        </w:rPr>
        <w:t>全流程电子化项目的相关指南进行操作。详见：</w:t>
      </w:r>
      <w:r>
        <w:rPr>
          <w:rStyle w:val="127"/>
          <w:rFonts w:ascii="宋体" w:hAnsi="宋体"/>
          <w:color w:val="auto"/>
          <w:szCs w:val="21"/>
          <w:highlight w:val="none"/>
          <w:u w:val="single"/>
        </w:rPr>
        <w:t xml:space="preserve">           </w:t>
      </w:r>
      <w:r>
        <w:rPr>
          <w:rStyle w:val="127"/>
          <w:rFonts w:ascii="宋体" w:hAnsi="宋体"/>
          <w:color w:val="auto"/>
          <w:szCs w:val="21"/>
          <w:highlight w:val="none"/>
        </w:rPr>
        <w:t xml:space="preserve"> 。</w:t>
      </w:r>
    </w:p>
    <w:p w14:paraId="0DD45AE5">
      <w:pPr>
        <w:pBdr>
          <w:bottom w:val="single" w:color="000000" w:sz="6" w:space="1"/>
        </w:pBdr>
        <w:spacing w:line="360" w:lineRule="auto"/>
        <w:ind w:firstLine="420" w:firstLineChars="200"/>
        <w:rPr>
          <w:rStyle w:val="127"/>
          <w:rFonts w:ascii="宋体" w:hAnsi="宋体"/>
          <w:color w:val="auto"/>
          <w:szCs w:val="21"/>
          <w:highlight w:val="none"/>
          <w:u w:val="single"/>
        </w:rPr>
      </w:pPr>
      <w:r>
        <w:rPr>
          <w:rStyle w:val="127"/>
          <w:rFonts w:ascii="宋体" w:hAnsi="宋体"/>
          <w:b/>
          <w:color w:val="auto"/>
          <w:szCs w:val="21"/>
          <w:highlight w:val="none"/>
        </w:rPr>
        <w:t>现文：</w:t>
      </w:r>
      <w:r>
        <w:rPr>
          <w:rStyle w:val="127"/>
          <w:rFonts w:ascii="宋体" w:hAnsi="宋体"/>
          <w:color w:val="auto"/>
          <w:szCs w:val="21"/>
          <w:highlight w:val="none"/>
        </w:rPr>
        <w:t>18.1</w:t>
      </w:r>
      <w:r>
        <w:rPr>
          <w:rStyle w:val="127"/>
          <w:rFonts w:ascii="宋体" w:hAnsi="宋体"/>
          <w:bCs/>
          <w:color w:val="auto"/>
          <w:szCs w:val="21"/>
          <w:highlight w:val="none"/>
        </w:rPr>
        <w:t>递交的电子投标文件（不含备用光盘）必须进行加密。按照</w:t>
      </w:r>
      <w:r>
        <w:rPr>
          <w:rStyle w:val="127"/>
          <w:rFonts w:hint="eastAsia" w:ascii="宋体" w:hAnsi="宋体"/>
          <w:color w:val="auto"/>
          <w:highlight w:val="none"/>
          <w:u w:val="single"/>
        </w:rPr>
        <w:t>广州交易集团有限公司（广州公共资源交易中心）</w:t>
      </w:r>
      <w:r>
        <w:rPr>
          <w:rStyle w:val="127"/>
          <w:rFonts w:ascii="宋体" w:hAnsi="宋体"/>
          <w:bCs/>
          <w:color w:val="auto"/>
          <w:szCs w:val="21"/>
          <w:highlight w:val="none"/>
        </w:rPr>
        <w:t>交易平台关于</w:t>
      </w:r>
      <w:r>
        <w:rPr>
          <w:rStyle w:val="127"/>
          <w:rFonts w:ascii="宋体" w:hAnsi="宋体"/>
          <w:color w:val="auto"/>
          <w:szCs w:val="21"/>
          <w:highlight w:val="none"/>
        </w:rPr>
        <w:t>全流程电子化项目的相关指南进行操作。详见：</w:t>
      </w:r>
      <w:r>
        <w:rPr>
          <w:rStyle w:val="127"/>
          <w:rFonts w:hint="eastAsia" w:ascii="宋体" w:hAnsi="宋体"/>
          <w:color w:val="auto"/>
          <w:highlight w:val="none"/>
          <w:u w:val="single"/>
        </w:rPr>
        <w:t>广州公共资源交易中心网站最新指引</w:t>
      </w:r>
      <w:r>
        <w:rPr>
          <w:rStyle w:val="127"/>
          <w:rFonts w:ascii="宋体" w:hAnsi="宋体"/>
          <w:color w:val="auto"/>
          <w:szCs w:val="21"/>
          <w:highlight w:val="none"/>
          <w:u w:val="single"/>
        </w:rPr>
        <w:t>。</w:t>
      </w:r>
    </w:p>
    <w:p w14:paraId="2CB1A402">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条款号：18.2          修改类型：修改</w:t>
      </w:r>
    </w:p>
    <w:p w14:paraId="7DF74B00">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原文：</w:t>
      </w:r>
      <w:r>
        <w:rPr>
          <w:rStyle w:val="127"/>
          <w:rFonts w:ascii="宋体" w:hAnsi="宋体"/>
          <w:color w:val="auto"/>
          <w:szCs w:val="21"/>
          <w:highlight w:val="none"/>
        </w:rPr>
        <w:t>18.2</w:t>
      </w:r>
      <w:r>
        <w:rPr>
          <w:rStyle w:val="127"/>
          <w:rFonts w:ascii="宋体" w:hAnsi="宋体"/>
          <w:bCs/>
          <w:color w:val="auto"/>
          <w:szCs w:val="21"/>
          <w:highlight w:val="none"/>
        </w:rPr>
        <w:t>未按要求加密的投标文件，</w:t>
      </w:r>
      <w:r>
        <w:rPr>
          <w:rStyle w:val="127"/>
          <w:rFonts w:ascii="宋体" w:hAnsi="宋体"/>
          <w:color w:val="auto"/>
          <w:szCs w:val="21"/>
          <w:highlight w:val="none"/>
          <w:u w:val="single"/>
        </w:rPr>
        <w:t xml:space="preserve">        </w:t>
      </w:r>
      <w:r>
        <w:rPr>
          <w:rStyle w:val="127"/>
          <w:rFonts w:ascii="宋体" w:hAnsi="宋体"/>
          <w:color w:val="auto"/>
          <w:szCs w:val="21"/>
          <w:highlight w:val="none"/>
        </w:rPr>
        <w:t>交易平台</w:t>
      </w:r>
      <w:r>
        <w:rPr>
          <w:rStyle w:val="127"/>
          <w:rFonts w:ascii="宋体" w:hAnsi="宋体"/>
          <w:bCs/>
          <w:color w:val="auto"/>
          <w:szCs w:val="21"/>
          <w:highlight w:val="none"/>
        </w:rPr>
        <w:t>将予以拒收。</w:t>
      </w:r>
    </w:p>
    <w:p w14:paraId="7D8A9911">
      <w:pPr>
        <w:pBdr>
          <w:bottom w:val="single" w:color="000000" w:sz="6" w:space="1"/>
        </w:pBdr>
        <w:spacing w:line="360" w:lineRule="auto"/>
        <w:ind w:firstLine="420" w:firstLineChars="200"/>
        <w:rPr>
          <w:rStyle w:val="127"/>
          <w:rFonts w:ascii="宋体" w:hAnsi="宋体"/>
          <w:color w:val="auto"/>
          <w:szCs w:val="21"/>
          <w:highlight w:val="none"/>
        </w:rPr>
      </w:pPr>
      <w:r>
        <w:rPr>
          <w:rStyle w:val="127"/>
          <w:rFonts w:ascii="宋体" w:hAnsi="宋体"/>
          <w:b/>
          <w:color w:val="auto"/>
          <w:szCs w:val="21"/>
          <w:highlight w:val="none"/>
        </w:rPr>
        <w:t>现文：</w:t>
      </w:r>
      <w:r>
        <w:rPr>
          <w:rStyle w:val="127"/>
          <w:rFonts w:ascii="宋体" w:hAnsi="宋体"/>
          <w:color w:val="auto"/>
          <w:szCs w:val="21"/>
          <w:highlight w:val="none"/>
        </w:rPr>
        <w:t>18.2</w:t>
      </w:r>
      <w:r>
        <w:rPr>
          <w:rStyle w:val="127"/>
          <w:rFonts w:ascii="宋体" w:hAnsi="宋体"/>
          <w:bCs/>
          <w:color w:val="auto"/>
          <w:szCs w:val="21"/>
          <w:highlight w:val="none"/>
        </w:rPr>
        <w:t>未按要求加密的投标文件，</w:t>
      </w:r>
      <w:r>
        <w:rPr>
          <w:rStyle w:val="127"/>
          <w:rFonts w:hint="eastAsia" w:ascii="宋体" w:hAnsi="宋体"/>
          <w:color w:val="auto"/>
          <w:highlight w:val="none"/>
          <w:u w:val="single"/>
        </w:rPr>
        <w:t>广州交易集团有限公司（广州公共资源交易中心）</w:t>
      </w:r>
      <w:r>
        <w:rPr>
          <w:rStyle w:val="127"/>
          <w:rFonts w:ascii="宋体" w:hAnsi="宋体"/>
          <w:bCs/>
          <w:color w:val="auto"/>
          <w:szCs w:val="21"/>
          <w:highlight w:val="none"/>
        </w:rPr>
        <w:t>交易平</w:t>
      </w:r>
      <w:r>
        <w:rPr>
          <w:rStyle w:val="127"/>
          <w:rFonts w:ascii="宋体" w:hAnsi="宋体"/>
          <w:color w:val="auto"/>
          <w:szCs w:val="21"/>
          <w:highlight w:val="none"/>
        </w:rPr>
        <w:t>台</w:t>
      </w:r>
      <w:r>
        <w:rPr>
          <w:rStyle w:val="127"/>
          <w:rFonts w:ascii="宋体" w:hAnsi="宋体"/>
          <w:bCs/>
          <w:color w:val="auto"/>
          <w:szCs w:val="21"/>
          <w:highlight w:val="none"/>
        </w:rPr>
        <w:t>将予以拒收。</w:t>
      </w:r>
    </w:p>
    <w:p w14:paraId="653CACDE">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条款号：19.1          修改类型：修改</w:t>
      </w:r>
    </w:p>
    <w:p w14:paraId="4FFA5CD6">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原文：</w:t>
      </w:r>
      <w:r>
        <w:rPr>
          <w:rStyle w:val="127"/>
          <w:rFonts w:ascii="宋体" w:hAnsi="宋体"/>
          <w:color w:val="auto"/>
          <w:szCs w:val="21"/>
          <w:highlight w:val="none"/>
        </w:rPr>
        <w:t>19.1</w:t>
      </w:r>
      <w:r>
        <w:rPr>
          <w:rStyle w:val="127"/>
          <w:rFonts w:ascii="宋体" w:hAnsi="宋体"/>
          <w:bCs/>
          <w:color w:val="auto"/>
          <w:szCs w:val="21"/>
          <w:highlight w:val="none"/>
        </w:rPr>
        <w:t>投标人通过</w:t>
      </w:r>
      <w:r>
        <w:rPr>
          <w:rStyle w:val="127"/>
          <w:rFonts w:ascii="宋体" w:hAnsi="宋体"/>
          <w:color w:val="auto"/>
          <w:szCs w:val="21"/>
          <w:highlight w:val="none"/>
          <w:u w:val="single"/>
        </w:rPr>
        <w:t xml:space="preserve">        </w:t>
      </w:r>
      <w:r>
        <w:rPr>
          <w:rStyle w:val="127"/>
          <w:rFonts w:ascii="宋体" w:hAnsi="宋体"/>
          <w:color w:val="auto"/>
          <w:szCs w:val="21"/>
          <w:highlight w:val="none"/>
        </w:rPr>
        <w:t>交易平台递交电子投标文件。</w:t>
      </w:r>
    </w:p>
    <w:p w14:paraId="7B271FEC">
      <w:pPr>
        <w:pBdr>
          <w:bottom w:val="single" w:color="000000" w:sz="6" w:space="1"/>
        </w:pBdr>
        <w:spacing w:line="360" w:lineRule="auto"/>
        <w:ind w:firstLine="420" w:firstLineChars="200"/>
        <w:rPr>
          <w:rStyle w:val="127"/>
          <w:rFonts w:ascii="宋体" w:hAnsi="宋体"/>
          <w:color w:val="auto"/>
          <w:szCs w:val="21"/>
          <w:highlight w:val="none"/>
        </w:rPr>
      </w:pPr>
      <w:r>
        <w:rPr>
          <w:rStyle w:val="127"/>
          <w:rFonts w:ascii="宋体" w:hAnsi="宋体"/>
          <w:b/>
          <w:color w:val="auto"/>
          <w:szCs w:val="21"/>
          <w:highlight w:val="none"/>
        </w:rPr>
        <w:t>现文：</w:t>
      </w:r>
      <w:r>
        <w:rPr>
          <w:rStyle w:val="127"/>
          <w:rFonts w:ascii="宋体" w:hAnsi="宋体"/>
          <w:color w:val="auto"/>
          <w:szCs w:val="21"/>
          <w:highlight w:val="none"/>
        </w:rPr>
        <w:t>19.1</w:t>
      </w:r>
      <w:r>
        <w:rPr>
          <w:rStyle w:val="127"/>
          <w:rFonts w:ascii="宋体" w:hAnsi="宋体"/>
          <w:bCs/>
          <w:color w:val="auto"/>
          <w:szCs w:val="21"/>
          <w:highlight w:val="none"/>
        </w:rPr>
        <w:t>投标人通过</w:t>
      </w:r>
      <w:r>
        <w:rPr>
          <w:rStyle w:val="127"/>
          <w:rFonts w:hint="eastAsia" w:ascii="宋体" w:hAnsi="宋体"/>
          <w:color w:val="auto"/>
          <w:highlight w:val="none"/>
          <w:u w:val="single"/>
        </w:rPr>
        <w:t>广州交易集团有限公司（广州公共资源交易中心）</w:t>
      </w:r>
      <w:r>
        <w:rPr>
          <w:rStyle w:val="127"/>
          <w:rFonts w:ascii="宋体" w:hAnsi="宋体"/>
          <w:bCs/>
          <w:color w:val="auto"/>
          <w:szCs w:val="21"/>
          <w:highlight w:val="none"/>
        </w:rPr>
        <w:t>交易平</w:t>
      </w:r>
      <w:r>
        <w:rPr>
          <w:rStyle w:val="127"/>
          <w:rFonts w:ascii="宋体" w:hAnsi="宋体"/>
          <w:color w:val="auto"/>
          <w:szCs w:val="21"/>
          <w:highlight w:val="none"/>
        </w:rPr>
        <w:t>台递交电子投标文件。</w:t>
      </w:r>
    </w:p>
    <w:p w14:paraId="3250694D">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条款号：19.2          修改类型：修改</w:t>
      </w:r>
    </w:p>
    <w:p w14:paraId="654A6465">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原文：</w:t>
      </w:r>
      <w:r>
        <w:rPr>
          <w:rStyle w:val="127"/>
          <w:rFonts w:ascii="宋体" w:hAnsi="宋体"/>
          <w:color w:val="auto"/>
          <w:szCs w:val="21"/>
          <w:highlight w:val="none"/>
        </w:rPr>
        <w:t>19.2</w:t>
      </w:r>
      <w:r>
        <w:rPr>
          <w:rStyle w:val="127"/>
          <w:rFonts w:ascii="宋体" w:hAnsi="宋体"/>
          <w:bCs/>
          <w:color w:val="auto"/>
          <w:szCs w:val="21"/>
          <w:highlight w:val="none"/>
        </w:rPr>
        <w:t>投标人完成电子</w:t>
      </w:r>
      <w:r>
        <w:rPr>
          <w:rStyle w:val="127"/>
          <w:rFonts w:ascii="宋体" w:hAnsi="宋体"/>
          <w:color w:val="auto"/>
          <w:szCs w:val="21"/>
          <w:highlight w:val="none"/>
        </w:rPr>
        <w:t>投标文件</w:t>
      </w:r>
      <w:r>
        <w:rPr>
          <w:rStyle w:val="127"/>
          <w:rFonts w:ascii="宋体" w:hAnsi="宋体"/>
          <w:bCs/>
          <w:color w:val="auto"/>
          <w:szCs w:val="21"/>
          <w:highlight w:val="none"/>
        </w:rPr>
        <w:t>上传后，</w:t>
      </w:r>
      <w:r>
        <w:rPr>
          <w:rStyle w:val="127"/>
          <w:rFonts w:ascii="宋体" w:hAnsi="宋体"/>
          <w:color w:val="auto"/>
          <w:szCs w:val="21"/>
          <w:highlight w:val="none"/>
          <w:u w:val="single"/>
        </w:rPr>
        <w:t xml:space="preserve">        </w:t>
      </w:r>
      <w:r>
        <w:rPr>
          <w:rStyle w:val="127"/>
          <w:rFonts w:ascii="宋体" w:hAnsi="宋体"/>
          <w:color w:val="auto"/>
          <w:szCs w:val="21"/>
          <w:highlight w:val="none"/>
        </w:rPr>
        <w:t>交易平台即时向投标人发出递交回执通知。递交时间以递交回执通知载明的传输完成时间为准。</w:t>
      </w:r>
    </w:p>
    <w:p w14:paraId="541694E6">
      <w:pPr>
        <w:pBdr>
          <w:bottom w:val="single" w:color="000000" w:sz="6" w:space="1"/>
        </w:pBdr>
        <w:spacing w:line="360" w:lineRule="auto"/>
        <w:ind w:firstLine="420" w:firstLineChars="200"/>
        <w:rPr>
          <w:rStyle w:val="127"/>
          <w:rFonts w:ascii="宋体" w:hAnsi="宋体"/>
          <w:color w:val="auto"/>
          <w:szCs w:val="21"/>
          <w:highlight w:val="none"/>
        </w:rPr>
      </w:pPr>
      <w:r>
        <w:rPr>
          <w:rStyle w:val="127"/>
          <w:rFonts w:ascii="宋体" w:hAnsi="宋体"/>
          <w:b/>
          <w:color w:val="auto"/>
          <w:szCs w:val="21"/>
          <w:highlight w:val="none"/>
        </w:rPr>
        <w:t>现文：</w:t>
      </w:r>
      <w:r>
        <w:rPr>
          <w:rStyle w:val="127"/>
          <w:rFonts w:ascii="宋体" w:hAnsi="宋体"/>
          <w:color w:val="auto"/>
          <w:szCs w:val="21"/>
          <w:highlight w:val="none"/>
        </w:rPr>
        <w:t>19.2</w:t>
      </w:r>
      <w:r>
        <w:rPr>
          <w:rStyle w:val="127"/>
          <w:rFonts w:ascii="宋体" w:hAnsi="宋体"/>
          <w:bCs/>
          <w:color w:val="auto"/>
          <w:szCs w:val="21"/>
          <w:highlight w:val="none"/>
        </w:rPr>
        <w:t>投标人完成电子</w:t>
      </w:r>
      <w:r>
        <w:rPr>
          <w:rStyle w:val="127"/>
          <w:rFonts w:ascii="宋体" w:hAnsi="宋体"/>
          <w:color w:val="auto"/>
          <w:szCs w:val="21"/>
          <w:highlight w:val="none"/>
        </w:rPr>
        <w:t>投标文件</w:t>
      </w:r>
      <w:r>
        <w:rPr>
          <w:rStyle w:val="127"/>
          <w:rFonts w:ascii="宋体" w:hAnsi="宋体"/>
          <w:bCs/>
          <w:color w:val="auto"/>
          <w:szCs w:val="21"/>
          <w:highlight w:val="none"/>
        </w:rPr>
        <w:t>上传后，</w:t>
      </w:r>
      <w:r>
        <w:rPr>
          <w:rStyle w:val="127"/>
          <w:rFonts w:hint="eastAsia" w:ascii="宋体" w:hAnsi="宋体"/>
          <w:color w:val="auto"/>
          <w:highlight w:val="none"/>
          <w:u w:val="single"/>
        </w:rPr>
        <w:t>广州交易集团有限公司（广州公共资源交易中心）</w:t>
      </w:r>
      <w:r>
        <w:rPr>
          <w:rStyle w:val="127"/>
          <w:rFonts w:ascii="宋体" w:hAnsi="宋体"/>
          <w:color w:val="auto"/>
          <w:szCs w:val="21"/>
          <w:highlight w:val="none"/>
        </w:rPr>
        <w:t>交易平台即时向投标人发出递交回执通知。递交时间以递交回执通知载明的传输完成时间为准。</w:t>
      </w:r>
    </w:p>
    <w:p w14:paraId="3C6CACEA">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条款号：19.3          修改类型：修改</w:t>
      </w:r>
    </w:p>
    <w:p w14:paraId="43BA7D74">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原文：</w:t>
      </w:r>
      <w:r>
        <w:rPr>
          <w:rStyle w:val="127"/>
          <w:rFonts w:ascii="宋体" w:hAnsi="宋体"/>
          <w:bCs/>
          <w:color w:val="auto"/>
          <w:szCs w:val="21"/>
          <w:highlight w:val="none"/>
        </w:rPr>
        <w:t>逾期送达的电子投标文件，</w:t>
      </w:r>
      <w:r>
        <w:rPr>
          <w:rStyle w:val="127"/>
          <w:rFonts w:ascii="宋体" w:hAnsi="宋体"/>
          <w:color w:val="auto"/>
          <w:szCs w:val="21"/>
          <w:highlight w:val="none"/>
          <w:u w:val="single"/>
        </w:rPr>
        <w:t xml:space="preserve">        </w:t>
      </w:r>
      <w:r>
        <w:rPr>
          <w:rStyle w:val="127"/>
          <w:rFonts w:ascii="宋体" w:hAnsi="宋体"/>
          <w:color w:val="auto"/>
          <w:szCs w:val="21"/>
          <w:highlight w:val="none"/>
        </w:rPr>
        <w:t>交易平台将予以拒收。</w:t>
      </w:r>
    </w:p>
    <w:p w14:paraId="6EACE851">
      <w:pPr>
        <w:pBdr>
          <w:bottom w:val="single" w:color="000000" w:sz="6" w:space="1"/>
        </w:pBdr>
        <w:spacing w:line="360" w:lineRule="auto"/>
        <w:ind w:firstLine="420" w:firstLineChars="200"/>
        <w:rPr>
          <w:rStyle w:val="127"/>
          <w:rFonts w:ascii="宋体" w:hAnsi="宋体"/>
          <w:color w:val="auto"/>
          <w:szCs w:val="21"/>
          <w:highlight w:val="none"/>
        </w:rPr>
      </w:pPr>
      <w:r>
        <w:rPr>
          <w:rStyle w:val="127"/>
          <w:rFonts w:ascii="宋体" w:hAnsi="宋体"/>
          <w:b/>
          <w:color w:val="auto"/>
          <w:szCs w:val="21"/>
          <w:highlight w:val="none"/>
        </w:rPr>
        <w:t>现文：</w:t>
      </w:r>
      <w:r>
        <w:rPr>
          <w:rStyle w:val="127"/>
          <w:rFonts w:ascii="宋体" w:hAnsi="宋体"/>
          <w:bCs/>
          <w:color w:val="auto"/>
          <w:szCs w:val="21"/>
          <w:highlight w:val="none"/>
        </w:rPr>
        <w:t>逾期送达的电子投标文件，</w:t>
      </w:r>
      <w:r>
        <w:rPr>
          <w:rStyle w:val="127"/>
          <w:rFonts w:hint="eastAsia" w:ascii="宋体" w:hAnsi="宋体"/>
          <w:color w:val="auto"/>
          <w:highlight w:val="none"/>
          <w:u w:val="single"/>
        </w:rPr>
        <w:t>广州交易集团有限公司（广州公共资源交易中心）</w:t>
      </w:r>
      <w:r>
        <w:rPr>
          <w:rStyle w:val="127"/>
          <w:rFonts w:ascii="宋体" w:hAnsi="宋体"/>
          <w:color w:val="auto"/>
          <w:szCs w:val="21"/>
          <w:highlight w:val="none"/>
        </w:rPr>
        <w:t>交易平台将予以拒收。</w:t>
      </w:r>
    </w:p>
    <w:p w14:paraId="33D2A8D6">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条款号：19.5          修改类型：修改</w:t>
      </w:r>
    </w:p>
    <w:p w14:paraId="3BFD36D3">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原文：</w:t>
      </w:r>
      <w:r>
        <w:rPr>
          <w:rStyle w:val="127"/>
          <w:rFonts w:ascii="宋体" w:hAnsi="宋体"/>
          <w:color w:val="auto"/>
          <w:szCs w:val="21"/>
          <w:highlight w:val="none"/>
        </w:rPr>
        <w:t>19.5如技术标和经济标先后分别开启，</w:t>
      </w:r>
      <w:r>
        <w:rPr>
          <w:rStyle w:val="127"/>
          <w:rFonts w:ascii="宋体" w:hAnsi="宋体"/>
          <w:color w:val="auto"/>
          <w:szCs w:val="21"/>
          <w:highlight w:val="none"/>
          <w:u w:val="single"/>
        </w:rPr>
        <w:t xml:space="preserve">        </w:t>
      </w:r>
      <w:r>
        <w:rPr>
          <w:rStyle w:val="127"/>
          <w:rFonts w:ascii="宋体" w:hAnsi="宋体"/>
          <w:color w:val="auto"/>
          <w:szCs w:val="21"/>
          <w:highlight w:val="none"/>
        </w:rPr>
        <w:t>交易平台将按招标文件规定的时间分别开启技术标和经济标。</w:t>
      </w:r>
    </w:p>
    <w:p w14:paraId="2D46DD02">
      <w:pPr>
        <w:pBdr>
          <w:bottom w:val="single" w:color="000000" w:sz="6" w:space="1"/>
        </w:pBdr>
        <w:spacing w:line="360" w:lineRule="auto"/>
        <w:ind w:firstLine="420" w:firstLineChars="200"/>
        <w:rPr>
          <w:rStyle w:val="127"/>
          <w:rFonts w:ascii="宋体" w:hAnsi="宋体"/>
          <w:color w:val="auto"/>
          <w:szCs w:val="21"/>
          <w:highlight w:val="none"/>
        </w:rPr>
      </w:pPr>
      <w:r>
        <w:rPr>
          <w:rStyle w:val="127"/>
          <w:rFonts w:ascii="宋体" w:hAnsi="宋体"/>
          <w:b/>
          <w:color w:val="auto"/>
          <w:szCs w:val="21"/>
          <w:highlight w:val="none"/>
        </w:rPr>
        <w:t>现文：</w:t>
      </w:r>
      <w:r>
        <w:rPr>
          <w:rStyle w:val="127"/>
          <w:rFonts w:ascii="宋体" w:hAnsi="宋体"/>
          <w:color w:val="auto"/>
          <w:szCs w:val="21"/>
          <w:highlight w:val="none"/>
        </w:rPr>
        <w:t>19.5如技术标和经济标</w:t>
      </w:r>
      <w:r>
        <w:rPr>
          <w:rStyle w:val="127"/>
          <w:rFonts w:hint="eastAsia" w:ascii="宋体" w:hAnsi="宋体"/>
          <w:color w:val="auto"/>
          <w:szCs w:val="21"/>
          <w:highlight w:val="none"/>
        </w:rPr>
        <w:t>同时</w:t>
      </w:r>
      <w:r>
        <w:rPr>
          <w:rStyle w:val="127"/>
          <w:rFonts w:ascii="宋体" w:hAnsi="宋体"/>
          <w:color w:val="auto"/>
          <w:szCs w:val="21"/>
          <w:highlight w:val="none"/>
        </w:rPr>
        <w:t>开启，</w:t>
      </w:r>
      <w:r>
        <w:rPr>
          <w:rStyle w:val="127"/>
          <w:rFonts w:hint="eastAsia" w:ascii="宋体" w:hAnsi="宋体"/>
          <w:color w:val="auto"/>
          <w:highlight w:val="none"/>
          <w:u w:val="single"/>
        </w:rPr>
        <w:t>广州交易集团有限公司（广州公共资源交易中心）</w:t>
      </w:r>
      <w:r>
        <w:rPr>
          <w:rStyle w:val="127"/>
          <w:rFonts w:ascii="宋体" w:hAnsi="宋体"/>
          <w:color w:val="auto"/>
          <w:szCs w:val="21"/>
          <w:highlight w:val="none"/>
        </w:rPr>
        <w:t>交易平台将按招标文件规定的时间</w:t>
      </w:r>
      <w:r>
        <w:rPr>
          <w:rStyle w:val="127"/>
          <w:rFonts w:hint="eastAsia" w:ascii="宋体" w:hAnsi="宋体"/>
          <w:color w:val="auto"/>
          <w:szCs w:val="21"/>
          <w:highlight w:val="none"/>
        </w:rPr>
        <w:t>同时</w:t>
      </w:r>
      <w:r>
        <w:rPr>
          <w:rStyle w:val="127"/>
          <w:rFonts w:ascii="宋体" w:hAnsi="宋体"/>
          <w:color w:val="auto"/>
          <w:szCs w:val="21"/>
          <w:highlight w:val="none"/>
        </w:rPr>
        <w:t>开启技术标和经济标。</w:t>
      </w:r>
    </w:p>
    <w:p w14:paraId="2B39AB00">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条款号：20.3          修改类型：修改</w:t>
      </w:r>
    </w:p>
    <w:p w14:paraId="75D4EDDC">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原文：</w:t>
      </w:r>
      <w:r>
        <w:rPr>
          <w:rStyle w:val="127"/>
          <w:rFonts w:ascii="宋体" w:hAnsi="宋体"/>
          <w:color w:val="auto"/>
          <w:szCs w:val="21"/>
          <w:highlight w:val="none"/>
        </w:rPr>
        <w:t>20.3到投标截止时间止，招标人收到的投标文件少于3家的，招标人将重新组织招标（当N个标段同时招标且不允许兼中时，若有效投标人不足N+2家，则重新组织招标）。</w:t>
      </w:r>
    </w:p>
    <w:p w14:paraId="2001F305">
      <w:pPr>
        <w:pBdr>
          <w:bottom w:val="single" w:color="000000" w:sz="6" w:space="1"/>
        </w:pBdr>
        <w:spacing w:line="360" w:lineRule="auto"/>
        <w:ind w:firstLine="420" w:firstLineChars="200"/>
        <w:rPr>
          <w:rStyle w:val="127"/>
          <w:rFonts w:ascii="宋体" w:hAnsi="宋体"/>
          <w:color w:val="auto"/>
          <w:szCs w:val="21"/>
          <w:highlight w:val="none"/>
          <w:u w:val="single"/>
        </w:rPr>
      </w:pPr>
      <w:r>
        <w:rPr>
          <w:rStyle w:val="127"/>
          <w:rFonts w:ascii="宋体" w:hAnsi="宋体"/>
          <w:b/>
          <w:color w:val="auto"/>
          <w:szCs w:val="21"/>
          <w:highlight w:val="none"/>
        </w:rPr>
        <w:t>现文：</w:t>
      </w:r>
      <w:r>
        <w:rPr>
          <w:rStyle w:val="127"/>
          <w:rFonts w:ascii="宋体" w:hAnsi="宋体"/>
          <w:color w:val="auto"/>
          <w:szCs w:val="21"/>
          <w:highlight w:val="none"/>
          <w:u w:val="single"/>
        </w:rPr>
        <w:t>20.3到投标截止时间止，招标人收到的投标文件少于3家的，招标人将重新组织招标。</w:t>
      </w:r>
    </w:p>
    <w:p w14:paraId="24A88C7D">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条款号：21.1          修改类型：修改</w:t>
      </w:r>
    </w:p>
    <w:p w14:paraId="5109FB68">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原文：</w:t>
      </w:r>
      <w:r>
        <w:rPr>
          <w:rStyle w:val="127"/>
          <w:rFonts w:ascii="宋体" w:hAnsi="宋体"/>
          <w:color w:val="auto"/>
          <w:szCs w:val="21"/>
          <w:highlight w:val="none"/>
        </w:rPr>
        <w:t>21.1本须知前附表第17项规定的投标截止时间</w:t>
      </w:r>
      <w:r>
        <w:rPr>
          <w:rStyle w:val="127"/>
          <w:rFonts w:ascii="宋体" w:hAnsi="宋体"/>
          <w:bCs/>
          <w:color w:val="auto"/>
          <w:szCs w:val="21"/>
          <w:highlight w:val="none"/>
        </w:rPr>
        <w:t>后送达的电子投标文件，</w:t>
      </w:r>
      <w:r>
        <w:rPr>
          <w:rStyle w:val="127"/>
          <w:rFonts w:ascii="宋体" w:hAnsi="宋体"/>
          <w:color w:val="auto"/>
          <w:szCs w:val="21"/>
          <w:highlight w:val="none"/>
          <w:u w:val="single"/>
        </w:rPr>
        <w:t xml:space="preserve">       </w:t>
      </w:r>
      <w:r>
        <w:rPr>
          <w:rStyle w:val="127"/>
          <w:rFonts w:ascii="宋体" w:hAnsi="宋体"/>
          <w:color w:val="auto"/>
          <w:szCs w:val="21"/>
          <w:highlight w:val="none"/>
        </w:rPr>
        <w:t>交易平台将予以拒收。</w:t>
      </w:r>
    </w:p>
    <w:p w14:paraId="20BDB24F">
      <w:pPr>
        <w:pBdr>
          <w:bottom w:val="single" w:color="000000" w:sz="6" w:space="1"/>
        </w:pBdr>
        <w:spacing w:line="360" w:lineRule="auto"/>
        <w:ind w:firstLine="420" w:firstLineChars="200"/>
        <w:rPr>
          <w:rStyle w:val="127"/>
          <w:rFonts w:ascii="宋体" w:hAnsi="宋体"/>
          <w:bCs/>
          <w:color w:val="auto"/>
          <w:szCs w:val="21"/>
          <w:highlight w:val="none"/>
        </w:rPr>
      </w:pPr>
      <w:r>
        <w:rPr>
          <w:rStyle w:val="127"/>
          <w:rFonts w:ascii="宋体" w:hAnsi="宋体"/>
          <w:b/>
          <w:color w:val="auto"/>
          <w:szCs w:val="21"/>
          <w:highlight w:val="none"/>
        </w:rPr>
        <w:t>现文：</w:t>
      </w:r>
      <w:r>
        <w:rPr>
          <w:rStyle w:val="127"/>
          <w:rFonts w:ascii="宋体" w:hAnsi="宋体"/>
          <w:color w:val="auto"/>
          <w:szCs w:val="21"/>
          <w:highlight w:val="none"/>
        </w:rPr>
        <w:t>21.1本须知前附表第17项规定的投标截止时间</w:t>
      </w:r>
      <w:r>
        <w:rPr>
          <w:rStyle w:val="127"/>
          <w:rFonts w:ascii="宋体" w:hAnsi="宋体"/>
          <w:bCs/>
          <w:color w:val="auto"/>
          <w:szCs w:val="21"/>
          <w:highlight w:val="none"/>
        </w:rPr>
        <w:t>后送达的电子投标文件，</w:t>
      </w:r>
      <w:r>
        <w:rPr>
          <w:rStyle w:val="127"/>
          <w:rFonts w:hint="eastAsia" w:ascii="宋体" w:hAnsi="宋体"/>
          <w:color w:val="auto"/>
          <w:highlight w:val="none"/>
          <w:u w:val="single"/>
        </w:rPr>
        <w:t>广州交易集团有限公司（广州公共资源交易中心）</w:t>
      </w:r>
      <w:r>
        <w:rPr>
          <w:rStyle w:val="127"/>
          <w:rFonts w:ascii="宋体" w:hAnsi="宋体"/>
          <w:bCs/>
          <w:color w:val="auto"/>
          <w:szCs w:val="21"/>
          <w:highlight w:val="none"/>
        </w:rPr>
        <w:t>交易平台将予以拒收。</w:t>
      </w:r>
    </w:p>
    <w:p w14:paraId="70C787D4">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条款号：27.1          修改类型：修改</w:t>
      </w:r>
    </w:p>
    <w:p w14:paraId="7ACE0E82">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原文：</w:t>
      </w:r>
      <w:r>
        <w:rPr>
          <w:rStyle w:val="127"/>
          <w:rFonts w:ascii="宋体" w:hAnsi="宋体"/>
          <w:color w:val="auto"/>
          <w:szCs w:val="21"/>
          <w:highlight w:val="none"/>
        </w:rPr>
        <w:t>27.1</w:t>
      </w:r>
      <w:r>
        <w:rPr>
          <w:rStyle w:val="127"/>
          <w:rFonts w:hint="eastAsia" w:ascii="宋体" w:hAnsi="宋体"/>
          <w:color w:val="auto"/>
          <w:szCs w:val="21"/>
          <w:highlight w:val="none"/>
        </w:rPr>
        <w:t>招标人将在</w:t>
      </w:r>
      <w:r>
        <w:rPr>
          <w:rStyle w:val="127"/>
          <w:rFonts w:hint="eastAsia" w:ascii="宋体" w:hAnsi="宋体"/>
          <w:color w:val="auto"/>
          <w:szCs w:val="21"/>
          <w:highlight w:val="none"/>
          <w:u w:val="single"/>
        </w:rPr>
        <w:t xml:space="preserve">    </w:t>
      </w:r>
      <w:r>
        <w:rPr>
          <w:rStyle w:val="127"/>
          <w:rFonts w:hint="eastAsia" w:ascii="宋体" w:hAnsi="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0C09D662">
      <w:pPr>
        <w:pBdr>
          <w:bottom w:val="single" w:color="000000" w:sz="6" w:space="1"/>
        </w:pBdr>
        <w:spacing w:line="360" w:lineRule="auto"/>
        <w:ind w:firstLine="420" w:firstLineChars="200"/>
        <w:rPr>
          <w:rStyle w:val="127"/>
          <w:rFonts w:ascii="宋体" w:hAnsi="宋体"/>
          <w:color w:val="auto"/>
          <w:szCs w:val="21"/>
          <w:highlight w:val="none"/>
          <w:u w:val="single"/>
        </w:rPr>
      </w:pPr>
      <w:r>
        <w:rPr>
          <w:rStyle w:val="127"/>
          <w:rFonts w:ascii="宋体" w:hAnsi="宋体"/>
          <w:b/>
          <w:color w:val="auto"/>
          <w:szCs w:val="21"/>
          <w:highlight w:val="none"/>
        </w:rPr>
        <w:t>现文：</w:t>
      </w:r>
      <w:r>
        <w:rPr>
          <w:rStyle w:val="127"/>
          <w:rFonts w:ascii="宋体" w:hAnsi="宋体"/>
          <w:color w:val="auto"/>
          <w:szCs w:val="21"/>
          <w:highlight w:val="none"/>
        </w:rPr>
        <w:t>27.1招标人将在</w:t>
      </w:r>
      <w:r>
        <w:rPr>
          <w:rStyle w:val="127"/>
          <w:rFonts w:hint="eastAsia" w:ascii="宋体" w:hAnsi="宋体"/>
          <w:color w:val="auto"/>
          <w:highlight w:val="none"/>
          <w:u w:val="single"/>
        </w:rPr>
        <w:t>广州交易集团有限公司（广州公共资源交易中心）</w:t>
      </w:r>
      <w:r>
        <w:rPr>
          <w:rStyle w:val="127"/>
          <w:rFonts w:hint="eastAsia" w:ascii="宋体" w:hAnsi="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3E7D5892">
      <w:pPr>
        <w:spacing w:line="360" w:lineRule="auto"/>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27.</w:t>
      </w:r>
      <w:r>
        <w:rPr>
          <w:rFonts w:ascii="宋体" w:hAnsi="宋体" w:cs="宋体"/>
          <w:color w:val="auto"/>
          <w:szCs w:val="21"/>
          <w:highlight w:val="none"/>
        </w:rPr>
        <w:t>3</w:t>
      </w:r>
      <w:r>
        <w:rPr>
          <w:rFonts w:hint="eastAsia" w:ascii="宋体" w:hAnsi="宋体" w:cs="宋体"/>
          <w:b/>
          <w:color w:val="auto"/>
          <w:szCs w:val="21"/>
          <w:highlight w:val="none"/>
        </w:rPr>
        <w:t xml:space="preserve">            修改类型：修改</w:t>
      </w:r>
    </w:p>
    <w:p w14:paraId="3EF9F53F">
      <w:pPr>
        <w:spacing w:line="360" w:lineRule="auto"/>
        <w:ind w:firstLine="420" w:firstLineChars="200"/>
        <w:rPr>
          <w:rFonts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27.</w:t>
      </w:r>
      <w:r>
        <w:rPr>
          <w:rFonts w:ascii="宋体" w:hAnsi="宋体" w:cs="宋体"/>
          <w:color w:val="auto"/>
          <w:szCs w:val="21"/>
          <w:highlight w:val="none"/>
        </w:rPr>
        <w:t>3</w:t>
      </w:r>
      <w:r>
        <w:rPr>
          <w:rFonts w:hint="eastAsia" w:ascii="宋体" w:hAnsi="宋体" w:cs="宋体"/>
          <w:color w:val="auto"/>
          <w:szCs w:val="21"/>
          <w:highlight w:val="none"/>
        </w:rPr>
        <w:t>中标人必须在收到中标通知书后24小时之内以书面形式回复招标人，确认收到。</w:t>
      </w:r>
    </w:p>
    <w:p w14:paraId="0230FF94">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27.</w:t>
      </w:r>
      <w:r>
        <w:rPr>
          <w:rFonts w:ascii="宋体" w:hAnsi="宋体" w:cs="宋体"/>
          <w:color w:val="auto"/>
          <w:szCs w:val="21"/>
          <w:highlight w:val="none"/>
          <w:u w:val="single"/>
        </w:rPr>
        <w:t>3</w:t>
      </w:r>
      <w:r>
        <w:rPr>
          <w:rFonts w:hint="eastAsia" w:ascii="宋体" w:hAnsi="宋体" w:cs="宋体"/>
          <w:color w:val="auto"/>
          <w:szCs w:val="21"/>
          <w:highlight w:val="none"/>
          <w:u w:val="single"/>
        </w:rPr>
        <w:t>中标人自行于广州交易集团有限公司（广州公共资源交易中心）交易平台下载中标通知书。中标人须对其投标文件真实性负责，并准备投标文件涉及的所有原件待查，如存在弄虚作假情况或原件不齐或与原件不符的，招标人有权取消其中标人资格，并上报建设行政主管部门。</w:t>
      </w:r>
    </w:p>
    <w:p w14:paraId="7B9F2E65">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条款号：27.4          修改类型：修改</w:t>
      </w:r>
    </w:p>
    <w:p w14:paraId="04101DE6">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原文：</w:t>
      </w:r>
      <w:r>
        <w:rPr>
          <w:rStyle w:val="127"/>
          <w:rFonts w:ascii="宋体" w:hAnsi="宋体"/>
          <w:color w:val="auto"/>
          <w:szCs w:val="21"/>
          <w:highlight w:val="none"/>
        </w:rPr>
        <w:t>27.4</w:t>
      </w:r>
      <w:r>
        <w:rPr>
          <w:rFonts w:hint="eastAsia" w:ascii="宋体" w:hAnsi="宋体"/>
          <w:color w:val="auto"/>
          <w:szCs w:val="21"/>
          <w:highlight w:val="none"/>
        </w:rPr>
        <w:t>在产生中标候选人后，招标人将中标候选人的投标文件商务部分文件的所有内容（包括人员、业绩、奖项等资料）在</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交易平台和广东省招标投标监管网公开。</w:t>
      </w:r>
    </w:p>
    <w:p w14:paraId="3B263456">
      <w:pPr>
        <w:pBdr>
          <w:bottom w:val="single" w:color="000000" w:sz="6" w:space="1"/>
        </w:pBdr>
        <w:spacing w:line="360" w:lineRule="auto"/>
        <w:ind w:firstLine="420" w:firstLineChars="200"/>
        <w:rPr>
          <w:rStyle w:val="127"/>
          <w:rFonts w:ascii="宋体" w:hAnsi="宋体"/>
          <w:color w:val="auto"/>
          <w:szCs w:val="21"/>
          <w:highlight w:val="none"/>
        </w:rPr>
      </w:pPr>
      <w:r>
        <w:rPr>
          <w:rStyle w:val="127"/>
          <w:rFonts w:ascii="宋体" w:hAnsi="宋体"/>
          <w:b/>
          <w:color w:val="auto"/>
          <w:szCs w:val="21"/>
          <w:highlight w:val="none"/>
        </w:rPr>
        <w:t>现文：</w:t>
      </w:r>
      <w:r>
        <w:rPr>
          <w:rStyle w:val="127"/>
          <w:rFonts w:ascii="宋体" w:hAnsi="宋体"/>
          <w:color w:val="auto"/>
          <w:szCs w:val="21"/>
          <w:highlight w:val="none"/>
        </w:rPr>
        <w:t>27.4</w:t>
      </w:r>
      <w:r>
        <w:rPr>
          <w:rFonts w:hint="eastAsia" w:ascii="宋体" w:hAnsi="宋体"/>
          <w:color w:val="auto"/>
          <w:szCs w:val="21"/>
          <w:highlight w:val="none"/>
        </w:rPr>
        <w:t>在产生中标候选人后，招标人将中标候选人的投标文件商务部分文件的所有内容（包括人员、业绩、奖项等资料）</w:t>
      </w:r>
      <w:r>
        <w:rPr>
          <w:rFonts w:ascii="宋体" w:hAnsi="宋体"/>
          <w:color w:val="auto"/>
          <w:szCs w:val="21"/>
          <w:highlight w:val="none"/>
        </w:rPr>
        <w:t>在</w:t>
      </w:r>
      <w:r>
        <w:rPr>
          <w:rStyle w:val="127"/>
          <w:rFonts w:hint="eastAsia" w:ascii="宋体" w:hAnsi="宋体"/>
          <w:color w:val="auto"/>
          <w:highlight w:val="none"/>
          <w:u w:val="single"/>
        </w:rPr>
        <w:t>广州交易集团有限公司（广州公共资源交易中心）</w:t>
      </w:r>
      <w:r>
        <w:rPr>
          <w:rFonts w:ascii="宋体" w:hAnsi="宋体"/>
          <w:color w:val="auto"/>
          <w:szCs w:val="21"/>
          <w:highlight w:val="none"/>
        </w:rPr>
        <w:t>交易平台和广东省招标投标监管网公开。</w:t>
      </w:r>
    </w:p>
    <w:p w14:paraId="51936852">
      <w:pPr>
        <w:spacing w:before="156" w:beforeLines="50" w:line="360" w:lineRule="auto"/>
        <w:ind w:firstLine="525" w:firstLineChars="250"/>
        <w:rPr>
          <w:rFonts w:hint="eastAsia" w:ascii="宋体" w:hAnsi="宋体" w:cs="宋体"/>
          <w:b/>
          <w:color w:val="auto"/>
          <w:szCs w:val="21"/>
          <w:highlight w:val="none"/>
        </w:rPr>
      </w:pPr>
      <w:r>
        <w:rPr>
          <w:rFonts w:hint="eastAsia" w:ascii="宋体" w:hAnsi="宋体" w:cs="宋体"/>
          <w:b/>
          <w:color w:val="auto"/>
          <w:szCs w:val="21"/>
          <w:highlight w:val="none"/>
        </w:rPr>
        <w:t>条款号：28.2                               修改类型：修改</w:t>
      </w:r>
    </w:p>
    <w:p w14:paraId="6AE0930F">
      <w:pPr>
        <w:spacing w:line="360" w:lineRule="auto"/>
        <w:ind w:firstLine="525" w:firstLineChars="25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 xml:space="preserve"> 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075FE67C">
      <w:pPr>
        <w:pBdr>
          <w:bottom w:val="single" w:color="auto" w:sz="6" w:space="1"/>
        </w:pBdr>
        <w:spacing w:line="360" w:lineRule="auto"/>
        <w:ind w:firstLine="525"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28.2中标通知书发出之日起30日后，中标人未按上款的规定与招标人订立合同，招标人将解除中标通知书，原中标人依法承担相应法律责任。原中标人有异议的，可以向人民法院起诉。</w:t>
      </w:r>
    </w:p>
    <w:p w14:paraId="3F26F26F">
      <w:pPr>
        <w:spacing w:before="156" w:beforeLines="50" w:line="360" w:lineRule="auto"/>
        <w:ind w:firstLine="525" w:firstLineChars="250"/>
        <w:rPr>
          <w:rFonts w:hint="eastAsia" w:ascii="宋体" w:hAnsi="宋体" w:cs="宋体"/>
          <w:b/>
          <w:color w:val="auto"/>
          <w:szCs w:val="21"/>
          <w:highlight w:val="none"/>
        </w:rPr>
      </w:pPr>
      <w:r>
        <w:rPr>
          <w:rFonts w:hint="eastAsia" w:ascii="宋体" w:hAnsi="宋体" w:cs="宋体"/>
          <w:b/>
          <w:color w:val="auto"/>
          <w:szCs w:val="21"/>
          <w:highlight w:val="none"/>
        </w:rPr>
        <w:t>条款号：2</w:t>
      </w:r>
      <w:r>
        <w:rPr>
          <w:rFonts w:hint="eastAsia" w:ascii="宋体" w:hAnsi="宋体" w:cs="宋体"/>
          <w:b/>
          <w:color w:val="auto"/>
          <w:szCs w:val="21"/>
          <w:highlight w:val="none"/>
          <w:lang w:val="en-US" w:eastAsia="zh-CN"/>
        </w:rPr>
        <w:t>8</w:t>
      </w:r>
      <w:r>
        <w:rPr>
          <w:rFonts w:hint="eastAsia" w:ascii="宋体" w:hAnsi="宋体" w:cs="宋体"/>
          <w:b/>
          <w:color w:val="auto"/>
          <w:szCs w:val="21"/>
          <w:highlight w:val="none"/>
        </w:rPr>
        <w:t>.2                               修改类型：修改</w:t>
      </w:r>
    </w:p>
    <w:p w14:paraId="5794C764">
      <w:pPr>
        <w:spacing w:line="360" w:lineRule="auto"/>
        <w:ind w:firstLine="525" w:firstLineChars="25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 xml:space="preserve"> 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D9F79DB">
      <w:pPr>
        <w:pBdr>
          <w:bottom w:val="single" w:color="auto" w:sz="6" w:space="1"/>
        </w:pBdr>
        <w:spacing w:line="360" w:lineRule="auto"/>
        <w:ind w:firstLine="525"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.2合同签订后</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日后，中标人未按上款的规定提交履约担保，招标人将解除中标通知书，原中标人依法承担相应法律责任。原中标人有异议的，可以向人民法院起诉。</w:t>
      </w:r>
    </w:p>
    <w:p w14:paraId="51E8E505">
      <w:pPr>
        <w:pStyle w:val="4"/>
        <w:spacing w:after="0" w:line="460" w:lineRule="exact"/>
        <w:ind w:firstLine="400" w:firstLineChars="200"/>
        <w:rPr>
          <w:rFonts w:ascii="宋体" w:cs="宋体"/>
          <w:color w:val="auto"/>
          <w:szCs w:val="21"/>
          <w:highlight w:val="none"/>
        </w:rPr>
      </w:pPr>
      <w:r>
        <w:rPr>
          <w:rFonts w:hint="eastAsia" w:ascii="宋体" w:cs="宋体"/>
          <w:b/>
          <w:color w:val="auto"/>
          <w:szCs w:val="21"/>
          <w:highlight w:val="none"/>
        </w:rPr>
        <w:t>条款号：</w:t>
      </w:r>
      <w:r>
        <w:rPr>
          <w:rFonts w:hint="eastAsia" w:ascii="宋体" w:cs="宋体"/>
          <w:color w:val="auto"/>
          <w:sz w:val="21"/>
          <w:szCs w:val="21"/>
          <w:highlight w:val="none"/>
        </w:rPr>
        <w:t>28.5</w:t>
      </w:r>
      <w:r>
        <w:rPr>
          <w:rFonts w:hint="eastAsia" w:ascii="宋体" w:cs="宋体"/>
          <w:color w:val="auto"/>
          <w:szCs w:val="21"/>
          <w:highlight w:val="none"/>
        </w:rPr>
        <w:t xml:space="preserve">           </w:t>
      </w:r>
      <w:r>
        <w:rPr>
          <w:rFonts w:hint="eastAsia" w:ascii="宋体" w:cs="宋体"/>
          <w:b/>
          <w:color w:val="auto"/>
          <w:szCs w:val="21"/>
          <w:highlight w:val="none"/>
        </w:rPr>
        <w:t>修改类型：增加</w:t>
      </w:r>
    </w:p>
    <w:p w14:paraId="3D2C14B8">
      <w:pPr>
        <w:pBdr>
          <w:bottom w:val="single" w:color="auto" w:sz="6" w:space="1"/>
        </w:pBdr>
        <w:spacing w:line="460" w:lineRule="exact"/>
        <w:ind w:firstLine="411" w:firstLineChars="196"/>
        <w:rPr>
          <w:rFonts w:ascii="宋体" w:cs="宋体"/>
          <w:color w:val="auto"/>
          <w:szCs w:val="21"/>
          <w:highlight w:val="none"/>
          <w:u w:val="single"/>
        </w:rPr>
      </w:pPr>
      <w:r>
        <w:rPr>
          <w:rFonts w:hint="eastAsia" w:ascii="宋体" w:cs="宋体"/>
          <w:b/>
          <w:color w:val="auto"/>
          <w:szCs w:val="21"/>
          <w:highlight w:val="none"/>
        </w:rPr>
        <w:t>现文：</w:t>
      </w:r>
      <w:r>
        <w:rPr>
          <w:rFonts w:hint="eastAsia" w:ascii="宋体" w:cs="宋体"/>
          <w:bCs/>
          <w:color w:val="auto"/>
          <w:szCs w:val="21"/>
          <w:highlight w:val="none"/>
          <w:u w:val="single"/>
        </w:rPr>
        <w:t>28.5招标人与中标人签订合同及办理施工许可前，或经核查发现委派的项目负责人已在其他在建项目中任职项目负责人的，招标人可以确定排名第二的中标候选人为中标人</w:t>
      </w:r>
      <w:r>
        <w:rPr>
          <w:rFonts w:hint="eastAsia" w:ascii="宋体" w:cs="宋体"/>
          <w:color w:val="auto"/>
          <w:szCs w:val="21"/>
          <w:highlight w:val="none"/>
        </w:rPr>
        <w:t>。</w:t>
      </w:r>
    </w:p>
    <w:p w14:paraId="29B0CE5F">
      <w:pPr>
        <w:spacing w:line="360" w:lineRule="auto"/>
        <w:ind w:firstLine="470" w:firstLineChars="224"/>
        <w:rPr>
          <w:rFonts w:ascii="宋体" w:cs="宋体"/>
          <w:b/>
          <w:color w:val="auto"/>
          <w:szCs w:val="21"/>
          <w:highlight w:val="none"/>
        </w:rPr>
      </w:pPr>
      <w:r>
        <w:rPr>
          <w:rFonts w:hint="eastAsia" w:ascii="宋体" w:cs="宋体"/>
          <w:b/>
          <w:color w:val="auto"/>
          <w:szCs w:val="21"/>
          <w:highlight w:val="none"/>
        </w:rPr>
        <w:t>条款号：</w:t>
      </w:r>
      <w:r>
        <w:rPr>
          <w:rFonts w:hint="eastAsia" w:ascii="宋体" w:cs="宋体"/>
          <w:color w:val="auto"/>
          <w:szCs w:val="21"/>
          <w:highlight w:val="none"/>
        </w:rPr>
        <w:t>29.1</w:t>
      </w:r>
      <w:r>
        <w:rPr>
          <w:rFonts w:hint="eastAsia" w:ascii="宋体" w:cs="宋体"/>
          <w:b/>
          <w:color w:val="auto"/>
          <w:szCs w:val="21"/>
          <w:highlight w:val="none"/>
        </w:rPr>
        <w:t xml:space="preserve">           修改类型：修改</w:t>
      </w:r>
    </w:p>
    <w:p w14:paraId="52BB9A87">
      <w:pPr>
        <w:snapToGrid w:val="0"/>
        <w:spacing w:line="360" w:lineRule="auto"/>
        <w:ind w:firstLine="420" w:firstLineChars="200"/>
        <w:rPr>
          <w:rFonts w:ascii="宋体" w:cs="宋体"/>
          <w:color w:val="auto"/>
          <w:szCs w:val="21"/>
          <w:highlight w:val="none"/>
        </w:rPr>
      </w:pPr>
      <w:r>
        <w:rPr>
          <w:rFonts w:hint="eastAsia" w:ascii="宋体" w:cs="宋体"/>
          <w:b/>
          <w:color w:val="auto"/>
          <w:szCs w:val="21"/>
          <w:highlight w:val="none"/>
        </w:rPr>
        <w:t>原文：</w:t>
      </w:r>
      <w:r>
        <w:rPr>
          <w:rFonts w:hint="eastAsia" w:ascii="宋体" w:cs="宋体"/>
          <w:color w:val="auto"/>
          <w:szCs w:val="21"/>
          <w:highlight w:val="none"/>
        </w:rPr>
        <w:t xml:space="preserve"> 29.1在收到中标通知书后的</w:t>
      </w:r>
      <w:r>
        <w:rPr>
          <w:rFonts w:hint="eastAsia" w:ascii="宋体" w:cs="宋体"/>
          <w:b/>
          <w:color w:val="auto"/>
          <w:szCs w:val="21"/>
          <w:highlight w:val="none"/>
        </w:rPr>
        <w:t>15日</w:t>
      </w:r>
      <w:r>
        <w:rPr>
          <w:rFonts w:hint="eastAsia" w:ascii="宋体" w:cs="宋体"/>
          <w:color w:val="auto"/>
          <w:szCs w:val="21"/>
          <w:highlight w:val="none"/>
        </w:rPr>
        <w:t>内，中标人应按本须知前附表第20项的规定向招标人提交履约担保。</w:t>
      </w:r>
    </w:p>
    <w:p w14:paraId="49C2DF1A">
      <w:pPr>
        <w:pBdr>
          <w:bottom w:val="single" w:color="auto" w:sz="6" w:space="1"/>
        </w:pBdr>
        <w:spacing w:line="360" w:lineRule="auto"/>
        <w:ind w:firstLine="525" w:firstLineChars="250"/>
        <w:rPr>
          <w:rFonts w:ascii="宋体" w:cs="宋体"/>
          <w:color w:val="auto"/>
          <w:szCs w:val="21"/>
          <w:highlight w:val="none"/>
        </w:rPr>
      </w:pPr>
      <w:r>
        <w:rPr>
          <w:rFonts w:hint="eastAsia" w:ascii="宋体" w:cs="宋体"/>
          <w:b/>
          <w:color w:val="auto"/>
          <w:szCs w:val="21"/>
          <w:highlight w:val="none"/>
        </w:rPr>
        <w:t>现文：</w:t>
      </w:r>
      <w:r>
        <w:rPr>
          <w:rFonts w:hint="eastAsia" w:ascii="宋体" w:cs="宋体"/>
          <w:color w:val="auto"/>
          <w:szCs w:val="21"/>
          <w:highlight w:val="none"/>
          <w:u w:val="single"/>
        </w:rPr>
        <w:t>29.1在签订合同后</w:t>
      </w:r>
      <w:r>
        <w:rPr>
          <w:rFonts w:hint="eastAsia" w:ascii="宋体" w:cs="宋体"/>
          <w:color w:val="auto"/>
          <w:szCs w:val="21"/>
          <w:highlight w:val="none"/>
          <w:u w:val="single"/>
          <w:lang w:val="en-US" w:eastAsia="zh-CN"/>
        </w:rPr>
        <w:t>7</w:t>
      </w:r>
      <w:r>
        <w:rPr>
          <w:rFonts w:ascii="宋体" w:cs="宋体"/>
          <w:color w:val="auto"/>
          <w:szCs w:val="21"/>
          <w:highlight w:val="none"/>
          <w:u w:val="single"/>
        </w:rPr>
        <w:t>日</w:t>
      </w:r>
      <w:r>
        <w:rPr>
          <w:rFonts w:hint="eastAsia" w:ascii="宋体" w:cs="宋体"/>
          <w:color w:val="auto"/>
          <w:szCs w:val="21"/>
          <w:highlight w:val="none"/>
          <w:u w:val="single"/>
        </w:rPr>
        <w:t>内，中标人应按本须知前附表第20项的规定向招标人提交履约担保。</w:t>
      </w:r>
    </w:p>
    <w:p w14:paraId="42529213">
      <w:pPr>
        <w:spacing w:line="360" w:lineRule="auto"/>
        <w:ind w:firstLine="470" w:firstLineChars="224"/>
        <w:rPr>
          <w:rFonts w:ascii="宋体" w:cs="宋体"/>
          <w:b/>
          <w:color w:val="auto"/>
          <w:szCs w:val="21"/>
          <w:highlight w:val="none"/>
        </w:rPr>
      </w:pPr>
      <w:r>
        <w:rPr>
          <w:rFonts w:hint="eastAsia" w:ascii="宋体" w:cs="宋体"/>
          <w:b/>
          <w:color w:val="auto"/>
          <w:szCs w:val="21"/>
          <w:highlight w:val="none"/>
        </w:rPr>
        <w:t xml:space="preserve">条款号：  </w:t>
      </w:r>
      <w:r>
        <w:rPr>
          <w:rFonts w:hint="eastAsia" w:ascii="宋体" w:cs="宋体"/>
          <w:color w:val="auto"/>
          <w:szCs w:val="21"/>
          <w:highlight w:val="none"/>
        </w:rPr>
        <w:t>29.2</w:t>
      </w:r>
      <w:r>
        <w:rPr>
          <w:rFonts w:hint="eastAsia" w:ascii="宋体" w:cs="宋体"/>
          <w:b/>
          <w:color w:val="auto"/>
          <w:szCs w:val="21"/>
          <w:highlight w:val="none"/>
        </w:rPr>
        <w:t xml:space="preserve">           修改类型：修改</w:t>
      </w:r>
    </w:p>
    <w:p w14:paraId="5EFC1A07">
      <w:pPr>
        <w:spacing w:line="360" w:lineRule="auto"/>
        <w:ind w:firstLine="470" w:firstLineChars="224"/>
        <w:rPr>
          <w:rFonts w:ascii="宋体" w:cs="宋体"/>
          <w:b/>
          <w:color w:val="auto"/>
          <w:szCs w:val="21"/>
          <w:highlight w:val="none"/>
        </w:rPr>
      </w:pPr>
      <w:r>
        <w:rPr>
          <w:rFonts w:hint="eastAsia" w:ascii="宋体" w:cs="宋体"/>
          <w:b/>
          <w:color w:val="auto"/>
          <w:szCs w:val="21"/>
          <w:highlight w:val="none"/>
        </w:rPr>
        <w:t>原文：</w:t>
      </w:r>
      <w:r>
        <w:rPr>
          <w:rFonts w:hint="eastAsia" w:asci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8F7A772">
      <w:pPr>
        <w:pBdr>
          <w:bottom w:val="single" w:color="auto" w:sz="6" w:space="1"/>
        </w:pBdr>
        <w:spacing w:line="360" w:lineRule="auto"/>
        <w:ind w:firstLine="525" w:firstLineChars="250"/>
        <w:rPr>
          <w:rFonts w:ascii="宋体" w:cs="宋体"/>
          <w:color w:val="auto"/>
          <w:szCs w:val="21"/>
          <w:highlight w:val="none"/>
        </w:rPr>
      </w:pPr>
      <w:r>
        <w:rPr>
          <w:rFonts w:hint="eastAsia" w:ascii="宋体" w:cs="宋体"/>
          <w:b/>
          <w:color w:val="auto"/>
          <w:szCs w:val="21"/>
          <w:highlight w:val="none"/>
        </w:rPr>
        <w:t>现文：</w:t>
      </w:r>
      <w:r>
        <w:rPr>
          <w:rFonts w:hint="eastAsia" w:ascii="宋体" w:cs="宋体"/>
          <w:color w:val="auto"/>
          <w:szCs w:val="21"/>
          <w:highlight w:val="none"/>
          <w:u w:val="single"/>
        </w:rPr>
        <w:t>29.2中标人未按上款的规定提交履约担保，招标人有权解除合同并拒绝支付相应工程款项，且中标人依法承担相应法律责任。原中标人给招标人造成损失的，还应当予以赔偿。原中标人有异议的，按合同纠纷条款执行</w:t>
      </w:r>
      <w:r>
        <w:rPr>
          <w:rFonts w:hint="eastAsia" w:ascii="宋体" w:cs="宋体"/>
          <w:color w:val="auto"/>
          <w:szCs w:val="21"/>
          <w:highlight w:val="none"/>
        </w:rPr>
        <w:t>。</w:t>
      </w:r>
    </w:p>
    <w:p w14:paraId="13D6B3FD">
      <w:pPr>
        <w:spacing w:line="440" w:lineRule="exact"/>
        <w:ind w:firstLine="470" w:firstLineChars="224"/>
        <w:rPr>
          <w:rFonts w:ascii="宋体" w:hAnsi="宋体" w:cs="宋体"/>
          <w:b/>
          <w:color w:val="auto"/>
          <w:szCs w:val="21"/>
          <w:highlight w:val="none"/>
        </w:rPr>
      </w:pPr>
      <w:r>
        <w:rPr>
          <w:rFonts w:hint="eastAsia" w:ascii="宋体" w:hAnsi="宋体" w:cs="宋体"/>
          <w:b/>
          <w:color w:val="auto"/>
          <w:szCs w:val="21"/>
          <w:highlight w:val="none"/>
        </w:rPr>
        <w:t>条款号： 30.1            修改类型：修改</w:t>
      </w:r>
    </w:p>
    <w:p w14:paraId="117420C3">
      <w:pPr>
        <w:spacing w:line="440" w:lineRule="exact"/>
        <w:ind w:firstLine="470" w:firstLineChars="224"/>
        <w:rPr>
          <w:rFonts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30.1在合同双方全权代表在合同协议书上签字，并分别加盖双方单位的公章后，合同正式生效</w:t>
      </w:r>
    </w:p>
    <w:p w14:paraId="6CF77CFD">
      <w:pPr>
        <w:spacing w:line="360" w:lineRule="auto"/>
        <w:ind w:firstLine="420" w:firstLineChars="200"/>
        <w:rPr>
          <w:rStyle w:val="127"/>
          <w:rFonts w:ascii="宋体" w:hAnsi="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30.1</w:t>
      </w:r>
      <w:r>
        <w:rPr>
          <w:rFonts w:hint="eastAsia" w:ascii="宋体" w:hAnsi="宋体" w:cs="宋体"/>
          <w:color w:val="auto"/>
          <w:szCs w:val="21"/>
          <w:highlight w:val="none"/>
          <w:u w:val="single"/>
        </w:rPr>
        <w:t>合同自发包人、承包人双方法定代表人或委托代理人签字并加盖公章之日起生效</w:t>
      </w:r>
      <w:r>
        <w:rPr>
          <w:rFonts w:hint="eastAsia" w:ascii="宋体" w:hAnsi="宋体" w:cs="宋体"/>
          <w:color w:val="auto"/>
          <w:szCs w:val="21"/>
          <w:highlight w:val="none"/>
        </w:rPr>
        <w:t>。</w:t>
      </w:r>
    </w:p>
    <w:p w14:paraId="5EE95E82">
      <w:pPr>
        <w:pBdr>
          <w:top w:val="single" w:color="auto" w:sz="4" w:space="1"/>
        </w:pBdr>
        <w:spacing w:line="360" w:lineRule="auto"/>
        <w:ind w:firstLine="562" w:firstLineChars="268"/>
        <w:rPr>
          <w:rFonts w:ascii="宋体" w:hAnsi="宋体" w:cs="宋体"/>
          <w:b/>
          <w:color w:val="auto"/>
          <w:szCs w:val="21"/>
          <w:highlight w:val="none"/>
        </w:rPr>
      </w:pPr>
      <w:r>
        <w:rPr>
          <w:rFonts w:hint="eastAsia" w:ascii="宋体" w:hAnsi="宋体" w:cs="宋体"/>
          <w:b/>
          <w:color w:val="auto"/>
          <w:szCs w:val="21"/>
          <w:highlight w:val="none"/>
        </w:rPr>
        <w:t>条款号： 33            修改类型：增加</w:t>
      </w:r>
    </w:p>
    <w:p w14:paraId="16130396">
      <w:pPr>
        <w:pBdr>
          <w:bottom w:val="single" w:color="auto" w:sz="6" w:space="1"/>
        </w:pBdr>
        <w:adjustRightInd w:val="0"/>
        <w:spacing w:line="400" w:lineRule="exact"/>
        <w:ind w:firstLine="422" w:firstLineChars="201"/>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u w:val="single"/>
        </w:rPr>
        <w:t>中标单位在中标公示后，签订合同前，须提供与所递交投标电子标书内容一致且加盖单位公章的纸质文件2套及电子文件1套（不用生成投标书；包括用Microsoft Excel 软件或广州交易集团有限公司（广州公共资源交易中心）提供的投标书制作软件制作的工程量清单报价表和单价分析表，用MicrosoftWord软件或广州交易集团有限公司（广州公共资源交易中心）提供的投标书制作软件制作的经济投标文件其他部分；以及与所递交投标电子标书内容一致的投标版计价软件及XML投标版cos文件；补齐遗漏表格及相关内容或者无条件接受招标人给出的表格及相关内容。电子文件介质使用CD-R光盘，所有电子文件不能采用压缩处理）给招标人。</w:t>
      </w:r>
    </w:p>
    <w:p w14:paraId="02061573">
      <w:pPr>
        <w:spacing w:line="360" w:lineRule="auto"/>
        <w:ind w:firstLine="210" w:firstLineChars="100"/>
        <w:rPr>
          <w:rStyle w:val="127"/>
          <w:rFonts w:ascii="宋体" w:hAnsi="宋体"/>
          <w:b/>
          <w:color w:val="auto"/>
          <w:szCs w:val="21"/>
          <w:highlight w:val="none"/>
        </w:rPr>
      </w:pPr>
      <w:r>
        <w:rPr>
          <w:rStyle w:val="127"/>
          <w:rFonts w:ascii="宋体" w:hAnsi="宋体"/>
          <w:b/>
          <w:color w:val="auto"/>
          <w:szCs w:val="21"/>
          <w:highlight w:val="none"/>
        </w:rPr>
        <w:t>注：以上修改，仅限于本范本中有可供选择条款的情形。</w:t>
      </w:r>
    </w:p>
    <w:p w14:paraId="504A789E">
      <w:pPr>
        <w:spacing w:line="360" w:lineRule="auto"/>
        <w:rPr>
          <w:rStyle w:val="127"/>
          <w:rFonts w:hint="eastAsia" w:ascii="宋体" w:hAnsi="宋体"/>
          <w:color w:val="auto"/>
          <w:szCs w:val="21"/>
          <w:highlight w:val="none"/>
        </w:rPr>
      </w:pPr>
      <w:r>
        <w:rPr>
          <w:rStyle w:val="127"/>
          <w:rFonts w:ascii="宋体" w:hAnsi="宋体"/>
          <w:b/>
          <w:color w:val="auto"/>
          <w:szCs w:val="21"/>
          <w:highlight w:val="none"/>
        </w:rPr>
        <w:t>（以下无正文）</w:t>
      </w:r>
    </w:p>
    <w:p w14:paraId="6BB73CF1">
      <w:pPr>
        <w:pStyle w:val="141"/>
        <w:spacing w:line="360" w:lineRule="auto"/>
        <w:outlineLvl w:val="1"/>
        <w:rPr>
          <w:rStyle w:val="127"/>
          <w:rFonts w:ascii="宋体" w:hAnsi="宋体"/>
          <w:b/>
          <w:color w:val="auto"/>
          <w:highlight w:val="none"/>
        </w:rPr>
      </w:pPr>
      <w:r>
        <w:rPr>
          <w:rStyle w:val="127"/>
          <w:rFonts w:ascii="宋体" w:hAnsi="宋体"/>
          <w:b/>
          <w:color w:val="auto"/>
          <w:highlight w:val="none"/>
        </w:rPr>
        <w:br w:type="page"/>
      </w:r>
      <w:bookmarkStart w:id="8" w:name="_Toc185324317"/>
      <w:r>
        <w:rPr>
          <w:rStyle w:val="127"/>
          <w:rFonts w:ascii="宋体" w:hAnsi="宋体"/>
          <w:b/>
          <w:color w:val="auto"/>
          <w:highlight w:val="none"/>
        </w:rPr>
        <w:t>三、投标须知通用条款</w:t>
      </w:r>
      <w:bookmarkEnd w:id="8"/>
    </w:p>
    <w:p w14:paraId="3123DF80">
      <w:pPr>
        <w:pStyle w:val="7"/>
        <w:spacing w:before="156" w:beforeAutospacing="0" w:after="156" w:afterAutospacing="0" w:line="360" w:lineRule="auto"/>
        <w:rPr>
          <w:b/>
          <w:bCs/>
          <w:color w:val="auto"/>
          <w:sz w:val="21"/>
          <w:szCs w:val="21"/>
          <w:highlight w:val="none"/>
        </w:rPr>
      </w:pPr>
      <w:bookmarkStart w:id="9" w:name="_Toc185324318"/>
      <w:bookmarkStart w:id="10" w:name="_Toc105014624"/>
      <w:r>
        <w:rPr>
          <w:rFonts w:hint="eastAsia"/>
          <w:b/>
          <w:bCs/>
          <w:color w:val="auto"/>
          <w:sz w:val="21"/>
          <w:szCs w:val="21"/>
          <w:highlight w:val="none"/>
        </w:rPr>
        <w:t>（一）总则</w:t>
      </w:r>
      <w:bookmarkEnd w:id="9"/>
      <w:bookmarkEnd w:id="10"/>
    </w:p>
    <w:p w14:paraId="7F2051CA">
      <w:pPr>
        <w:pStyle w:val="4"/>
        <w:spacing w:after="0" w:line="360" w:lineRule="auto"/>
        <w:ind w:firstLine="420" w:firstLineChars="200"/>
        <w:rPr>
          <w:rFonts w:hint="eastAsia" w:ascii="宋体" w:hAnsi="宋体"/>
          <w:b/>
          <w:bCs/>
          <w:color w:val="auto"/>
          <w:sz w:val="21"/>
          <w:szCs w:val="21"/>
          <w:highlight w:val="none"/>
        </w:rPr>
      </w:pPr>
      <w:r>
        <w:rPr>
          <w:rFonts w:ascii="宋体" w:hAnsi="宋体"/>
          <w:b/>
          <w:bCs/>
          <w:color w:val="auto"/>
          <w:sz w:val="21"/>
          <w:szCs w:val="21"/>
          <w:highlight w:val="none"/>
        </w:rPr>
        <w:t xml:space="preserve">1. </w:t>
      </w:r>
      <w:r>
        <w:rPr>
          <w:rFonts w:hint="eastAsia" w:ascii="宋体" w:hAnsi="宋体"/>
          <w:b/>
          <w:bCs/>
          <w:color w:val="auto"/>
          <w:sz w:val="21"/>
          <w:szCs w:val="21"/>
          <w:highlight w:val="none"/>
        </w:rPr>
        <w:t>定义</w:t>
      </w:r>
    </w:p>
    <w:p w14:paraId="51CC29FF">
      <w:pPr>
        <w:pStyle w:val="4"/>
        <w:spacing w:after="0" w:line="360" w:lineRule="auto"/>
        <w:ind w:firstLineChars="200"/>
        <w:rPr>
          <w:rFonts w:hint="eastAsia" w:ascii="宋体" w:hAnsi="宋体"/>
          <w:b/>
          <w:bCs/>
          <w:color w:val="auto"/>
          <w:sz w:val="21"/>
          <w:szCs w:val="21"/>
          <w:highlight w:val="none"/>
        </w:rPr>
      </w:pPr>
      <w:r>
        <w:rPr>
          <w:rFonts w:hint="eastAsia" w:ascii="宋体" w:hAnsi="宋体"/>
          <w:color w:val="auto"/>
          <w:sz w:val="21"/>
          <w:szCs w:val="21"/>
          <w:highlight w:val="none"/>
        </w:rPr>
        <w:t>本招标文件使用的下列词语具有如下规定的意义：</w:t>
      </w:r>
    </w:p>
    <w:p w14:paraId="51F40472">
      <w:pPr>
        <w:pStyle w:val="4"/>
        <w:spacing w:after="0" w:line="360" w:lineRule="auto"/>
        <w:ind w:firstLineChars="200"/>
        <w:rPr>
          <w:rFonts w:hint="eastAsia" w:ascii="宋体" w:hAnsi="宋体"/>
          <w:b/>
          <w:bCs/>
          <w:color w:val="auto"/>
          <w:sz w:val="21"/>
          <w:szCs w:val="21"/>
          <w:highlight w:val="none"/>
          <w:u w:val="single"/>
        </w:rPr>
      </w:pPr>
      <w:r>
        <w:rPr>
          <w:rFonts w:hint="eastAsia" w:ascii="宋体" w:hAnsi="宋体"/>
          <w:color w:val="auto"/>
          <w:sz w:val="21"/>
          <w:szCs w:val="21"/>
          <w:highlight w:val="none"/>
        </w:rPr>
        <w:t>（1）“招标人”（即发包人）、“项目建设管理单位”（或称“项目代建单位”）、“招标代理”、“设计单位”、“监理单位”均已在投标须知前附表中列明。</w:t>
      </w:r>
    </w:p>
    <w:p w14:paraId="6D393045">
      <w:pPr>
        <w:pStyle w:val="4"/>
        <w:spacing w:after="0" w:line="360" w:lineRule="auto"/>
        <w:ind w:firstLineChars="200"/>
        <w:rPr>
          <w:rFonts w:hint="eastAsia" w:ascii="宋体" w:hAnsi="宋体"/>
          <w:color w:val="auto"/>
          <w:sz w:val="21"/>
          <w:szCs w:val="21"/>
          <w:highlight w:val="none"/>
          <w:u w:val="single"/>
        </w:rPr>
      </w:pPr>
      <w:r>
        <w:rPr>
          <w:rFonts w:hint="eastAsia" w:ascii="宋体" w:hAnsi="宋体"/>
          <w:color w:val="auto"/>
          <w:sz w:val="21"/>
          <w:szCs w:val="21"/>
          <w:highlight w:val="none"/>
        </w:rPr>
        <w:t xml:space="preserve">（2）“投标人”指向招标人提交投标文件的当事人。   </w:t>
      </w:r>
    </w:p>
    <w:p w14:paraId="17A4F04F">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（3）“承包人”指其投标被招标人接受并与其签订承包合同的当事人。</w:t>
      </w:r>
    </w:p>
    <w:p w14:paraId="0ED5D6E4">
      <w:pPr>
        <w:pStyle w:val="4"/>
        <w:spacing w:after="0" w:line="360" w:lineRule="auto"/>
        <w:ind w:firstLineChars="200"/>
        <w:rPr>
          <w:rFonts w:hint="eastAsia" w:ascii="宋体" w:hAnsi="宋体"/>
          <w:color w:val="auto"/>
          <w:sz w:val="21"/>
          <w:szCs w:val="21"/>
          <w:highlight w:val="none"/>
          <w:u w:val="single"/>
        </w:rPr>
      </w:pPr>
      <w:r>
        <w:rPr>
          <w:rFonts w:hint="eastAsia" w:ascii="宋体" w:hAnsi="宋体"/>
          <w:color w:val="auto"/>
          <w:sz w:val="21"/>
          <w:szCs w:val="21"/>
          <w:highlight w:val="none"/>
        </w:rPr>
        <w:t>（4）“招标文件”指由招标代理发出的本文件（包括全部章节、附件）及招标答疑会会议纪要和</w:t>
      </w:r>
      <w:r>
        <w:rPr>
          <w:rFonts w:hint="eastAsia" w:ascii="宋体" w:hAnsi="宋体"/>
          <w:bCs/>
          <w:color w:val="auto"/>
          <w:sz w:val="21"/>
          <w:szCs w:val="21"/>
          <w:highlight w:val="none"/>
        </w:rPr>
        <w:t>招标文件的澄清与修改</w:t>
      </w:r>
      <w:r>
        <w:rPr>
          <w:rFonts w:hint="eastAsia" w:ascii="宋体" w:hAnsi="宋体"/>
          <w:color w:val="auto"/>
          <w:sz w:val="21"/>
          <w:szCs w:val="21"/>
          <w:highlight w:val="none"/>
        </w:rPr>
        <w:t>文件。</w:t>
      </w:r>
    </w:p>
    <w:p w14:paraId="67D4BE94">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（5）“投标文件”指投标人根据本项目招标文件向招标人提交的全部文件。</w:t>
      </w:r>
    </w:p>
    <w:p w14:paraId="46C1D0FB">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（6）“书面形式”指打字或印刷的文件和数据电文（包括电报、电传、传真、电子数据交换和电子邮件）。</w:t>
      </w:r>
    </w:p>
    <w:p w14:paraId="73144E0E">
      <w:pPr>
        <w:spacing w:line="360" w:lineRule="auto"/>
        <w:ind w:firstLine="420" w:firstLineChars="200"/>
        <w:rPr>
          <w:rFonts w:hint="eastAsia" w:ascii="宋体" w:hAnsi="宋体"/>
          <w:b/>
          <w:color w:val="auto"/>
          <w:szCs w:val="21"/>
          <w:highlight w:val="none"/>
        </w:rPr>
      </w:pPr>
      <w:r>
        <w:rPr>
          <w:rFonts w:ascii="宋体" w:hAnsi="宋体"/>
          <w:b/>
          <w:color w:val="auto"/>
          <w:szCs w:val="21"/>
          <w:highlight w:val="none"/>
        </w:rPr>
        <w:t xml:space="preserve">2. </w:t>
      </w:r>
      <w:r>
        <w:rPr>
          <w:rFonts w:hint="eastAsia" w:ascii="宋体" w:hAnsi="宋体"/>
          <w:b/>
          <w:color w:val="auto"/>
          <w:szCs w:val="21"/>
          <w:highlight w:val="none"/>
        </w:rPr>
        <w:t>招标说明</w:t>
      </w:r>
    </w:p>
    <w:p w14:paraId="73B8EA33">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2.1本招标工程项目按照《中华人民共和国招标投标法》等有关法律、行政法规、规章和规范性文件，通过招标方式选定承包人。</w:t>
      </w:r>
    </w:p>
    <w:p w14:paraId="2885615C">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2.2工程名称、建设地点、建设规模、承包方式、质量标准、招标范围、工期要求等均在投标须知前附表中列明。</w:t>
      </w:r>
    </w:p>
    <w:p w14:paraId="408DE553">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2.3设计说明：详见招标图纸。</w:t>
      </w:r>
    </w:p>
    <w:p w14:paraId="06AF0633">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2.4工程施工特点：详见招标图纸。</w:t>
      </w:r>
    </w:p>
    <w:p w14:paraId="1BE667E2">
      <w:pPr>
        <w:spacing w:line="360" w:lineRule="auto"/>
        <w:ind w:firstLine="420" w:firstLineChars="200"/>
        <w:rPr>
          <w:rFonts w:hint="eastAsia" w:ascii="宋体" w:hAnsi="宋体"/>
          <w:b/>
          <w:color w:val="auto"/>
          <w:szCs w:val="21"/>
          <w:highlight w:val="none"/>
        </w:rPr>
      </w:pPr>
      <w:r>
        <w:rPr>
          <w:rFonts w:ascii="宋体" w:hAnsi="宋体"/>
          <w:b/>
          <w:color w:val="auto"/>
          <w:szCs w:val="21"/>
          <w:highlight w:val="none"/>
        </w:rPr>
        <w:t xml:space="preserve">3. </w:t>
      </w:r>
      <w:r>
        <w:rPr>
          <w:rFonts w:hint="eastAsia" w:ascii="宋体" w:hAnsi="宋体"/>
          <w:b/>
          <w:color w:val="auto"/>
          <w:szCs w:val="21"/>
          <w:highlight w:val="none"/>
        </w:rPr>
        <w:t>资金来源</w:t>
      </w:r>
    </w:p>
    <w:p w14:paraId="49CA6D47">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3.1本招标工程项目资金来源见投标须知前附表第9项。</w:t>
      </w:r>
    </w:p>
    <w:p w14:paraId="240594D5">
      <w:pPr>
        <w:spacing w:line="360" w:lineRule="auto"/>
        <w:ind w:firstLine="420" w:firstLineChars="200"/>
        <w:rPr>
          <w:rFonts w:hint="eastAsia" w:ascii="宋体" w:hAnsi="宋体"/>
          <w:b/>
          <w:color w:val="auto"/>
          <w:szCs w:val="21"/>
          <w:highlight w:val="none"/>
        </w:rPr>
      </w:pPr>
      <w:r>
        <w:rPr>
          <w:rFonts w:ascii="宋体" w:hAnsi="宋体"/>
          <w:b/>
          <w:color w:val="auto"/>
          <w:szCs w:val="21"/>
          <w:highlight w:val="none"/>
        </w:rPr>
        <w:t xml:space="preserve">4. </w:t>
      </w:r>
      <w:r>
        <w:rPr>
          <w:rFonts w:hint="eastAsia" w:ascii="宋体" w:hAnsi="宋体"/>
          <w:b/>
          <w:color w:val="auto"/>
          <w:szCs w:val="21"/>
          <w:highlight w:val="none"/>
        </w:rPr>
        <w:t>合格投标人的条件</w:t>
      </w:r>
    </w:p>
    <w:p w14:paraId="4653B257">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4.1详见本项目招标公告</w:t>
      </w:r>
    </w:p>
    <w:p w14:paraId="16FE70B3">
      <w:pPr>
        <w:spacing w:line="360" w:lineRule="auto"/>
        <w:ind w:firstLine="420" w:firstLineChars="200"/>
        <w:rPr>
          <w:rFonts w:hint="eastAsia" w:ascii="宋体" w:hAnsi="宋体"/>
          <w:b/>
          <w:color w:val="auto"/>
          <w:szCs w:val="21"/>
          <w:highlight w:val="none"/>
        </w:rPr>
      </w:pPr>
      <w:r>
        <w:rPr>
          <w:rFonts w:hint="eastAsia" w:ascii="宋体" w:hAnsi="宋体"/>
          <w:b/>
          <w:color w:val="auto"/>
          <w:szCs w:val="21"/>
          <w:highlight w:val="none"/>
        </w:rPr>
        <w:t>5．踏勘现场</w:t>
      </w:r>
    </w:p>
    <w:p w14:paraId="2AA5C389">
      <w:pPr>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5.1 投标人应按本投标须知前附表第15项所述时间和要求对工程现场及周围环境进行踏勘，</w:t>
      </w:r>
      <w:r>
        <w:rPr>
          <w:rFonts w:hint="eastAsia" w:ascii="宋体" w:hAnsi="宋体"/>
          <w:color w:val="auto"/>
          <w:szCs w:val="21"/>
          <w:highlight w:val="none"/>
        </w:rPr>
        <w:t>投标人应充分重视和仔细地进行这种考察，</w:t>
      </w:r>
      <w:r>
        <w:rPr>
          <w:rFonts w:hint="eastAsia" w:ascii="宋体" w:hAnsi="宋体"/>
          <w:bCs/>
          <w:color w:val="auto"/>
          <w:szCs w:val="21"/>
          <w:highlight w:val="none"/>
        </w:rPr>
        <w:t>以便投标人获取</w:t>
      </w:r>
      <w:r>
        <w:rPr>
          <w:rFonts w:hint="eastAsia" w:ascii="宋体" w:hAnsi="宋体"/>
          <w:color w:val="auto"/>
          <w:szCs w:val="21"/>
          <w:highlight w:val="none"/>
        </w:rPr>
        <w:t>那些须投标人自己负责的</w:t>
      </w:r>
      <w:r>
        <w:rPr>
          <w:rFonts w:hint="eastAsia" w:ascii="宋体" w:hAnsi="宋体"/>
          <w:bCs/>
          <w:color w:val="auto"/>
          <w:szCs w:val="21"/>
          <w:highlight w:val="none"/>
        </w:rPr>
        <w:t>有关编制投标文件和签署合同所涉及现场所有的资料。</w:t>
      </w:r>
      <w:r>
        <w:rPr>
          <w:rFonts w:hint="eastAsia" w:ascii="宋体" w:hAnsi="宋体"/>
          <w:color w:val="auto"/>
          <w:szCs w:val="21"/>
          <w:highlight w:val="none"/>
        </w:rPr>
        <w:t>一旦中标，这种考察即被认为其结果已在中标文件中得到充分反映。考察现场的费用由投标人自己承担。</w:t>
      </w:r>
    </w:p>
    <w:p w14:paraId="7ABFCEC3">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5.2 招标人向投标人提供的有关现场的数据和资料，是招标人现有的能被投标人利用的资料，招标人对投标人做出的任何推论、理解和结论均不负责任。</w:t>
      </w:r>
    </w:p>
    <w:p w14:paraId="414572BB">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5.3 经招标人允许，投标人可为踏勘目的进入招标人的项目现场。</w:t>
      </w:r>
      <w:r>
        <w:rPr>
          <w:rFonts w:hint="eastAsia" w:ascii="宋体" w:hAnsi="宋体"/>
          <w:color w:val="auto"/>
          <w:szCs w:val="21"/>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Cs w:val="21"/>
          <w:highlight w:val="none"/>
        </w:rPr>
        <w:t>投标人不得因此使招标人承担有关的责任和蒙受损失。</w:t>
      </w:r>
    </w:p>
    <w:p w14:paraId="1540BAF9">
      <w:pPr>
        <w:spacing w:line="360" w:lineRule="auto"/>
        <w:ind w:firstLine="420" w:firstLineChars="200"/>
        <w:rPr>
          <w:rFonts w:hint="eastAsia" w:ascii="宋体" w:hAnsi="宋体"/>
          <w:b/>
          <w:color w:val="auto"/>
          <w:szCs w:val="21"/>
          <w:highlight w:val="none"/>
        </w:rPr>
      </w:pPr>
      <w:r>
        <w:rPr>
          <w:rFonts w:hint="eastAsia" w:ascii="宋体" w:hAnsi="宋体"/>
          <w:b/>
          <w:color w:val="auto"/>
          <w:szCs w:val="21"/>
          <w:highlight w:val="none"/>
        </w:rPr>
        <w:t>6．投标费用</w:t>
      </w:r>
    </w:p>
    <w:p w14:paraId="75CC7A7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6.1</w:t>
      </w:r>
      <w:r>
        <w:rPr>
          <w:rFonts w:hint="eastAsia" w:ascii="宋体" w:hAnsi="宋体"/>
          <w:color w:val="auto"/>
          <w:szCs w:val="21"/>
          <w:highlight w:val="none"/>
        </w:rPr>
        <w:t>不论投标结果如何，投标人应承担</w:t>
      </w:r>
      <w:r>
        <w:rPr>
          <w:rFonts w:hint="eastAsia" w:ascii="宋体" w:hAnsi="宋体"/>
          <w:bCs/>
          <w:color w:val="auto"/>
          <w:szCs w:val="21"/>
          <w:highlight w:val="none"/>
        </w:rPr>
        <w:t>自身</w:t>
      </w:r>
      <w:r>
        <w:rPr>
          <w:rFonts w:hint="eastAsia" w:ascii="宋体" w:hAnsi="宋体"/>
          <w:color w:val="auto"/>
          <w:szCs w:val="21"/>
          <w:highlight w:val="none"/>
        </w:rPr>
        <w:t>因投标文件编制、递交及其他</w:t>
      </w:r>
      <w:r>
        <w:rPr>
          <w:rFonts w:hint="eastAsia" w:ascii="宋体" w:hAnsi="宋体"/>
          <w:bCs/>
          <w:color w:val="auto"/>
          <w:szCs w:val="21"/>
          <w:highlight w:val="none"/>
        </w:rPr>
        <w:t>参加本招标活动</w:t>
      </w:r>
      <w:r>
        <w:rPr>
          <w:rFonts w:hint="eastAsia" w:ascii="宋体" w:hAnsi="宋体"/>
          <w:color w:val="auto"/>
          <w:szCs w:val="21"/>
          <w:highlight w:val="none"/>
        </w:rPr>
        <w:t>所涉及的一切费用，招标人对上述费用不负任何责任。</w:t>
      </w:r>
    </w:p>
    <w:p w14:paraId="6C7DF4D4">
      <w:pPr>
        <w:pStyle w:val="7"/>
        <w:spacing w:before="156" w:beforeAutospacing="0" w:after="156" w:afterAutospacing="0" w:line="360" w:lineRule="auto"/>
        <w:rPr>
          <w:rFonts w:hint="eastAsia"/>
          <w:b/>
          <w:bCs/>
          <w:color w:val="auto"/>
          <w:sz w:val="21"/>
          <w:szCs w:val="21"/>
          <w:highlight w:val="none"/>
        </w:rPr>
      </w:pPr>
      <w:bookmarkStart w:id="11" w:name="_Toc105014625"/>
      <w:bookmarkStart w:id="12" w:name="_Toc185324319"/>
      <w:r>
        <w:rPr>
          <w:rFonts w:hint="eastAsia"/>
          <w:b/>
          <w:bCs/>
          <w:color w:val="auto"/>
          <w:sz w:val="21"/>
          <w:szCs w:val="21"/>
          <w:highlight w:val="none"/>
        </w:rPr>
        <w:t>（二）招标文件</w:t>
      </w:r>
      <w:bookmarkEnd w:id="11"/>
      <w:bookmarkEnd w:id="12"/>
    </w:p>
    <w:p w14:paraId="029A2A09">
      <w:pPr>
        <w:spacing w:line="360" w:lineRule="auto"/>
        <w:ind w:firstLine="420" w:firstLineChars="200"/>
        <w:rPr>
          <w:rFonts w:hint="eastAsia" w:ascii="宋体" w:hAnsi="宋体"/>
          <w:b/>
          <w:color w:val="auto"/>
          <w:szCs w:val="21"/>
          <w:highlight w:val="none"/>
        </w:rPr>
      </w:pPr>
      <w:r>
        <w:rPr>
          <w:rFonts w:hint="eastAsia" w:ascii="宋体" w:hAnsi="宋体"/>
          <w:b/>
          <w:color w:val="auto"/>
          <w:szCs w:val="21"/>
          <w:highlight w:val="none"/>
        </w:rPr>
        <w:t>7.</w:t>
      </w:r>
      <w:r>
        <w:rPr>
          <w:rFonts w:ascii="宋体" w:hAnsi="宋体"/>
          <w:b/>
          <w:color w:val="auto"/>
          <w:szCs w:val="21"/>
          <w:highlight w:val="none"/>
        </w:rPr>
        <w:t xml:space="preserve"> </w:t>
      </w:r>
      <w:r>
        <w:rPr>
          <w:rFonts w:hint="eastAsia" w:ascii="宋体" w:hAnsi="宋体"/>
          <w:b/>
          <w:color w:val="auto"/>
          <w:szCs w:val="21"/>
          <w:highlight w:val="none"/>
        </w:rPr>
        <w:t>招标文件的组成</w:t>
      </w:r>
    </w:p>
    <w:p w14:paraId="55C1E58E">
      <w:pPr>
        <w:spacing w:line="360" w:lineRule="auto"/>
        <w:ind w:firstLine="420" w:firstLineChars="200"/>
        <w:rPr>
          <w:rFonts w:hint="eastAsia" w:ascii="宋体" w:hAnsi="宋体"/>
          <w:color w:val="auto"/>
          <w:szCs w:val="21"/>
          <w:highlight w:val="none"/>
        </w:rPr>
      </w:pPr>
      <w:r>
        <w:rPr>
          <w:rFonts w:hint="eastAsia" w:ascii="宋体" w:hAnsi="宋体"/>
          <w:bCs/>
          <w:color w:val="auto"/>
          <w:szCs w:val="21"/>
          <w:highlight w:val="none"/>
        </w:rPr>
        <w:t>7.1</w:t>
      </w:r>
      <w:r>
        <w:rPr>
          <w:rFonts w:hint="eastAsia" w:ascii="宋体" w:hAnsi="宋体"/>
          <w:color w:val="auto"/>
          <w:szCs w:val="21"/>
          <w:highlight w:val="none"/>
        </w:rPr>
        <w:t>本招标文件包括下列文件，以及所有按本须知第8条发出的招标答疑会会议纪要和按本须知第9条发出的澄清或修改：</w:t>
      </w:r>
    </w:p>
    <w:p w14:paraId="4DCD3CB3">
      <w:pPr>
        <w:pStyle w:val="4"/>
        <w:spacing w:after="0" w:line="360" w:lineRule="auto"/>
        <w:ind w:left="-2" w:firstLineChars="200"/>
        <w:rPr>
          <w:rFonts w:hint="eastAsia" w:ascii="宋体" w:hAnsi="宋体"/>
          <w:color w:val="auto"/>
          <w:sz w:val="21"/>
          <w:szCs w:val="21"/>
          <w:highlight w:val="none"/>
        </w:rPr>
      </w:pPr>
      <w:r>
        <w:rPr>
          <w:rFonts w:hint="eastAsia" w:ascii="宋体" w:hAnsi="宋体"/>
          <w:bCs/>
          <w:color w:val="auto"/>
          <w:sz w:val="21"/>
          <w:szCs w:val="21"/>
          <w:highlight w:val="none"/>
        </w:rPr>
        <w:t xml:space="preserve">第一章  </w:t>
      </w:r>
      <w:r>
        <w:rPr>
          <w:rFonts w:hint="eastAsia" w:ascii="宋体" w:hAnsi="宋体"/>
          <w:color w:val="auto"/>
          <w:sz w:val="21"/>
          <w:szCs w:val="21"/>
          <w:highlight w:val="none"/>
        </w:rPr>
        <w:t>投标须知</w:t>
      </w:r>
    </w:p>
    <w:p w14:paraId="3E157785">
      <w:pPr>
        <w:pStyle w:val="4"/>
        <w:spacing w:after="0" w:line="360" w:lineRule="auto"/>
        <w:ind w:left="-2" w:firstLineChars="200"/>
        <w:rPr>
          <w:rFonts w:hint="eastAsia" w:ascii="宋体" w:hAnsi="宋体"/>
          <w:color w:val="auto"/>
          <w:sz w:val="21"/>
          <w:szCs w:val="21"/>
          <w:highlight w:val="none"/>
        </w:rPr>
      </w:pPr>
      <w:r>
        <w:rPr>
          <w:rFonts w:hint="eastAsia" w:ascii="宋体" w:hAnsi="宋体"/>
          <w:bCs/>
          <w:color w:val="auto"/>
          <w:sz w:val="21"/>
          <w:szCs w:val="21"/>
          <w:highlight w:val="none"/>
        </w:rPr>
        <w:t xml:space="preserve">第二章  </w:t>
      </w:r>
      <w:r>
        <w:rPr>
          <w:rFonts w:hint="eastAsia" w:ascii="宋体" w:hAnsi="宋体"/>
          <w:color w:val="auto"/>
          <w:sz w:val="21"/>
          <w:szCs w:val="21"/>
          <w:highlight w:val="none"/>
        </w:rPr>
        <w:t>开标、评标及定标办法</w:t>
      </w:r>
    </w:p>
    <w:p w14:paraId="70EC55DD">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第三章  合同条款</w:t>
      </w:r>
    </w:p>
    <w:p w14:paraId="0759802D">
      <w:pPr>
        <w:pStyle w:val="4"/>
        <w:spacing w:after="0" w:line="360" w:lineRule="auto"/>
        <w:ind w:firstLineChars="200"/>
        <w:rPr>
          <w:rFonts w:hint="eastAsia" w:ascii="宋体" w:hAnsi="宋体"/>
          <w:color w:val="auto"/>
          <w:sz w:val="21"/>
          <w:szCs w:val="21"/>
          <w:highlight w:val="none"/>
        </w:rPr>
      </w:pPr>
      <w:r>
        <w:rPr>
          <w:rFonts w:hint="eastAsia" w:ascii="宋体" w:hAnsi="宋体"/>
          <w:bCs/>
          <w:color w:val="auto"/>
          <w:sz w:val="21"/>
          <w:szCs w:val="21"/>
          <w:highlight w:val="none"/>
        </w:rPr>
        <w:t xml:space="preserve">第四章  </w:t>
      </w:r>
      <w:r>
        <w:rPr>
          <w:rFonts w:hint="eastAsia" w:ascii="宋体" w:hAnsi="宋体"/>
          <w:color w:val="auto"/>
          <w:sz w:val="21"/>
          <w:szCs w:val="21"/>
          <w:highlight w:val="none"/>
        </w:rPr>
        <w:t>投标文件格式</w:t>
      </w:r>
    </w:p>
    <w:p w14:paraId="4F7B1F5E">
      <w:pPr>
        <w:pStyle w:val="4"/>
        <w:spacing w:after="0" w:line="360" w:lineRule="auto"/>
        <w:ind w:left="-2" w:firstLineChars="200"/>
        <w:rPr>
          <w:rFonts w:hint="eastAsia" w:ascii="宋体" w:hAnsi="宋体"/>
          <w:color w:val="auto"/>
          <w:sz w:val="21"/>
          <w:szCs w:val="21"/>
          <w:highlight w:val="none"/>
        </w:rPr>
      </w:pPr>
      <w:r>
        <w:rPr>
          <w:rFonts w:hint="eastAsia" w:ascii="宋体" w:hAnsi="宋体"/>
          <w:bCs/>
          <w:color w:val="auto"/>
          <w:sz w:val="21"/>
          <w:szCs w:val="21"/>
          <w:highlight w:val="none"/>
        </w:rPr>
        <w:t xml:space="preserve">第五章  </w:t>
      </w:r>
      <w:r>
        <w:rPr>
          <w:rFonts w:hint="eastAsia" w:ascii="宋体" w:hAnsi="宋体"/>
          <w:color w:val="auto"/>
          <w:sz w:val="21"/>
          <w:szCs w:val="21"/>
          <w:highlight w:val="none"/>
        </w:rPr>
        <w:t>技术条件（工程建设标准）（另册）</w:t>
      </w:r>
    </w:p>
    <w:p w14:paraId="78DD62D2">
      <w:pPr>
        <w:pStyle w:val="4"/>
        <w:spacing w:after="0" w:line="360" w:lineRule="auto"/>
        <w:ind w:left="-2" w:firstLineChars="200"/>
        <w:rPr>
          <w:rFonts w:hint="eastAsia" w:ascii="宋体" w:hAnsi="宋体"/>
          <w:color w:val="auto"/>
          <w:sz w:val="21"/>
          <w:szCs w:val="21"/>
          <w:highlight w:val="none"/>
        </w:rPr>
      </w:pPr>
      <w:r>
        <w:rPr>
          <w:rFonts w:hint="eastAsia" w:ascii="宋体" w:hAnsi="宋体"/>
          <w:bCs/>
          <w:color w:val="auto"/>
          <w:sz w:val="21"/>
          <w:szCs w:val="21"/>
          <w:highlight w:val="none"/>
        </w:rPr>
        <w:t xml:space="preserve">第六章  </w:t>
      </w:r>
      <w:r>
        <w:rPr>
          <w:rFonts w:hint="eastAsia" w:ascii="宋体" w:hAnsi="宋体"/>
          <w:color w:val="auto"/>
          <w:sz w:val="21"/>
          <w:szCs w:val="21"/>
          <w:highlight w:val="none"/>
        </w:rPr>
        <w:t>图纸及勘察资料（另册）</w:t>
      </w:r>
    </w:p>
    <w:p w14:paraId="45A8E732">
      <w:pPr>
        <w:pStyle w:val="4"/>
        <w:spacing w:after="0" w:line="360" w:lineRule="auto"/>
        <w:ind w:left="-2" w:firstLineChars="200"/>
        <w:rPr>
          <w:rFonts w:hint="eastAsia" w:ascii="宋体" w:hAnsi="宋体"/>
          <w:color w:val="auto"/>
          <w:sz w:val="21"/>
          <w:szCs w:val="21"/>
          <w:highlight w:val="none"/>
        </w:rPr>
      </w:pPr>
      <w:r>
        <w:rPr>
          <w:rFonts w:hint="eastAsia" w:ascii="宋体" w:hAnsi="宋体"/>
          <w:bCs/>
          <w:color w:val="auto"/>
          <w:sz w:val="21"/>
          <w:szCs w:val="21"/>
          <w:highlight w:val="none"/>
        </w:rPr>
        <w:t>第七章  招标</w:t>
      </w:r>
      <w:r>
        <w:rPr>
          <w:rFonts w:hint="eastAsia" w:ascii="宋体" w:hAnsi="宋体"/>
          <w:color w:val="auto"/>
          <w:sz w:val="21"/>
          <w:szCs w:val="21"/>
          <w:highlight w:val="none"/>
        </w:rPr>
        <w:t>工程量清单（另册）</w:t>
      </w:r>
    </w:p>
    <w:p w14:paraId="7FB917B0">
      <w:pPr>
        <w:pStyle w:val="4"/>
        <w:spacing w:after="0" w:line="360" w:lineRule="auto"/>
        <w:ind w:left="-2" w:firstLineChars="200"/>
        <w:rPr>
          <w:rFonts w:ascii="宋体" w:hAnsi="宋体"/>
          <w:color w:val="auto"/>
          <w:sz w:val="21"/>
          <w:szCs w:val="21"/>
          <w:highlight w:val="none"/>
        </w:rPr>
      </w:pPr>
      <w:r>
        <w:rPr>
          <w:rFonts w:hint="eastAsia" w:ascii="宋体" w:hAnsi="宋体"/>
          <w:color w:val="auto"/>
          <w:sz w:val="21"/>
          <w:szCs w:val="21"/>
          <w:highlight w:val="none"/>
        </w:rPr>
        <w:t>第八章  最高投标限价</w:t>
      </w:r>
    </w:p>
    <w:p w14:paraId="2BB54B2A">
      <w:pPr>
        <w:pStyle w:val="4"/>
        <w:spacing w:after="0" w:line="360" w:lineRule="auto"/>
        <w:ind w:left="-2" w:firstLineChars="200"/>
        <w:rPr>
          <w:rFonts w:hint="eastAsia" w:ascii="宋体" w:hAnsi="宋体"/>
          <w:color w:val="auto"/>
          <w:sz w:val="21"/>
          <w:szCs w:val="21"/>
          <w:highlight w:val="none"/>
        </w:rPr>
      </w:pPr>
      <w:r>
        <w:rPr>
          <w:rFonts w:hint="eastAsia" w:ascii="宋体" w:hAnsi="宋体"/>
          <w:color w:val="auto"/>
          <w:kern w:val="2"/>
          <w:sz w:val="21"/>
          <w:szCs w:val="21"/>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7FF4C931">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22967192">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7.3 投标人一旦中标，招标文件的内容对招标人和中标人双方均有约束力。</w:t>
      </w:r>
    </w:p>
    <w:p w14:paraId="11A9091F">
      <w:pPr>
        <w:pStyle w:val="4"/>
        <w:spacing w:after="0" w:line="360" w:lineRule="auto"/>
        <w:ind w:firstLine="420"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8．招标答疑</w:t>
      </w:r>
    </w:p>
    <w:p w14:paraId="03E4CEC4">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8.1 投标人若对招标文件（包括招标图纸）中有疑问，可以书面形式通过</w:t>
      </w:r>
      <w:r>
        <w:rPr>
          <w:rFonts w:ascii="宋体" w:hAnsi="宋体"/>
          <w:color w:val="auto"/>
          <w:sz w:val="21"/>
          <w:szCs w:val="21"/>
          <w:highlight w:val="none"/>
          <w:u w:val="single"/>
        </w:rPr>
        <w:t xml:space="preserve">        </w:t>
      </w:r>
      <w:r>
        <w:rPr>
          <w:rFonts w:hint="eastAsia" w:ascii="宋体" w:hAnsi="宋体"/>
          <w:color w:val="auto"/>
          <w:sz w:val="21"/>
          <w:szCs w:val="21"/>
          <w:highlight w:val="none"/>
        </w:rPr>
        <w:t>交易平台提交给招标人或招标代理人，提交形式见本须知前附表第16项。</w:t>
      </w:r>
    </w:p>
    <w:p w14:paraId="6AC9306C">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8.2招标答疑会会议纪要将在提交投标文件截止时间15日前在</w:t>
      </w:r>
      <w:r>
        <w:rPr>
          <w:rFonts w:ascii="宋体" w:hAnsi="宋体"/>
          <w:color w:val="auto"/>
          <w:sz w:val="21"/>
          <w:szCs w:val="21"/>
          <w:highlight w:val="none"/>
          <w:u w:val="single"/>
        </w:rPr>
        <w:t xml:space="preserve">        </w:t>
      </w:r>
      <w:r>
        <w:rPr>
          <w:rFonts w:hint="eastAsia" w:ascii="宋体" w:hAnsi="宋体"/>
          <w:color w:val="auto"/>
          <w:sz w:val="21"/>
          <w:szCs w:val="21"/>
          <w:highlight w:val="none"/>
        </w:rPr>
        <w:t>交易平台 “项目答疑纪要”专区公开发布。答疑纪要一经在</w:t>
      </w:r>
      <w:r>
        <w:rPr>
          <w:rFonts w:ascii="宋体" w:hAnsi="宋体"/>
          <w:color w:val="auto"/>
          <w:sz w:val="21"/>
          <w:szCs w:val="21"/>
          <w:highlight w:val="none"/>
          <w:u w:val="single"/>
        </w:rPr>
        <w:t xml:space="preserve">        </w:t>
      </w:r>
      <w:r>
        <w:rPr>
          <w:rFonts w:hint="eastAsia" w:ascii="宋体" w:hAnsi="宋体"/>
          <w:color w:val="auto"/>
          <w:sz w:val="21"/>
          <w:szCs w:val="21"/>
          <w:highlight w:val="none"/>
        </w:rPr>
        <w:t>交易平台发布，视作已发放给所有投标人。</w:t>
      </w:r>
    </w:p>
    <w:p w14:paraId="506F7069">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8.3答疑会会议纪要为招标文件的一部分。</w:t>
      </w:r>
    </w:p>
    <w:p w14:paraId="26C282B5">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8.4若招标答疑会会议纪要与招标文件有矛盾，以答疑会议纪要最后发出的书面形式的文件为准。</w:t>
      </w:r>
    </w:p>
    <w:p w14:paraId="18EAB7A7">
      <w:pPr>
        <w:pStyle w:val="4"/>
        <w:spacing w:after="0" w:line="360" w:lineRule="auto"/>
        <w:ind w:firstLine="420"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9.</w:t>
      </w:r>
      <w:r>
        <w:rPr>
          <w:rFonts w:ascii="宋体" w:hAnsi="宋体"/>
          <w:b/>
          <w:bCs/>
          <w:color w:val="auto"/>
          <w:sz w:val="21"/>
          <w:szCs w:val="21"/>
          <w:highlight w:val="none"/>
        </w:rPr>
        <w:t xml:space="preserve"> </w:t>
      </w:r>
      <w:r>
        <w:rPr>
          <w:rFonts w:hint="eastAsia" w:ascii="宋体" w:hAnsi="宋体"/>
          <w:b/>
          <w:bCs/>
          <w:color w:val="auto"/>
          <w:sz w:val="21"/>
          <w:szCs w:val="21"/>
          <w:highlight w:val="none"/>
        </w:rPr>
        <w:t>招标文件的澄清与修改</w:t>
      </w:r>
    </w:p>
    <w:p w14:paraId="351F9E02">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9.1招标文件发出后,在提交投标文件截止时间15日前，招标人可对招标文件进行必要的澄清或修改。</w:t>
      </w:r>
    </w:p>
    <w:p w14:paraId="111331AE">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9.2招标文件的澄清或修改将在</w:t>
      </w:r>
      <w:r>
        <w:rPr>
          <w:rFonts w:ascii="宋体" w:hAnsi="宋体"/>
          <w:color w:val="auto"/>
          <w:sz w:val="21"/>
          <w:szCs w:val="21"/>
          <w:highlight w:val="none"/>
          <w:u w:val="single"/>
        </w:rPr>
        <w:t xml:space="preserve">        </w:t>
      </w:r>
      <w:r>
        <w:rPr>
          <w:rFonts w:hint="eastAsia" w:ascii="宋体" w:hAnsi="宋体"/>
          <w:color w:val="auto"/>
          <w:sz w:val="21"/>
          <w:szCs w:val="21"/>
          <w:highlight w:val="none"/>
        </w:rPr>
        <w:t>交易平台“项目答疑纪要”专区公开发布。答疑纪要一经在</w:t>
      </w:r>
      <w:r>
        <w:rPr>
          <w:rFonts w:ascii="宋体" w:hAnsi="宋体"/>
          <w:color w:val="auto"/>
          <w:sz w:val="21"/>
          <w:szCs w:val="21"/>
          <w:highlight w:val="none"/>
          <w:u w:val="single"/>
        </w:rPr>
        <w:t xml:space="preserve">        </w:t>
      </w:r>
      <w:r>
        <w:rPr>
          <w:rFonts w:hint="eastAsia" w:ascii="宋体" w:hAnsi="宋体"/>
          <w:color w:val="auto"/>
          <w:sz w:val="21"/>
          <w:szCs w:val="21"/>
          <w:highlight w:val="none"/>
        </w:rPr>
        <w:t>交易平台发布，视作已发放给所有投标人，以</w:t>
      </w:r>
      <w:r>
        <w:rPr>
          <w:rFonts w:ascii="宋体" w:hAnsi="宋体"/>
          <w:color w:val="auto"/>
          <w:sz w:val="21"/>
          <w:szCs w:val="21"/>
          <w:highlight w:val="none"/>
          <w:u w:val="single"/>
        </w:rPr>
        <w:t xml:space="preserve">        </w:t>
      </w:r>
      <w:r>
        <w:rPr>
          <w:rFonts w:hint="eastAsia" w:ascii="宋体" w:hAnsi="宋体"/>
          <w:color w:val="auto"/>
          <w:sz w:val="21"/>
          <w:szCs w:val="21"/>
          <w:highlight w:val="none"/>
        </w:rPr>
        <w:t>交易平台上网发布时间作为送达时间。</w:t>
      </w:r>
    </w:p>
    <w:p w14:paraId="75D92B1A">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9.3招标文件的修改内容为招标文件的组成部分。</w:t>
      </w:r>
    </w:p>
    <w:p w14:paraId="4CD8B0B8">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9.4招标文件的澄清或修改均以书面形式明确的内容为准。当招标文件的澄清、修改、补充等在同一内容的表述不一致时，以最后发出的书面形式的文件为准。</w:t>
      </w:r>
    </w:p>
    <w:p w14:paraId="7C64ECC2">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7A61DE06">
      <w:pPr>
        <w:pStyle w:val="7"/>
        <w:spacing w:before="156" w:beforeAutospacing="0" w:after="156" w:afterAutospacing="0" w:line="360" w:lineRule="auto"/>
        <w:rPr>
          <w:rFonts w:hint="eastAsia"/>
          <w:b/>
          <w:bCs/>
          <w:color w:val="auto"/>
          <w:sz w:val="21"/>
          <w:szCs w:val="21"/>
          <w:highlight w:val="none"/>
        </w:rPr>
      </w:pPr>
      <w:bookmarkStart w:id="13" w:name="_Toc105014626"/>
      <w:bookmarkStart w:id="14" w:name="_Toc185324320"/>
      <w:r>
        <w:rPr>
          <w:rFonts w:hint="eastAsia"/>
          <w:b/>
          <w:bCs/>
          <w:color w:val="auto"/>
          <w:sz w:val="21"/>
          <w:szCs w:val="21"/>
          <w:highlight w:val="none"/>
        </w:rPr>
        <w:t>（三）投标文件的编制</w:t>
      </w:r>
      <w:bookmarkEnd w:id="13"/>
      <w:bookmarkEnd w:id="14"/>
    </w:p>
    <w:p w14:paraId="69D45E8A">
      <w:pPr>
        <w:pStyle w:val="4"/>
        <w:spacing w:after="0" w:line="360" w:lineRule="auto"/>
        <w:ind w:firstLine="420"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10．投标文件的语言及度量衡单位</w:t>
      </w:r>
    </w:p>
    <w:p w14:paraId="43843B82">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10.1 投标文件和与投标有关的所有文件均应使用中文。</w:t>
      </w:r>
    </w:p>
    <w:p w14:paraId="58B6E135">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10.2 除工程规范另有规定外，投标文件使用的度量衡单位，均采用中华人民共和国法定计量单位。</w:t>
      </w:r>
    </w:p>
    <w:p w14:paraId="4DA9F470">
      <w:pPr>
        <w:pStyle w:val="4"/>
        <w:spacing w:after="0" w:line="360" w:lineRule="auto"/>
        <w:ind w:firstLine="420"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11．投标文件的组成</w:t>
      </w:r>
    </w:p>
    <w:p w14:paraId="3A1A291A">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11.1 投标文件由技术部分（含资格审查文件）和经济部分两部分投标文件组成。</w:t>
      </w:r>
    </w:p>
    <w:p w14:paraId="04F168C7">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11.2投标文件技术标部分主要包括下列内容：</w:t>
      </w:r>
    </w:p>
    <w:p w14:paraId="074F60FD">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11.2.1 技术投标文件</w:t>
      </w:r>
      <w:r>
        <w:rPr>
          <w:rFonts w:hint="eastAsia" w:ascii="宋体" w:hAnsi="宋体"/>
          <w:color w:val="auto"/>
          <w:szCs w:val="21"/>
          <w:highlight w:val="none"/>
        </w:rPr>
        <w:t>(按招标文件的要求填写)</w:t>
      </w:r>
      <w:r>
        <w:rPr>
          <w:rFonts w:hint="eastAsia" w:ascii="宋体" w:hAnsi="宋体"/>
          <w:bCs/>
          <w:color w:val="auto"/>
          <w:szCs w:val="21"/>
          <w:highlight w:val="none"/>
        </w:rPr>
        <w:t>；</w:t>
      </w:r>
    </w:p>
    <w:p w14:paraId="32AD5AD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11.2.2 资格审查文件：</w:t>
      </w:r>
    </w:p>
    <w:p w14:paraId="3E201FB0">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（1）投标人声明； </w:t>
      </w:r>
    </w:p>
    <w:p w14:paraId="7F82D16F">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（2）法定代表人证明书、法定代表人签字或盖章的本投标文件授权委托证明书；</w:t>
      </w:r>
    </w:p>
    <w:p w14:paraId="299904F6">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（3）企业营业执照扫描件或电子证照；</w:t>
      </w:r>
    </w:p>
    <w:p w14:paraId="702DC304">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（4）企业资质证书扫描件或电子证照；</w:t>
      </w:r>
    </w:p>
    <w:p w14:paraId="55874432">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（5）建筑施工企业安全生产许可证扫描件或电子证照；</w:t>
      </w:r>
    </w:p>
    <w:p w14:paraId="58A72CC7">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（6）项目负责人（按网上投标登记时选择拟投入本项目的项目负责人）；</w:t>
      </w:r>
    </w:p>
    <w:p w14:paraId="1292F69B">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（7）专职安全员（按网上投标登记时选择拟投入本项目的专职安全员）；</w:t>
      </w:r>
    </w:p>
    <w:p w14:paraId="0FDCE4C0">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（8）拟委托技术负责人的相关证书、资料（具体要求由招标人明确）；</w:t>
      </w:r>
    </w:p>
    <w:p w14:paraId="3B94F7C7">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（9）拟委派项目负责人的有效期内的建造师注册证书扫描件或电子证书；</w:t>
      </w:r>
    </w:p>
    <w:p w14:paraId="37BDE4D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（10）项目负责人在有效期内的安全生产考核合格证书（B类）或建筑施工企业项目负责人安全生产考核合格证书扫描件或电子证书；</w:t>
      </w:r>
    </w:p>
    <w:p w14:paraId="633FBD04">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（11）专职安全员须具有在有效期内的安全生产考核合格证书（C类）或建筑施工企业专职安全生产管理人员安全生产考核合格证书扫描件或电子证书；</w:t>
      </w:r>
    </w:p>
    <w:p w14:paraId="36C3B002">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（12）用于资格审查的业绩（设置业绩要求时选择此项，投标人</w:t>
      </w:r>
      <w:r>
        <w:rPr>
          <w:rFonts w:hint="eastAsia" w:ascii="宋体" w:hAnsi="宋体"/>
          <w:color w:val="auto"/>
          <w:szCs w:val="21"/>
          <w:highlight w:val="none"/>
        </w:rPr>
        <w:t>须提供类似工程业绩的项目名称及项目编号，具体格式由招标人自定</w:t>
      </w:r>
      <w:r>
        <w:rPr>
          <w:rFonts w:hint="eastAsia" w:ascii="宋体" w:hAnsi="宋体"/>
          <w:bCs/>
          <w:color w:val="auto"/>
          <w:szCs w:val="21"/>
          <w:highlight w:val="none"/>
        </w:rPr>
        <w:t>）；</w:t>
      </w:r>
    </w:p>
    <w:p w14:paraId="0F63F675">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（13）资格审查前，投标人须在广州市住房和城乡建设局建立企业信用档案，拟担任本工程项目负责人、专职安全员须是本企业信用档案中的在册人员；</w:t>
      </w:r>
    </w:p>
    <w:p w14:paraId="2902F4ED">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w:t>
      </w:r>
      <w:r>
        <w:rPr>
          <w:rFonts w:hint="default" w:ascii="宋体" w:hAnsi="宋体"/>
          <w:bCs/>
          <w:color w:val="auto"/>
          <w:szCs w:val="21"/>
          <w:highlight w:val="none"/>
          <w:lang w:val="en-US"/>
        </w:rPr>
        <w:t>14</w:t>
      </w:r>
      <w:r>
        <w:rPr>
          <w:rFonts w:hint="eastAsia" w:ascii="宋体" w:hAnsi="宋体"/>
          <w:bCs/>
          <w:color w:val="auto"/>
          <w:szCs w:val="21"/>
          <w:highlight w:val="none"/>
        </w:rPr>
        <w:t>）列明主办单位的联合体工作协议（采用联合体投标时需递交，投标人拟任本工程项目负责人应为联合体主办方信用档案中的在册人员，</w:t>
      </w:r>
      <w:r>
        <w:rPr>
          <w:rFonts w:hint="eastAsia" w:ascii="宋体" w:hAnsi="宋体"/>
          <w:color w:val="auto"/>
          <w:szCs w:val="21"/>
          <w:highlight w:val="none"/>
        </w:rPr>
        <w:t>联合体工作协议应明确约定各方拟承担的工作和责任</w:t>
      </w:r>
      <w:r>
        <w:rPr>
          <w:rFonts w:hint="eastAsia" w:ascii="宋体" w:hAnsi="宋体"/>
          <w:bCs/>
          <w:color w:val="auto"/>
          <w:szCs w:val="21"/>
          <w:highlight w:val="none"/>
        </w:rPr>
        <w:t xml:space="preserve">）； </w:t>
      </w:r>
    </w:p>
    <w:p w14:paraId="4390B4D9">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注：1.相关电子证书按规定需打印后手写本人签名的，应按照规定手写本人签名后再扫描提交。</w:t>
      </w:r>
    </w:p>
    <w:p w14:paraId="4A8E933C">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61BEB49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11.2.3项目管理机构配备。</w:t>
      </w:r>
    </w:p>
    <w:p w14:paraId="6F286F1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（1）投标人应列出该项目工程的施工组织机构构成和画出机构框架图及其负责人；</w:t>
      </w:r>
    </w:p>
    <w:p w14:paraId="04E624F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（2）投标人应详细列出该施工组织机构中主要成员的名单、简历资料、职务职称和在本项目中拟担任的职务等资料，并附上有关证明材料扫描件；</w:t>
      </w:r>
    </w:p>
    <w:p w14:paraId="100A72F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（3）其他辅助说明资料。</w:t>
      </w:r>
    </w:p>
    <w:p w14:paraId="3E86DDC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11.2.4投标人在广州市可使用适合本工程的机械设备（附：机械设备为自有或租赁的说明；及承诺机械设备如属于租赁的，其租赁是不属于重复租赁）。</w:t>
      </w:r>
    </w:p>
    <w:p w14:paraId="3E8AAB9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11.2.5施工组织设计或施工方案</w:t>
      </w:r>
    </w:p>
    <w:p w14:paraId="5F874B6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（1）投标人在编制施工组织设计或施工方案时应按照招标人提出的施工现场建筑垃圾源头减量的具体要求以及建筑垃圾综合利用产品的使用要求提供相应措施。</w:t>
      </w:r>
    </w:p>
    <w:p w14:paraId="1A653811">
      <w:pPr>
        <w:spacing w:line="360" w:lineRule="auto"/>
        <w:ind w:firstLine="420" w:firstLineChars="200"/>
        <w:rPr>
          <w:rFonts w:hint="eastAsia" w:ascii="宋体" w:hAnsi="宋体"/>
          <w:b/>
          <w:bCs/>
          <w:color w:val="auto"/>
          <w:szCs w:val="21"/>
          <w:highlight w:val="none"/>
        </w:rPr>
      </w:pPr>
      <w:r>
        <w:rPr>
          <w:rFonts w:hint="eastAsia" w:ascii="宋体" w:hAnsi="宋体"/>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5770923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11.2.6按照</w:t>
      </w:r>
      <w:r>
        <w:rPr>
          <w:rFonts w:hint="eastAsia" w:ascii="宋体" w:hAnsi="宋体"/>
          <w:bCs/>
          <w:color w:val="auto"/>
          <w:szCs w:val="21"/>
          <w:highlight w:val="none"/>
        </w:rPr>
        <w:t>招标文件要求</w:t>
      </w:r>
      <w:r>
        <w:rPr>
          <w:rFonts w:hint="eastAsia" w:ascii="宋体" w:hAnsi="宋体"/>
          <w:color w:val="auto"/>
          <w:szCs w:val="21"/>
          <w:highlight w:val="none"/>
        </w:rPr>
        <w:t>填写的《参与编制技术标投标文件人员名单》。</w:t>
      </w:r>
    </w:p>
    <w:p w14:paraId="0564A420">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11.3 经济部分投标文件主要包括下列内容：</w:t>
      </w:r>
    </w:p>
    <w:p w14:paraId="3A3372F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11.3.1 经济投标文件(按招标文件的要求填写)。</w:t>
      </w:r>
    </w:p>
    <w:p w14:paraId="501A1E2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6964F366">
      <w:pPr>
        <w:spacing w:line="360" w:lineRule="auto"/>
        <w:ind w:firstLine="495" w:firstLineChars="236"/>
        <w:rPr>
          <w:rFonts w:hint="eastAsia" w:ascii="宋体" w:hAnsi="宋体"/>
          <w:color w:val="auto"/>
          <w:szCs w:val="21"/>
          <w:highlight w:val="none"/>
        </w:rPr>
      </w:pPr>
      <w:r>
        <w:rPr>
          <w:rFonts w:hint="eastAsia" w:ascii="宋体" w:hAnsi="宋体"/>
          <w:color w:val="auto"/>
          <w:szCs w:val="21"/>
          <w:highlight w:val="none"/>
        </w:rPr>
        <w:t>（1）投标总价封面、扉页；</w:t>
      </w:r>
    </w:p>
    <w:p w14:paraId="266B915C">
      <w:pPr>
        <w:spacing w:line="360" w:lineRule="auto"/>
        <w:ind w:firstLine="495" w:firstLineChars="236"/>
        <w:rPr>
          <w:rFonts w:hint="eastAsia" w:ascii="宋体" w:hAnsi="宋体"/>
          <w:color w:val="auto"/>
          <w:szCs w:val="21"/>
          <w:highlight w:val="none"/>
        </w:rPr>
      </w:pPr>
      <w:r>
        <w:rPr>
          <w:rFonts w:hint="eastAsia" w:ascii="宋体" w:hAnsi="宋体"/>
          <w:color w:val="auto"/>
          <w:szCs w:val="21"/>
          <w:highlight w:val="none"/>
        </w:rPr>
        <w:t>（2）总说明；</w:t>
      </w:r>
    </w:p>
    <w:p w14:paraId="53464C64">
      <w:pPr>
        <w:spacing w:line="360" w:lineRule="auto"/>
        <w:ind w:firstLine="495" w:firstLineChars="236"/>
        <w:rPr>
          <w:rFonts w:hint="eastAsia" w:ascii="宋体" w:hAnsi="宋体"/>
          <w:color w:val="auto"/>
          <w:szCs w:val="21"/>
          <w:highlight w:val="none"/>
        </w:rPr>
      </w:pPr>
      <w:r>
        <w:rPr>
          <w:rFonts w:hint="eastAsia" w:ascii="宋体" w:hAnsi="宋体"/>
          <w:color w:val="auto"/>
          <w:szCs w:val="21"/>
          <w:highlight w:val="none"/>
        </w:rPr>
        <w:t>（3）工程项目投标报价汇总表；</w:t>
      </w:r>
    </w:p>
    <w:p w14:paraId="1D5010F0">
      <w:pPr>
        <w:spacing w:line="360" w:lineRule="auto"/>
        <w:ind w:firstLine="495" w:firstLineChars="236"/>
        <w:rPr>
          <w:rFonts w:hint="eastAsia" w:ascii="宋体" w:hAnsi="宋体"/>
          <w:color w:val="auto"/>
          <w:szCs w:val="21"/>
          <w:highlight w:val="none"/>
        </w:rPr>
      </w:pPr>
      <w:r>
        <w:rPr>
          <w:rFonts w:hint="eastAsia" w:ascii="宋体" w:hAnsi="宋体"/>
          <w:color w:val="auto"/>
          <w:szCs w:val="21"/>
          <w:highlight w:val="none"/>
        </w:rPr>
        <w:t>（4）单项工程投标报价汇总表；</w:t>
      </w:r>
    </w:p>
    <w:p w14:paraId="2B316B42">
      <w:pPr>
        <w:spacing w:line="360" w:lineRule="auto"/>
        <w:ind w:firstLine="495" w:firstLineChars="236"/>
        <w:rPr>
          <w:rFonts w:hint="eastAsia" w:ascii="宋体" w:hAnsi="宋体"/>
          <w:color w:val="auto"/>
          <w:szCs w:val="21"/>
          <w:highlight w:val="none"/>
        </w:rPr>
      </w:pPr>
      <w:r>
        <w:rPr>
          <w:rFonts w:hint="eastAsia" w:ascii="宋体" w:hAnsi="宋体"/>
          <w:color w:val="auto"/>
          <w:szCs w:val="21"/>
          <w:highlight w:val="none"/>
        </w:rPr>
        <w:t>（5）单位工程投标报价汇总表；</w:t>
      </w:r>
    </w:p>
    <w:p w14:paraId="4620DDE4">
      <w:pPr>
        <w:spacing w:line="360" w:lineRule="auto"/>
        <w:ind w:firstLine="495" w:firstLineChars="236"/>
        <w:rPr>
          <w:rFonts w:hint="eastAsia" w:ascii="宋体" w:hAnsi="宋体"/>
          <w:color w:val="auto"/>
          <w:szCs w:val="21"/>
          <w:highlight w:val="none"/>
        </w:rPr>
      </w:pPr>
      <w:r>
        <w:rPr>
          <w:rFonts w:hint="eastAsia" w:ascii="宋体" w:hAnsi="宋体"/>
          <w:color w:val="auto"/>
          <w:szCs w:val="21"/>
          <w:highlight w:val="none"/>
        </w:rPr>
        <w:t>（6）分部分项工程清单与计价表；</w:t>
      </w:r>
    </w:p>
    <w:p w14:paraId="2C955FFC">
      <w:pPr>
        <w:spacing w:line="360" w:lineRule="auto"/>
        <w:ind w:firstLine="495" w:firstLineChars="236"/>
        <w:rPr>
          <w:rFonts w:hint="eastAsia" w:ascii="宋体" w:hAnsi="宋体"/>
          <w:color w:val="auto"/>
          <w:szCs w:val="21"/>
          <w:highlight w:val="none"/>
        </w:rPr>
      </w:pPr>
      <w:r>
        <w:rPr>
          <w:rFonts w:hint="eastAsia" w:ascii="宋体" w:hAnsi="宋体"/>
          <w:color w:val="auto"/>
          <w:szCs w:val="21"/>
          <w:highlight w:val="none"/>
        </w:rPr>
        <w:t>（7）单价措施项目清单与计价表；</w:t>
      </w:r>
    </w:p>
    <w:p w14:paraId="10FAA923">
      <w:pPr>
        <w:spacing w:line="360" w:lineRule="auto"/>
        <w:ind w:firstLine="495" w:firstLineChars="236"/>
        <w:rPr>
          <w:rFonts w:hint="eastAsia" w:ascii="宋体" w:hAnsi="宋体"/>
          <w:color w:val="auto"/>
          <w:szCs w:val="21"/>
          <w:highlight w:val="none"/>
        </w:rPr>
      </w:pPr>
      <w:r>
        <w:rPr>
          <w:rFonts w:hint="eastAsia" w:ascii="宋体" w:hAnsi="宋体"/>
          <w:color w:val="auto"/>
          <w:szCs w:val="21"/>
          <w:highlight w:val="none"/>
        </w:rPr>
        <w:t>（8）总价措施项目清单与计价表；</w:t>
      </w:r>
    </w:p>
    <w:p w14:paraId="6FCBE2A1">
      <w:pPr>
        <w:spacing w:line="360" w:lineRule="auto"/>
        <w:ind w:firstLine="495" w:firstLineChars="236"/>
        <w:rPr>
          <w:rFonts w:hint="eastAsia" w:ascii="宋体" w:hAnsi="宋体"/>
          <w:color w:val="auto"/>
          <w:szCs w:val="21"/>
          <w:highlight w:val="none"/>
        </w:rPr>
      </w:pPr>
      <w:r>
        <w:rPr>
          <w:rFonts w:hint="eastAsia" w:ascii="宋体" w:hAnsi="宋体"/>
          <w:color w:val="auto"/>
          <w:szCs w:val="21"/>
          <w:highlight w:val="none"/>
        </w:rPr>
        <w:t>（9）综合单价分析表；</w:t>
      </w:r>
    </w:p>
    <w:p w14:paraId="20EFB621">
      <w:pPr>
        <w:spacing w:line="360" w:lineRule="auto"/>
        <w:ind w:firstLine="495" w:firstLineChars="236"/>
        <w:rPr>
          <w:rFonts w:hint="eastAsia" w:ascii="宋体" w:hAnsi="宋体"/>
          <w:color w:val="auto"/>
          <w:szCs w:val="21"/>
          <w:highlight w:val="none"/>
        </w:rPr>
      </w:pPr>
      <w:r>
        <w:rPr>
          <w:rFonts w:hint="eastAsia" w:ascii="宋体" w:hAnsi="宋体"/>
          <w:color w:val="auto"/>
          <w:szCs w:val="21"/>
          <w:highlight w:val="none"/>
        </w:rPr>
        <w:t>（10）其他项目清单与计价汇总表；</w:t>
      </w:r>
    </w:p>
    <w:p w14:paraId="150D7A19">
      <w:pPr>
        <w:spacing w:line="360" w:lineRule="auto"/>
        <w:ind w:firstLine="495" w:firstLineChars="236"/>
        <w:rPr>
          <w:rFonts w:hint="eastAsia" w:ascii="宋体" w:hAnsi="宋体"/>
          <w:color w:val="auto"/>
          <w:szCs w:val="21"/>
          <w:highlight w:val="none"/>
        </w:rPr>
      </w:pPr>
      <w:r>
        <w:rPr>
          <w:rFonts w:hint="eastAsia" w:ascii="宋体" w:hAnsi="宋体"/>
          <w:color w:val="auto"/>
          <w:szCs w:val="21"/>
          <w:highlight w:val="none"/>
        </w:rPr>
        <w:t>（11）暂列金额明细表；</w:t>
      </w:r>
    </w:p>
    <w:p w14:paraId="2FB5EFEB">
      <w:pPr>
        <w:spacing w:line="360" w:lineRule="auto"/>
        <w:ind w:firstLine="495" w:firstLineChars="236"/>
        <w:rPr>
          <w:rFonts w:hint="eastAsia" w:ascii="宋体" w:hAnsi="宋体"/>
          <w:color w:val="auto"/>
          <w:szCs w:val="21"/>
          <w:highlight w:val="none"/>
        </w:rPr>
      </w:pPr>
      <w:r>
        <w:rPr>
          <w:rFonts w:hint="eastAsia" w:ascii="宋体" w:hAnsi="宋体"/>
          <w:color w:val="auto"/>
          <w:szCs w:val="21"/>
          <w:highlight w:val="none"/>
        </w:rPr>
        <w:t>（12）材料（工程设备）暂估价明细表；</w:t>
      </w:r>
    </w:p>
    <w:p w14:paraId="786534CE">
      <w:pPr>
        <w:spacing w:line="360" w:lineRule="auto"/>
        <w:ind w:firstLine="495" w:firstLineChars="236"/>
        <w:rPr>
          <w:rFonts w:hint="eastAsia" w:ascii="宋体" w:hAnsi="宋体"/>
          <w:color w:val="auto"/>
          <w:szCs w:val="21"/>
          <w:highlight w:val="none"/>
        </w:rPr>
      </w:pPr>
      <w:r>
        <w:rPr>
          <w:rFonts w:hint="eastAsia" w:ascii="宋体" w:hAnsi="宋体"/>
          <w:color w:val="auto"/>
          <w:szCs w:val="21"/>
          <w:highlight w:val="none"/>
        </w:rPr>
        <w:t>（13）专业工程暂估价明细表；</w:t>
      </w:r>
    </w:p>
    <w:p w14:paraId="4FBA311B">
      <w:pPr>
        <w:spacing w:line="360" w:lineRule="auto"/>
        <w:ind w:firstLine="495" w:firstLineChars="236"/>
        <w:rPr>
          <w:rFonts w:hint="eastAsia" w:ascii="宋体" w:hAnsi="宋体"/>
          <w:color w:val="auto"/>
          <w:szCs w:val="21"/>
          <w:highlight w:val="none"/>
        </w:rPr>
      </w:pPr>
      <w:r>
        <w:rPr>
          <w:rFonts w:hint="eastAsia" w:ascii="宋体" w:hAnsi="宋体"/>
          <w:color w:val="auto"/>
          <w:szCs w:val="21"/>
          <w:highlight w:val="none"/>
        </w:rPr>
        <w:t>（14）计日工表；</w:t>
      </w:r>
    </w:p>
    <w:p w14:paraId="16AB0AC6">
      <w:pPr>
        <w:spacing w:line="360" w:lineRule="auto"/>
        <w:ind w:firstLine="495" w:firstLineChars="236"/>
        <w:rPr>
          <w:rFonts w:hint="eastAsia" w:ascii="宋体" w:hAnsi="宋体"/>
          <w:color w:val="auto"/>
          <w:szCs w:val="21"/>
          <w:highlight w:val="none"/>
        </w:rPr>
      </w:pPr>
      <w:r>
        <w:rPr>
          <w:rFonts w:hint="eastAsia" w:ascii="宋体" w:hAnsi="宋体"/>
          <w:color w:val="auto"/>
          <w:szCs w:val="21"/>
          <w:highlight w:val="none"/>
        </w:rPr>
        <w:t>（15）总承包服务计价表；</w:t>
      </w:r>
    </w:p>
    <w:p w14:paraId="293629CD">
      <w:pPr>
        <w:spacing w:line="360" w:lineRule="auto"/>
        <w:ind w:firstLine="495" w:firstLineChars="236"/>
        <w:rPr>
          <w:rFonts w:hint="eastAsia" w:ascii="宋体" w:hAnsi="宋体"/>
          <w:color w:val="auto"/>
          <w:szCs w:val="21"/>
          <w:highlight w:val="none"/>
        </w:rPr>
      </w:pPr>
      <w:r>
        <w:rPr>
          <w:rFonts w:hint="eastAsia" w:ascii="宋体" w:hAnsi="宋体"/>
          <w:color w:val="auto"/>
          <w:szCs w:val="21"/>
          <w:highlight w:val="none"/>
        </w:rPr>
        <w:t>（16）规费和税金项目计价表；</w:t>
      </w:r>
    </w:p>
    <w:p w14:paraId="771561B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（17）人工、主要材料和设备一览表。</w:t>
      </w:r>
    </w:p>
    <w:p w14:paraId="6502D6A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11.3.3按照</w:t>
      </w:r>
      <w:r>
        <w:rPr>
          <w:rFonts w:hint="eastAsia" w:ascii="宋体" w:hAnsi="宋体"/>
          <w:bCs/>
          <w:color w:val="auto"/>
          <w:szCs w:val="21"/>
          <w:highlight w:val="none"/>
        </w:rPr>
        <w:t>招标文件要求</w:t>
      </w:r>
      <w:r>
        <w:rPr>
          <w:rFonts w:hint="eastAsia" w:ascii="宋体" w:hAnsi="宋体"/>
          <w:color w:val="auto"/>
          <w:szCs w:val="21"/>
          <w:highlight w:val="none"/>
        </w:rPr>
        <w:t>填写的《参与编制经济标投标文件人员名单》。</w:t>
      </w:r>
    </w:p>
    <w:p w14:paraId="0B517A9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14:paraId="2EDE2CD2">
      <w:pPr>
        <w:pStyle w:val="4"/>
        <w:spacing w:after="0" w:line="360" w:lineRule="auto"/>
        <w:ind w:firstLine="420"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12．投标文件格式</w:t>
      </w:r>
    </w:p>
    <w:p w14:paraId="62F38797">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12.1 投标文件包括本须知第11条中规定的内容，投标人提交的投标文件应当使用招标文件所提供的投标文件全部格式（表格可以按同样格式扩展）。</w:t>
      </w:r>
    </w:p>
    <w:p w14:paraId="7E7B7C5D">
      <w:pPr>
        <w:pStyle w:val="4"/>
        <w:spacing w:after="0" w:line="360" w:lineRule="auto"/>
        <w:ind w:firstLineChars="200"/>
        <w:rPr>
          <w:rFonts w:ascii="宋体" w:hAnsi="宋体"/>
          <w:color w:val="auto"/>
          <w:sz w:val="21"/>
          <w:szCs w:val="21"/>
          <w:highlight w:val="none"/>
        </w:rPr>
      </w:pPr>
      <w:r>
        <w:rPr>
          <w:rFonts w:hint="eastAsia" w:ascii="宋体" w:hAnsi="宋体"/>
          <w:color w:val="auto"/>
          <w:sz w:val="21"/>
          <w:szCs w:val="21"/>
          <w:highlight w:val="none"/>
        </w:rPr>
        <w:t>12.2 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65B27AF5">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注释：投标文件电子文档需要投标人单位盖章的材料，投标人加盖电子印章即可，不得将投标人未对电子文档加盖实物印章作为否决投标的情形。</w:t>
      </w:r>
    </w:p>
    <w:p w14:paraId="17F86809">
      <w:pPr>
        <w:pStyle w:val="4"/>
        <w:spacing w:after="0" w:line="360" w:lineRule="auto"/>
        <w:ind w:firstLineChars="200"/>
        <w:rPr>
          <w:rFonts w:ascii="宋体" w:hAnsi="宋体"/>
          <w:color w:val="auto"/>
          <w:sz w:val="21"/>
          <w:szCs w:val="21"/>
          <w:highlight w:val="none"/>
        </w:rPr>
      </w:pPr>
      <w:r>
        <w:rPr>
          <w:rFonts w:hint="eastAsia" w:ascii="宋体" w:hAnsi="宋体"/>
          <w:color w:val="auto"/>
          <w:sz w:val="21"/>
          <w:szCs w:val="21"/>
          <w:highlight w:val="none"/>
        </w:rPr>
        <w:t xml:space="preserve">12.3 </w:t>
      </w:r>
      <w:r>
        <w:rPr>
          <w:rFonts w:hint="eastAsia" w:ascii="宋体" w:hAnsi="宋体"/>
          <w:bCs/>
          <w:color w:val="auto"/>
          <w:sz w:val="21"/>
          <w:szCs w:val="21"/>
          <w:highlight w:val="none"/>
        </w:rPr>
        <w:t>投标文件应按</w:t>
      </w:r>
      <w:r>
        <w:rPr>
          <w:rFonts w:hint="eastAsia" w:ascii="宋体" w:hAnsi="宋体"/>
          <w:color w:val="auto"/>
          <w:sz w:val="21"/>
          <w:szCs w:val="21"/>
          <w:highlight w:val="none"/>
        </w:rPr>
        <w:t>照交易平台关于全流程电子化项目的相关指南进行编制，详见：</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21A4D513">
      <w:pPr>
        <w:pStyle w:val="4"/>
        <w:spacing w:after="0" w:line="360" w:lineRule="auto"/>
        <w:ind w:firstLineChars="200"/>
        <w:rPr>
          <w:rFonts w:hint="eastAsia" w:ascii="宋体" w:hAnsi="宋体"/>
          <w:color w:val="auto"/>
          <w:sz w:val="21"/>
          <w:szCs w:val="21"/>
          <w:highlight w:val="none"/>
        </w:rPr>
      </w:pPr>
      <w:r>
        <w:rPr>
          <w:rFonts w:hint="eastAsia" w:ascii="宋体" w:hAnsi="宋体"/>
          <w:bCs/>
          <w:color w:val="auto"/>
          <w:sz w:val="21"/>
          <w:szCs w:val="21"/>
          <w:highlight w:val="none"/>
        </w:rPr>
        <w:t>如不按上述要求编制引起系统无法检索、读取相关信息的，其后果由投标人承担。</w:t>
      </w:r>
    </w:p>
    <w:p w14:paraId="062AFA98">
      <w:pPr>
        <w:pStyle w:val="4"/>
        <w:spacing w:after="0" w:line="360" w:lineRule="auto"/>
        <w:ind w:firstLine="420"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13．投标报价及造价承包和变更结算方式</w:t>
      </w:r>
    </w:p>
    <w:p w14:paraId="2D4391D7">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13.1 本工程的投标报价采用投标须知前附表第12项所规定的方式。投标报价（含单价及总价）精确到“分”。</w:t>
      </w:r>
    </w:p>
    <w:p w14:paraId="0AF36050">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1ADE7F61">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w:t>
      </w:r>
      <w:r>
        <w:rPr>
          <w:rFonts w:hint="eastAsia" w:ascii="宋体" w:hAnsi="宋体"/>
          <w:color w:val="auto"/>
          <w:sz w:val="21"/>
          <w:szCs w:val="21"/>
          <w:highlight w:val="none"/>
          <w:lang w:eastAsia="zh-CN"/>
        </w:rPr>
        <w:t>安全生产措施费</w:t>
      </w:r>
      <w:r>
        <w:rPr>
          <w:rFonts w:hint="eastAsia" w:ascii="宋体" w:hAnsi="宋体"/>
          <w:color w:val="auto"/>
          <w:sz w:val="21"/>
          <w:szCs w:val="21"/>
          <w:highlight w:val="none"/>
        </w:rPr>
        <w:t>等非竞争性项目明列了单价或合价的金额的，投标人应按照明列的单价或合价的金额报价，未按照规定金额报价的，由评标委员会按照招标文件规定的金额进行修正。</w:t>
      </w:r>
    </w:p>
    <w:p w14:paraId="7BE15523">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7AE8DFEA">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0A992638">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13.5.1中标的投标文件工程量清单中已有相同项目的适用综合单价，则沿用；</w:t>
      </w:r>
    </w:p>
    <w:p w14:paraId="7403BF43">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531803BC">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184F7788">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13.5.4 如相关定额没有相应子目的，其计价方式由招标人在本招标文件第三章中另行规定。未规定的，中标后双方协商约定。</w:t>
      </w:r>
    </w:p>
    <w:p w14:paraId="54650C3F">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13.6暂列金额、暂估价</w:t>
      </w:r>
    </w:p>
    <w:p w14:paraId="6425BD6C">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45F206C7">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暂估价是指招标人在工程量清单中提供的用于支付必然发生但暂时不能确定价格的材料的单价以及专业工程的金额。</w:t>
      </w:r>
    </w:p>
    <w:p w14:paraId="2AB86802">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76989A53">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1F9944FB">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2A542D4C">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234D66A0">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3DFE28E8">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13.7投标人可先到工地踏勘以充分了解工地位置、情况、道路、储存空间、装卸限制及任何其他足以影响承包价的情况，任何因忽视或误解工地情况而导致的索赔或工期延长申请将不被批准。</w:t>
      </w:r>
    </w:p>
    <w:p w14:paraId="3ECA2D93">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1AC16703">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73A45274">
      <w:pPr>
        <w:pStyle w:val="4"/>
        <w:spacing w:after="0" w:line="360" w:lineRule="auto"/>
        <w:ind w:firstLine="420"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14．投标货币</w:t>
      </w:r>
    </w:p>
    <w:p w14:paraId="2150BB40">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14.1 本工程投标报价采用的币种为人民币。</w:t>
      </w:r>
    </w:p>
    <w:p w14:paraId="191F9AF5">
      <w:pPr>
        <w:pStyle w:val="4"/>
        <w:spacing w:after="0" w:line="360" w:lineRule="auto"/>
        <w:ind w:firstLine="420" w:firstLineChars="200"/>
        <w:rPr>
          <w:rFonts w:hint="eastAsia" w:ascii="宋体" w:hAnsi="宋体"/>
          <w:color w:val="auto"/>
          <w:sz w:val="21"/>
          <w:szCs w:val="21"/>
          <w:highlight w:val="none"/>
        </w:rPr>
      </w:pPr>
      <w:r>
        <w:rPr>
          <w:rFonts w:hint="eastAsia" w:ascii="宋体" w:hAnsi="宋体"/>
          <w:b/>
          <w:bCs/>
          <w:color w:val="auto"/>
          <w:sz w:val="21"/>
          <w:szCs w:val="21"/>
          <w:highlight w:val="none"/>
        </w:rPr>
        <w:t>15．投标有效期</w:t>
      </w:r>
    </w:p>
    <w:p w14:paraId="4D8D6E3D">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15.1 投标有效期见投标须知前附表第13项所规定的期限，在此期限内，凡符合本招标文件要求的投标文件均保持有效。</w:t>
      </w:r>
    </w:p>
    <w:p w14:paraId="44566001">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22BF1EF5">
      <w:pPr>
        <w:pStyle w:val="4"/>
        <w:spacing w:after="0" w:line="360" w:lineRule="auto"/>
        <w:ind w:firstLine="420"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16．投标保证金</w:t>
      </w:r>
    </w:p>
    <w:p w14:paraId="7AFC48E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16.1投标人应按投标须知前附表第14项所述金额和时间递交</w:t>
      </w:r>
      <w:r>
        <w:rPr>
          <w:rFonts w:hint="eastAsia" w:ascii="宋体" w:hAnsi="宋体"/>
          <w:bCs/>
          <w:color w:val="auto"/>
          <w:szCs w:val="21"/>
          <w:highlight w:val="none"/>
        </w:rPr>
        <w:t>投标保证金</w:t>
      </w:r>
      <w:r>
        <w:rPr>
          <w:rFonts w:hint="eastAsia" w:ascii="宋体" w:hAnsi="宋体"/>
          <w:color w:val="auto"/>
          <w:szCs w:val="21"/>
          <w:highlight w:val="none"/>
        </w:rPr>
        <w:t>。招标人应当允许投标人自主选择现金、银行保函、保证保险、专业工程担保公司担保等方式缴纳投标保证金。</w:t>
      </w:r>
    </w:p>
    <w:p w14:paraId="354EB78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16.1.1 采用现金或者支票形式提交的，投标保证金须从投标人的银行基本账户转出。</w:t>
      </w:r>
    </w:p>
    <w:p w14:paraId="68FEFC2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2CB6677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16.1.3 采用电子形式的保函、担保或保证保险提交投标保证金的，应在招标文件中明确电子递交途径。</w:t>
      </w:r>
    </w:p>
    <w:p w14:paraId="67D9DE9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57C4925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16.3投标保证金应依据法律法规的相关规定退还。</w:t>
      </w:r>
    </w:p>
    <w:p w14:paraId="5C8F061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16.4如有下列情况之一的，招标人可以不予退还投标保证金（是否退还投标保证金由招标人在招标文件中规定）：</w:t>
      </w:r>
    </w:p>
    <w:p w14:paraId="07A8BBD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16.4.1因投标人原因造成投标文件未解密的；</w:t>
      </w:r>
    </w:p>
    <w:p w14:paraId="0993D95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16.4.2投标人在投标有效期内撤销投标文件；</w:t>
      </w:r>
    </w:p>
    <w:p w14:paraId="4673E2D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16.4.3中标人未能在规定期限内按要求提交履约担保；</w:t>
      </w:r>
    </w:p>
    <w:p w14:paraId="0BBBFE1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16.4.4中标人未能在规定期限内签署合同协议。</w:t>
      </w:r>
    </w:p>
    <w:p w14:paraId="4A0802F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16.5投标人如存在下列情况之一的，将被拒绝在一定时期内参与招标人后续工程投标（拒绝时限需在招标文件中明确）：</w:t>
      </w:r>
    </w:p>
    <w:p w14:paraId="6DF6A72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16.5.1投标人存在16.4条款所列情形且投标人提交的保函、担保或保证保险无法兑付的；</w:t>
      </w:r>
    </w:p>
    <w:p w14:paraId="51FF99B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16.5.2采用非电子形式提交投标保证金的投标人存在16.4条款所列情形，且未按招标人要求补交银行保函、专业工程担保公司担保或保证保险原件的；</w:t>
      </w:r>
    </w:p>
    <w:p w14:paraId="3E55A27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16.5.3按招标文件要求免于提供投标保证金的投标人存在16.4条款所列情形，且未按招标人要求补交投标保证金的；</w:t>
      </w:r>
    </w:p>
    <w:p w14:paraId="298D107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16.5.3按招标文件要求免于提供投标保证金的投标人存在16.4条款所列情形的。</w:t>
      </w:r>
    </w:p>
    <w:p w14:paraId="6BDE24B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注：16.5.3款由招标人二选一，需在招标文件中明确。</w:t>
      </w:r>
    </w:p>
    <w:p w14:paraId="2790B80A">
      <w:pPr>
        <w:pStyle w:val="4"/>
        <w:spacing w:after="0" w:line="360" w:lineRule="auto"/>
        <w:ind w:firstLine="420"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17．投标文件的签署</w:t>
      </w:r>
    </w:p>
    <w:p w14:paraId="02058AC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17.1投标人应采用单位数字证书，对投标文件加盖电子印章。投标文件中需个人签字或盖章的，应加盖个人电子印章或在线下完成后扫描上传。按照交易平台关于全流程电子化项目的相关指南进行操作。详见：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9F52C5B">
      <w:pPr>
        <w:pStyle w:val="7"/>
        <w:spacing w:before="156" w:beforeAutospacing="0" w:after="156" w:afterAutospacing="0" w:line="360" w:lineRule="auto"/>
        <w:rPr>
          <w:rFonts w:hint="eastAsia"/>
          <w:b/>
          <w:bCs/>
          <w:color w:val="auto"/>
          <w:sz w:val="21"/>
          <w:szCs w:val="21"/>
          <w:highlight w:val="none"/>
        </w:rPr>
      </w:pPr>
      <w:bookmarkStart w:id="15" w:name="_Toc105014627"/>
      <w:bookmarkStart w:id="16" w:name="_Toc185324321"/>
      <w:r>
        <w:rPr>
          <w:rFonts w:hint="eastAsia"/>
          <w:b/>
          <w:bCs/>
          <w:color w:val="auto"/>
          <w:sz w:val="21"/>
          <w:szCs w:val="21"/>
          <w:highlight w:val="none"/>
        </w:rPr>
        <w:t>（四）投标文件的提交</w:t>
      </w:r>
      <w:bookmarkEnd w:id="15"/>
      <w:bookmarkEnd w:id="16"/>
    </w:p>
    <w:p w14:paraId="7EDFA0F9">
      <w:pPr>
        <w:pStyle w:val="4"/>
        <w:spacing w:after="0" w:line="360" w:lineRule="auto"/>
        <w:ind w:firstLine="420"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18．</w:t>
      </w:r>
      <w:r>
        <w:rPr>
          <w:rFonts w:hint="eastAsia" w:ascii="宋体" w:hAnsi="宋体"/>
          <w:b/>
          <w:color w:val="auto"/>
          <w:sz w:val="21"/>
          <w:szCs w:val="21"/>
          <w:highlight w:val="none"/>
        </w:rPr>
        <w:t>投标文件的密封和标记</w:t>
      </w:r>
    </w:p>
    <w:p w14:paraId="61A32701">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18.1递交的电子投标文件（不含备用光盘）必须进行加密。按照交易平台关于</w:t>
      </w:r>
      <w:r>
        <w:rPr>
          <w:rFonts w:hint="eastAsia" w:ascii="宋体" w:hAnsi="宋体"/>
          <w:color w:val="auto"/>
          <w:szCs w:val="21"/>
          <w:highlight w:val="none"/>
        </w:rPr>
        <w:t>全流程电子化项目的相关指南进行操作。详见：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 xml:space="preserve"> 。</w:t>
      </w:r>
    </w:p>
    <w:p w14:paraId="7BEEEDCA">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18.2 未按要求加密的投标文件，</w:t>
      </w:r>
      <w:r>
        <w:rPr>
          <w:rFonts w:ascii="宋体" w:hAnsi="宋体"/>
          <w:color w:val="auto"/>
          <w:szCs w:val="21"/>
          <w:highlight w:val="none"/>
          <w:u w:val="single"/>
        </w:rPr>
        <w:t xml:space="preserve">        </w:t>
      </w:r>
      <w:r>
        <w:rPr>
          <w:rFonts w:hint="eastAsia" w:ascii="宋体" w:hAnsi="宋体"/>
          <w:color w:val="auto"/>
          <w:szCs w:val="21"/>
          <w:highlight w:val="none"/>
        </w:rPr>
        <w:t>交易平台</w:t>
      </w:r>
      <w:r>
        <w:rPr>
          <w:rFonts w:hint="eastAsia" w:ascii="宋体" w:hAnsi="宋体"/>
          <w:bCs/>
          <w:color w:val="auto"/>
          <w:szCs w:val="21"/>
          <w:highlight w:val="none"/>
        </w:rPr>
        <w:t>将予以拒收。</w:t>
      </w:r>
    </w:p>
    <w:p w14:paraId="06A412FD">
      <w:pPr>
        <w:spacing w:line="360" w:lineRule="auto"/>
        <w:ind w:firstLine="420" w:firstLineChars="200"/>
        <w:rPr>
          <w:rFonts w:hint="eastAsia" w:ascii="宋体" w:hAnsi="宋体"/>
          <w:b/>
          <w:bCs/>
          <w:color w:val="auto"/>
          <w:szCs w:val="21"/>
          <w:highlight w:val="none"/>
        </w:rPr>
      </w:pPr>
      <w:r>
        <w:rPr>
          <w:rFonts w:hint="eastAsia" w:ascii="宋体" w:hAnsi="宋体"/>
          <w:b/>
          <w:bCs/>
          <w:color w:val="auto"/>
          <w:szCs w:val="21"/>
          <w:highlight w:val="none"/>
        </w:rPr>
        <w:t>19．投标文件的递交和接收</w:t>
      </w:r>
    </w:p>
    <w:p w14:paraId="6EFCB47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19.1投标人通过</w:t>
      </w:r>
      <w:r>
        <w:rPr>
          <w:rFonts w:ascii="宋体" w:hAnsi="宋体"/>
          <w:color w:val="auto"/>
          <w:szCs w:val="21"/>
          <w:highlight w:val="none"/>
          <w:u w:val="single"/>
        </w:rPr>
        <w:t xml:space="preserve">        </w:t>
      </w:r>
      <w:r>
        <w:rPr>
          <w:rFonts w:hint="eastAsia" w:ascii="宋体" w:hAnsi="宋体"/>
          <w:color w:val="auto"/>
          <w:szCs w:val="21"/>
          <w:highlight w:val="none"/>
        </w:rPr>
        <w:t>交易平台递交电子投标文件。</w:t>
      </w:r>
    </w:p>
    <w:p w14:paraId="0F79ABE6">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19.2投标人完成电子</w:t>
      </w:r>
      <w:r>
        <w:rPr>
          <w:rFonts w:hint="eastAsia" w:ascii="宋体" w:hAnsi="宋体"/>
          <w:color w:val="auto"/>
          <w:szCs w:val="21"/>
          <w:highlight w:val="none"/>
        </w:rPr>
        <w:t>投标文件</w:t>
      </w:r>
      <w:r>
        <w:rPr>
          <w:rFonts w:hint="eastAsia" w:ascii="宋体" w:hAnsi="宋体"/>
          <w:bCs/>
          <w:color w:val="auto"/>
          <w:szCs w:val="21"/>
          <w:highlight w:val="none"/>
        </w:rPr>
        <w:t>上传后，</w:t>
      </w:r>
      <w:r>
        <w:rPr>
          <w:rFonts w:ascii="宋体" w:hAnsi="宋体"/>
          <w:color w:val="auto"/>
          <w:szCs w:val="21"/>
          <w:highlight w:val="none"/>
          <w:u w:val="single"/>
        </w:rPr>
        <w:t xml:space="preserve">        </w:t>
      </w:r>
      <w:r>
        <w:rPr>
          <w:rFonts w:hint="eastAsia" w:ascii="宋体" w:hAnsi="宋体"/>
          <w:color w:val="auto"/>
          <w:szCs w:val="21"/>
          <w:highlight w:val="none"/>
        </w:rPr>
        <w:t>交易平台即时向投标人发出递交回执通知。递交时间以递交回执通知载明的传输完成时间为准。</w:t>
      </w:r>
    </w:p>
    <w:p w14:paraId="6EABEC73">
      <w:pPr>
        <w:spacing w:line="360" w:lineRule="auto"/>
        <w:ind w:firstLine="420" w:firstLineChars="200"/>
        <w:rPr>
          <w:rFonts w:hint="eastAsia" w:ascii="宋体" w:hAnsi="宋体"/>
          <w:color w:val="auto"/>
          <w:szCs w:val="21"/>
          <w:highlight w:val="none"/>
        </w:rPr>
      </w:pPr>
      <w:r>
        <w:rPr>
          <w:rFonts w:hint="eastAsia" w:ascii="宋体" w:hAnsi="宋体"/>
          <w:bCs/>
          <w:color w:val="auto"/>
          <w:szCs w:val="21"/>
          <w:highlight w:val="none"/>
        </w:rPr>
        <w:t>19.3逾期送达的电子投标文件，</w:t>
      </w:r>
      <w:r>
        <w:rPr>
          <w:rFonts w:ascii="宋体" w:hAnsi="宋体"/>
          <w:color w:val="auto"/>
          <w:szCs w:val="21"/>
          <w:highlight w:val="none"/>
          <w:u w:val="single"/>
        </w:rPr>
        <w:t xml:space="preserve">        </w:t>
      </w:r>
      <w:r>
        <w:rPr>
          <w:rFonts w:hint="eastAsia" w:ascii="宋体" w:hAnsi="宋体"/>
          <w:color w:val="auto"/>
          <w:szCs w:val="21"/>
          <w:highlight w:val="none"/>
        </w:rPr>
        <w:t>交易平台将予以拒收。</w:t>
      </w:r>
    </w:p>
    <w:p w14:paraId="408E669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19.4 投标截止前，招标人拒绝接收符合条件的投标文件，投标人可向招标投标监督机构投诉。</w:t>
      </w:r>
    </w:p>
    <w:p w14:paraId="51651B0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19.5如技术标和经济标先后分别开启，</w:t>
      </w:r>
      <w:r>
        <w:rPr>
          <w:rFonts w:ascii="宋体" w:hAnsi="宋体"/>
          <w:color w:val="auto"/>
          <w:szCs w:val="21"/>
          <w:highlight w:val="none"/>
          <w:u w:val="single"/>
        </w:rPr>
        <w:t xml:space="preserve">        </w:t>
      </w:r>
      <w:r>
        <w:rPr>
          <w:rFonts w:hint="eastAsia" w:ascii="宋体" w:hAnsi="宋体"/>
          <w:color w:val="auto"/>
          <w:szCs w:val="21"/>
          <w:highlight w:val="none"/>
        </w:rPr>
        <w:t>交易平台将按招标文件规定的时间分别开启技术标和经济标。</w:t>
      </w:r>
    </w:p>
    <w:p w14:paraId="175577E6">
      <w:pPr>
        <w:spacing w:line="360" w:lineRule="auto"/>
        <w:ind w:firstLine="420" w:firstLineChars="200"/>
        <w:rPr>
          <w:rFonts w:hint="eastAsia" w:ascii="宋体" w:hAnsi="宋体"/>
          <w:b/>
          <w:bCs/>
          <w:color w:val="auto"/>
          <w:szCs w:val="21"/>
          <w:highlight w:val="none"/>
        </w:rPr>
      </w:pPr>
      <w:r>
        <w:rPr>
          <w:rFonts w:hint="eastAsia" w:ascii="宋体" w:hAnsi="宋体"/>
          <w:b/>
          <w:bCs/>
          <w:color w:val="auto"/>
          <w:szCs w:val="21"/>
          <w:highlight w:val="none"/>
        </w:rPr>
        <w:t>20．投标文件提交的截止时间</w:t>
      </w:r>
    </w:p>
    <w:p w14:paraId="02642E78">
      <w:pPr>
        <w:spacing w:line="360" w:lineRule="auto"/>
        <w:ind w:firstLine="420" w:firstLineChars="200"/>
        <w:rPr>
          <w:rFonts w:hint="eastAsia" w:ascii="宋体" w:hAnsi="宋体"/>
          <w:b/>
          <w:bCs/>
          <w:color w:val="auto"/>
          <w:szCs w:val="21"/>
          <w:highlight w:val="none"/>
        </w:rPr>
      </w:pPr>
      <w:r>
        <w:rPr>
          <w:rFonts w:hint="eastAsia" w:ascii="宋体" w:hAnsi="宋体"/>
          <w:color w:val="auto"/>
          <w:szCs w:val="21"/>
          <w:highlight w:val="none"/>
        </w:rPr>
        <w:t>20.1投标人应在投标须知前附表第17项所述的时间前提交投标文件。</w:t>
      </w:r>
    </w:p>
    <w:p w14:paraId="3D5E5EA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14:paraId="43D12AD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20.3 到投标截止时间止，招标人收到的投标文件少于3家的，招标人将重新组织招标（当N个标段同时招标且不允许兼中时，若有效投标人不足N+2家，则重新组织招标）。</w:t>
      </w:r>
    </w:p>
    <w:p w14:paraId="35D6E15E">
      <w:pPr>
        <w:spacing w:line="360" w:lineRule="auto"/>
        <w:ind w:firstLine="420" w:firstLineChars="200"/>
        <w:rPr>
          <w:rFonts w:hint="eastAsia" w:ascii="宋体" w:hAnsi="宋体"/>
          <w:b/>
          <w:bCs/>
          <w:color w:val="auto"/>
          <w:szCs w:val="21"/>
          <w:highlight w:val="none"/>
        </w:rPr>
      </w:pPr>
      <w:r>
        <w:rPr>
          <w:rFonts w:hint="eastAsia" w:ascii="宋体" w:hAnsi="宋体"/>
          <w:b/>
          <w:bCs/>
          <w:color w:val="auto"/>
          <w:szCs w:val="21"/>
          <w:highlight w:val="none"/>
        </w:rPr>
        <w:t>21．迟交的投标文件</w:t>
      </w:r>
    </w:p>
    <w:p w14:paraId="1F49656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21.1 本须知前附表第17项规定的投标截止时间</w:t>
      </w:r>
      <w:r>
        <w:rPr>
          <w:rFonts w:hint="eastAsia" w:ascii="宋体" w:hAnsi="宋体"/>
          <w:bCs/>
          <w:color w:val="auto"/>
          <w:szCs w:val="21"/>
          <w:highlight w:val="none"/>
        </w:rPr>
        <w:t>后送达的电子投标文件，</w:t>
      </w:r>
      <w:r>
        <w:rPr>
          <w:rFonts w:ascii="宋体" w:hAnsi="宋体"/>
          <w:color w:val="auto"/>
          <w:szCs w:val="21"/>
          <w:highlight w:val="none"/>
          <w:u w:val="single"/>
        </w:rPr>
        <w:t xml:space="preserve">       </w:t>
      </w:r>
      <w:r>
        <w:rPr>
          <w:rFonts w:hint="eastAsia" w:ascii="宋体" w:hAnsi="宋体"/>
          <w:color w:val="auto"/>
          <w:szCs w:val="21"/>
          <w:highlight w:val="none"/>
        </w:rPr>
        <w:t>交易平台将予以拒收。</w:t>
      </w:r>
    </w:p>
    <w:p w14:paraId="7A550A0A">
      <w:pPr>
        <w:spacing w:line="360" w:lineRule="auto"/>
        <w:ind w:firstLine="420" w:firstLineChars="200"/>
        <w:rPr>
          <w:rFonts w:hint="eastAsia" w:ascii="宋体" w:hAnsi="宋体"/>
          <w:b/>
          <w:bCs/>
          <w:color w:val="auto"/>
          <w:szCs w:val="21"/>
          <w:highlight w:val="none"/>
        </w:rPr>
      </w:pPr>
      <w:r>
        <w:rPr>
          <w:rFonts w:hint="eastAsia" w:ascii="宋体" w:hAnsi="宋体"/>
          <w:b/>
          <w:bCs/>
          <w:color w:val="auto"/>
          <w:szCs w:val="21"/>
          <w:highlight w:val="none"/>
        </w:rPr>
        <w:t>22．投标文件的修改与撤回</w:t>
      </w:r>
    </w:p>
    <w:p w14:paraId="536198A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22.1在规定的投标截止时间前，投标人可以修改或撤回已递交的投标文件，但应以书面形式通知招标人。</w:t>
      </w:r>
    </w:p>
    <w:p w14:paraId="7AD6196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22.2</w:t>
      </w:r>
      <w:r>
        <w:rPr>
          <w:rFonts w:ascii="宋体" w:hAnsi="宋体"/>
          <w:color w:val="auto"/>
          <w:szCs w:val="21"/>
          <w:highlight w:val="none"/>
        </w:rPr>
        <w:t>投标人修改或撤回已递交</w:t>
      </w:r>
      <w:r>
        <w:rPr>
          <w:rFonts w:hint="eastAsia" w:ascii="宋体" w:hAnsi="宋体"/>
          <w:color w:val="auto"/>
          <w:szCs w:val="21"/>
          <w:highlight w:val="none"/>
        </w:rPr>
        <w:t>的</w:t>
      </w:r>
      <w:r>
        <w:rPr>
          <w:rFonts w:ascii="宋体" w:hAnsi="宋体"/>
          <w:color w:val="auto"/>
          <w:szCs w:val="21"/>
          <w:highlight w:val="none"/>
        </w:rPr>
        <w:t>投标文件</w:t>
      </w:r>
      <w:r>
        <w:rPr>
          <w:rFonts w:hint="eastAsia" w:ascii="宋体" w:hAnsi="宋体"/>
          <w:color w:val="auto"/>
          <w:szCs w:val="21"/>
          <w:highlight w:val="none"/>
        </w:rPr>
        <w:t>，需在交易平台发出修改或撤回</w:t>
      </w:r>
      <w:r>
        <w:rPr>
          <w:rFonts w:ascii="宋体" w:hAnsi="宋体"/>
          <w:color w:val="auto"/>
          <w:szCs w:val="21"/>
          <w:highlight w:val="none"/>
        </w:rPr>
        <w:t>通知，</w:t>
      </w:r>
      <w:r>
        <w:rPr>
          <w:rFonts w:hint="eastAsia" w:ascii="宋体" w:hAnsi="宋体"/>
          <w:color w:val="auto"/>
          <w:szCs w:val="21"/>
          <w:highlight w:val="none"/>
        </w:rPr>
        <w:t>并按</w:t>
      </w:r>
      <w:r>
        <w:rPr>
          <w:rFonts w:ascii="宋体" w:hAnsi="宋体"/>
          <w:color w:val="auto"/>
          <w:szCs w:val="21"/>
          <w:highlight w:val="none"/>
        </w:rPr>
        <w:t>要求加盖电子印章。</w:t>
      </w:r>
      <w:r>
        <w:rPr>
          <w:rFonts w:ascii="宋体" w:hAnsi="宋体"/>
          <w:bCs/>
          <w:iCs/>
          <w:color w:val="auto"/>
          <w:szCs w:val="21"/>
          <w:highlight w:val="none"/>
        </w:rPr>
        <w:t>电子招标投标交易平台收到通知后，</w:t>
      </w:r>
      <w:r>
        <w:rPr>
          <w:rFonts w:ascii="宋体" w:hAnsi="宋体"/>
          <w:color w:val="auto"/>
          <w:szCs w:val="21"/>
          <w:highlight w:val="none"/>
        </w:rPr>
        <w:t>即时向投标人发出确认回执通知。</w:t>
      </w:r>
    </w:p>
    <w:p w14:paraId="25D008E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22.3修改后再次递交的，按19点的规定执行。</w:t>
      </w:r>
    </w:p>
    <w:p w14:paraId="764A71E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22.4 在投标截止时间之后，投标人不得补充、修改和更换投标文件。</w:t>
      </w:r>
    </w:p>
    <w:p w14:paraId="6AFA8C98">
      <w:pPr>
        <w:pStyle w:val="7"/>
        <w:spacing w:before="156" w:beforeAutospacing="0" w:after="156" w:afterAutospacing="0" w:line="360" w:lineRule="auto"/>
        <w:rPr>
          <w:rFonts w:hint="eastAsia"/>
          <w:b/>
          <w:bCs/>
          <w:color w:val="auto"/>
          <w:sz w:val="21"/>
          <w:szCs w:val="21"/>
          <w:highlight w:val="none"/>
        </w:rPr>
      </w:pPr>
      <w:bookmarkStart w:id="17" w:name="_Toc185324322"/>
      <w:bookmarkStart w:id="18" w:name="_Toc105014628"/>
      <w:r>
        <w:rPr>
          <w:rFonts w:hint="eastAsia"/>
          <w:b/>
          <w:bCs/>
          <w:color w:val="auto"/>
          <w:sz w:val="21"/>
          <w:szCs w:val="21"/>
          <w:highlight w:val="none"/>
        </w:rPr>
        <w:t>（五）开标、评标、定标及合同签定</w:t>
      </w:r>
      <w:bookmarkEnd w:id="17"/>
      <w:bookmarkEnd w:id="18"/>
    </w:p>
    <w:p w14:paraId="27BD9D16">
      <w:pPr>
        <w:spacing w:line="360" w:lineRule="auto"/>
        <w:ind w:firstLine="420" w:firstLineChars="200"/>
        <w:rPr>
          <w:rFonts w:hint="eastAsia" w:ascii="宋体" w:hAnsi="宋体"/>
          <w:b/>
          <w:bCs/>
          <w:color w:val="auto"/>
          <w:szCs w:val="21"/>
          <w:highlight w:val="none"/>
        </w:rPr>
      </w:pPr>
      <w:r>
        <w:rPr>
          <w:rFonts w:hint="eastAsia" w:ascii="宋体" w:hAnsi="宋体"/>
          <w:b/>
          <w:bCs/>
          <w:color w:val="auto"/>
          <w:szCs w:val="21"/>
          <w:highlight w:val="none"/>
        </w:rPr>
        <w:t>2</w:t>
      </w:r>
      <w:r>
        <w:rPr>
          <w:rFonts w:ascii="宋体" w:hAnsi="宋体"/>
          <w:b/>
          <w:bCs/>
          <w:color w:val="auto"/>
          <w:szCs w:val="21"/>
          <w:highlight w:val="none"/>
        </w:rPr>
        <w:t xml:space="preserve">3. </w:t>
      </w:r>
      <w:r>
        <w:rPr>
          <w:rFonts w:hint="eastAsia" w:ascii="宋体" w:hAnsi="宋体"/>
          <w:b/>
          <w:bCs/>
          <w:color w:val="auto"/>
          <w:szCs w:val="21"/>
          <w:highlight w:val="none"/>
        </w:rPr>
        <w:t>开标</w:t>
      </w:r>
    </w:p>
    <w:p w14:paraId="57B3DA3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详见第二章开标、评标及定标办法。</w:t>
      </w:r>
    </w:p>
    <w:p w14:paraId="28A65681">
      <w:pPr>
        <w:spacing w:line="360" w:lineRule="auto"/>
        <w:ind w:firstLine="420" w:firstLineChars="200"/>
        <w:rPr>
          <w:rFonts w:hint="eastAsia" w:ascii="宋体" w:hAnsi="宋体"/>
          <w:b/>
          <w:bCs/>
          <w:color w:val="auto"/>
          <w:szCs w:val="21"/>
          <w:highlight w:val="none"/>
        </w:rPr>
      </w:pPr>
      <w:r>
        <w:rPr>
          <w:rFonts w:hint="eastAsia" w:ascii="宋体" w:hAnsi="宋体"/>
          <w:b/>
          <w:bCs/>
          <w:color w:val="auto"/>
          <w:szCs w:val="21"/>
          <w:highlight w:val="none"/>
        </w:rPr>
        <w:t>24．评标过程的保密</w:t>
      </w:r>
    </w:p>
    <w:p w14:paraId="052E114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24.1 开标后，直至中标公示为止，凡属于对投标文件的审查、澄清、评价和比较有关的资料以及中标候选人的推荐情况，与评标有关的其他任何情况均严格保密。</w:t>
      </w:r>
    </w:p>
    <w:p w14:paraId="79B253E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24.2 在投标文件的评审和比较、中标候选人推荐以及授予合同的过程中，投标人向招标人和评标委员会施加不公正影响的任何行为，都将会导致其投标被拒绝。</w:t>
      </w:r>
    </w:p>
    <w:p w14:paraId="30AD472D">
      <w:pPr>
        <w:spacing w:line="360" w:lineRule="auto"/>
        <w:ind w:firstLine="420" w:firstLineChars="200"/>
        <w:rPr>
          <w:rFonts w:hint="eastAsia" w:ascii="宋体" w:hAnsi="宋体"/>
          <w:b/>
          <w:bCs/>
          <w:color w:val="auto"/>
          <w:szCs w:val="21"/>
          <w:highlight w:val="none"/>
        </w:rPr>
      </w:pPr>
      <w:r>
        <w:rPr>
          <w:rFonts w:hint="eastAsia" w:ascii="宋体" w:hAnsi="宋体"/>
          <w:b/>
          <w:bCs/>
          <w:color w:val="auto"/>
          <w:szCs w:val="21"/>
          <w:highlight w:val="none"/>
        </w:rPr>
        <w:t>25．投标文件的澄清，计算错误的修正</w:t>
      </w:r>
    </w:p>
    <w:p w14:paraId="5FD2BEB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详见招标文件第二章开标、评标及定标办法。</w:t>
      </w:r>
    </w:p>
    <w:p w14:paraId="6E4B2716">
      <w:pPr>
        <w:spacing w:line="360" w:lineRule="auto"/>
        <w:ind w:firstLine="420" w:firstLineChars="200"/>
        <w:rPr>
          <w:rFonts w:hint="eastAsia" w:ascii="宋体" w:hAnsi="宋体"/>
          <w:b/>
          <w:bCs/>
          <w:color w:val="auto"/>
          <w:szCs w:val="21"/>
          <w:highlight w:val="none"/>
        </w:rPr>
      </w:pPr>
      <w:r>
        <w:rPr>
          <w:rFonts w:hint="eastAsia" w:ascii="宋体" w:hAnsi="宋体"/>
          <w:b/>
          <w:bCs/>
          <w:color w:val="auto"/>
          <w:szCs w:val="21"/>
          <w:highlight w:val="none"/>
        </w:rPr>
        <w:t>26．投标文件的评审、比较和否决</w:t>
      </w:r>
    </w:p>
    <w:p w14:paraId="68206895">
      <w:pPr>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详见招标文件第二章开标、评标及定标办法。</w:t>
      </w:r>
    </w:p>
    <w:p w14:paraId="55B19CDD">
      <w:pPr>
        <w:spacing w:line="360" w:lineRule="auto"/>
        <w:ind w:firstLine="420" w:firstLineChars="200"/>
        <w:rPr>
          <w:rFonts w:hint="eastAsia" w:ascii="宋体" w:hAnsi="宋体"/>
          <w:b/>
          <w:bCs/>
          <w:color w:val="auto"/>
          <w:szCs w:val="21"/>
          <w:highlight w:val="none"/>
        </w:rPr>
      </w:pPr>
      <w:r>
        <w:rPr>
          <w:rFonts w:hint="eastAsia" w:ascii="宋体" w:hAnsi="宋体"/>
          <w:b/>
          <w:bCs/>
          <w:color w:val="auto"/>
          <w:szCs w:val="21"/>
          <w:highlight w:val="none"/>
        </w:rPr>
        <w:t>27．中标通知书</w:t>
      </w:r>
    </w:p>
    <w:p w14:paraId="03ABC4B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27.1招标人将在</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26CFEE5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27.2招标人应当自确定中标人后，向招标投标监管机构提交招标投标情况的书面报告；经招投标监管机构备案后，方可发出中标通知书。</w:t>
      </w:r>
    </w:p>
    <w:p w14:paraId="0252010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27.3中标人必须在收到中标通知书后24小时之内以书面形式回复招标人，确认收到。</w:t>
      </w:r>
    </w:p>
    <w:p w14:paraId="798FF94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27.4在产生中标候选人后，招标人将中标候选人的投标文件商务部分文件的所有内容（包括人员、业绩、奖项等资料）在</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交易平台和广东省招标投标监管网公开。</w:t>
      </w:r>
    </w:p>
    <w:p w14:paraId="4B0B1B7D">
      <w:pPr>
        <w:spacing w:line="360" w:lineRule="auto"/>
        <w:ind w:firstLine="420" w:firstLineChars="200"/>
        <w:rPr>
          <w:rFonts w:hint="eastAsia" w:ascii="宋体" w:hAnsi="宋体"/>
          <w:b/>
          <w:bCs/>
          <w:color w:val="auto"/>
          <w:szCs w:val="21"/>
          <w:highlight w:val="none"/>
        </w:rPr>
      </w:pPr>
      <w:r>
        <w:rPr>
          <w:rFonts w:hint="eastAsia" w:ascii="宋体" w:hAnsi="宋体"/>
          <w:b/>
          <w:bCs/>
          <w:color w:val="auto"/>
          <w:szCs w:val="21"/>
          <w:highlight w:val="none"/>
        </w:rPr>
        <w:t>28．合同协议书的签订</w:t>
      </w:r>
    </w:p>
    <w:p w14:paraId="3C01451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28.1 招标人与中标人将于中标通知书发出之日起30日内，按照招标文件和中标人的投标文件商定和签订合同，招标人和中标人不得再行订立背离合同实质性内容的其他协议。</w:t>
      </w:r>
    </w:p>
    <w:p w14:paraId="219CCA6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B8AFEF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28.3非经招标人同意，中标人在投标过程中使用的银行名称及账号至完成竣工结算不得变更，否则招标人有权停止工程款项的拨付及至解除合同，由此造成的一切责任由中标人承担。</w:t>
      </w:r>
    </w:p>
    <w:p w14:paraId="153ED9C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28.4工程进度款支付应不低于已完成工程价款的80%，招标人支付工程款时，中标人应按规定开具发票。质量保证金不超过工程价款总额3%。当年开工、当年不能竣工的新开工项目可以采用过程结算。</w:t>
      </w:r>
    </w:p>
    <w:p w14:paraId="4C9F47A7">
      <w:pPr>
        <w:spacing w:line="360" w:lineRule="auto"/>
        <w:ind w:firstLine="420" w:firstLineChars="200"/>
        <w:rPr>
          <w:rFonts w:hint="eastAsia" w:ascii="宋体" w:hAnsi="宋体"/>
          <w:b/>
          <w:bCs/>
          <w:color w:val="auto"/>
          <w:szCs w:val="21"/>
          <w:highlight w:val="none"/>
        </w:rPr>
      </w:pPr>
      <w:r>
        <w:rPr>
          <w:rFonts w:hint="eastAsia" w:ascii="宋体" w:hAnsi="宋体"/>
          <w:b/>
          <w:bCs/>
          <w:color w:val="auto"/>
          <w:szCs w:val="21"/>
          <w:highlight w:val="none"/>
        </w:rPr>
        <w:t>29．履约担保</w:t>
      </w:r>
    </w:p>
    <w:p w14:paraId="50F6F89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29.1 在收到中标通知书后的15日内，中标人应按本须知前附表第20项的规定向招标人提交履约担保。</w:t>
      </w:r>
    </w:p>
    <w:p w14:paraId="4C45677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699594D">
      <w:pPr>
        <w:spacing w:line="360" w:lineRule="auto"/>
        <w:ind w:firstLine="420" w:firstLineChars="200"/>
        <w:rPr>
          <w:rFonts w:hint="eastAsia" w:ascii="宋体" w:hAnsi="宋体"/>
          <w:b/>
          <w:bCs/>
          <w:color w:val="auto"/>
          <w:szCs w:val="21"/>
          <w:highlight w:val="none"/>
        </w:rPr>
      </w:pPr>
      <w:r>
        <w:rPr>
          <w:rFonts w:hint="eastAsia" w:ascii="宋体" w:hAnsi="宋体"/>
          <w:b/>
          <w:bCs/>
          <w:color w:val="auto"/>
          <w:szCs w:val="21"/>
          <w:highlight w:val="none"/>
        </w:rPr>
        <w:t>30．合同生效</w:t>
      </w:r>
    </w:p>
    <w:p w14:paraId="1BA6ED4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30.1在合同双方全权代表在合同协议书上签字，并分别加盖双方单位的公章后，合同正式生效。</w:t>
      </w:r>
    </w:p>
    <w:p w14:paraId="08050CA5">
      <w:pPr>
        <w:spacing w:line="360" w:lineRule="auto"/>
        <w:ind w:firstLine="420" w:firstLineChars="200"/>
        <w:rPr>
          <w:rFonts w:hint="eastAsia" w:ascii="宋体" w:hAnsi="宋体"/>
          <w:b/>
          <w:bCs/>
          <w:color w:val="auto"/>
          <w:szCs w:val="21"/>
          <w:highlight w:val="none"/>
        </w:rPr>
      </w:pPr>
      <w:r>
        <w:rPr>
          <w:rFonts w:hint="eastAsia" w:ascii="宋体" w:hAnsi="宋体"/>
          <w:b/>
          <w:bCs/>
          <w:color w:val="auto"/>
          <w:szCs w:val="21"/>
          <w:highlight w:val="none"/>
        </w:rPr>
        <w:t>31．其它费用</w:t>
      </w:r>
    </w:p>
    <w:p w14:paraId="4F5D021D">
      <w:pPr>
        <w:pStyle w:val="4"/>
        <w:spacing w:after="0" w:line="360" w:lineRule="auto"/>
        <w:ind w:firstLine="420"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32．腐败与欺诈行为</w:t>
      </w:r>
    </w:p>
    <w:p w14:paraId="09443423">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在招标和合同实施期间，招标人要求投标人和承包人遵守最高的道德标准。</w:t>
      </w:r>
    </w:p>
    <w:p w14:paraId="7D05B42F">
      <w:pPr>
        <w:pStyle w:val="4"/>
        <w:spacing w:after="0" w:line="360" w:lineRule="auto"/>
        <w:ind w:firstLineChars="200"/>
        <w:rPr>
          <w:rFonts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2.1</w:t>
      </w:r>
      <w:r>
        <w:rPr>
          <w:rFonts w:hint="eastAsia" w:ascii="宋体" w:hAnsi="宋体"/>
          <w:color w:val="auto"/>
          <w:sz w:val="21"/>
          <w:szCs w:val="21"/>
          <w:highlight w:val="none"/>
        </w:rPr>
        <w:t>对本条款的规定，特定义如下词汇：</w:t>
      </w:r>
    </w:p>
    <w:p w14:paraId="643AB8CA">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1）“腐败行为”是指在招标或合同执行期间，通过提供、给予、接受或索要任何有价值的东西，从而影响招标人有关人员工作的行为；</w:t>
      </w:r>
    </w:p>
    <w:p w14:paraId="336C4B2B">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36227ECA">
      <w:pPr>
        <w:pStyle w:val="4"/>
        <w:spacing w:after="0" w:line="360" w:lineRule="auto"/>
        <w:ind w:firstLineChars="200"/>
        <w:rPr>
          <w:rFonts w:hint="eastAsia" w:ascii="宋体" w:hAnsi="宋体"/>
          <w:color w:val="auto"/>
          <w:sz w:val="21"/>
          <w:szCs w:val="21"/>
          <w:highlight w:val="none"/>
        </w:rPr>
      </w:pPr>
      <w:r>
        <w:rPr>
          <w:rFonts w:ascii="宋体" w:hAnsi="宋体"/>
          <w:color w:val="auto"/>
          <w:sz w:val="21"/>
          <w:szCs w:val="21"/>
          <w:highlight w:val="none"/>
        </w:rPr>
        <w:t xml:space="preserve">32.2 </w:t>
      </w:r>
      <w:r>
        <w:rPr>
          <w:rFonts w:hint="eastAsia" w:ascii="宋体" w:hAnsi="宋体"/>
          <w:color w:val="auto"/>
          <w:sz w:val="21"/>
          <w:szCs w:val="21"/>
          <w:highlight w:val="none"/>
        </w:rPr>
        <w:t>如果投标人被认定在本招标的竞争中有腐败或欺诈行为，则会被取消投标资格。</w:t>
      </w:r>
    </w:p>
    <w:p w14:paraId="79A2F1D7">
      <w:pPr>
        <w:pStyle w:val="4"/>
        <w:spacing w:after="0" w:line="360" w:lineRule="auto"/>
        <w:ind w:firstLineChars="200"/>
        <w:rPr>
          <w:rFonts w:hint="eastAsia" w:ascii="宋体" w:hAnsi="宋体"/>
          <w:color w:val="auto"/>
          <w:sz w:val="21"/>
          <w:szCs w:val="21"/>
          <w:highlight w:val="none"/>
        </w:rPr>
      </w:pPr>
      <w:r>
        <w:rPr>
          <w:rFonts w:hint="eastAsia" w:ascii="宋体" w:hAnsi="宋体"/>
          <w:color w:val="auto"/>
          <w:sz w:val="21"/>
          <w:szCs w:val="21"/>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14:paraId="69DA3940">
      <w:pPr>
        <w:pStyle w:val="120"/>
        <w:spacing w:after="0" w:line="276" w:lineRule="auto"/>
        <w:ind w:firstLineChars="200"/>
        <w:rPr>
          <w:rStyle w:val="127"/>
          <w:rFonts w:ascii="宋体" w:hAnsi="宋体"/>
          <w:color w:val="auto"/>
          <w:sz w:val="21"/>
          <w:szCs w:val="21"/>
          <w:highlight w:val="none"/>
        </w:rPr>
      </w:pPr>
    </w:p>
    <w:p w14:paraId="33C773DE">
      <w:pPr>
        <w:pStyle w:val="134"/>
        <w:outlineLvl w:val="0"/>
        <w:rPr>
          <w:rStyle w:val="127"/>
          <w:rFonts w:ascii="宋体" w:hAnsi="宋体"/>
          <w:bCs/>
          <w:color w:val="auto"/>
          <w:highlight w:val="none"/>
        </w:rPr>
      </w:pPr>
      <w:r>
        <w:rPr>
          <w:rStyle w:val="127"/>
          <w:rFonts w:ascii="宋体" w:hAnsi="宋体"/>
          <w:b w:val="0"/>
          <w:color w:val="auto"/>
          <w:sz w:val="24"/>
          <w:highlight w:val="none"/>
        </w:rPr>
        <w:br w:type="page"/>
      </w:r>
      <w:bookmarkStart w:id="19" w:name="_Toc185324323"/>
      <w:bookmarkStart w:id="20" w:name="_Toc1276"/>
      <w:r>
        <w:rPr>
          <w:rStyle w:val="127"/>
          <w:rFonts w:ascii="宋体" w:hAnsi="宋体"/>
          <w:bCs/>
          <w:color w:val="auto"/>
          <w:highlight w:val="none"/>
        </w:rPr>
        <w:t>第二章  开标、评标及定标办法</w:t>
      </w:r>
      <w:bookmarkEnd w:id="19"/>
      <w:bookmarkEnd w:id="20"/>
    </w:p>
    <w:p w14:paraId="3DCC72DA">
      <w:pPr>
        <w:pStyle w:val="141"/>
        <w:spacing w:line="360" w:lineRule="auto"/>
        <w:outlineLvl w:val="1"/>
        <w:rPr>
          <w:rStyle w:val="127"/>
          <w:rFonts w:ascii="宋体" w:hAnsi="宋体"/>
          <w:b/>
          <w:color w:val="auto"/>
          <w:highlight w:val="none"/>
        </w:rPr>
      </w:pPr>
      <w:bookmarkStart w:id="21" w:name="_Toc185324324"/>
      <w:r>
        <w:rPr>
          <w:rStyle w:val="127"/>
          <w:rFonts w:ascii="宋体" w:hAnsi="宋体"/>
          <w:b/>
          <w:color w:val="auto"/>
          <w:highlight w:val="none"/>
        </w:rPr>
        <w:t>一、开标、评标及定标办法修改表</w:t>
      </w:r>
      <w:bookmarkEnd w:id="21"/>
    </w:p>
    <w:p w14:paraId="1D3DF96D">
      <w:pPr>
        <w:pStyle w:val="120"/>
        <w:spacing w:after="0" w:line="360" w:lineRule="auto"/>
        <w:rPr>
          <w:rStyle w:val="127"/>
          <w:rFonts w:ascii="宋体" w:hAnsi="宋体"/>
          <w:b/>
          <w:color w:val="auto"/>
          <w:sz w:val="21"/>
          <w:szCs w:val="21"/>
          <w:highlight w:val="none"/>
        </w:rPr>
      </w:pPr>
      <w:r>
        <w:rPr>
          <w:rStyle w:val="127"/>
          <w:rFonts w:ascii="宋体" w:hAnsi="宋体"/>
          <w:b/>
          <w:color w:val="auto"/>
          <w:sz w:val="21"/>
          <w:szCs w:val="21"/>
          <w:highlight w:val="none"/>
        </w:rPr>
        <w:t>声明：</w:t>
      </w:r>
      <w:r>
        <w:rPr>
          <w:rStyle w:val="127"/>
          <w:rFonts w:hint="eastAsia" w:ascii="宋体" w:hAnsi="宋体"/>
          <w:b/>
          <w:color w:val="auto"/>
          <w:sz w:val="21"/>
          <w:szCs w:val="21"/>
          <w:highlight w:val="none"/>
        </w:rPr>
        <w:t>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14:paraId="234B4A2C">
      <w:pPr>
        <w:pBdr>
          <w:top w:val="single" w:color="auto" w:sz="4" w:space="0"/>
        </w:pBd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条款号：</w:t>
      </w:r>
      <w:r>
        <w:rPr>
          <w:rStyle w:val="127"/>
          <w:rFonts w:ascii="宋体" w:hAnsi="宋体"/>
          <w:color w:val="auto"/>
          <w:szCs w:val="21"/>
          <w:highlight w:val="none"/>
        </w:rPr>
        <w:t>36.1</w:t>
      </w:r>
      <w:r>
        <w:rPr>
          <w:rStyle w:val="127"/>
          <w:rFonts w:ascii="宋体" w:hAnsi="宋体"/>
          <w:b/>
          <w:color w:val="auto"/>
          <w:szCs w:val="21"/>
          <w:highlight w:val="none"/>
        </w:rPr>
        <w:t xml:space="preserve">          修改类型：修改</w:t>
      </w:r>
    </w:p>
    <w:p w14:paraId="2730AA48">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原文：</w:t>
      </w:r>
      <w:r>
        <w:rPr>
          <w:rStyle w:val="127"/>
          <w:rFonts w:ascii="宋体" w:hAnsi="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14:paraId="5A1D3AB2">
      <w:pPr>
        <w:pBdr>
          <w:bottom w:val="single" w:color="000000" w:sz="6" w:space="1"/>
        </w:pBdr>
        <w:spacing w:line="360" w:lineRule="auto"/>
        <w:ind w:firstLine="420" w:firstLineChars="200"/>
        <w:rPr>
          <w:rStyle w:val="127"/>
          <w:rFonts w:ascii="宋体" w:hAnsi="宋体"/>
          <w:color w:val="auto"/>
          <w:szCs w:val="21"/>
          <w:highlight w:val="none"/>
        </w:rPr>
      </w:pPr>
      <w:r>
        <w:rPr>
          <w:rStyle w:val="127"/>
          <w:rFonts w:ascii="宋体" w:hAnsi="宋体"/>
          <w:b/>
          <w:color w:val="auto"/>
          <w:szCs w:val="21"/>
          <w:highlight w:val="none"/>
        </w:rPr>
        <w:t>现文：</w:t>
      </w:r>
      <w:r>
        <w:rPr>
          <w:rStyle w:val="127"/>
          <w:rFonts w:ascii="宋体" w:hAnsi="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Style w:val="127"/>
          <w:rFonts w:ascii="宋体" w:hAnsi="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14:paraId="06E1B30F">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条款号：</w:t>
      </w:r>
      <w:r>
        <w:rPr>
          <w:rStyle w:val="127"/>
          <w:rFonts w:ascii="宋体" w:hAnsi="宋体"/>
          <w:color w:val="auto"/>
          <w:szCs w:val="21"/>
          <w:highlight w:val="none"/>
        </w:rPr>
        <w:t>36.3</w:t>
      </w:r>
      <w:r>
        <w:rPr>
          <w:rStyle w:val="127"/>
          <w:rFonts w:ascii="宋体" w:hAnsi="宋体"/>
          <w:b/>
          <w:color w:val="auto"/>
          <w:szCs w:val="21"/>
          <w:highlight w:val="none"/>
        </w:rPr>
        <w:t xml:space="preserve">          修改类型：删除</w:t>
      </w:r>
    </w:p>
    <w:p w14:paraId="53093610">
      <w:pPr>
        <w:pBdr>
          <w:bottom w:val="single" w:color="000000" w:sz="6" w:space="1"/>
        </w:pBdr>
        <w:spacing w:line="360" w:lineRule="auto"/>
        <w:ind w:firstLine="420" w:firstLineChars="200"/>
        <w:rPr>
          <w:rStyle w:val="127"/>
          <w:rFonts w:ascii="宋体" w:hAnsi="宋体"/>
          <w:color w:val="auto"/>
          <w:szCs w:val="21"/>
          <w:highlight w:val="none"/>
        </w:rPr>
      </w:pPr>
      <w:r>
        <w:rPr>
          <w:rStyle w:val="127"/>
          <w:rFonts w:ascii="宋体" w:hAnsi="宋体"/>
          <w:b/>
          <w:color w:val="auto"/>
          <w:szCs w:val="21"/>
          <w:highlight w:val="none"/>
        </w:rPr>
        <w:t>原文：</w:t>
      </w:r>
      <w:r>
        <w:rPr>
          <w:rStyle w:val="127"/>
          <w:rFonts w:ascii="宋体" w:hAnsi="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7B9F5111">
      <w:pPr>
        <w:spacing w:line="360" w:lineRule="auto"/>
        <w:ind w:firstLine="420" w:firstLineChars="200"/>
        <w:rPr>
          <w:rStyle w:val="127"/>
          <w:rFonts w:hint="eastAsia" w:ascii="宋体" w:hAnsi="宋体" w:eastAsia="宋体"/>
          <w:b/>
          <w:color w:val="auto"/>
          <w:szCs w:val="21"/>
          <w:highlight w:val="none"/>
          <w:lang w:eastAsia="zh-CN"/>
        </w:rPr>
      </w:pPr>
      <w:r>
        <w:rPr>
          <w:rStyle w:val="127"/>
          <w:rFonts w:ascii="宋体" w:hAnsi="宋体"/>
          <w:b/>
          <w:color w:val="auto"/>
          <w:szCs w:val="21"/>
          <w:highlight w:val="none"/>
        </w:rPr>
        <w:t>条款号：</w:t>
      </w:r>
      <w:r>
        <w:rPr>
          <w:rStyle w:val="127"/>
          <w:rFonts w:ascii="宋体" w:hAnsi="宋体"/>
          <w:color w:val="auto"/>
          <w:szCs w:val="21"/>
          <w:highlight w:val="none"/>
        </w:rPr>
        <w:t>36.</w:t>
      </w:r>
      <w:r>
        <w:rPr>
          <w:rStyle w:val="127"/>
          <w:rFonts w:hint="eastAsia" w:ascii="宋体" w:hAnsi="宋体"/>
          <w:color w:val="auto"/>
          <w:szCs w:val="21"/>
          <w:highlight w:val="none"/>
          <w:lang w:val="en-US" w:eastAsia="zh-CN"/>
        </w:rPr>
        <w:t>4</w:t>
      </w:r>
      <w:r>
        <w:rPr>
          <w:rStyle w:val="127"/>
          <w:rFonts w:ascii="宋体" w:hAnsi="宋体"/>
          <w:b/>
          <w:color w:val="auto"/>
          <w:szCs w:val="21"/>
          <w:highlight w:val="none"/>
        </w:rPr>
        <w:t xml:space="preserve">          修改类型：</w:t>
      </w:r>
      <w:r>
        <w:rPr>
          <w:rStyle w:val="127"/>
          <w:rFonts w:hint="eastAsia" w:ascii="宋体" w:hAnsi="宋体"/>
          <w:b/>
          <w:color w:val="auto"/>
          <w:szCs w:val="21"/>
          <w:highlight w:val="none"/>
          <w:lang w:val="en-US" w:eastAsia="zh-CN"/>
        </w:rPr>
        <w:t>修改</w:t>
      </w:r>
    </w:p>
    <w:p w14:paraId="2D09E746">
      <w:pPr>
        <w:pBdr>
          <w:bottom w:val="single" w:color="000000" w:sz="6" w:space="1"/>
        </w:pBdr>
        <w:spacing w:line="360" w:lineRule="auto"/>
        <w:ind w:firstLine="420" w:firstLineChars="200"/>
        <w:rPr>
          <w:rStyle w:val="127"/>
          <w:rFonts w:hint="eastAsia" w:ascii="宋体" w:hAnsi="宋体"/>
          <w:color w:val="auto"/>
          <w:szCs w:val="21"/>
          <w:highlight w:val="none"/>
          <w:lang w:val="en-US" w:eastAsia="zh-CN"/>
        </w:rPr>
      </w:pPr>
      <w:r>
        <w:rPr>
          <w:rStyle w:val="127"/>
          <w:rFonts w:ascii="宋体" w:hAnsi="宋体"/>
          <w:b/>
          <w:color w:val="auto"/>
          <w:szCs w:val="21"/>
          <w:highlight w:val="none"/>
        </w:rPr>
        <w:t>原文：</w:t>
      </w:r>
      <w:r>
        <w:rPr>
          <w:rStyle w:val="127"/>
          <w:rFonts w:ascii="宋体" w:hAnsi="宋体"/>
          <w:color w:val="auto"/>
          <w:szCs w:val="21"/>
          <w:highlight w:val="none"/>
        </w:rPr>
        <w:t>36.</w:t>
      </w:r>
      <w:r>
        <w:rPr>
          <w:rStyle w:val="127"/>
          <w:rFonts w:hint="eastAsia" w:ascii="宋体" w:hAnsi="宋体"/>
          <w:color w:val="auto"/>
          <w:szCs w:val="21"/>
          <w:highlight w:val="none"/>
          <w:lang w:val="en-US" w:eastAsia="zh-CN"/>
        </w:rPr>
        <w:t>4若递交投标文件的投标人不足3家，则重新组织招标。（当N个标段同时招标且不允许兼中时，若有效投标人不足N+2家，则重新组织招标）</w:t>
      </w:r>
    </w:p>
    <w:p w14:paraId="3524168B">
      <w:pPr>
        <w:pBdr>
          <w:bottom w:val="single" w:color="000000" w:sz="6" w:space="1"/>
        </w:pBdr>
        <w:spacing w:line="360" w:lineRule="auto"/>
        <w:ind w:firstLine="420" w:firstLineChars="200"/>
        <w:rPr>
          <w:rStyle w:val="127"/>
          <w:rFonts w:hint="eastAsia" w:ascii="宋体" w:hAnsi="宋体"/>
          <w:color w:val="auto"/>
          <w:szCs w:val="21"/>
          <w:highlight w:val="none"/>
          <w:lang w:val="en-US" w:eastAsia="zh-CN"/>
        </w:rPr>
      </w:pPr>
      <w:r>
        <w:rPr>
          <w:rStyle w:val="127"/>
          <w:rFonts w:ascii="宋体" w:hAnsi="宋体"/>
          <w:b/>
          <w:color w:val="auto"/>
          <w:szCs w:val="21"/>
          <w:highlight w:val="none"/>
        </w:rPr>
        <w:t>现文：</w:t>
      </w:r>
      <w:r>
        <w:rPr>
          <w:rStyle w:val="127"/>
          <w:rFonts w:hint="eastAsia" w:ascii="宋体" w:hAnsi="宋体"/>
          <w:b/>
          <w:color w:val="auto"/>
          <w:szCs w:val="21"/>
          <w:highlight w:val="none"/>
        </w:rPr>
        <w:t>36.4</w:t>
      </w:r>
      <w:r>
        <w:rPr>
          <w:rStyle w:val="127"/>
          <w:rFonts w:hint="eastAsia" w:ascii="宋体" w:hAnsi="宋体"/>
          <w:b w:val="0"/>
          <w:bCs/>
          <w:color w:val="auto"/>
          <w:szCs w:val="21"/>
          <w:highlight w:val="none"/>
          <w:u w:val="single"/>
        </w:rPr>
        <w:t>若递交投标文件的投标人不足3家，则重新组织招标。</w:t>
      </w:r>
    </w:p>
    <w:p w14:paraId="63970870">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条款号：36.5.1          修改类型：修改</w:t>
      </w:r>
    </w:p>
    <w:p w14:paraId="604B584B">
      <w:pPr>
        <w:spacing w:line="360" w:lineRule="auto"/>
        <w:ind w:firstLine="420" w:firstLineChars="200"/>
        <w:rPr>
          <w:rStyle w:val="127"/>
          <w:rFonts w:ascii="宋体" w:hAnsi="宋体"/>
          <w:color w:val="auto"/>
          <w:szCs w:val="21"/>
          <w:highlight w:val="none"/>
        </w:rPr>
      </w:pPr>
      <w:r>
        <w:rPr>
          <w:rStyle w:val="127"/>
          <w:rFonts w:ascii="宋体" w:hAnsi="宋体"/>
          <w:b/>
          <w:color w:val="auto"/>
          <w:szCs w:val="21"/>
          <w:highlight w:val="none"/>
        </w:rPr>
        <w:t>原文：</w:t>
      </w:r>
      <w:r>
        <w:rPr>
          <w:rStyle w:val="127"/>
          <w:rFonts w:ascii="宋体" w:hAnsi="宋体"/>
          <w:color w:val="auto"/>
          <w:szCs w:val="21"/>
          <w:highlight w:val="none"/>
        </w:rPr>
        <w:t>36.5.1</w:t>
      </w:r>
      <w:r>
        <w:rPr>
          <w:rFonts w:hint="eastAsia" w:ascii="宋体" w:hAnsi="宋体"/>
          <w:color w:val="auto"/>
          <w:szCs w:val="21"/>
          <w:highlight w:val="none"/>
        </w:rPr>
        <w:t>在投标截止时间后一个小时内，投标人通过</w:t>
      </w:r>
      <w:r>
        <w:rPr>
          <w:rFonts w:ascii="宋体" w:hAnsi="宋体"/>
          <w:color w:val="auto"/>
          <w:szCs w:val="21"/>
          <w:highlight w:val="none"/>
          <w:u w:val="single"/>
        </w:rPr>
        <w:t xml:space="preserve">        </w:t>
      </w:r>
      <w:r>
        <w:rPr>
          <w:rFonts w:hint="eastAsia" w:ascii="宋体" w:hAnsi="宋体"/>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14:paraId="04422EFF">
      <w:pPr>
        <w:pBdr>
          <w:bottom w:val="single" w:color="000000" w:sz="6" w:space="1"/>
        </w:pBdr>
        <w:spacing w:line="360" w:lineRule="auto"/>
        <w:ind w:firstLine="420" w:firstLineChars="200"/>
        <w:rPr>
          <w:rStyle w:val="127"/>
          <w:rFonts w:ascii="宋体" w:hAnsi="宋体"/>
          <w:color w:val="auto"/>
          <w:szCs w:val="21"/>
          <w:highlight w:val="none"/>
        </w:rPr>
      </w:pPr>
      <w:r>
        <w:rPr>
          <w:rStyle w:val="127"/>
          <w:rFonts w:ascii="宋体" w:hAnsi="宋体"/>
          <w:b/>
          <w:color w:val="auto"/>
          <w:szCs w:val="21"/>
          <w:highlight w:val="none"/>
        </w:rPr>
        <w:t>现文：</w:t>
      </w:r>
      <w:r>
        <w:rPr>
          <w:rStyle w:val="127"/>
          <w:rFonts w:ascii="宋体" w:hAnsi="宋体"/>
          <w:color w:val="auto"/>
          <w:szCs w:val="21"/>
          <w:highlight w:val="none"/>
        </w:rPr>
        <w:t>36.5.1在投标截止时间后</w:t>
      </w:r>
      <w:r>
        <w:rPr>
          <w:rStyle w:val="127"/>
          <w:rFonts w:hint="eastAsia" w:ascii="宋体" w:hAnsi="宋体"/>
          <w:color w:val="auto"/>
          <w:szCs w:val="21"/>
          <w:highlight w:val="none"/>
        </w:rPr>
        <w:t>一个</w:t>
      </w:r>
      <w:r>
        <w:rPr>
          <w:rStyle w:val="127"/>
          <w:rFonts w:ascii="宋体" w:hAnsi="宋体"/>
          <w:color w:val="auto"/>
          <w:szCs w:val="21"/>
          <w:highlight w:val="none"/>
        </w:rPr>
        <w:t>小时内，投标人通过</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交易平台对已递交的电子投标文件进行解密。投标人完成解密后，再由招标人或招标代理机构进行解密。解密完成后，公布招标项目名称、投标人名称、投标报价、工期及其他内容；</w:t>
      </w:r>
    </w:p>
    <w:p w14:paraId="655D8FBE">
      <w:pPr>
        <w:spacing w:line="360" w:lineRule="auto"/>
        <w:ind w:firstLine="420" w:firstLineChars="200"/>
        <w:rPr>
          <w:rFonts w:hint="eastAsia" w:ascii="宋体" w:hAnsi="宋体"/>
          <w:b/>
          <w:color w:val="auto"/>
          <w:szCs w:val="21"/>
          <w:highlight w:val="none"/>
        </w:rPr>
      </w:pPr>
      <w:r>
        <w:rPr>
          <w:rFonts w:hint="eastAsia" w:ascii="宋体" w:hAnsi="宋体"/>
          <w:b/>
          <w:color w:val="auto"/>
          <w:szCs w:val="21"/>
          <w:highlight w:val="none"/>
        </w:rPr>
        <w:t>条款号：</w:t>
      </w:r>
      <w:r>
        <w:rPr>
          <w:rFonts w:hint="eastAsia" w:ascii="宋体" w:hAnsi="宋体"/>
          <w:color w:val="auto"/>
          <w:szCs w:val="21"/>
          <w:highlight w:val="none"/>
        </w:rPr>
        <w:t>36.5.3</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1C1ABF7B">
      <w:pPr>
        <w:spacing w:line="360" w:lineRule="auto"/>
        <w:ind w:firstLine="420" w:firstLineChars="200"/>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36.5.3投标人代表、招标人代表、监标人、记录人等有关人员在开标记录上签字确认；若有关人员不签字的，不影响开标程序；</w:t>
      </w:r>
    </w:p>
    <w:p w14:paraId="320CDDDA">
      <w:pPr>
        <w:pBdr>
          <w:bottom w:val="single" w:color="auto" w:sz="6" w:space="1"/>
        </w:pBdr>
        <w:spacing w:line="360" w:lineRule="auto"/>
        <w:ind w:firstLine="420" w:firstLineChars="200"/>
        <w:rPr>
          <w:rFonts w:hint="eastAsia"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rPr>
        <w:t>36.5.3投标人代表、招标人代表、监标人、记录人等有关人员在开标记录上签字确认；若有关人员不签字的，不影响开标程序；</w:t>
      </w:r>
      <w:r>
        <w:rPr>
          <w:rFonts w:hint="eastAsia" w:ascii="宋体" w:hAnsi="宋体"/>
          <w:color w:val="auto"/>
          <w:szCs w:val="21"/>
          <w:highlight w:val="none"/>
          <w:u w:val="single"/>
        </w:rPr>
        <w:t>若投标人不参加开标会的，或不签字确认的，视同该投标人认可开标结果。</w:t>
      </w:r>
    </w:p>
    <w:p w14:paraId="4A9DE34A">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条款号：38.1</w:t>
      </w:r>
      <w:r>
        <w:rPr>
          <w:rFonts w:ascii="宋体" w:hAnsi="宋体" w:cs="宋体"/>
          <w:b/>
          <w:color w:val="auto"/>
          <w:szCs w:val="21"/>
          <w:highlight w:val="none"/>
        </w:rPr>
        <w:t xml:space="preserve">          </w:t>
      </w:r>
      <w:r>
        <w:rPr>
          <w:rFonts w:hint="eastAsia" w:ascii="宋体" w:hAnsi="宋体" w:cs="宋体"/>
          <w:b/>
          <w:color w:val="auto"/>
          <w:szCs w:val="21"/>
          <w:highlight w:val="none"/>
        </w:rPr>
        <w:t>修改类型：修改</w:t>
      </w:r>
    </w:p>
    <w:p w14:paraId="217FC120">
      <w:pP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0D3CD100">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38.1为有助于投标文件的审查、评价和比较，评标期间，经评标委员会或评标委员会专业评审组中两人以上（含两人）的成员以书面形式提出动议，评标委员会或评标委员会专业评审组应当书面发出澄清通知，</w:t>
      </w:r>
      <w:r>
        <w:rPr>
          <w:rFonts w:hint="eastAsia" w:ascii="宋体" w:hAnsi="宋体" w:cs="宋体"/>
          <w:color w:val="auto"/>
          <w:szCs w:val="21"/>
          <w:highlight w:val="none"/>
          <w:u w:val="single"/>
        </w:rPr>
        <w:t>要求投标人对投标文件含义不明确、对同类问题表述不一致、有明显文字和计算错误的内容以及细微偏差的内容作出澄清。</w:t>
      </w:r>
    </w:p>
    <w:p w14:paraId="2594AE00">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条款号：3</w:t>
      </w:r>
      <w:r>
        <w:rPr>
          <w:rFonts w:hint="eastAsia" w:ascii="宋体" w:hAnsi="宋体" w:cs="宋体"/>
          <w:b/>
          <w:color w:val="auto"/>
          <w:szCs w:val="21"/>
          <w:highlight w:val="none"/>
          <w:lang w:val="en-US" w:eastAsia="zh-CN"/>
        </w:rPr>
        <w:t>9</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2</w:t>
      </w:r>
      <w:r>
        <w:rPr>
          <w:rFonts w:ascii="宋体" w:hAnsi="宋体" w:cs="宋体"/>
          <w:b/>
          <w:color w:val="auto"/>
          <w:szCs w:val="21"/>
          <w:highlight w:val="none"/>
        </w:rPr>
        <w:t xml:space="preserve">          </w:t>
      </w:r>
      <w:r>
        <w:rPr>
          <w:rFonts w:hint="eastAsia" w:ascii="宋体" w:hAnsi="宋体" w:cs="宋体"/>
          <w:b/>
          <w:color w:val="auto"/>
          <w:szCs w:val="21"/>
          <w:highlight w:val="none"/>
        </w:rPr>
        <w:t>修改类型：修改</w:t>
      </w:r>
    </w:p>
    <w:p w14:paraId="1A2AF742">
      <w:pP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2依法必须进行公开招标的项目，招标人应当确定排名第一的中标候选人为中标人</w:t>
      </w:r>
      <w:r>
        <w:rPr>
          <w:rFonts w:hint="eastAsia" w:ascii="宋体" w:hAnsi="宋体" w:cs="宋体"/>
          <w:color w:val="auto"/>
          <w:szCs w:val="21"/>
          <w:highlight w:val="none"/>
        </w:rPr>
        <w:t>。</w:t>
      </w:r>
    </w:p>
    <w:p w14:paraId="68458890">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2依法必须进行公开招标的项目，招标人应当确定排名第一的中标候选人，</w:t>
      </w:r>
      <w:r>
        <w:rPr>
          <w:rFonts w:hint="eastAsia" w:ascii="宋体" w:hAnsi="宋体" w:cs="宋体"/>
          <w:color w:val="auto"/>
          <w:szCs w:val="21"/>
          <w:highlight w:val="none"/>
          <w:u w:val="single"/>
          <w:lang w:val="en-US" w:eastAsia="zh-CN"/>
        </w:rPr>
        <w:t>若在填报中标候选人公示信息时被发现委派的项目负责人已在其他在建项目中任职、不符合任职数量规定时，则不能进行中标候选人公示，招标人可以确定排名第二的中标候选人为中标人</w:t>
      </w:r>
      <w:r>
        <w:rPr>
          <w:rFonts w:hint="eastAsia" w:ascii="宋体" w:hAnsi="宋体" w:cs="宋体"/>
          <w:color w:val="auto"/>
          <w:szCs w:val="21"/>
          <w:highlight w:val="none"/>
          <w:u w:val="single"/>
        </w:rPr>
        <w:t>。</w:t>
      </w:r>
    </w:p>
    <w:p w14:paraId="7B95FEA5">
      <w:pPr>
        <w:spacing w:line="360" w:lineRule="auto"/>
        <w:ind w:firstLine="420" w:firstLineChars="200"/>
        <w:rPr>
          <w:rFonts w:ascii="宋体" w:hAnsi="宋体"/>
          <w:b/>
          <w:bCs/>
          <w:color w:val="auto"/>
          <w:szCs w:val="21"/>
          <w:highlight w:val="none"/>
        </w:rPr>
      </w:pPr>
      <w:r>
        <w:rPr>
          <w:rFonts w:hint="eastAsia" w:ascii="宋体" w:hAnsi="宋体"/>
          <w:b/>
          <w:bCs/>
          <w:color w:val="auto"/>
          <w:szCs w:val="21"/>
          <w:highlight w:val="none"/>
        </w:rPr>
        <w:t>条款号：</w:t>
      </w:r>
      <w:r>
        <w:rPr>
          <w:rFonts w:hint="eastAsia" w:ascii="宋体" w:hAnsi="宋体"/>
          <w:b/>
          <w:color w:val="auto"/>
          <w:szCs w:val="21"/>
          <w:highlight w:val="none"/>
        </w:rPr>
        <w:t>39.3</w:t>
      </w:r>
      <w:r>
        <w:rPr>
          <w:rFonts w:ascii="宋体" w:hAnsi="宋体"/>
          <w:b/>
          <w:color w:val="auto"/>
          <w:szCs w:val="21"/>
          <w:highlight w:val="none"/>
        </w:rPr>
        <w:t xml:space="preserve">          </w:t>
      </w:r>
      <w:r>
        <w:rPr>
          <w:rFonts w:hint="eastAsia" w:ascii="宋体" w:hAnsi="宋体"/>
          <w:b/>
          <w:bCs/>
          <w:color w:val="auto"/>
          <w:szCs w:val="21"/>
          <w:highlight w:val="none"/>
        </w:rPr>
        <w:t>修改类型：修改</w:t>
      </w:r>
    </w:p>
    <w:p w14:paraId="7F7D67A0">
      <w:pPr>
        <w:spacing w:line="360" w:lineRule="auto"/>
        <w:ind w:firstLine="420" w:firstLineChars="200"/>
        <w:rPr>
          <w:rFonts w:ascii="宋体" w:hAnsi="宋体"/>
          <w:color w:val="auto"/>
          <w:szCs w:val="21"/>
          <w:highlight w:val="none"/>
        </w:rPr>
      </w:pPr>
      <w:r>
        <w:rPr>
          <w:rFonts w:hint="eastAsia" w:ascii="宋体" w:hAnsi="宋体"/>
          <w:b/>
          <w:bCs/>
          <w:color w:val="auto"/>
          <w:szCs w:val="21"/>
          <w:highlight w:val="none"/>
        </w:rPr>
        <w:t>原文：</w:t>
      </w:r>
      <w:r>
        <w:rPr>
          <w:rFonts w:hint="eastAsia" w:ascii="宋体" w:hAnsi="宋体"/>
          <w:color w:val="auto"/>
          <w:highlight w:val="none"/>
        </w:rPr>
        <w:t>39.3</w:t>
      </w:r>
      <w:r>
        <w:rPr>
          <w:rFonts w:hint="eastAsia" w:ascii="宋体" w:hAnsi="宋体"/>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14:paraId="42AFE5AA">
      <w:pPr>
        <w:pBdr>
          <w:bottom w:val="single" w:color="000000" w:sz="6" w:space="1"/>
        </w:pBdr>
        <w:spacing w:line="360" w:lineRule="auto"/>
        <w:ind w:firstLine="420" w:firstLineChars="200"/>
        <w:rPr>
          <w:rFonts w:ascii="宋体" w:hAnsi="宋体"/>
          <w:color w:val="auto"/>
          <w:szCs w:val="21"/>
          <w:highlight w:val="none"/>
        </w:rPr>
      </w:pPr>
      <w:r>
        <w:rPr>
          <w:rFonts w:hint="eastAsia" w:ascii="宋体" w:hAnsi="宋体"/>
          <w:b/>
          <w:bCs/>
          <w:color w:val="auto"/>
          <w:szCs w:val="21"/>
          <w:highlight w:val="none"/>
        </w:rPr>
        <w:t>现文：</w:t>
      </w:r>
      <w:r>
        <w:rPr>
          <w:rFonts w:hint="eastAsia" w:ascii="宋体" w:hAnsi="宋体"/>
          <w:color w:val="auto"/>
          <w:highlight w:val="none"/>
        </w:rPr>
        <w:t>39.3</w:t>
      </w:r>
      <w:r>
        <w:rPr>
          <w:rFonts w:hint="eastAsia" w:ascii="宋体" w:hAnsi="宋体"/>
          <w:color w:val="auto"/>
          <w:szCs w:val="21"/>
          <w:highlight w:val="none"/>
        </w:rPr>
        <w:t>排名第一的中标候选人放弃中标、或因不可抗力不能履行合同，</w:t>
      </w:r>
      <w:r>
        <w:rPr>
          <w:rFonts w:hint="eastAsia" w:ascii="宋体" w:hAnsi="宋体"/>
          <w:color w:val="auto"/>
          <w:szCs w:val="21"/>
          <w:highlight w:val="none"/>
          <w:u w:val="single"/>
        </w:rPr>
        <w:t>或不按照招标文件要求提交履约担保，或经核查发现委派的项目负责人已在其他在建项目中任职的，或者被查实存在影响中标结果的违法行为等情形，不符合中标条件的，</w:t>
      </w:r>
      <w:r>
        <w:rPr>
          <w:rFonts w:hint="eastAsia" w:ascii="宋体" w:hAnsi="宋体"/>
          <w:color w:val="auto"/>
          <w:szCs w:val="21"/>
          <w:highlight w:val="none"/>
        </w:rPr>
        <w:t>招标人可以确定排名第二的中标候选人为中标人。</w:t>
      </w:r>
    </w:p>
    <w:p w14:paraId="5CDA0CED">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条款号：</w:t>
      </w:r>
      <w:r>
        <w:rPr>
          <w:rStyle w:val="127"/>
          <w:rFonts w:hint="eastAsia" w:ascii="宋体" w:hAnsi="宋体"/>
          <w:b/>
          <w:color w:val="auto"/>
          <w:szCs w:val="21"/>
          <w:highlight w:val="none"/>
        </w:rPr>
        <w:t xml:space="preserve">（二）开标评标办法程序和细则 注 </w:t>
      </w:r>
      <w:r>
        <w:rPr>
          <w:rStyle w:val="127"/>
          <w:rFonts w:ascii="宋体" w:hAnsi="宋体"/>
          <w:b/>
          <w:color w:val="auto"/>
          <w:szCs w:val="21"/>
          <w:highlight w:val="none"/>
        </w:rPr>
        <w:t xml:space="preserve">         </w:t>
      </w:r>
      <w:r>
        <w:rPr>
          <w:rStyle w:val="127"/>
          <w:rFonts w:hint="eastAsia" w:ascii="宋体" w:hAnsi="宋体"/>
          <w:b/>
          <w:color w:val="auto"/>
          <w:szCs w:val="21"/>
          <w:highlight w:val="none"/>
        </w:rPr>
        <w:t>修改类型：删除</w:t>
      </w:r>
    </w:p>
    <w:p w14:paraId="4C12771D">
      <w:pPr>
        <w:pBdr>
          <w:bottom w:val="single" w:color="000000" w:sz="6" w:space="1"/>
        </w:pBd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原文：</w:t>
      </w:r>
      <w:r>
        <w:rPr>
          <w:rStyle w:val="127"/>
          <w:rFonts w:hint="eastAsia" w:ascii="宋体" w:hAnsi="宋体"/>
          <w:bCs/>
          <w:color w:val="auto"/>
          <w:szCs w:val="21"/>
          <w:highlight w:val="none"/>
        </w:rPr>
        <w:t>注：以下八种评标办法所述企业综合诚信评价分数即投标截止当日广州市住房和城乡建设局网站上公布的企业综合诚信评价60日诚信分。</w:t>
      </w:r>
    </w:p>
    <w:p w14:paraId="7D609F9E">
      <w:pPr>
        <w:widowControl w:val="0"/>
        <w:spacing w:line="480" w:lineRule="auto"/>
        <w:ind w:firstLine="470" w:firstLineChars="224"/>
        <w:textAlignment w:val="auto"/>
        <w:rPr>
          <w:rFonts w:hint="eastAsia" w:ascii="宋体" w:hAnsi="宋体" w:cs="宋体"/>
          <w:b/>
          <w:color w:val="auto"/>
          <w:szCs w:val="21"/>
          <w:highlight w:val="none"/>
        </w:rPr>
      </w:pPr>
      <w:r>
        <w:rPr>
          <w:rFonts w:hint="eastAsia" w:ascii="宋体" w:hAnsi="宋体" w:cs="宋体"/>
          <w:b/>
          <w:color w:val="auto"/>
          <w:szCs w:val="21"/>
          <w:highlight w:val="none"/>
        </w:rPr>
        <w:t>条款号： （二）开标评标办法程序和细则        修改类型：删除</w:t>
      </w:r>
    </w:p>
    <w:p w14:paraId="64675F74">
      <w:pPr>
        <w:widowControl w:val="0"/>
        <w:pBdr>
          <w:bottom w:val="single" w:color="auto" w:sz="6" w:space="1"/>
        </w:pBdr>
        <w:spacing w:line="360" w:lineRule="auto"/>
        <w:ind w:firstLine="525" w:firstLineChars="250"/>
        <w:textAlignment w:val="auto"/>
        <w:rPr>
          <w:rFonts w:hint="eastAsia"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u w:val="single"/>
        </w:rPr>
        <w:t>可选办法一（适合</w:t>
      </w:r>
      <w:r>
        <w:rPr>
          <w:rFonts w:hint="eastAsia" w:ascii="宋体" w:hAnsi="宋体" w:cs="宋体"/>
          <w:color w:val="auto"/>
          <w:kern w:val="0"/>
          <w:szCs w:val="21"/>
          <w:highlight w:val="none"/>
          <w:u w:val="single"/>
        </w:rPr>
        <w:t>综合评分法一</w:t>
      </w:r>
      <w:r>
        <w:rPr>
          <w:rFonts w:hint="eastAsia" w:ascii="宋体" w:hAnsi="宋体" w:cs="宋体"/>
          <w:color w:val="auto"/>
          <w:szCs w:val="21"/>
          <w:highlight w:val="none"/>
          <w:u w:val="single"/>
        </w:rPr>
        <w:t>，技术标与经济标先后分别开启）</w:t>
      </w:r>
    </w:p>
    <w:p w14:paraId="6BC9F9AC">
      <w:pPr>
        <w:widowControl w:val="0"/>
        <w:pBdr>
          <w:bottom w:val="single" w:color="auto" w:sz="6" w:space="1"/>
        </w:pBdr>
        <w:spacing w:line="360" w:lineRule="auto"/>
        <w:ind w:firstLine="1155" w:firstLineChars="5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可选办法二（适合综合评分法一，技术标与经济标同时开启）</w:t>
      </w:r>
    </w:p>
    <w:p w14:paraId="54B0C67C">
      <w:pPr>
        <w:widowControl w:val="0"/>
        <w:pBdr>
          <w:bottom w:val="single" w:color="auto" w:sz="6" w:space="1"/>
        </w:pBdr>
        <w:spacing w:line="360" w:lineRule="auto"/>
        <w:ind w:firstLine="1155" w:firstLineChars="5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可选办法三（适合综合评分法二，技术标与经济标先后分别开启）</w:t>
      </w:r>
    </w:p>
    <w:p w14:paraId="6E39E0FE">
      <w:pPr>
        <w:widowControl w:val="0"/>
        <w:pBdr>
          <w:bottom w:val="single" w:color="auto" w:sz="6" w:space="1"/>
        </w:pBdr>
        <w:spacing w:line="360" w:lineRule="auto"/>
        <w:ind w:firstLine="1155" w:firstLineChars="5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可选办法四（适合综合评分法二，技术标与经济标同时开启）</w:t>
      </w:r>
    </w:p>
    <w:p w14:paraId="73C004C4">
      <w:pPr>
        <w:widowControl w:val="0"/>
        <w:pBdr>
          <w:bottom w:val="single" w:color="auto" w:sz="6" w:space="1"/>
        </w:pBdr>
        <w:spacing w:line="360" w:lineRule="auto"/>
        <w:ind w:firstLine="1155" w:firstLineChars="5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可选办法五（适合综合评分法三，技术标与经济标先后分别开启）</w:t>
      </w:r>
    </w:p>
    <w:p w14:paraId="63BDCB60">
      <w:pPr>
        <w:widowControl w:val="0"/>
        <w:pBdr>
          <w:bottom w:val="single" w:color="auto" w:sz="6" w:space="1"/>
        </w:pBdr>
        <w:spacing w:line="360" w:lineRule="auto"/>
        <w:ind w:firstLine="1155" w:firstLineChars="5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可选办法七（适合综合评分法四，技术标与经济标同时开启）</w:t>
      </w:r>
    </w:p>
    <w:p w14:paraId="3B987320">
      <w:pPr>
        <w:widowControl w:val="0"/>
        <w:pBdr>
          <w:bottom w:val="single" w:color="auto" w:sz="6" w:space="1"/>
        </w:pBdr>
        <w:spacing w:line="360" w:lineRule="auto"/>
        <w:ind w:firstLine="1155" w:firstLineChars="550"/>
        <w:textAlignment w:val="auto"/>
        <w:rPr>
          <w:rFonts w:hint="eastAsia" w:ascii="宋体" w:hAnsi="宋体" w:cs="宋体"/>
          <w:b/>
          <w:color w:val="auto"/>
          <w:szCs w:val="21"/>
          <w:highlight w:val="none"/>
        </w:rPr>
      </w:pPr>
      <w:r>
        <w:rPr>
          <w:rFonts w:hint="eastAsia" w:ascii="宋体" w:hAnsi="宋体" w:cs="宋体"/>
          <w:color w:val="auto"/>
          <w:szCs w:val="21"/>
          <w:highlight w:val="none"/>
          <w:u w:val="single"/>
        </w:rPr>
        <w:t>可选办法八（适合经评审的最低投标价法，技术标与经济标同时开启）</w:t>
      </w:r>
    </w:p>
    <w:p w14:paraId="58D26108">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条款号：40          修改类型：修改</w:t>
      </w:r>
    </w:p>
    <w:p w14:paraId="3FDBB155">
      <w:pPr>
        <w:spacing w:line="360" w:lineRule="auto"/>
        <w:ind w:firstLine="420" w:firstLineChars="200"/>
        <w:rPr>
          <w:rStyle w:val="127"/>
          <w:rFonts w:ascii="宋体" w:hAnsi="宋体"/>
          <w:color w:val="auto"/>
          <w:szCs w:val="21"/>
          <w:highlight w:val="none"/>
        </w:rPr>
      </w:pPr>
      <w:r>
        <w:rPr>
          <w:rStyle w:val="127"/>
          <w:rFonts w:ascii="宋体" w:hAnsi="宋体"/>
          <w:b/>
          <w:color w:val="auto"/>
          <w:szCs w:val="21"/>
          <w:highlight w:val="none"/>
        </w:rPr>
        <w:t>原文：</w:t>
      </w:r>
    </w:p>
    <w:p w14:paraId="60EF8886">
      <w:pPr>
        <w:spacing w:line="360" w:lineRule="auto"/>
        <w:ind w:firstLine="420" w:firstLineChars="200"/>
        <w:rPr>
          <w:rStyle w:val="127"/>
          <w:rFonts w:hint="eastAsia" w:ascii="宋体" w:hAnsi="宋体"/>
          <w:color w:val="auto"/>
          <w:szCs w:val="21"/>
          <w:highlight w:val="none"/>
        </w:rPr>
      </w:pPr>
      <w:r>
        <w:rPr>
          <w:rStyle w:val="127"/>
          <w:rFonts w:hint="eastAsia" w:ascii="宋体" w:hAnsi="宋体"/>
          <w:color w:val="auto"/>
          <w:szCs w:val="21"/>
          <w:highlight w:val="none"/>
        </w:rPr>
        <w:t>40．开标和评标程序：</w:t>
      </w:r>
    </w:p>
    <w:p w14:paraId="2F80AFF0">
      <w:pPr>
        <w:spacing w:line="360" w:lineRule="auto"/>
        <w:ind w:firstLine="420" w:firstLineChars="200"/>
        <w:rPr>
          <w:rStyle w:val="127"/>
          <w:rFonts w:hint="eastAsia" w:ascii="宋体" w:hAnsi="宋体"/>
          <w:color w:val="auto"/>
          <w:szCs w:val="21"/>
          <w:highlight w:val="none"/>
        </w:rPr>
      </w:pPr>
      <w:r>
        <w:rPr>
          <w:rStyle w:val="127"/>
          <w:rFonts w:hint="eastAsia" w:ascii="宋体" w:hAnsi="宋体"/>
          <w:color w:val="auto"/>
          <w:szCs w:val="21"/>
          <w:highlight w:val="none"/>
        </w:rPr>
        <w:t>40.1投标人递交技术标、经济标投标文件；</w:t>
      </w:r>
    </w:p>
    <w:p w14:paraId="0994484E">
      <w:pPr>
        <w:spacing w:line="360" w:lineRule="auto"/>
        <w:ind w:firstLine="420" w:firstLineChars="200"/>
        <w:rPr>
          <w:rStyle w:val="127"/>
          <w:rFonts w:hint="eastAsia" w:ascii="宋体" w:hAnsi="宋体"/>
          <w:color w:val="auto"/>
          <w:szCs w:val="21"/>
          <w:highlight w:val="none"/>
        </w:rPr>
      </w:pPr>
      <w:r>
        <w:rPr>
          <w:rStyle w:val="127"/>
          <w:rFonts w:hint="eastAsia" w:ascii="宋体" w:hAnsi="宋体"/>
          <w:color w:val="auto"/>
          <w:szCs w:val="21"/>
          <w:highlight w:val="none"/>
        </w:rPr>
        <w:t>40.2技术标与经济标投标文件同时公开开标；</w:t>
      </w:r>
    </w:p>
    <w:p w14:paraId="6EAE6A6B">
      <w:pPr>
        <w:spacing w:line="360" w:lineRule="auto"/>
        <w:ind w:firstLine="420" w:firstLineChars="200"/>
        <w:rPr>
          <w:rStyle w:val="127"/>
          <w:rFonts w:hint="eastAsia" w:ascii="宋体" w:hAnsi="宋体"/>
          <w:color w:val="auto"/>
          <w:szCs w:val="21"/>
          <w:highlight w:val="none"/>
        </w:rPr>
      </w:pPr>
      <w:r>
        <w:rPr>
          <w:rStyle w:val="127"/>
          <w:rFonts w:hint="eastAsia" w:ascii="宋体" w:hAnsi="宋体"/>
          <w:color w:val="auto"/>
          <w:szCs w:val="21"/>
          <w:highlight w:val="none"/>
        </w:rPr>
        <w:t>40.3由评标委员会对所有已公开开标的投标人进行资格审查；</w:t>
      </w:r>
    </w:p>
    <w:p w14:paraId="31304FD2">
      <w:pPr>
        <w:spacing w:line="360" w:lineRule="auto"/>
        <w:ind w:firstLine="420" w:firstLineChars="200"/>
        <w:rPr>
          <w:rStyle w:val="127"/>
          <w:rFonts w:hint="eastAsia" w:ascii="宋体" w:hAnsi="宋体"/>
          <w:color w:val="auto"/>
          <w:szCs w:val="21"/>
          <w:highlight w:val="none"/>
        </w:rPr>
      </w:pPr>
      <w:r>
        <w:rPr>
          <w:rStyle w:val="127"/>
          <w:rFonts w:hint="eastAsia" w:ascii="宋体" w:hAnsi="宋体"/>
          <w:color w:val="auto"/>
          <w:szCs w:val="21"/>
          <w:highlight w:val="none"/>
        </w:rPr>
        <w:t>40.4技术标投标文件有效性审查；</w:t>
      </w:r>
    </w:p>
    <w:p w14:paraId="4B9091E6">
      <w:pPr>
        <w:spacing w:line="360" w:lineRule="auto"/>
        <w:ind w:firstLine="420" w:firstLineChars="200"/>
        <w:rPr>
          <w:rStyle w:val="127"/>
          <w:rFonts w:hint="eastAsia" w:ascii="宋体" w:hAnsi="宋体"/>
          <w:color w:val="auto"/>
          <w:szCs w:val="21"/>
          <w:highlight w:val="none"/>
        </w:rPr>
      </w:pPr>
      <w:r>
        <w:rPr>
          <w:rStyle w:val="127"/>
          <w:rFonts w:hint="eastAsia" w:ascii="宋体" w:hAnsi="宋体"/>
          <w:color w:val="auto"/>
          <w:szCs w:val="21"/>
          <w:highlight w:val="none"/>
        </w:rPr>
        <w:t>40.5技术标详细审查评分；</w:t>
      </w:r>
    </w:p>
    <w:p w14:paraId="405FDCDD">
      <w:pPr>
        <w:spacing w:line="360" w:lineRule="auto"/>
        <w:ind w:firstLine="420" w:firstLineChars="200"/>
        <w:rPr>
          <w:rStyle w:val="127"/>
          <w:rFonts w:hint="eastAsia" w:ascii="宋体" w:hAnsi="宋体"/>
          <w:color w:val="auto"/>
          <w:szCs w:val="21"/>
          <w:highlight w:val="none"/>
        </w:rPr>
      </w:pPr>
      <w:r>
        <w:rPr>
          <w:rStyle w:val="127"/>
          <w:rFonts w:hint="eastAsia" w:ascii="宋体" w:hAnsi="宋体"/>
          <w:color w:val="auto"/>
          <w:szCs w:val="21"/>
          <w:highlight w:val="none"/>
        </w:rPr>
        <w:t xml:space="preserve">40.6计算第一阶段得分，并按照总分从高到低排列先后次序，编写第一阶段评审报告； </w:t>
      </w:r>
    </w:p>
    <w:p w14:paraId="4216178F">
      <w:pPr>
        <w:spacing w:line="360" w:lineRule="auto"/>
        <w:ind w:firstLine="420" w:firstLineChars="200"/>
        <w:rPr>
          <w:rStyle w:val="127"/>
          <w:rFonts w:hint="eastAsia" w:ascii="宋体" w:hAnsi="宋体"/>
          <w:color w:val="auto"/>
          <w:szCs w:val="21"/>
          <w:highlight w:val="none"/>
        </w:rPr>
      </w:pPr>
      <w:r>
        <w:rPr>
          <w:rStyle w:val="127"/>
          <w:rFonts w:hint="eastAsia" w:ascii="宋体" w:hAnsi="宋体"/>
          <w:color w:val="auto"/>
          <w:szCs w:val="21"/>
          <w:highlight w:val="none"/>
        </w:rPr>
        <w:t>40.7按投标须知前附表第25项规定，确定进入第二阶段评审的投标人；</w:t>
      </w:r>
    </w:p>
    <w:p w14:paraId="678EAFD8">
      <w:pPr>
        <w:spacing w:line="360" w:lineRule="auto"/>
        <w:ind w:firstLine="420" w:firstLineChars="200"/>
        <w:rPr>
          <w:rStyle w:val="127"/>
          <w:rFonts w:hint="eastAsia" w:ascii="宋体" w:hAnsi="宋体"/>
          <w:color w:val="auto"/>
          <w:szCs w:val="21"/>
          <w:highlight w:val="none"/>
        </w:rPr>
      </w:pPr>
      <w:r>
        <w:rPr>
          <w:rStyle w:val="127"/>
          <w:rFonts w:hint="eastAsia" w:ascii="宋体" w:hAnsi="宋体"/>
          <w:color w:val="auto"/>
          <w:szCs w:val="21"/>
          <w:highlight w:val="none"/>
        </w:rPr>
        <w:t>40.8将进入第二阶段评审的投标人进行排序；</w:t>
      </w:r>
    </w:p>
    <w:p w14:paraId="15CCD8C0">
      <w:pPr>
        <w:spacing w:line="360" w:lineRule="auto"/>
        <w:ind w:firstLine="420" w:firstLineChars="200"/>
        <w:rPr>
          <w:rStyle w:val="127"/>
          <w:rFonts w:hint="eastAsia" w:ascii="宋体" w:hAnsi="宋体"/>
          <w:color w:val="auto"/>
          <w:szCs w:val="21"/>
          <w:highlight w:val="none"/>
        </w:rPr>
      </w:pPr>
      <w:r>
        <w:rPr>
          <w:rStyle w:val="127"/>
          <w:rFonts w:hint="eastAsia" w:ascii="宋体" w:hAnsi="宋体"/>
          <w:color w:val="auto"/>
          <w:szCs w:val="21"/>
          <w:highlight w:val="none"/>
        </w:rPr>
        <w:t>40.9按排序对经济标投标文件进行有效性审查（含投标报价算术校核），直至评出所有中标候选人；</w:t>
      </w:r>
    </w:p>
    <w:p w14:paraId="210A87E3">
      <w:pPr>
        <w:spacing w:line="360" w:lineRule="auto"/>
        <w:ind w:firstLine="420" w:firstLineChars="200"/>
        <w:rPr>
          <w:rStyle w:val="127"/>
          <w:rFonts w:ascii="宋体" w:hAnsi="宋体"/>
          <w:color w:val="auto"/>
          <w:szCs w:val="21"/>
          <w:highlight w:val="none"/>
        </w:rPr>
      </w:pPr>
      <w:r>
        <w:rPr>
          <w:rStyle w:val="127"/>
          <w:rFonts w:hint="eastAsia" w:ascii="宋体" w:hAnsi="宋体"/>
          <w:color w:val="auto"/>
          <w:szCs w:val="21"/>
          <w:highlight w:val="none"/>
        </w:rPr>
        <w:t>40.10评标委员会编写评标报告，向招标人推荐中标候选人名单。</w:t>
      </w:r>
    </w:p>
    <w:p w14:paraId="34D8940A">
      <w:pPr>
        <w:pBdr>
          <w:bottom w:val="single" w:color="000000" w:sz="6" w:space="1"/>
        </w:pBd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现文：</w:t>
      </w:r>
    </w:p>
    <w:p w14:paraId="5FB63F8F">
      <w:pPr>
        <w:pBdr>
          <w:bottom w:val="single" w:color="000000" w:sz="6" w:space="1"/>
        </w:pBd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40．开标和评标程序：</w:t>
      </w:r>
    </w:p>
    <w:p w14:paraId="56C1786D">
      <w:pPr>
        <w:pBdr>
          <w:bottom w:val="single" w:color="000000" w:sz="6" w:space="1"/>
        </w:pBd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40.1投标人递交技术标</w:t>
      </w:r>
      <w:r>
        <w:rPr>
          <w:rFonts w:hint="eastAsia" w:ascii="宋体" w:hAnsi="宋体"/>
          <w:bCs/>
          <w:color w:val="auto"/>
          <w:szCs w:val="21"/>
          <w:highlight w:val="none"/>
          <w:u w:val="single"/>
        </w:rPr>
        <w:t>（含资格审查文件）</w:t>
      </w:r>
      <w:r>
        <w:rPr>
          <w:rFonts w:hint="eastAsia" w:ascii="宋体" w:hAnsi="宋体"/>
          <w:bCs/>
          <w:color w:val="auto"/>
          <w:szCs w:val="21"/>
          <w:highlight w:val="none"/>
        </w:rPr>
        <w:t>、经济标投标文件；</w:t>
      </w:r>
    </w:p>
    <w:p w14:paraId="51104674">
      <w:pPr>
        <w:pBdr>
          <w:bottom w:val="single" w:color="000000" w:sz="6" w:space="1"/>
        </w:pBd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40.2技术标</w:t>
      </w:r>
      <w:r>
        <w:rPr>
          <w:rFonts w:hint="eastAsia" w:ascii="宋体" w:hAnsi="宋体"/>
          <w:bCs/>
          <w:color w:val="auto"/>
          <w:szCs w:val="21"/>
          <w:highlight w:val="none"/>
          <w:u w:val="single"/>
        </w:rPr>
        <w:t>（含资格审查文件）</w:t>
      </w:r>
      <w:r>
        <w:rPr>
          <w:rFonts w:hint="eastAsia" w:ascii="宋体" w:hAnsi="宋体"/>
          <w:bCs/>
          <w:color w:val="auto"/>
          <w:szCs w:val="21"/>
          <w:highlight w:val="none"/>
        </w:rPr>
        <w:t>与经济标投标文件同时公开开标；</w:t>
      </w:r>
    </w:p>
    <w:p w14:paraId="07BFB3D8">
      <w:pPr>
        <w:pBdr>
          <w:bottom w:val="single" w:color="000000" w:sz="6" w:space="1"/>
        </w:pBd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40.3由评标委员会对所有已公开开标的投标人进行资格审查，</w:t>
      </w:r>
      <w:r>
        <w:rPr>
          <w:rFonts w:hint="eastAsia" w:ascii="宋体" w:hAnsi="宋体"/>
          <w:bCs/>
          <w:color w:val="auto"/>
          <w:szCs w:val="21"/>
          <w:highlight w:val="none"/>
          <w:u w:val="single"/>
        </w:rPr>
        <w:t>并编写资格审查报告</w:t>
      </w:r>
      <w:r>
        <w:rPr>
          <w:rFonts w:hint="eastAsia" w:ascii="宋体" w:hAnsi="宋体"/>
          <w:bCs/>
          <w:color w:val="auto"/>
          <w:szCs w:val="21"/>
          <w:highlight w:val="none"/>
        </w:rPr>
        <w:t>；</w:t>
      </w:r>
    </w:p>
    <w:p w14:paraId="7169B134">
      <w:pPr>
        <w:pBdr>
          <w:bottom w:val="single" w:color="000000" w:sz="6" w:space="1"/>
        </w:pBd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40.4技术标投标文件有效性审查；</w:t>
      </w:r>
    </w:p>
    <w:p w14:paraId="1E8C19BC">
      <w:pPr>
        <w:pBdr>
          <w:bottom w:val="single" w:color="000000" w:sz="6" w:space="1"/>
        </w:pBd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40.5</w:t>
      </w:r>
      <w:r>
        <w:rPr>
          <w:rFonts w:hint="eastAsia" w:ascii="宋体" w:hAnsi="宋体"/>
          <w:bCs/>
          <w:color w:val="auto"/>
          <w:szCs w:val="21"/>
          <w:highlight w:val="none"/>
          <w:u w:val="single"/>
        </w:rPr>
        <w:t>第一阶段得分（技术标项目团队评审得分）详细审查评分</w:t>
      </w:r>
      <w:r>
        <w:rPr>
          <w:rFonts w:hint="eastAsia" w:ascii="宋体" w:hAnsi="宋体"/>
          <w:bCs/>
          <w:color w:val="auto"/>
          <w:szCs w:val="21"/>
          <w:highlight w:val="none"/>
        </w:rPr>
        <w:t>；</w:t>
      </w:r>
    </w:p>
    <w:p w14:paraId="38D30957">
      <w:pPr>
        <w:pBdr>
          <w:bottom w:val="single" w:color="000000" w:sz="6" w:space="1"/>
        </w:pBd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40.6</w:t>
      </w:r>
      <w:r>
        <w:rPr>
          <w:rFonts w:hint="eastAsia" w:ascii="宋体" w:hAnsi="宋体"/>
          <w:bCs/>
          <w:color w:val="auto"/>
          <w:szCs w:val="21"/>
          <w:highlight w:val="none"/>
          <w:u w:val="single"/>
        </w:rPr>
        <w:t>按投标须知前附表第19项规定计算第一阶段得分</w:t>
      </w:r>
      <w:r>
        <w:rPr>
          <w:rFonts w:hint="eastAsia" w:ascii="宋体" w:hAnsi="宋体"/>
          <w:bCs/>
          <w:color w:val="auto"/>
          <w:szCs w:val="21"/>
          <w:highlight w:val="none"/>
        </w:rPr>
        <w:t>；</w:t>
      </w:r>
    </w:p>
    <w:p w14:paraId="608A63BD">
      <w:pPr>
        <w:pBdr>
          <w:bottom w:val="single" w:color="000000" w:sz="6" w:space="1"/>
        </w:pBd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40.7按投标须知前附表第25项规定，确定进入第二阶段评审的投标人；</w:t>
      </w:r>
    </w:p>
    <w:p w14:paraId="768C7CFC">
      <w:pPr>
        <w:pBdr>
          <w:bottom w:val="single" w:color="000000" w:sz="6" w:space="1"/>
        </w:pBd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40.8</w:t>
      </w:r>
      <w:r>
        <w:rPr>
          <w:rFonts w:hint="eastAsia" w:ascii="宋体" w:hAnsi="宋体"/>
          <w:bCs/>
          <w:color w:val="auto"/>
          <w:szCs w:val="21"/>
          <w:highlight w:val="none"/>
          <w:u w:val="single"/>
        </w:rPr>
        <w:t>技术标企业资信详细审查评分</w:t>
      </w:r>
      <w:r>
        <w:rPr>
          <w:rFonts w:hint="eastAsia" w:ascii="宋体" w:hAnsi="宋体"/>
          <w:bCs/>
          <w:color w:val="auto"/>
          <w:szCs w:val="21"/>
          <w:highlight w:val="none"/>
        </w:rPr>
        <w:t>；</w:t>
      </w:r>
    </w:p>
    <w:p w14:paraId="6C2756B8">
      <w:pPr>
        <w:pBdr>
          <w:bottom w:val="single" w:color="000000" w:sz="6" w:space="1"/>
        </w:pBd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40.9</w:t>
      </w:r>
      <w:r>
        <w:rPr>
          <w:rFonts w:hint="eastAsia" w:ascii="宋体" w:hAnsi="宋体"/>
          <w:bCs/>
          <w:color w:val="auto"/>
          <w:szCs w:val="21"/>
          <w:highlight w:val="none"/>
          <w:u w:val="single"/>
        </w:rPr>
        <w:t>对进入第二阶段的投标人按投标须知前附表第19项规定计算第二阶段得分并排序</w:t>
      </w:r>
      <w:r>
        <w:rPr>
          <w:rFonts w:hint="eastAsia" w:ascii="宋体" w:hAnsi="宋体"/>
          <w:bCs/>
          <w:color w:val="auto"/>
          <w:szCs w:val="21"/>
          <w:highlight w:val="none"/>
        </w:rPr>
        <w:t>；</w:t>
      </w:r>
    </w:p>
    <w:p w14:paraId="60611272">
      <w:pPr>
        <w:pBdr>
          <w:bottom w:val="single" w:color="000000" w:sz="6" w:space="1"/>
        </w:pBd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40.10按排序对经济标投标文件进行有效性审查（含投标报价算术校核），直至评出所有中标候选人；</w:t>
      </w:r>
    </w:p>
    <w:p w14:paraId="0E0FF650">
      <w:pPr>
        <w:pBdr>
          <w:bottom w:val="single" w:color="000000" w:sz="6" w:space="1"/>
        </w:pBd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40.11评标委员会编写评标报告，向招标人推荐中标候选人名单。</w:t>
      </w:r>
    </w:p>
    <w:p w14:paraId="0860F40B">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条款号：41.1          修改类型：修改</w:t>
      </w:r>
    </w:p>
    <w:p w14:paraId="362FDD6F">
      <w:pPr>
        <w:spacing w:line="360" w:lineRule="auto"/>
        <w:ind w:firstLine="420" w:firstLineChars="200"/>
        <w:rPr>
          <w:rStyle w:val="127"/>
          <w:rFonts w:ascii="宋体" w:hAnsi="宋体"/>
          <w:color w:val="auto"/>
          <w:szCs w:val="21"/>
          <w:highlight w:val="none"/>
        </w:rPr>
      </w:pPr>
      <w:r>
        <w:rPr>
          <w:rStyle w:val="127"/>
          <w:rFonts w:ascii="宋体" w:hAnsi="宋体"/>
          <w:b/>
          <w:color w:val="auto"/>
          <w:szCs w:val="21"/>
          <w:highlight w:val="none"/>
        </w:rPr>
        <w:t>原文：</w:t>
      </w:r>
      <w:r>
        <w:rPr>
          <w:rStyle w:val="127"/>
          <w:rFonts w:ascii="宋体" w:hAnsi="宋体"/>
          <w:color w:val="auto"/>
          <w:szCs w:val="21"/>
          <w:highlight w:val="none"/>
        </w:rPr>
        <w:t>41.1开标由招标人主持；</w:t>
      </w:r>
    </w:p>
    <w:p w14:paraId="2A4FA897">
      <w:pPr>
        <w:pBdr>
          <w:bottom w:val="single" w:color="000000" w:sz="6" w:space="1"/>
        </w:pBdr>
        <w:spacing w:line="360" w:lineRule="auto"/>
        <w:ind w:firstLine="420" w:firstLineChars="200"/>
        <w:rPr>
          <w:rStyle w:val="127"/>
          <w:rFonts w:ascii="宋体" w:hAnsi="宋体"/>
          <w:color w:val="auto"/>
          <w:szCs w:val="21"/>
          <w:highlight w:val="none"/>
          <w:u w:val="single"/>
        </w:rPr>
      </w:pPr>
      <w:r>
        <w:rPr>
          <w:rStyle w:val="127"/>
          <w:rFonts w:ascii="宋体" w:hAnsi="宋体"/>
          <w:b/>
          <w:color w:val="auto"/>
          <w:szCs w:val="21"/>
          <w:highlight w:val="none"/>
        </w:rPr>
        <w:t>现文：</w:t>
      </w:r>
      <w:r>
        <w:rPr>
          <w:rStyle w:val="127"/>
          <w:rFonts w:ascii="宋体" w:hAnsi="宋体"/>
          <w:color w:val="auto"/>
          <w:szCs w:val="21"/>
          <w:highlight w:val="none"/>
        </w:rPr>
        <w:t>41.1</w:t>
      </w:r>
      <w:r>
        <w:rPr>
          <w:rStyle w:val="127"/>
          <w:rFonts w:ascii="宋体" w:hAnsi="宋体"/>
          <w:color w:val="auto"/>
          <w:szCs w:val="21"/>
          <w:highlight w:val="none"/>
          <w:u w:val="single"/>
        </w:rPr>
        <w:t>开标由招标人或招标代理主持；</w:t>
      </w:r>
    </w:p>
    <w:p w14:paraId="45578EF7">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条款号：41.2.1          修改类型：修改</w:t>
      </w:r>
    </w:p>
    <w:p w14:paraId="38EC9400">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原文：</w:t>
      </w:r>
      <w:r>
        <w:rPr>
          <w:rStyle w:val="127"/>
          <w:rFonts w:ascii="宋体" w:hAnsi="宋体"/>
          <w:color w:val="auto"/>
          <w:szCs w:val="21"/>
          <w:highlight w:val="none"/>
        </w:rPr>
        <w:t>41.2.1投标截止期前，各投标人递交投标文件（包括技术标投标文件、经济标投标文件）至</w:t>
      </w:r>
      <w:r>
        <w:rPr>
          <w:rStyle w:val="127"/>
          <w:rFonts w:ascii="宋体" w:hAnsi="宋体"/>
          <w:color w:val="auto"/>
          <w:szCs w:val="21"/>
          <w:highlight w:val="none"/>
          <w:u w:val="single"/>
        </w:rPr>
        <w:t xml:space="preserve">     </w:t>
      </w:r>
      <w:r>
        <w:rPr>
          <w:rStyle w:val="127"/>
          <w:rFonts w:ascii="宋体" w:hAnsi="宋体"/>
          <w:color w:val="auto"/>
          <w:szCs w:val="21"/>
          <w:highlight w:val="none"/>
        </w:rPr>
        <w:t>交易平台。有关投标文件提交的事项详见第一章投标须知。</w:t>
      </w:r>
    </w:p>
    <w:p w14:paraId="6DF52D1E">
      <w:pPr>
        <w:pBdr>
          <w:bottom w:val="single" w:color="000000" w:sz="6" w:space="1"/>
        </w:pBdr>
        <w:spacing w:line="360" w:lineRule="auto"/>
        <w:ind w:firstLine="420" w:firstLineChars="200"/>
        <w:rPr>
          <w:rStyle w:val="127"/>
          <w:rFonts w:ascii="宋体" w:hAnsi="宋体"/>
          <w:color w:val="auto"/>
          <w:szCs w:val="21"/>
          <w:highlight w:val="none"/>
        </w:rPr>
      </w:pPr>
      <w:r>
        <w:rPr>
          <w:rStyle w:val="127"/>
          <w:rFonts w:ascii="宋体" w:hAnsi="宋体"/>
          <w:b/>
          <w:color w:val="auto"/>
          <w:szCs w:val="21"/>
          <w:highlight w:val="none"/>
        </w:rPr>
        <w:t>现文：</w:t>
      </w:r>
      <w:r>
        <w:rPr>
          <w:rStyle w:val="127"/>
          <w:rFonts w:ascii="宋体" w:hAnsi="宋体"/>
          <w:color w:val="auto"/>
          <w:szCs w:val="21"/>
          <w:highlight w:val="none"/>
        </w:rPr>
        <w:t>41.2.1投标截止期前，各投标人递交投标文件（包括技术标投标文件</w:t>
      </w:r>
      <w:r>
        <w:rPr>
          <w:rStyle w:val="127"/>
          <w:rFonts w:hint="eastAsia" w:ascii="宋体" w:hAnsi="宋体"/>
          <w:color w:val="auto"/>
          <w:szCs w:val="21"/>
          <w:highlight w:val="none"/>
          <w:u w:val="single"/>
        </w:rPr>
        <w:t>（含资格审查文件）</w:t>
      </w:r>
      <w:r>
        <w:rPr>
          <w:rStyle w:val="127"/>
          <w:rFonts w:ascii="宋体" w:hAnsi="宋体"/>
          <w:color w:val="auto"/>
          <w:szCs w:val="21"/>
          <w:highlight w:val="none"/>
          <w:u w:val="single"/>
        </w:rPr>
        <w:t>、</w:t>
      </w:r>
      <w:r>
        <w:rPr>
          <w:rStyle w:val="127"/>
          <w:rFonts w:ascii="宋体" w:hAnsi="宋体"/>
          <w:color w:val="auto"/>
          <w:szCs w:val="21"/>
          <w:highlight w:val="none"/>
        </w:rPr>
        <w:t>经济标投标文件）至</w:t>
      </w:r>
      <w:r>
        <w:rPr>
          <w:rFonts w:hint="eastAsia" w:ascii="宋体" w:hAnsi="宋体"/>
          <w:color w:val="auto"/>
          <w:szCs w:val="21"/>
          <w:highlight w:val="none"/>
          <w:u w:val="single"/>
        </w:rPr>
        <w:t>广州交易集团有限公司（广州公共资源交易中心）</w:t>
      </w:r>
      <w:r>
        <w:rPr>
          <w:rStyle w:val="127"/>
          <w:rFonts w:ascii="宋体" w:hAnsi="宋体"/>
          <w:color w:val="auto"/>
          <w:szCs w:val="21"/>
          <w:highlight w:val="none"/>
        </w:rPr>
        <w:t>交易平台。有关投标文件提交的事项详见第一章投标须知。</w:t>
      </w:r>
    </w:p>
    <w:p w14:paraId="79D6B49D">
      <w:pPr>
        <w:spacing w:line="48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条款号：41.</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.1             修改类型：修改</w:t>
      </w:r>
    </w:p>
    <w:p w14:paraId="6108BCB3">
      <w:pP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 w:val="0"/>
          <w:bCs/>
          <w:color w:val="auto"/>
          <w:szCs w:val="21"/>
          <w:highlight w:val="none"/>
        </w:rPr>
        <w:t>41.3.1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r>
        <w:rPr>
          <w:rFonts w:hint="eastAsia" w:ascii="宋体" w:hAnsi="宋体" w:cs="宋体"/>
          <w:color w:val="auto"/>
          <w:szCs w:val="21"/>
          <w:highlight w:val="none"/>
        </w:rPr>
        <w:t>。</w:t>
      </w:r>
    </w:p>
    <w:p w14:paraId="66162668">
      <w:pPr>
        <w:pBdr>
          <w:bottom w:val="single" w:color="auto" w:sz="6" w:space="1"/>
        </w:pBdr>
        <w:spacing w:line="480" w:lineRule="auto"/>
        <w:ind w:firstLine="470" w:firstLineChars="224"/>
        <w:rPr>
          <w:rFonts w:hint="eastAsia" w:ascii="宋体" w:hAnsi="宋体" w:cs="宋体"/>
          <w:b w:val="0"/>
          <w:bCs/>
          <w:color w:val="auto"/>
          <w:szCs w:val="21"/>
          <w:highlight w:val="none"/>
          <w:lang w:eastAsia="zh-CN"/>
        </w:rPr>
      </w:pPr>
      <w:r>
        <w:rPr>
          <w:rFonts w:hint="eastAsia" w:ascii="宋体" w:hAnsi="宋体" w:cs="宋体"/>
          <w:b/>
          <w:color w:val="auto"/>
          <w:szCs w:val="21"/>
          <w:highlight w:val="none"/>
        </w:rPr>
        <w:t>现文：</w:t>
      </w:r>
      <w:r>
        <w:rPr>
          <w:rFonts w:hint="eastAsia" w:ascii="宋体" w:hAnsi="宋体" w:cs="宋体"/>
          <w:b w:val="0"/>
          <w:bCs/>
          <w:color w:val="auto"/>
          <w:szCs w:val="21"/>
          <w:highlight w:val="none"/>
        </w:rPr>
        <w:t>41.3.1开标时，公布：a、投标人名称；b、投标文件密封情况；c、投标报价；</w:t>
      </w:r>
      <w:r>
        <w:rPr>
          <w:rFonts w:hint="eastAsia" w:ascii="宋体" w:hAnsi="宋体" w:cs="宋体"/>
          <w:b w:val="0"/>
          <w:bCs/>
          <w:color w:val="auto"/>
          <w:szCs w:val="21"/>
          <w:highlight w:val="none"/>
          <w:u w:val="single"/>
        </w:rPr>
        <w:t>d、项目经理（负责人）名称；e、法定代表人证明及授权委托等主要内容及开标记录表中的其他必要内容</w:t>
      </w:r>
      <w:r>
        <w:rPr>
          <w:rFonts w:hint="eastAsia" w:ascii="宋体" w:hAnsi="宋体" w:cs="宋体"/>
          <w:b w:val="0"/>
          <w:bCs/>
          <w:color w:val="auto"/>
          <w:szCs w:val="21"/>
          <w:highlight w:val="none"/>
        </w:rPr>
        <w:t>。投标报价以数字和文字两种方式表述的，应公布文字表述的投标报价</w:t>
      </w:r>
      <w:r>
        <w:rPr>
          <w:rFonts w:hint="eastAsia" w:ascii="宋体" w:hAnsi="宋体" w:cs="宋体"/>
          <w:b w:val="0"/>
          <w:bCs/>
          <w:color w:val="auto"/>
          <w:szCs w:val="21"/>
          <w:highlight w:val="none"/>
          <w:lang w:eastAsia="zh-CN"/>
        </w:rPr>
        <w:t>。</w:t>
      </w:r>
    </w:p>
    <w:p w14:paraId="08C57E62">
      <w:pPr>
        <w:pBdr>
          <w:bottom w:val="single" w:color="auto" w:sz="4" w:space="1"/>
        </w:pBdr>
        <w:spacing w:line="480" w:lineRule="auto"/>
        <w:ind w:firstLine="470" w:firstLineChars="224"/>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条款号：</w:t>
      </w:r>
      <w:r>
        <w:rPr>
          <w:rFonts w:ascii="宋体" w:hAnsi="宋体" w:eastAsia="宋体" w:cs="宋体"/>
          <w:b/>
          <w:color w:val="auto"/>
          <w:szCs w:val="21"/>
          <w:highlight w:val="none"/>
          <w:lang w:bidi="ar"/>
        </w:rPr>
        <w:t xml:space="preserve"> 41.3.2           </w:t>
      </w:r>
      <w:r>
        <w:rPr>
          <w:rFonts w:hint="eastAsia" w:ascii="宋体" w:hAnsi="宋体" w:eastAsia="宋体" w:cs="宋体"/>
          <w:b/>
          <w:color w:val="auto"/>
          <w:szCs w:val="21"/>
          <w:highlight w:val="none"/>
          <w:lang w:bidi="ar"/>
        </w:rPr>
        <w:t>修改类型：增加</w:t>
      </w:r>
    </w:p>
    <w:p w14:paraId="21F29967">
      <w:pPr>
        <w:pBdr>
          <w:bottom w:val="single" w:color="auto" w:sz="4" w:space="1"/>
        </w:pBdr>
        <w:spacing w:line="360" w:lineRule="auto"/>
        <w:ind w:firstLine="470" w:firstLineChars="224"/>
        <w:rPr>
          <w:rFonts w:ascii="宋体" w:hAnsi="宋体" w:eastAsia="宋体" w:cs="宋体"/>
          <w:color w:val="auto"/>
          <w:szCs w:val="21"/>
          <w:highlight w:val="none"/>
        </w:rPr>
      </w:pPr>
      <w:r>
        <w:rPr>
          <w:rFonts w:hint="eastAsia" w:ascii="宋体" w:hAnsi="宋体" w:eastAsia="宋体" w:cs="宋体"/>
          <w:b/>
          <w:color w:val="auto"/>
          <w:szCs w:val="21"/>
          <w:highlight w:val="none"/>
          <w:lang w:bidi="ar"/>
        </w:rPr>
        <w:t>现文：</w:t>
      </w:r>
      <w:r>
        <w:rPr>
          <w:rFonts w:ascii="宋体" w:hAnsi="宋体" w:eastAsia="宋体" w:cs="宋体"/>
          <w:color w:val="auto"/>
          <w:szCs w:val="21"/>
          <w:highlight w:val="none"/>
          <w:lang w:bidi="ar"/>
        </w:rPr>
        <w:t>41.</w:t>
      </w:r>
      <w:r>
        <w:rPr>
          <w:rFonts w:hint="eastAsia" w:ascii="宋体" w:hAnsi="宋体" w:eastAsia="宋体" w:cs="宋体"/>
          <w:color w:val="auto"/>
          <w:szCs w:val="21"/>
          <w:highlight w:val="none"/>
          <w:lang w:val="en-US" w:eastAsia="zh-CN" w:bidi="ar"/>
        </w:rPr>
        <w:t>3</w:t>
      </w:r>
      <w:r>
        <w:rPr>
          <w:rFonts w:ascii="宋体" w:hAnsi="宋体" w:eastAsia="宋体" w:cs="宋体"/>
          <w:color w:val="auto"/>
          <w:szCs w:val="21"/>
          <w:highlight w:val="none"/>
          <w:lang w:bidi="ar"/>
        </w:rPr>
        <w:t>.2</w:t>
      </w:r>
      <w:r>
        <w:rPr>
          <w:rFonts w:hint="eastAsia" w:ascii="宋体" w:hAnsi="宋体" w:eastAsia="宋体" w:cs="宋体"/>
          <w:color w:val="auto"/>
          <w:szCs w:val="21"/>
          <w:highlight w:val="none"/>
          <w:u w:val="single"/>
          <w:lang w:bidi="ar"/>
        </w:rPr>
        <w:t>开标前，首先由招标人或招标代理按本投标须知</w:t>
      </w:r>
      <w:r>
        <w:rPr>
          <w:rFonts w:hint="eastAsia" w:ascii="宋体" w:hAnsi="宋体" w:eastAsia="宋体" w:cs="宋体"/>
          <w:color w:val="auto"/>
          <w:szCs w:val="21"/>
          <w:highlight w:val="none"/>
          <w:u w:val="single"/>
          <w:lang w:val="en-US" w:eastAsia="zh-CN" w:bidi="ar"/>
        </w:rPr>
        <w:t>前附表</w:t>
      </w:r>
      <w:r>
        <w:rPr>
          <w:rFonts w:hint="eastAsia" w:ascii="宋体" w:hAnsi="宋体" w:eastAsia="宋体" w:cs="宋体"/>
          <w:color w:val="auto"/>
          <w:szCs w:val="21"/>
          <w:highlight w:val="none"/>
          <w:u w:val="single"/>
          <w:lang w:bidi="ar"/>
        </w:rPr>
        <w:t>第</w:t>
      </w:r>
      <w:r>
        <w:rPr>
          <w:rFonts w:ascii="宋体" w:hAnsi="宋体" w:eastAsia="宋体" w:cs="宋体"/>
          <w:color w:val="auto"/>
          <w:szCs w:val="21"/>
          <w:highlight w:val="none"/>
          <w:u w:val="single"/>
          <w:lang w:bidi="ar"/>
        </w:rPr>
        <w:t>24</w:t>
      </w:r>
      <w:r>
        <w:rPr>
          <w:rFonts w:hint="eastAsia" w:ascii="宋体" w:hAnsi="宋体" w:eastAsia="宋体" w:cs="宋体"/>
          <w:color w:val="auto"/>
          <w:szCs w:val="21"/>
          <w:highlight w:val="none"/>
          <w:u w:val="single"/>
          <w:lang w:bidi="ar"/>
        </w:rPr>
        <w:t>项规定现场随机抽取计算评标参考价的等分点值X</w:t>
      </w:r>
      <w:r>
        <w:rPr>
          <w:rFonts w:hint="eastAsia" w:ascii="宋体" w:hAnsi="宋体" w:eastAsia="宋体" w:cs="宋体"/>
          <w:color w:val="auto"/>
          <w:szCs w:val="21"/>
          <w:highlight w:val="none"/>
          <w:lang w:bidi="ar"/>
        </w:rPr>
        <w:t>。</w:t>
      </w:r>
    </w:p>
    <w:p w14:paraId="37E89801">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条款号：41.</w:t>
      </w:r>
      <w:r>
        <w:rPr>
          <w:rFonts w:hint="eastAsia" w:ascii="宋体" w:hAnsi="宋体" w:cs="宋体"/>
          <w:b/>
          <w:color w:val="auto"/>
          <w:szCs w:val="21"/>
          <w:highlight w:val="none"/>
          <w:lang w:val="en-US" w:eastAsia="zh-CN"/>
        </w:rPr>
        <w:t>4</w:t>
      </w:r>
      <w:r>
        <w:rPr>
          <w:rFonts w:ascii="宋体" w:hAnsi="宋体" w:cs="宋体"/>
          <w:b/>
          <w:color w:val="auto"/>
          <w:szCs w:val="21"/>
          <w:highlight w:val="none"/>
        </w:rPr>
        <w:t xml:space="preserve">          </w:t>
      </w:r>
      <w:r>
        <w:rPr>
          <w:rFonts w:hint="eastAsia" w:ascii="宋体" w:hAnsi="宋体" w:cs="宋体"/>
          <w:b/>
          <w:color w:val="auto"/>
          <w:szCs w:val="21"/>
          <w:highlight w:val="none"/>
        </w:rPr>
        <w:t>修改类型：修改</w:t>
      </w:r>
    </w:p>
    <w:p w14:paraId="08A3CE9D">
      <w:pPr>
        <w:pBdr>
          <w:bottom w:val="single" w:color="000000" w:sz="6" w:space="1"/>
        </w:pBd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w:t>
      </w:r>
      <w:r>
        <w:rPr>
          <w:rFonts w:hint="eastAsia" w:ascii="宋体" w:hAnsi="宋体" w:cs="宋体"/>
          <w:color w:val="auto"/>
          <w:szCs w:val="21"/>
          <w:highlight w:val="none"/>
          <w:lang w:val="en-US" w:eastAsia="zh-CN"/>
        </w:rPr>
        <w:t>4招标人对开标过程进行记录，并存档备查，投标人在开标记录上签字</w:t>
      </w:r>
      <w:r>
        <w:rPr>
          <w:rFonts w:hint="eastAsia" w:ascii="宋体" w:hAnsi="宋体" w:cs="宋体"/>
          <w:color w:val="auto"/>
          <w:szCs w:val="21"/>
          <w:highlight w:val="none"/>
        </w:rPr>
        <w:t>。</w:t>
      </w:r>
    </w:p>
    <w:p w14:paraId="3AFCBE51">
      <w:pPr>
        <w:pBdr>
          <w:bottom w:val="single" w:color="000000" w:sz="6" w:space="1"/>
        </w:pBdr>
        <w:spacing w:line="360" w:lineRule="auto"/>
        <w:ind w:firstLine="420" w:firstLineChars="200"/>
        <w:rPr>
          <w:rFonts w:ascii="宋体" w:hAnsi="宋体" w:cs="宋体"/>
          <w:color w:val="auto"/>
          <w:szCs w:val="21"/>
          <w:highlight w:val="none"/>
          <w:u w:val="single"/>
        </w:rPr>
      </w:pPr>
      <w:r>
        <w:rPr>
          <w:rFonts w:hint="eastAsia" w:ascii="宋体" w:hAnsi="宋体" w:cs="宋体"/>
          <w:b/>
          <w:bCs/>
          <w:color w:val="auto"/>
          <w:szCs w:val="21"/>
          <w:highlight w:val="none"/>
        </w:rPr>
        <w:t>现文：</w:t>
      </w:r>
      <w:r>
        <w:rPr>
          <w:rFonts w:hint="eastAsia" w:ascii="宋体" w:hAnsi="宋体" w:cs="宋体"/>
          <w:color w:val="auto"/>
          <w:szCs w:val="21"/>
          <w:highlight w:val="none"/>
        </w:rPr>
        <w:t>41.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招标人</w:t>
      </w:r>
      <w:r>
        <w:rPr>
          <w:rFonts w:hint="eastAsia" w:ascii="宋体" w:hAnsi="宋体" w:cs="宋体"/>
          <w:color w:val="auto"/>
          <w:szCs w:val="21"/>
          <w:highlight w:val="none"/>
          <w:u w:val="single"/>
        </w:rPr>
        <w:t>或招标代理机构</w:t>
      </w:r>
      <w:r>
        <w:rPr>
          <w:rFonts w:hint="eastAsia" w:ascii="宋体" w:hAnsi="宋体" w:cs="宋体"/>
          <w:color w:val="auto"/>
          <w:szCs w:val="21"/>
          <w:highlight w:val="none"/>
        </w:rPr>
        <w:t>对开标过程进行记录，并存档备查，</w:t>
      </w:r>
      <w:r>
        <w:rPr>
          <w:rFonts w:hint="eastAsia" w:ascii="宋体" w:hAnsi="宋体" w:cs="宋体"/>
          <w:color w:val="auto"/>
          <w:szCs w:val="21"/>
          <w:highlight w:val="none"/>
          <w:u w:val="single"/>
        </w:rPr>
        <w:t>参加开标会的</w:t>
      </w:r>
      <w:r>
        <w:rPr>
          <w:rFonts w:hint="eastAsia" w:ascii="宋体" w:hAnsi="宋体" w:cs="宋体"/>
          <w:color w:val="auto"/>
          <w:szCs w:val="21"/>
          <w:highlight w:val="none"/>
        </w:rPr>
        <w:t>投标人在开标记录上签字</w:t>
      </w:r>
      <w:r>
        <w:rPr>
          <w:rFonts w:hint="eastAsia" w:ascii="宋体" w:hAnsi="宋体" w:cs="宋体"/>
          <w:color w:val="auto"/>
          <w:szCs w:val="21"/>
          <w:highlight w:val="none"/>
          <w:u w:val="single"/>
        </w:rPr>
        <w:t>，投标人未签字且未提出异议的将被视为默认开标结果。</w:t>
      </w:r>
    </w:p>
    <w:p w14:paraId="2FBEDBDE">
      <w:pPr>
        <w:widowControl w:val="0"/>
        <w:spacing w:line="360" w:lineRule="auto"/>
        <w:ind w:firstLine="422" w:firstLineChars="201"/>
        <w:textAlignment w:val="auto"/>
        <w:rPr>
          <w:rFonts w:ascii="宋体" w:hAnsi="宋体" w:cs="宋体"/>
          <w:b/>
          <w:color w:val="auto"/>
          <w:szCs w:val="21"/>
          <w:highlight w:val="none"/>
        </w:rPr>
      </w:pPr>
      <w:r>
        <w:rPr>
          <w:rFonts w:hint="eastAsia" w:ascii="宋体" w:hAnsi="宋体" w:cs="宋体"/>
          <w:b/>
          <w:color w:val="auto"/>
          <w:szCs w:val="21"/>
          <w:highlight w:val="none"/>
        </w:rPr>
        <w:t>条款号：41.</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 xml:space="preserve">                      修改类型：修改</w:t>
      </w:r>
    </w:p>
    <w:p w14:paraId="5E2AF4FA">
      <w:pPr>
        <w:widowControl w:val="0"/>
        <w:pBdr>
          <w:bottom w:val="single" w:color="auto" w:sz="6" w:space="1"/>
        </w:pBdr>
        <w:spacing w:line="360" w:lineRule="auto"/>
        <w:ind w:firstLine="422" w:firstLineChars="201"/>
        <w:textAlignment w:val="auto"/>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41.</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招标人将上述符合要求的投标文件，送至评标委员会进行评审</w:t>
      </w:r>
      <w:r>
        <w:rPr>
          <w:rFonts w:hint="eastAsia" w:ascii="宋体" w:hAnsi="宋体" w:cs="宋体"/>
          <w:color w:val="auto"/>
          <w:szCs w:val="21"/>
          <w:highlight w:val="none"/>
        </w:rPr>
        <w:t>。</w:t>
      </w:r>
    </w:p>
    <w:p w14:paraId="2C07F5E0">
      <w:pPr>
        <w:widowControl w:val="0"/>
        <w:pBdr>
          <w:bottom w:val="single" w:color="auto" w:sz="6" w:space="1"/>
        </w:pBdr>
        <w:spacing w:line="360" w:lineRule="auto"/>
        <w:ind w:firstLine="422" w:firstLineChars="201"/>
        <w:textAlignment w:val="auto"/>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41.</w:t>
      </w:r>
      <w:r>
        <w:rPr>
          <w:rFonts w:hint="eastAsia" w:ascii="宋体" w:hAnsi="宋体" w:cs="宋体"/>
          <w:bCs/>
          <w:color w:val="auto"/>
          <w:szCs w:val="21"/>
          <w:highlight w:val="none"/>
          <w:lang w:val="en-US" w:eastAsia="zh-CN"/>
        </w:rPr>
        <w:t>5</w:t>
      </w:r>
      <w:r>
        <w:rPr>
          <w:rFonts w:hint="eastAsia" w:ascii="宋体" w:hAnsi="宋体" w:cs="宋体"/>
          <w:color w:val="auto"/>
          <w:szCs w:val="21"/>
          <w:highlight w:val="none"/>
        </w:rPr>
        <w:t>招标人</w:t>
      </w:r>
      <w:r>
        <w:rPr>
          <w:rFonts w:hint="eastAsia" w:ascii="宋体" w:hAnsi="宋体" w:cs="宋体"/>
          <w:color w:val="auto"/>
          <w:szCs w:val="21"/>
          <w:highlight w:val="none"/>
          <w:u w:val="single"/>
        </w:rPr>
        <w:t>或招标代理机构</w:t>
      </w:r>
      <w:r>
        <w:rPr>
          <w:rFonts w:hint="eastAsia" w:ascii="宋体" w:hAnsi="宋体" w:cs="宋体"/>
          <w:bCs/>
          <w:color w:val="auto"/>
          <w:szCs w:val="21"/>
          <w:highlight w:val="none"/>
        </w:rPr>
        <w:t>将上述符合要求的投标文件，送至评标委员会进行评审</w:t>
      </w:r>
      <w:r>
        <w:rPr>
          <w:rFonts w:hint="eastAsia" w:ascii="宋体" w:hAnsi="宋体" w:cs="宋体"/>
          <w:color w:val="auto"/>
          <w:szCs w:val="21"/>
          <w:highlight w:val="none"/>
        </w:rPr>
        <w:t>。</w:t>
      </w:r>
    </w:p>
    <w:p w14:paraId="5BB6C168">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42.</w:t>
      </w:r>
      <w:r>
        <w:rPr>
          <w:rFonts w:hint="eastAsia" w:ascii="宋体" w:hAnsi="宋体" w:cs="宋体"/>
          <w:b/>
          <w:color w:val="auto"/>
          <w:szCs w:val="21"/>
          <w:highlight w:val="none"/>
          <w:lang w:val="en-US" w:eastAsia="zh-CN"/>
        </w:rPr>
        <w:t>1</w:t>
      </w:r>
      <w:r>
        <w:rPr>
          <w:rFonts w:ascii="宋体" w:hAnsi="宋体" w:cs="宋体"/>
          <w:b/>
          <w:color w:val="auto"/>
          <w:szCs w:val="21"/>
          <w:highlight w:val="none"/>
        </w:rPr>
        <w:t xml:space="preserve">          </w:t>
      </w:r>
      <w:r>
        <w:rPr>
          <w:rFonts w:hint="eastAsia" w:ascii="宋体" w:hAnsi="宋体" w:cs="宋体"/>
          <w:b/>
          <w:color w:val="auto"/>
          <w:szCs w:val="21"/>
          <w:highlight w:val="none"/>
        </w:rPr>
        <w:t>修改类型：修改</w:t>
      </w:r>
    </w:p>
    <w:p w14:paraId="14D20C97">
      <w:pPr>
        <w:spacing w:line="360" w:lineRule="auto"/>
        <w:ind w:firstLine="422"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评标委员会的组成：方式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342BA24">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14:paraId="3B27476A">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方式二：评标委员会由技术评审组和经济评审组组成。其中：资格审查及技术评审由技术评标组负责，经济评审由经济评审组负责。</w:t>
      </w:r>
    </w:p>
    <w:p w14:paraId="36FE6A6D">
      <w:pPr>
        <w:pBdr>
          <w:bottom w:val="single" w:color="000000" w:sz="6" w:space="1"/>
        </w:pBdr>
        <w:spacing w:line="360" w:lineRule="auto"/>
        <w:ind w:firstLine="420"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42.</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评标委员会的组成：方式一：评标委员会为综合评标委员会，负责资格审查及评标工作。</w:t>
      </w:r>
    </w:p>
    <w:p w14:paraId="19AE41F5">
      <w:pPr>
        <w:spacing w:line="360" w:lineRule="auto"/>
        <w:ind w:firstLine="420" w:firstLineChars="200"/>
        <w:rPr>
          <w:rFonts w:hint="eastAsia" w:ascii="宋体" w:hAnsi="宋体"/>
          <w:b/>
          <w:color w:val="auto"/>
          <w:szCs w:val="21"/>
          <w:highlight w:val="none"/>
        </w:rPr>
      </w:pPr>
      <w:r>
        <w:rPr>
          <w:rFonts w:hint="eastAsia" w:ascii="宋体" w:hAnsi="宋体"/>
          <w:b/>
          <w:color w:val="auto"/>
          <w:szCs w:val="21"/>
          <w:highlight w:val="none"/>
        </w:rPr>
        <w:t>条款号：4</w:t>
      </w:r>
      <w:r>
        <w:rPr>
          <w:rFonts w:hint="eastAsia" w:ascii="宋体" w:hAnsi="宋体"/>
          <w:b/>
          <w:color w:val="auto"/>
          <w:szCs w:val="21"/>
          <w:highlight w:val="none"/>
          <w:lang w:val="en-US" w:eastAsia="zh-CN"/>
        </w:rPr>
        <w:t>2</w:t>
      </w:r>
      <w:r>
        <w:rPr>
          <w:rFonts w:ascii="宋体" w:hAnsi="宋体"/>
          <w:b/>
          <w:color w:val="auto"/>
          <w:szCs w:val="21"/>
          <w:highlight w:val="none"/>
        </w:rPr>
        <w:t>.</w:t>
      </w:r>
      <w:r>
        <w:rPr>
          <w:rFonts w:hint="eastAsia" w:ascii="宋体" w:hAnsi="宋体"/>
          <w:b/>
          <w:color w:val="auto"/>
          <w:szCs w:val="21"/>
          <w:highlight w:val="none"/>
          <w:lang w:val="en-US" w:eastAsia="zh-CN"/>
        </w:rPr>
        <w:t>2.</w:t>
      </w:r>
      <w:r>
        <w:rPr>
          <w:rFonts w:hint="eastAsia" w:ascii="宋体" w:hAnsi="宋体"/>
          <w:b/>
          <w:color w:val="auto"/>
          <w:szCs w:val="21"/>
          <w:highlight w:val="none"/>
        </w:rPr>
        <w:t>6</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2A5ECB45">
      <w:pPr>
        <w:pBdr>
          <w:bottom w:val="single" w:color="auto" w:sz="6" w:space="1"/>
        </w:pBdr>
        <w:spacing w:line="360" w:lineRule="auto"/>
        <w:ind w:firstLine="420" w:firstLineChars="200"/>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cs="宋体"/>
          <w:bCs/>
          <w:color w:val="auto"/>
          <w:szCs w:val="21"/>
          <w:highlight w:val="none"/>
        </w:rPr>
        <w:t>4</w:t>
      </w:r>
      <w:r>
        <w:rPr>
          <w:rFonts w:hint="eastAsia" w:ascii="宋体" w:hAnsi="宋体" w:cs="宋体"/>
          <w:bCs/>
          <w:color w:val="auto"/>
          <w:szCs w:val="21"/>
          <w:highlight w:val="none"/>
          <w:lang w:val="en-US" w:eastAsia="zh-CN"/>
        </w:rPr>
        <w:t>2.2</w:t>
      </w:r>
      <w:r>
        <w:rPr>
          <w:rFonts w:ascii="宋体" w:hAnsi="宋体" w:cs="宋体"/>
          <w:bCs/>
          <w:color w:val="auto"/>
          <w:szCs w:val="21"/>
          <w:highlight w:val="none"/>
        </w:rPr>
        <w:t>.</w:t>
      </w:r>
      <w:r>
        <w:rPr>
          <w:rFonts w:hint="eastAsia" w:ascii="宋体" w:hAnsi="宋体" w:cs="宋体"/>
          <w:bCs/>
          <w:color w:val="auto"/>
          <w:szCs w:val="21"/>
          <w:highlight w:val="none"/>
        </w:rPr>
        <w:t>6资格审查合格的投标人少于3名的（当N个标段同时招标且不允许兼中时，资格审查合格的投标人少于N+2名），则本项目招标失败。</w:t>
      </w:r>
    </w:p>
    <w:p w14:paraId="64492331">
      <w:pPr>
        <w:pBdr>
          <w:bottom w:val="single" w:color="auto" w:sz="6" w:space="1"/>
        </w:pBdr>
        <w:spacing w:line="360" w:lineRule="auto"/>
        <w:ind w:firstLine="420" w:firstLineChars="200"/>
        <w:rPr>
          <w:rFonts w:hint="eastAsia"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u w:val="single"/>
        </w:rPr>
        <w:t>4</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6资格审查合格的投标人少于3名的，则本项目招标失败。</w:t>
      </w:r>
    </w:p>
    <w:p w14:paraId="17EA623B">
      <w:pPr>
        <w:spacing w:line="480" w:lineRule="auto"/>
        <w:ind w:firstLine="470" w:firstLineChars="224"/>
        <w:rPr>
          <w:rFonts w:ascii="宋体" w:hAnsi="Calibri" w:eastAsia="宋体" w:cs="宋体"/>
          <w:b/>
          <w:color w:val="auto"/>
          <w:szCs w:val="21"/>
          <w:highlight w:val="none"/>
        </w:rPr>
      </w:pPr>
      <w:r>
        <w:rPr>
          <w:rFonts w:hint="eastAsia" w:ascii="宋体" w:hAnsi="宋体" w:eastAsia="宋体" w:cs="宋体"/>
          <w:b/>
          <w:color w:val="auto"/>
          <w:szCs w:val="21"/>
          <w:highlight w:val="none"/>
          <w:lang w:bidi="ar"/>
        </w:rPr>
        <w:t>条款号：</w:t>
      </w:r>
      <w:r>
        <w:rPr>
          <w:rFonts w:ascii="宋体" w:hAnsi="宋体" w:eastAsia="宋体" w:cs="宋体"/>
          <w:b/>
          <w:color w:val="auto"/>
          <w:szCs w:val="21"/>
          <w:highlight w:val="none"/>
          <w:lang w:bidi="ar"/>
        </w:rPr>
        <w:t>42.3.2</w:t>
      </w:r>
      <w:r>
        <w:rPr>
          <w:rFonts w:ascii="Times New Roman" w:hAnsi="Times New Roman" w:eastAsia="宋体" w:cs="Times New Roman"/>
          <w:b/>
          <w:color w:val="auto"/>
          <w:szCs w:val="21"/>
          <w:highlight w:val="none"/>
          <w:lang w:bidi="ar"/>
        </w:rPr>
        <w:t xml:space="preserve">  </w:t>
      </w:r>
      <w:r>
        <w:rPr>
          <w:rFonts w:ascii="宋体" w:hAnsi="宋体" w:eastAsia="宋体" w:cs="宋体"/>
          <w:b/>
          <w:color w:val="auto"/>
          <w:szCs w:val="21"/>
          <w:highlight w:val="none"/>
          <w:lang w:bidi="ar"/>
        </w:rPr>
        <w:t xml:space="preserve">                </w:t>
      </w:r>
      <w:r>
        <w:rPr>
          <w:rFonts w:hint="eastAsia" w:ascii="宋体" w:hAnsi="宋体" w:eastAsia="宋体" w:cs="宋体"/>
          <w:b/>
          <w:color w:val="auto"/>
          <w:szCs w:val="21"/>
          <w:highlight w:val="none"/>
          <w:lang w:bidi="ar"/>
        </w:rPr>
        <w:t>修改类型：修改</w:t>
      </w:r>
    </w:p>
    <w:p w14:paraId="16ED6BFF">
      <w:pPr>
        <w:spacing w:line="480" w:lineRule="auto"/>
        <w:ind w:firstLine="470" w:firstLineChars="224"/>
        <w:rPr>
          <w:rFonts w:ascii="宋体" w:hAnsi="宋体" w:eastAsia="宋体" w:cs="宋体"/>
          <w:color w:val="auto"/>
          <w:szCs w:val="21"/>
          <w:highlight w:val="none"/>
          <w:lang w:bidi="ar"/>
        </w:rPr>
      </w:pPr>
      <w:r>
        <w:rPr>
          <w:rFonts w:hint="eastAsia" w:ascii="宋体" w:hAnsi="宋体" w:eastAsia="宋体" w:cs="宋体"/>
          <w:b/>
          <w:color w:val="auto"/>
          <w:szCs w:val="21"/>
          <w:highlight w:val="none"/>
          <w:lang w:bidi="ar"/>
        </w:rPr>
        <w:t>原文：</w:t>
      </w:r>
      <w:r>
        <w:rPr>
          <w:rFonts w:ascii="宋体" w:hAnsi="宋体" w:eastAsia="宋体" w:cs="宋体"/>
          <w:color w:val="auto"/>
          <w:szCs w:val="21"/>
          <w:highlight w:val="none"/>
          <w:lang w:bidi="ar"/>
        </w:rPr>
        <w:t xml:space="preserve">42.3.2 </w:t>
      </w:r>
      <w:r>
        <w:rPr>
          <w:rFonts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详细审查评分：评标委员会按照本办法附表</w:t>
      </w:r>
      <w:r>
        <w:rPr>
          <w:rFonts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r>
        <w:rPr>
          <w:rFonts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详细审查评分表》对通过技术标有效性审查的投标文件进行详细审查，评出</w:t>
      </w:r>
      <w:r>
        <w:rPr>
          <w:rFonts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得分。</w:t>
      </w:r>
    </w:p>
    <w:p w14:paraId="014A5728">
      <w:pPr>
        <w:pBdr>
          <w:bottom w:val="single" w:color="auto" w:sz="6" w:space="1"/>
        </w:pBdr>
        <w:spacing w:line="360" w:lineRule="auto"/>
        <w:ind w:firstLine="470" w:firstLineChars="224"/>
        <w:rPr>
          <w:rFonts w:ascii="宋体" w:hAnsi="Calibri" w:eastAsia="宋体" w:cs="宋体"/>
          <w:b/>
          <w:color w:val="auto"/>
          <w:szCs w:val="21"/>
          <w:highlight w:val="none"/>
        </w:rPr>
      </w:pPr>
      <w:r>
        <w:rPr>
          <w:rFonts w:hint="eastAsia" w:ascii="宋体" w:hAnsi="宋体" w:eastAsia="宋体" w:cs="宋体"/>
          <w:b/>
          <w:color w:val="auto"/>
          <w:szCs w:val="21"/>
          <w:highlight w:val="none"/>
          <w:lang w:bidi="ar"/>
        </w:rPr>
        <w:t>现文：</w:t>
      </w:r>
      <w:r>
        <w:rPr>
          <w:rFonts w:ascii="宋体" w:hAnsi="宋体" w:eastAsia="宋体" w:cs="宋体"/>
          <w:color w:val="auto"/>
          <w:szCs w:val="21"/>
          <w:highlight w:val="none"/>
          <w:lang w:bidi="ar"/>
        </w:rPr>
        <w:t>42.3.2</w:t>
      </w:r>
      <w:r>
        <w:rPr>
          <w:rFonts w:hint="eastAsia" w:ascii="宋体" w:hAnsi="宋体" w:eastAsia="宋体" w:cs="宋体"/>
          <w:color w:val="auto"/>
          <w:szCs w:val="21"/>
          <w:highlight w:val="none"/>
          <w:u w:val="single"/>
          <w:lang w:bidi="ar"/>
        </w:rPr>
        <w:t>技术标项目团队评审</w:t>
      </w:r>
      <w:r>
        <w:rPr>
          <w:rFonts w:hint="eastAsia" w:ascii="宋体" w:hAnsi="宋体" w:eastAsia="宋体" w:cs="宋体"/>
          <w:color w:val="auto"/>
          <w:szCs w:val="21"/>
          <w:highlight w:val="none"/>
          <w:lang w:bidi="ar"/>
        </w:rPr>
        <w:t>详细审查评分：评标委员会按照本办法附表</w:t>
      </w:r>
      <w:r>
        <w:rPr>
          <w:rFonts w:ascii="宋体" w:hAnsi="宋体" w:eastAsia="宋体" w:cs="宋体"/>
          <w:color w:val="auto"/>
          <w:szCs w:val="21"/>
          <w:highlight w:val="none"/>
          <w:u w:val="single"/>
          <w:lang w:bidi="ar"/>
        </w:rPr>
        <w:t xml:space="preserve"> 四 </w:t>
      </w:r>
      <w:r>
        <w:rPr>
          <w:rFonts w:hint="eastAsia" w:ascii="宋体" w:hAnsi="宋体" w:eastAsia="宋体" w:cs="宋体"/>
          <w:color w:val="auto"/>
          <w:szCs w:val="21"/>
          <w:highlight w:val="none"/>
          <w:lang w:bidi="ar"/>
        </w:rPr>
        <w:t>《第一阶段详细审查评分表（项目管理团队）》对通过技术标有效性审查的投标文件进行详细审查，评出</w:t>
      </w:r>
      <w:r>
        <w:rPr>
          <w:rFonts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bidi="ar"/>
        </w:rPr>
        <w:t>技术标项目团队评审</w:t>
      </w:r>
      <w:r>
        <w:rPr>
          <w:rFonts w:hint="eastAsia" w:ascii="宋体" w:hAnsi="宋体" w:eastAsia="宋体" w:cs="宋体"/>
          <w:color w:val="auto"/>
          <w:szCs w:val="21"/>
          <w:highlight w:val="none"/>
          <w:lang w:bidi="ar"/>
        </w:rPr>
        <w:t>得分。</w:t>
      </w:r>
    </w:p>
    <w:p w14:paraId="41B94758">
      <w:pPr>
        <w:spacing w:line="480" w:lineRule="auto"/>
        <w:ind w:firstLine="470" w:firstLineChars="224"/>
        <w:rPr>
          <w:rFonts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条款号：</w:t>
      </w:r>
      <w:r>
        <w:rPr>
          <w:rFonts w:ascii="宋体" w:hAnsi="宋体" w:eastAsia="宋体" w:cs="宋体"/>
          <w:b/>
          <w:color w:val="auto"/>
          <w:szCs w:val="21"/>
          <w:highlight w:val="none"/>
          <w:lang w:bidi="ar"/>
        </w:rPr>
        <w:t xml:space="preserve"> 42.3.4                </w:t>
      </w:r>
      <w:r>
        <w:rPr>
          <w:rFonts w:hint="eastAsia" w:ascii="宋体" w:hAnsi="宋体" w:eastAsia="宋体" w:cs="宋体"/>
          <w:b/>
          <w:color w:val="auto"/>
          <w:szCs w:val="21"/>
          <w:highlight w:val="none"/>
          <w:lang w:bidi="ar"/>
        </w:rPr>
        <w:t>修改类型：修改</w:t>
      </w:r>
    </w:p>
    <w:p w14:paraId="78C8C24B">
      <w:pPr>
        <w:pBdr>
          <w:bottom w:val="single" w:color="auto" w:sz="6" w:space="1"/>
        </w:pBdr>
        <w:spacing w:line="360" w:lineRule="auto"/>
        <w:ind w:firstLine="470" w:firstLineChars="224"/>
        <w:rPr>
          <w:rFonts w:ascii="宋体" w:hAnsi="宋体" w:eastAsia="宋体" w:cs="宋体"/>
          <w:color w:val="auto"/>
          <w:szCs w:val="21"/>
          <w:highlight w:val="none"/>
          <w:lang w:bidi="ar"/>
        </w:rPr>
      </w:pPr>
      <w:r>
        <w:rPr>
          <w:rFonts w:hint="eastAsia" w:ascii="宋体" w:hAnsi="宋体" w:eastAsia="宋体" w:cs="宋体"/>
          <w:b/>
          <w:color w:val="auto"/>
          <w:szCs w:val="21"/>
          <w:highlight w:val="none"/>
          <w:lang w:bidi="ar"/>
        </w:rPr>
        <w:t>原文：</w:t>
      </w:r>
      <w:r>
        <w:rPr>
          <w:rFonts w:ascii="宋体" w:hAnsi="宋体" w:eastAsia="宋体" w:cs="宋体"/>
          <w:color w:val="auto"/>
          <w:szCs w:val="21"/>
          <w:highlight w:val="none"/>
          <w:lang w:bidi="ar"/>
        </w:rPr>
        <w:t>42.3.4评标委员会按照“第一阶段得分=</w:t>
      </w:r>
      <w:r>
        <w:rPr>
          <w:rFonts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的公式及投标须知前附表第</w:t>
      </w:r>
      <w:r>
        <w:rPr>
          <w:rFonts w:ascii="宋体" w:hAnsi="宋体" w:eastAsia="宋体" w:cs="宋体"/>
          <w:color w:val="auto"/>
          <w:szCs w:val="21"/>
          <w:highlight w:val="none"/>
          <w:lang w:bidi="ar"/>
        </w:rPr>
        <w:t>27项的规定，计算各投标人第一阶段得分(按四舍五入的原则保留两位小数)，并按照得分从高到低排列先后次序，若投标人得分相同的，则名次并列，占用名次。编写第一阶段评审报告。（适用于进行了技术标评分的）</w:t>
      </w:r>
    </w:p>
    <w:p w14:paraId="137F94B9">
      <w:pPr>
        <w:pBdr>
          <w:bottom w:val="single" w:color="auto" w:sz="6" w:space="1"/>
        </w:pBdr>
        <w:spacing w:line="360" w:lineRule="auto"/>
        <w:ind w:firstLine="470" w:firstLineChars="224"/>
        <w:rPr>
          <w:rFonts w:ascii="宋体" w:hAnsi="Calibri" w:eastAsia="宋体" w:cs="宋体"/>
          <w:color w:val="auto"/>
          <w:szCs w:val="21"/>
          <w:highlight w:val="none"/>
        </w:rPr>
      </w:pPr>
      <w:r>
        <w:rPr>
          <w:rFonts w:hint="eastAsia" w:ascii="宋体" w:hAnsi="宋体" w:eastAsia="宋体" w:cs="宋体"/>
          <w:b/>
          <w:color w:val="auto"/>
          <w:szCs w:val="21"/>
          <w:highlight w:val="none"/>
          <w:lang w:bidi="ar"/>
        </w:rPr>
        <w:t>现文：</w:t>
      </w:r>
      <w:r>
        <w:rPr>
          <w:rFonts w:ascii="宋体" w:hAnsi="宋体" w:eastAsia="宋体" w:cs="宋体"/>
          <w:b w:val="0"/>
          <w:bCs/>
          <w:color w:val="auto"/>
          <w:szCs w:val="21"/>
          <w:highlight w:val="none"/>
          <w:lang w:bidi="ar"/>
        </w:rPr>
        <w:t>42.3.4</w:t>
      </w:r>
      <w:r>
        <w:rPr>
          <w:rFonts w:hint="eastAsia" w:ascii="宋体" w:hAnsi="宋体" w:eastAsia="宋体" w:cs="宋体"/>
          <w:bCs/>
          <w:color w:val="auto"/>
          <w:szCs w:val="21"/>
          <w:highlight w:val="none"/>
          <w:lang w:bidi="ar"/>
        </w:rPr>
        <w:t>评标</w:t>
      </w:r>
      <w:r>
        <w:rPr>
          <w:rFonts w:hint="eastAsia" w:ascii="宋体" w:hAnsi="宋体" w:eastAsia="宋体" w:cs="宋体"/>
          <w:color w:val="auto"/>
          <w:szCs w:val="21"/>
          <w:highlight w:val="none"/>
          <w:lang w:bidi="ar"/>
        </w:rPr>
        <w:t>委员会按照“</w:t>
      </w:r>
      <w:r>
        <w:rPr>
          <w:rFonts w:hint="eastAsia" w:ascii="宋体" w:hAnsi="宋体" w:eastAsia="宋体" w:cs="宋体"/>
          <w:color w:val="auto"/>
          <w:szCs w:val="21"/>
          <w:highlight w:val="none"/>
          <w:u w:val="single"/>
          <w:lang w:bidi="ar"/>
        </w:rPr>
        <w:t>第一阶段得分</w:t>
      </w:r>
      <w:r>
        <w:rPr>
          <w:rFonts w:ascii="宋体" w:hAnsi="宋体" w:eastAsia="宋体" w:cs="宋体"/>
          <w:color w:val="auto"/>
          <w:szCs w:val="21"/>
          <w:highlight w:val="none"/>
          <w:u w:val="single"/>
          <w:lang w:bidi="ar"/>
        </w:rPr>
        <w:t>=</w:t>
      </w:r>
      <w:r>
        <w:rPr>
          <w:rFonts w:hint="eastAsia" w:ascii="宋体" w:hAnsi="宋体" w:eastAsia="宋体" w:cs="宋体"/>
          <w:color w:val="auto"/>
          <w:szCs w:val="21"/>
          <w:highlight w:val="none"/>
          <w:u w:val="single"/>
          <w:lang w:bidi="ar"/>
        </w:rPr>
        <w:t>技术标项目团队评审得分：满分为</w:t>
      </w:r>
      <w:r>
        <w:rPr>
          <w:rFonts w:ascii="宋体" w:hAnsi="宋体" w:eastAsia="宋体" w:cs="宋体"/>
          <w:color w:val="auto"/>
          <w:szCs w:val="21"/>
          <w:highlight w:val="none"/>
          <w:u w:val="single"/>
          <w:lang w:bidi="ar"/>
        </w:rPr>
        <w:t>100分（</w:t>
      </w:r>
      <w:r>
        <w:rPr>
          <w:rFonts w:hint="eastAsia" w:ascii="宋体" w:hAnsi="宋体" w:cs="宋体"/>
          <w:color w:val="auto"/>
          <w:szCs w:val="21"/>
          <w:highlight w:val="none"/>
          <w:u w:val="single"/>
          <w:lang w:eastAsia="zh-CN" w:bidi="ar"/>
        </w:rPr>
        <w:t>项目管理班子答辩</w:t>
      </w:r>
      <w:r>
        <w:rPr>
          <w:rFonts w:hint="eastAsia" w:ascii="宋体" w:hAnsi="宋体" w:cs="宋体"/>
          <w:color w:val="auto"/>
          <w:szCs w:val="21"/>
          <w:highlight w:val="none"/>
          <w:u w:val="single"/>
          <w:lang w:val="en-US" w:eastAsia="zh-CN" w:bidi="ar"/>
        </w:rPr>
        <w:t>15</w:t>
      </w:r>
      <w:r>
        <w:rPr>
          <w:rFonts w:ascii="宋体" w:hAnsi="宋体" w:eastAsia="宋体" w:cs="宋体"/>
          <w:color w:val="auto"/>
          <w:szCs w:val="21"/>
          <w:highlight w:val="none"/>
          <w:u w:val="single"/>
          <w:lang w:bidi="ar"/>
        </w:rPr>
        <w:t>分+项目管理机构</w:t>
      </w:r>
      <w:r>
        <w:rPr>
          <w:rFonts w:hint="eastAsia" w:ascii="宋体" w:hAnsi="宋体" w:cs="宋体"/>
          <w:color w:val="auto"/>
          <w:szCs w:val="21"/>
          <w:highlight w:val="none"/>
          <w:u w:val="single"/>
          <w:lang w:val="en-US" w:eastAsia="zh-CN" w:bidi="ar"/>
        </w:rPr>
        <w:t>85</w:t>
      </w:r>
      <w:r>
        <w:rPr>
          <w:rFonts w:ascii="宋体" w:hAnsi="宋体" w:eastAsia="宋体" w:cs="宋体"/>
          <w:color w:val="auto"/>
          <w:szCs w:val="21"/>
          <w:highlight w:val="none"/>
          <w:u w:val="single"/>
          <w:lang w:bidi="ar"/>
        </w:rPr>
        <w:t>分）</w:t>
      </w:r>
      <w:r>
        <w:rPr>
          <w:rFonts w:hint="eastAsia" w:ascii="宋体" w:hAnsi="宋体" w:eastAsia="宋体" w:cs="宋体"/>
          <w:color w:val="auto"/>
          <w:szCs w:val="21"/>
          <w:highlight w:val="none"/>
          <w:u w:val="single"/>
          <w:lang w:bidi="ar"/>
        </w:rPr>
        <w:t>计算。”的</w:t>
      </w:r>
      <w:r>
        <w:rPr>
          <w:rFonts w:hint="eastAsia" w:ascii="宋体" w:hAnsi="宋体" w:eastAsia="宋体" w:cs="宋体"/>
          <w:color w:val="auto"/>
          <w:szCs w:val="21"/>
          <w:highlight w:val="none"/>
          <w:lang w:bidi="ar"/>
        </w:rPr>
        <w:t>公式及投标须知前附表第</w:t>
      </w:r>
      <w:r>
        <w:rPr>
          <w:rFonts w:ascii="宋体" w:hAnsi="宋体" w:eastAsia="宋体" w:cs="宋体"/>
          <w:color w:val="auto"/>
          <w:szCs w:val="21"/>
          <w:highlight w:val="none"/>
          <w:lang w:bidi="ar"/>
        </w:rPr>
        <w:t>27项的规定，计算各投标人第一阶段得分(按四舍五入的原则保留两位小数)，并按照得分从高到低排列先后次序，若投标人得分相同的，则名次并列，占用名次。编写第一阶段评审报告。（适用于进行了</w:t>
      </w:r>
      <w:r>
        <w:rPr>
          <w:rFonts w:hint="eastAsia" w:ascii="宋体" w:hAnsi="宋体" w:eastAsia="宋体" w:cs="宋体"/>
          <w:color w:val="auto"/>
          <w:szCs w:val="21"/>
          <w:highlight w:val="none"/>
          <w:u w:val="single"/>
          <w:lang w:bidi="ar"/>
        </w:rPr>
        <w:t>技术标项目管理机构能力</w:t>
      </w:r>
      <w:r>
        <w:rPr>
          <w:rFonts w:hint="eastAsia" w:ascii="宋体" w:hAnsi="宋体" w:eastAsia="宋体" w:cs="宋体"/>
          <w:color w:val="auto"/>
          <w:szCs w:val="21"/>
          <w:highlight w:val="none"/>
          <w:lang w:bidi="ar"/>
        </w:rPr>
        <w:t>评分的）</w:t>
      </w:r>
    </w:p>
    <w:p w14:paraId="7071AF3E">
      <w:pPr>
        <w:spacing w:line="480" w:lineRule="auto"/>
        <w:ind w:firstLine="470" w:firstLineChars="224"/>
        <w:rPr>
          <w:rFonts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条款号：</w:t>
      </w:r>
      <w:r>
        <w:rPr>
          <w:rFonts w:ascii="宋体" w:hAnsi="宋体" w:eastAsia="宋体" w:cs="宋体"/>
          <w:b/>
          <w:color w:val="auto"/>
          <w:szCs w:val="21"/>
          <w:highlight w:val="none"/>
          <w:lang w:bidi="ar"/>
        </w:rPr>
        <w:t xml:space="preserve"> 42.</w:t>
      </w:r>
      <w:r>
        <w:rPr>
          <w:rFonts w:hint="eastAsia" w:ascii="宋体" w:hAnsi="宋体" w:eastAsia="宋体" w:cs="宋体"/>
          <w:b/>
          <w:color w:val="auto"/>
          <w:szCs w:val="21"/>
          <w:highlight w:val="none"/>
          <w:lang w:val="en-US" w:eastAsia="zh-CN" w:bidi="ar"/>
        </w:rPr>
        <w:t>4</w:t>
      </w:r>
      <w:r>
        <w:rPr>
          <w:rFonts w:ascii="宋体" w:hAnsi="宋体" w:eastAsia="宋体" w:cs="宋体"/>
          <w:b/>
          <w:color w:val="auto"/>
          <w:szCs w:val="21"/>
          <w:highlight w:val="none"/>
          <w:lang w:bidi="ar"/>
        </w:rPr>
        <w:t xml:space="preserve">                </w:t>
      </w:r>
      <w:r>
        <w:rPr>
          <w:rFonts w:hint="eastAsia" w:ascii="宋体" w:hAnsi="宋体" w:eastAsia="宋体" w:cs="宋体"/>
          <w:b/>
          <w:color w:val="auto"/>
          <w:szCs w:val="21"/>
          <w:highlight w:val="none"/>
          <w:lang w:bidi="ar"/>
        </w:rPr>
        <w:t>修改类型：修改</w:t>
      </w:r>
    </w:p>
    <w:p w14:paraId="2FC36B5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color w:val="auto"/>
          <w:sz w:val="21"/>
          <w:szCs w:val="21"/>
          <w:highlight w:val="none"/>
        </w:rPr>
        <w:t>42.4 第二阶段评审</w:t>
      </w:r>
    </w:p>
    <w:p w14:paraId="6BB12EC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42.4.1按照投标须知前附表第25项规定，确定进入第二阶段评审的投标人。若在进入第二阶段的最后名次发生并列的，则所有并列的投标人均进入第二阶段。</w:t>
      </w:r>
    </w:p>
    <w:p w14:paraId="6CC4AF7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42.4.2若进入第二阶段投标人中有投标报价均大于等于最高投标限价，则本项目招标失败，由招标人依法重新招标。</w:t>
      </w:r>
    </w:p>
    <w:p w14:paraId="577774D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42.4.3投标文件经济标的评分</w:t>
      </w:r>
    </w:p>
    <w:p w14:paraId="40CF54B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42.4.3.1计算评标参考价：</w:t>
      </w:r>
    </w:p>
    <w:p w14:paraId="0BFD694C">
      <w:pPr>
        <w:widowControl/>
        <w:spacing w:line="360" w:lineRule="auto"/>
        <w:ind w:firstLine="420"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区间抽取法</w:t>
      </w:r>
    </w:p>
    <w:p w14:paraId="0661EDCB">
      <w:pPr>
        <w:widowControl/>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22B773E8">
      <w:pPr>
        <w:widowControl/>
        <w:snapToGrid w:val="0"/>
        <w:spacing w:line="360" w:lineRule="auto"/>
        <w:ind w:firstLine="420" w:firstLineChars="200"/>
        <w:rPr>
          <w:rFonts w:hint="eastAsia" w:ascii="宋体" w:hAnsi="宋体" w:eastAsia="宋体" w:cs="宋体"/>
          <w:color w:val="auto"/>
          <w:kern w:val="0"/>
          <w:sz w:val="21"/>
          <w:szCs w:val="21"/>
          <w:highlight w:val="none"/>
          <w:vertAlign w:val="subscript"/>
        </w:rPr>
      </w:pPr>
      <w:r>
        <w:rPr>
          <w:rFonts w:hint="eastAsia" w:ascii="宋体" w:hAnsi="宋体" w:eastAsia="宋体" w:cs="宋体"/>
          <w:color w:val="auto"/>
          <w:kern w:val="0"/>
          <w:sz w:val="21"/>
          <w:szCs w:val="21"/>
          <w:highlight w:val="none"/>
        </w:rPr>
        <w:t>评标参考价=（Q</w:t>
      </w:r>
      <w:r>
        <w:rPr>
          <w:rFonts w:hint="eastAsia" w:ascii="宋体" w:hAnsi="宋体" w:eastAsia="宋体" w:cs="宋体"/>
          <w:color w:val="auto"/>
          <w:kern w:val="0"/>
          <w:sz w:val="21"/>
          <w:szCs w:val="21"/>
          <w:highlight w:val="none"/>
          <w:vertAlign w:val="subscript"/>
        </w:rPr>
        <w:t>高</w:t>
      </w:r>
      <w:r>
        <w:rPr>
          <w:rFonts w:hint="eastAsia" w:ascii="宋体" w:hAnsi="宋体" w:eastAsia="宋体" w:cs="宋体"/>
          <w:color w:val="auto"/>
          <w:kern w:val="0"/>
          <w:sz w:val="21"/>
          <w:szCs w:val="21"/>
          <w:highlight w:val="none"/>
        </w:rPr>
        <w:t>-Q</w:t>
      </w:r>
      <w:r>
        <w:rPr>
          <w:rFonts w:hint="eastAsia" w:ascii="宋体" w:hAnsi="宋体" w:eastAsia="宋体" w:cs="宋体"/>
          <w:color w:val="auto"/>
          <w:kern w:val="0"/>
          <w:sz w:val="21"/>
          <w:szCs w:val="21"/>
          <w:highlight w:val="none"/>
          <w:vertAlign w:val="subscript"/>
        </w:rPr>
        <w:t>低</w:t>
      </w:r>
      <w:r>
        <w:rPr>
          <w:rFonts w:hint="eastAsia" w:ascii="宋体" w:hAnsi="宋体" w:eastAsia="宋体" w:cs="宋体"/>
          <w:color w:val="auto"/>
          <w:kern w:val="0"/>
          <w:sz w:val="21"/>
          <w:szCs w:val="21"/>
          <w:highlight w:val="none"/>
        </w:rPr>
        <w:t>）/100*Ｘ+Q</w:t>
      </w:r>
      <w:r>
        <w:rPr>
          <w:rFonts w:hint="eastAsia" w:ascii="宋体" w:hAnsi="宋体" w:eastAsia="宋体" w:cs="宋体"/>
          <w:color w:val="auto"/>
          <w:kern w:val="0"/>
          <w:sz w:val="21"/>
          <w:szCs w:val="21"/>
          <w:highlight w:val="none"/>
          <w:vertAlign w:val="subscript"/>
        </w:rPr>
        <w:t>低</w:t>
      </w:r>
    </w:p>
    <w:p w14:paraId="2AB131E2">
      <w:pPr>
        <w:widowControl/>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Q</w:t>
      </w:r>
      <w:r>
        <w:rPr>
          <w:rFonts w:hint="eastAsia" w:ascii="宋体" w:hAnsi="宋体" w:eastAsia="宋体" w:cs="宋体"/>
          <w:color w:val="auto"/>
          <w:sz w:val="21"/>
          <w:szCs w:val="21"/>
          <w:highlight w:val="none"/>
          <w:vertAlign w:val="subscript"/>
        </w:rPr>
        <w:t>低</w:t>
      </w:r>
      <w:r>
        <w:rPr>
          <w:rFonts w:hint="eastAsia" w:ascii="宋体" w:hAnsi="宋体" w:eastAsia="宋体" w:cs="宋体"/>
          <w:color w:val="auto"/>
          <w:sz w:val="21"/>
          <w:szCs w:val="21"/>
          <w:highlight w:val="none"/>
        </w:rPr>
        <w:t>：为达到或超过技术标及格分数线的投标人最低报价与工程成本警示价两者中的较高值；</w:t>
      </w:r>
    </w:p>
    <w:p w14:paraId="1CA1935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Q</w:t>
      </w:r>
      <w:r>
        <w:rPr>
          <w:rFonts w:hint="eastAsia" w:ascii="宋体" w:hAnsi="宋体" w:eastAsia="宋体" w:cs="宋体"/>
          <w:color w:val="auto"/>
          <w:kern w:val="0"/>
          <w:sz w:val="21"/>
          <w:szCs w:val="21"/>
          <w:highlight w:val="none"/>
          <w:vertAlign w:val="subscript"/>
        </w:rPr>
        <w:t>高</w:t>
      </w:r>
      <w:r>
        <w:rPr>
          <w:rFonts w:hint="eastAsia" w:ascii="宋体" w:hAnsi="宋体" w:eastAsia="宋体" w:cs="宋体"/>
          <w:color w:val="auto"/>
          <w:sz w:val="21"/>
          <w:szCs w:val="21"/>
          <w:highlight w:val="none"/>
        </w:rPr>
        <w:t>：为最高投标限价</w:t>
      </w:r>
    </w:p>
    <w:p w14:paraId="2C73533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X:为等分点值，从[0,100]整数中随机抽取</w:t>
      </w:r>
    </w:p>
    <w:p w14:paraId="344E1B3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42.4.3.2</w:t>
      </w:r>
      <w:r>
        <w:rPr>
          <w:rFonts w:hint="eastAsia" w:ascii="宋体" w:hAnsi="宋体" w:eastAsia="宋体" w:cs="宋体"/>
          <w:color w:val="auto"/>
          <w:sz w:val="21"/>
          <w:szCs w:val="21"/>
          <w:highlight w:val="none"/>
        </w:rPr>
        <w:t>当标价等于评标参考价时得100分，标价每高于评标参考价1%，扣1.5分，每低于评标参考价1%，扣1分，扣至0分为止，得出经济分，精确到小数点后两位。</w:t>
      </w:r>
    </w:p>
    <w:p w14:paraId="11E65162">
      <w:pPr>
        <w:pBdr>
          <w:bottom w:val="single" w:color="auto" w:sz="6" w:space="1"/>
        </w:pBdr>
        <w:spacing w:line="360" w:lineRule="auto"/>
        <w:ind w:firstLine="470" w:firstLineChars="224"/>
        <w:rPr>
          <w:rFonts w:hint="eastAsia" w:ascii="宋体" w:hAnsi="宋体" w:eastAsia="宋体" w:cs="宋体"/>
          <w:color w:val="auto"/>
          <w:szCs w:val="21"/>
          <w:highlight w:val="none"/>
          <w:lang w:bidi="ar"/>
        </w:rPr>
      </w:pPr>
      <w:r>
        <w:rPr>
          <w:rFonts w:hint="eastAsia" w:ascii="宋体" w:hAnsi="宋体" w:eastAsia="宋体" w:cs="宋体"/>
          <w:color w:val="auto"/>
          <w:sz w:val="21"/>
          <w:szCs w:val="21"/>
          <w:highlight w:val="none"/>
        </w:rPr>
        <w:t>42.4.3.3评标委员会按投标须知前附表第32项的规定确定排序</w:t>
      </w:r>
      <w:r>
        <w:rPr>
          <w:rFonts w:hint="eastAsia" w:ascii="宋体" w:hAnsi="宋体" w:eastAsia="宋体" w:cs="宋体"/>
          <w:color w:val="auto"/>
          <w:szCs w:val="21"/>
          <w:highlight w:val="none"/>
          <w:lang w:val="en-US" w:eastAsia="zh-CN" w:bidi="ar"/>
        </w:rPr>
        <w:t>。</w:t>
      </w:r>
    </w:p>
    <w:p w14:paraId="5541529F">
      <w:pPr>
        <w:pBdr>
          <w:top w:val="none" w:color="auto" w:sz="0" w:space="0"/>
          <w:left w:val="none" w:color="auto" w:sz="0" w:space="0"/>
          <w:bottom w:val="none" w:color="auto" w:sz="0" w:space="0"/>
          <w:right w:val="none" w:color="auto" w:sz="0" w:space="0"/>
        </w:pBdr>
        <w:spacing w:line="360" w:lineRule="auto"/>
        <w:ind w:firstLine="470" w:firstLineChars="224"/>
        <w:rPr>
          <w:rFonts w:ascii="宋体" w:hAnsi="宋体" w:eastAsia="宋体" w:cs="宋体"/>
          <w:color w:val="auto"/>
          <w:szCs w:val="21"/>
          <w:highlight w:val="none"/>
          <w:lang w:bidi="ar"/>
        </w:rPr>
      </w:pPr>
      <w:r>
        <w:rPr>
          <w:rFonts w:hint="eastAsia" w:ascii="宋体" w:hAnsi="宋体" w:eastAsia="宋体" w:cs="宋体"/>
          <w:b/>
          <w:color w:val="auto"/>
          <w:szCs w:val="21"/>
          <w:highlight w:val="none"/>
          <w:lang w:bidi="ar"/>
        </w:rPr>
        <w:t>现文：</w:t>
      </w:r>
      <w:r>
        <w:rPr>
          <w:rFonts w:ascii="宋体" w:hAnsi="宋体" w:eastAsia="宋体" w:cs="宋体"/>
          <w:color w:val="auto"/>
          <w:szCs w:val="21"/>
          <w:highlight w:val="none"/>
          <w:lang w:bidi="ar"/>
        </w:rPr>
        <w:t>42.4第二阶段评审</w:t>
      </w:r>
    </w:p>
    <w:p w14:paraId="69F51954">
      <w:pPr>
        <w:pBdr>
          <w:top w:val="none" w:color="auto" w:sz="0" w:space="0"/>
          <w:left w:val="none" w:color="auto" w:sz="0" w:space="0"/>
          <w:bottom w:val="none" w:color="auto" w:sz="0" w:space="0"/>
          <w:right w:val="none" w:color="auto" w:sz="0" w:space="0"/>
        </w:pBdr>
        <w:spacing w:line="360" w:lineRule="auto"/>
        <w:ind w:firstLine="470" w:firstLineChars="224"/>
        <w:rPr>
          <w:rFonts w:ascii="宋体" w:hAnsi="宋体" w:eastAsia="宋体" w:cs="宋体"/>
          <w:color w:val="auto"/>
          <w:szCs w:val="21"/>
          <w:highlight w:val="none"/>
          <w:lang w:bidi="ar"/>
        </w:rPr>
      </w:pPr>
      <w:r>
        <w:rPr>
          <w:rFonts w:ascii="宋体" w:hAnsi="宋体" w:eastAsia="宋体" w:cs="宋体"/>
          <w:color w:val="auto"/>
          <w:szCs w:val="21"/>
          <w:highlight w:val="none"/>
          <w:lang w:bidi="ar"/>
        </w:rPr>
        <w:t>42.4.1按照投标须知前附表第25项规定，确定进入第二阶段评审的投标人。若在进入第二阶段的最后名次发生并列的，则所有并列的投标人均进入第二阶段。</w:t>
      </w:r>
    </w:p>
    <w:p w14:paraId="35C7B485">
      <w:pPr>
        <w:pBdr>
          <w:top w:val="none" w:color="auto" w:sz="0" w:space="0"/>
          <w:left w:val="none" w:color="auto" w:sz="0" w:space="0"/>
          <w:bottom w:val="none" w:color="auto" w:sz="0" w:space="0"/>
          <w:right w:val="none" w:color="auto" w:sz="0" w:space="0"/>
        </w:pBdr>
        <w:spacing w:line="360" w:lineRule="auto"/>
        <w:ind w:firstLine="470" w:firstLineChars="224"/>
        <w:rPr>
          <w:rFonts w:ascii="宋体" w:hAnsi="宋体" w:eastAsia="宋体" w:cs="宋体"/>
          <w:color w:val="auto"/>
          <w:szCs w:val="21"/>
          <w:highlight w:val="none"/>
          <w:lang w:bidi="ar"/>
        </w:rPr>
      </w:pPr>
      <w:r>
        <w:rPr>
          <w:rFonts w:ascii="宋体" w:hAnsi="宋体" w:eastAsia="宋体" w:cs="宋体"/>
          <w:color w:val="auto"/>
          <w:szCs w:val="21"/>
          <w:highlight w:val="none"/>
          <w:lang w:bidi="ar"/>
        </w:rPr>
        <w:t>42.4.2</w:t>
      </w:r>
      <w:r>
        <w:rPr>
          <w:rFonts w:hint="eastAsia" w:ascii="宋体" w:hAnsi="宋体" w:eastAsia="宋体" w:cs="宋体"/>
          <w:color w:val="auto"/>
          <w:szCs w:val="21"/>
          <w:highlight w:val="none"/>
          <w:u w:val="single"/>
          <w:lang w:bidi="ar"/>
        </w:rPr>
        <w:t>技术标企业资信详细审查评分：评标委员会按照本办法附表四（</w:t>
      </w:r>
      <w:r>
        <w:rPr>
          <w:rFonts w:ascii="宋体" w:hAnsi="宋体" w:eastAsia="宋体" w:cs="宋体"/>
          <w:color w:val="auto"/>
          <w:szCs w:val="21"/>
          <w:highlight w:val="none"/>
          <w:u w:val="single"/>
          <w:lang w:bidi="ar"/>
        </w:rPr>
        <w:t>A）《第二阶段详细审查评分表（企业资信）》对通过技术标有效性审查的投标文件进行详细审查，评出技术标企业资信得分。投</w:t>
      </w:r>
      <w:r>
        <w:rPr>
          <w:rFonts w:hint="eastAsia" w:ascii="宋体" w:hAnsi="宋体" w:eastAsia="宋体" w:cs="宋体"/>
          <w:color w:val="auto"/>
          <w:szCs w:val="21"/>
          <w:highlight w:val="none"/>
          <w:u w:val="single"/>
          <w:lang w:bidi="ar"/>
        </w:rPr>
        <w:t>标人的技术标企业资信得分为各评委评分的算术平均值（若分数出现小数点时，保留小数点后二位，第三位小数四舍五入）</w:t>
      </w:r>
      <w:r>
        <w:rPr>
          <w:rFonts w:hint="eastAsia" w:ascii="宋体" w:hAnsi="宋体" w:eastAsia="宋体" w:cs="宋体"/>
          <w:color w:val="auto"/>
          <w:szCs w:val="21"/>
          <w:highlight w:val="none"/>
          <w:lang w:bidi="ar"/>
        </w:rPr>
        <w:t>。</w:t>
      </w:r>
    </w:p>
    <w:p w14:paraId="39552B65">
      <w:pPr>
        <w:pBdr>
          <w:top w:val="none" w:color="auto" w:sz="0" w:space="0"/>
          <w:left w:val="none" w:color="auto" w:sz="0" w:space="0"/>
          <w:bottom w:val="none" w:color="auto" w:sz="0" w:space="0"/>
          <w:right w:val="none" w:color="auto" w:sz="0" w:space="0"/>
        </w:pBdr>
        <w:spacing w:line="360" w:lineRule="auto"/>
        <w:ind w:firstLine="470" w:firstLineChars="224"/>
        <w:rPr>
          <w:rFonts w:ascii="宋体" w:hAnsi="宋体" w:eastAsia="宋体" w:cs="宋体"/>
          <w:color w:val="auto"/>
          <w:szCs w:val="21"/>
          <w:highlight w:val="none"/>
          <w:lang w:bidi="ar"/>
        </w:rPr>
      </w:pPr>
      <w:r>
        <w:rPr>
          <w:rFonts w:ascii="宋体" w:hAnsi="宋体" w:eastAsia="宋体" w:cs="宋体"/>
          <w:color w:val="auto"/>
          <w:szCs w:val="21"/>
          <w:highlight w:val="none"/>
          <w:lang w:bidi="ar"/>
        </w:rPr>
        <w:t>42.4.3投标文件经济标的评分</w:t>
      </w:r>
    </w:p>
    <w:p w14:paraId="183F2FB2">
      <w:pPr>
        <w:pBdr>
          <w:top w:val="none" w:color="auto" w:sz="0" w:space="0"/>
          <w:left w:val="none" w:color="auto" w:sz="0" w:space="0"/>
          <w:bottom w:val="none" w:color="auto" w:sz="0" w:space="0"/>
          <w:right w:val="none" w:color="auto" w:sz="0" w:space="0"/>
        </w:pBdr>
        <w:spacing w:line="360" w:lineRule="auto"/>
        <w:ind w:firstLine="470" w:firstLineChars="224"/>
        <w:rPr>
          <w:rFonts w:ascii="宋体" w:hAnsi="宋体" w:eastAsia="宋体" w:cs="宋体"/>
          <w:color w:val="auto"/>
          <w:szCs w:val="21"/>
          <w:highlight w:val="none"/>
          <w:lang w:bidi="ar"/>
        </w:rPr>
      </w:pPr>
      <w:r>
        <w:rPr>
          <w:rFonts w:ascii="宋体" w:hAnsi="宋体" w:eastAsia="宋体" w:cs="宋体"/>
          <w:color w:val="auto"/>
          <w:szCs w:val="21"/>
          <w:highlight w:val="none"/>
          <w:lang w:bidi="ar"/>
        </w:rPr>
        <w:t>42.4.3.1</w:t>
      </w:r>
      <w:r>
        <w:rPr>
          <w:rFonts w:hint="eastAsia" w:ascii="宋体" w:hAnsi="宋体" w:eastAsia="宋体" w:cs="宋体"/>
          <w:color w:val="auto"/>
          <w:szCs w:val="21"/>
          <w:highlight w:val="none"/>
          <w:u w:val="single"/>
          <w:lang w:bidi="ar"/>
        </w:rPr>
        <w:t>若通过技术标有效性审查的投标人中所有投标报价均大于等于最高投标限价，则本项目招标失败，由招标人依法重新招标</w:t>
      </w:r>
      <w:r>
        <w:rPr>
          <w:rFonts w:hint="eastAsia" w:ascii="宋体" w:hAnsi="宋体" w:eastAsia="宋体" w:cs="宋体"/>
          <w:color w:val="auto"/>
          <w:szCs w:val="21"/>
          <w:highlight w:val="none"/>
          <w:lang w:bidi="ar"/>
        </w:rPr>
        <w:t>。</w:t>
      </w:r>
    </w:p>
    <w:p w14:paraId="241D6606">
      <w:pPr>
        <w:spacing w:line="360" w:lineRule="auto"/>
        <w:ind w:firstLine="468" w:firstLineChars="223"/>
        <w:rPr>
          <w:bCs/>
          <w:color w:val="auto"/>
          <w:szCs w:val="21"/>
          <w:highlight w:val="none"/>
        </w:rPr>
      </w:pPr>
      <w:r>
        <w:rPr>
          <w:rFonts w:ascii="宋体" w:hAnsi="宋体" w:cs="宋体"/>
          <w:b/>
          <w:color w:val="auto"/>
          <w:szCs w:val="21"/>
          <w:highlight w:val="none"/>
        </w:rPr>
        <w:t>42.4.</w:t>
      </w:r>
      <w:r>
        <w:rPr>
          <w:rFonts w:hint="eastAsia" w:ascii="宋体" w:hAnsi="宋体" w:cs="宋体"/>
          <w:b/>
          <w:color w:val="auto"/>
          <w:szCs w:val="21"/>
          <w:highlight w:val="none"/>
          <w:lang w:val="en-US" w:eastAsia="zh-CN"/>
        </w:rPr>
        <w:t>3</w:t>
      </w:r>
      <w:r>
        <w:rPr>
          <w:rFonts w:ascii="宋体" w:hAnsi="宋体" w:cs="宋体"/>
          <w:b/>
          <w:color w:val="auto"/>
          <w:szCs w:val="21"/>
          <w:highlight w:val="none"/>
        </w:rPr>
        <w:t>.</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评标参考价计算方法：</w:t>
      </w:r>
    </w:p>
    <w:p w14:paraId="30F1E6C1">
      <w:pPr>
        <w:spacing w:line="360" w:lineRule="auto"/>
        <w:ind w:firstLine="470" w:firstLineChars="224"/>
        <w:rPr>
          <w:rFonts w:ascii="宋体" w:hAnsi="宋体" w:cs="宋体"/>
          <w:color w:val="auto"/>
          <w:szCs w:val="21"/>
          <w:highlight w:val="none"/>
          <w:u w:val="single"/>
        </w:rPr>
      </w:pPr>
      <w:r>
        <w:rPr>
          <w:rFonts w:hint="eastAsia" w:ascii="宋体" w:hAnsi="宋体" w:cs="宋体"/>
          <w:color w:val="auto"/>
          <w:szCs w:val="21"/>
          <w:highlight w:val="none"/>
          <w:u w:val="single"/>
        </w:rPr>
        <w:t>区间抽取法</w:t>
      </w:r>
      <w:r>
        <w:rPr>
          <w:rFonts w:hint="eastAsia" w:ascii="宋体" w:hAnsi="宋体"/>
          <w:b/>
          <w:color w:val="auto"/>
          <w:highlight w:val="none"/>
        </w:rPr>
        <w:t>：</w:t>
      </w:r>
    </w:p>
    <w:p w14:paraId="1065DD3A">
      <w:pPr>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u w:val="single"/>
        </w:rPr>
        <w:t>设立入围合格分数线</w:t>
      </w:r>
      <w:r>
        <w:rPr>
          <w:rFonts w:hint="eastAsia" w:ascii="宋体" w:hAnsi="宋体" w:cs="宋体"/>
          <w:b/>
          <w:bCs/>
          <w:color w:val="auto"/>
          <w:szCs w:val="21"/>
          <w:highlight w:val="none"/>
          <w:u w:val="single"/>
        </w:rPr>
        <w:t>（第一阶段得分</w:t>
      </w:r>
      <w:r>
        <w:rPr>
          <w:rFonts w:ascii="宋体" w:hAnsi="宋体" w:cs="宋体"/>
          <w:b/>
          <w:bCs/>
          <w:color w:val="auto"/>
          <w:szCs w:val="21"/>
          <w:highlight w:val="none"/>
          <w:u w:val="single"/>
        </w:rPr>
        <w:t>8</w:t>
      </w:r>
      <w:r>
        <w:rPr>
          <w:rFonts w:hint="eastAsia" w:ascii="宋体" w:hAnsi="宋体" w:cs="宋体"/>
          <w:b/>
          <w:bCs/>
          <w:color w:val="auto"/>
          <w:szCs w:val="21"/>
          <w:highlight w:val="none"/>
          <w:u w:val="single"/>
          <w:lang w:val="en-US" w:eastAsia="zh-CN"/>
        </w:rPr>
        <w:t>5</w:t>
      </w:r>
      <w:r>
        <w:rPr>
          <w:rFonts w:hint="eastAsia" w:ascii="宋体" w:hAnsi="宋体" w:cs="宋体"/>
          <w:b/>
          <w:bCs/>
          <w:color w:val="auto"/>
          <w:szCs w:val="21"/>
          <w:highlight w:val="none"/>
          <w:u w:val="single"/>
        </w:rPr>
        <w:t>分）</w:t>
      </w:r>
      <w:r>
        <w:rPr>
          <w:rFonts w:hint="eastAsia" w:ascii="宋体" w:hAnsi="宋体" w:cs="宋体"/>
          <w:color w:val="auto"/>
          <w:szCs w:val="21"/>
          <w:highlight w:val="none"/>
        </w:rPr>
        <w:t>，达到或超过及格线的投标人的报价方能参与评标参考价的计算。将达到或超过及格分数线的投标报价由低至高进行排列，按以下公式计算评标参考价，计算公式如下：</w:t>
      </w:r>
    </w:p>
    <w:p w14:paraId="5E58CF61">
      <w:pPr>
        <w:widowControl/>
        <w:spacing w:line="360" w:lineRule="auto"/>
        <w:ind w:firstLine="470" w:firstLineChars="224"/>
        <w:jc w:val="left"/>
        <w:rPr>
          <w:rFonts w:ascii="宋体" w:hAnsi="宋体" w:cs="宋体"/>
          <w:color w:val="auto"/>
          <w:szCs w:val="21"/>
          <w:highlight w:val="none"/>
        </w:rPr>
      </w:pPr>
      <w:r>
        <w:rPr>
          <w:rFonts w:hint="eastAsia" w:ascii="宋体" w:hAnsi="宋体" w:cs="宋体"/>
          <w:color w:val="auto"/>
          <w:szCs w:val="21"/>
          <w:highlight w:val="none"/>
        </w:rPr>
        <w:t>评标参考价=（Q高-Q低）/100*Ｘ+Q低</w:t>
      </w:r>
    </w:p>
    <w:p w14:paraId="1E261D37">
      <w:pPr>
        <w:widowControl/>
        <w:pBdr>
          <w:top w:val="none" w:color="auto" w:sz="0" w:space="0"/>
          <w:left w:val="none" w:color="auto" w:sz="0" w:space="0"/>
          <w:bottom w:val="none" w:color="auto" w:sz="0" w:space="0"/>
          <w:right w:val="none" w:color="auto" w:sz="0" w:space="0"/>
        </w:pBdr>
        <w:spacing w:line="360" w:lineRule="auto"/>
        <w:ind w:firstLine="470" w:firstLineChars="224"/>
        <w:jc w:val="left"/>
        <w:rPr>
          <w:rFonts w:ascii="宋体" w:hAnsi="宋体" w:cs="宋体"/>
          <w:b/>
          <w:bCs/>
          <w:color w:val="auto"/>
          <w:szCs w:val="21"/>
          <w:highlight w:val="none"/>
        </w:rPr>
      </w:pPr>
      <w:r>
        <w:rPr>
          <w:rFonts w:hint="eastAsia" w:ascii="宋体" w:hAnsi="宋体" w:cs="宋体"/>
          <w:color w:val="auto"/>
          <w:szCs w:val="21"/>
          <w:highlight w:val="none"/>
        </w:rPr>
        <w:t>Q低：为达到或超过及格分数线的进入第二阶段的投标人最低报价与工程成本警示价两者中的较高值；</w:t>
      </w:r>
      <w:r>
        <w:rPr>
          <w:rFonts w:hint="eastAsia" w:ascii="宋体" w:hAnsi="宋体" w:cs="宋体"/>
          <w:b/>
          <w:bCs/>
          <w:color w:val="auto"/>
          <w:szCs w:val="21"/>
          <w:highlight w:val="none"/>
          <w:u w:val="single"/>
        </w:rPr>
        <w:t>如投标人均没有达到入围合格分数线的，则Q低为工程成本警示价</w:t>
      </w:r>
      <w:r>
        <w:rPr>
          <w:rFonts w:hint="eastAsia" w:ascii="宋体" w:hAnsi="宋体" w:cs="宋体"/>
          <w:b/>
          <w:bCs/>
          <w:color w:val="auto"/>
          <w:szCs w:val="21"/>
          <w:highlight w:val="none"/>
        </w:rPr>
        <w:t>。</w:t>
      </w:r>
    </w:p>
    <w:p w14:paraId="29E23A2B">
      <w:pPr>
        <w:widowControl/>
        <w:pBdr>
          <w:top w:val="none" w:color="auto" w:sz="0" w:space="0"/>
          <w:left w:val="none" w:color="auto" w:sz="0" w:space="0"/>
          <w:bottom w:val="none" w:color="auto" w:sz="0" w:space="0"/>
          <w:right w:val="none" w:color="auto" w:sz="0" w:space="0"/>
        </w:pBdr>
        <w:spacing w:line="360" w:lineRule="auto"/>
        <w:ind w:firstLine="470" w:firstLineChars="224"/>
        <w:jc w:val="left"/>
        <w:rPr>
          <w:rFonts w:ascii="宋体" w:hAnsi="宋体" w:cs="宋体"/>
          <w:color w:val="auto"/>
          <w:szCs w:val="21"/>
          <w:highlight w:val="none"/>
        </w:rPr>
      </w:pPr>
      <w:r>
        <w:rPr>
          <w:rFonts w:hint="eastAsia" w:ascii="宋体" w:hAnsi="宋体" w:cs="宋体"/>
          <w:color w:val="auto"/>
          <w:szCs w:val="21"/>
          <w:highlight w:val="none"/>
        </w:rPr>
        <w:t>Q高：最高投标限价</w:t>
      </w:r>
    </w:p>
    <w:p w14:paraId="2C6321E9">
      <w:pPr>
        <w:widowControl/>
        <w:pBdr>
          <w:top w:val="none" w:color="auto" w:sz="0" w:space="0"/>
          <w:left w:val="none" w:color="auto" w:sz="0" w:space="0"/>
          <w:bottom w:val="none" w:color="auto" w:sz="0" w:space="0"/>
          <w:right w:val="none" w:color="auto" w:sz="0" w:space="0"/>
        </w:pBdr>
        <w:spacing w:line="360" w:lineRule="auto"/>
        <w:ind w:firstLine="470" w:firstLineChars="224"/>
        <w:jc w:val="left"/>
        <w:rPr>
          <w:rFonts w:ascii="宋体" w:hAnsi="宋体" w:cs="宋体"/>
          <w:color w:val="auto"/>
          <w:szCs w:val="21"/>
          <w:highlight w:val="none"/>
        </w:rPr>
      </w:pPr>
      <w:r>
        <w:rPr>
          <w:rFonts w:hint="eastAsia" w:ascii="宋体" w:hAnsi="宋体" w:cs="宋体"/>
          <w:color w:val="auto"/>
          <w:szCs w:val="21"/>
          <w:highlight w:val="none"/>
        </w:rPr>
        <w:t>X：为等分点值，在开标前从[0,100]整数中随机抽取</w:t>
      </w:r>
    </w:p>
    <w:p w14:paraId="37FF6C80">
      <w:pPr>
        <w:widowControl/>
        <w:pBdr>
          <w:top w:val="none" w:color="auto" w:sz="0" w:space="0"/>
          <w:left w:val="none" w:color="auto" w:sz="0" w:space="0"/>
          <w:bottom w:val="none" w:color="auto" w:sz="0" w:space="0"/>
          <w:right w:val="none" w:color="auto" w:sz="0" w:space="0"/>
        </w:pBdr>
        <w:spacing w:line="360" w:lineRule="auto"/>
        <w:ind w:firstLine="470" w:firstLineChars="224"/>
        <w:jc w:val="left"/>
        <w:rPr>
          <w:rFonts w:ascii="宋体" w:hAnsi="宋体" w:cs="宋体"/>
          <w:color w:val="auto"/>
          <w:szCs w:val="21"/>
          <w:highlight w:val="none"/>
        </w:rPr>
      </w:pPr>
      <w:r>
        <w:rPr>
          <w:rFonts w:hint="eastAsia" w:ascii="宋体" w:hAnsi="宋体" w:cs="宋体"/>
          <w:color w:val="auto"/>
          <w:szCs w:val="21"/>
          <w:highlight w:val="none"/>
        </w:rPr>
        <w:t>42.4.</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当标价等于评标参考价时得100分，标价每高于评标参考价1%，</w:t>
      </w:r>
      <w:r>
        <w:rPr>
          <w:rFonts w:hint="eastAsia" w:ascii="宋体" w:hAnsi="宋体" w:cs="宋体"/>
          <w:b/>
          <w:bCs/>
          <w:color w:val="auto"/>
          <w:szCs w:val="21"/>
          <w:highlight w:val="none"/>
        </w:rPr>
        <w:t>扣1.5分</w:t>
      </w:r>
      <w:r>
        <w:rPr>
          <w:rFonts w:hint="eastAsia" w:ascii="宋体" w:hAnsi="宋体" w:cs="宋体"/>
          <w:color w:val="auto"/>
          <w:szCs w:val="21"/>
          <w:highlight w:val="none"/>
        </w:rPr>
        <w:t>，每低于评标参考价1%，</w:t>
      </w:r>
      <w:r>
        <w:rPr>
          <w:rFonts w:hint="eastAsia" w:ascii="宋体" w:hAnsi="宋体" w:cs="宋体"/>
          <w:b/>
          <w:bCs/>
          <w:color w:val="auto"/>
          <w:szCs w:val="21"/>
          <w:highlight w:val="none"/>
        </w:rPr>
        <w:t>扣1分</w:t>
      </w:r>
      <w:r>
        <w:rPr>
          <w:rFonts w:hint="eastAsia" w:ascii="宋体" w:hAnsi="宋体" w:cs="宋体"/>
          <w:color w:val="auto"/>
          <w:szCs w:val="21"/>
          <w:highlight w:val="none"/>
        </w:rPr>
        <w:t>，扣至0分为止，得出经济分，精确到小数点后两位。</w:t>
      </w:r>
    </w:p>
    <w:p w14:paraId="4B9C848E">
      <w:pPr>
        <w:pBdr>
          <w:bottom w:val="single" w:color="auto" w:sz="6" w:space="1"/>
        </w:pBdr>
        <w:spacing w:line="360" w:lineRule="auto"/>
        <w:ind w:firstLine="470" w:firstLineChars="224"/>
        <w:rPr>
          <w:rFonts w:ascii="宋体" w:hAnsi="Calibri" w:eastAsia="宋体" w:cs="宋体"/>
          <w:color w:val="auto"/>
          <w:szCs w:val="21"/>
          <w:highlight w:val="none"/>
        </w:rPr>
      </w:pPr>
      <w:r>
        <w:rPr>
          <w:rFonts w:hint="eastAsia" w:ascii="宋体" w:hAnsi="宋体" w:cs="宋体"/>
          <w:color w:val="auto"/>
          <w:szCs w:val="21"/>
          <w:highlight w:val="none"/>
          <w:shd w:val="clear" w:color="auto" w:fill="FFFFFF"/>
        </w:rPr>
        <w:t>42.4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shd w:val="clear" w:color="auto" w:fill="FFFFFF"/>
        </w:rPr>
        <w:t>评标委员会按投标须知前附表第32项的规定确定排序。</w:t>
      </w:r>
    </w:p>
    <w:p w14:paraId="6BEB089B">
      <w:pPr>
        <w:spacing w:line="360" w:lineRule="auto"/>
        <w:ind w:firstLine="470" w:firstLineChars="224"/>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条款号：</w:t>
      </w:r>
      <w:r>
        <w:rPr>
          <w:rFonts w:ascii="宋体" w:hAnsi="宋体" w:eastAsia="宋体" w:cs="宋体"/>
          <w:b/>
          <w:color w:val="auto"/>
          <w:szCs w:val="21"/>
          <w:highlight w:val="none"/>
          <w:lang w:bidi="ar"/>
        </w:rPr>
        <w:t xml:space="preserve">42.4.5.8                </w:t>
      </w:r>
      <w:r>
        <w:rPr>
          <w:rFonts w:hint="eastAsia" w:ascii="宋体" w:hAnsi="宋体" w:eastAsia="宋体" w:cs="宋体"/>
          <w:b/>
          <w:color w:val="auto"/>
          <w:szCs w:val="21"/>
          <w:highlight w:val="none"/>
          <w:lang w:bidi="ar"/>
        </w:rPr>
        <w:t>修改类型：修改</w:t>
      </w:r>
    </w:p>
    <w:p w14:paraId="0E2D203D">
      <w:pPr>
        <w:spacing w:line="360" w:lineRule="auto"/>
        <w:ind w:firstLine="470" w:firstLineChars="224"/>
        <w:rPr>
          <w:rFonts w:ascii="宋体" w:hAnsi="宋体" w:eastAsia="宋体" w:cs="宋体"/>
          <w:color w:val="auto"/>
          <w:szCs w:val="21"/>
          <w:highlight w:val="none"/>
        </w:rPr>
      </w:pPr>
      <w:r>
        <w:rPr>
          <w:rFonts w:hint="eastAsia" w:ascii="宋体" w:hAnsi="宋体" w:eastAsia="宋体" w:cs="宋体"/>
          <w:b/>
          <w:color w:val="auto"/>
          <w:kern w:val="0"/>
          <w:szCs w:val="21"/>
          <w:highlight w:val="none"/>
          <w:lang w:bidi="ar"/>
        </w:rPr>
        <w:t>原文：</w:t>
      </w:r>
      <w:r>
        <w:rPr>
          <w:rFonts w:ascii="宋体" w:hAnsi="宋体" w:eastAsia="宋体" w:cs="宋体"/>
          <w:color w:val="auto"/>
          <w:kern w:val="0"/>
          <w:szCs w:val="21"/>
          <w:highlight w:val="none"/>
          <w:lang w:bidi="ar"/>
        </w:rPr>
        <w:t>42.4.5.8</w:t>
      </w:r>
      <w:r>
        <w:rPr>
          <w:rFonts w:hint="eastAsia" w:ascii="宋体" w:hAnsi="宋体" w:eastAsia="宋体" w:cs="宋体"/>
          <w:color w:val="auto"/>
          <w:szCs w:val="21"/>
          <w:highlight w:val="none"/>
          <w:lang w:bidi="ar"/>
        </w:rPr>
        <w:t>按上述修正错误的原则及方法调整或修正投标文件的投标报价，调整后的投标报价对投标人起约束作用。如果投标人不接受修正后的报价，则取消其投标资格，并且其投标保证金也将不予退还。</w:t>
      </w:r>
    </w:p>
    <w:p w14:paraId="44FAD162">
      <w:pPr>
        <w:pBdr>
          <w:bottom w:val="single" w:color="auto" w:sz="6" w:space="1"/>
        </w:pBdr>
        <w:spacing w:line="360" w:lineRule="auto"/>
        <w:ind w:firstLine="470" w:firstLineChars="224"/>
        <w:rPr>
          <w:rFonts w:ascii="宋体" w:hAnsi="宋体" w:eastAsia="宋体" w:cs="宋体"/>
          <w:color w:val="auto"/>
          <w:szCs w:val="21"/>
          <w:highlight w:val="none"/>
        </w:rPr>
      </w:pPr>
      <w:r>
        <w:rPr>
          <w:rFonts w:hint="eastAsia" w:ascii="宋体" w:hAnsi="宋体" w:eastAsia="宋体" w:cs="宋体"/>
          <w:b/>
          <w:color w:val="auto"/>
          <w:szCs w:val="21"/>
          <w:highlight w:val="none"/>
          <w:lang w:bidi="ar"/>
        </w:rPr>
        <w:t>现文：</w:t>
      </w:r>
      <w:r>
        <w:rPr>
          <w:rFonts w:ascii="宋体" w:hAnsi="宋体" w:eastAsia="宋体" w:cs="宋体"/>
          <w:color w:val="auto"/>
          <w:kern w:val="0"/>
          <w:szCs w:val="21"/>
          <w:highlight w:val="none"/>
          <w:lang w:bidi="ar"/>
        </w:rPr>
        <w:t>42.4.5.8</w:t>
      </w:r>
      <w:r>
        <w:rPr>
          <w:rFonts w:hint="eastAsia" w:ascii="宋体" w:hAnsi="宋体" w:eastAsia="宋体" w:cs="宋体"/>
          <w:color w:val="auto"/>
          <w:szCs w:val="21"/>
          <w:highlight w:val="none"/>
          <w:lang w:bidi="ar"/>
        </w:rPr>
        <w:t>按上述修正错误的原则及方法调整或修正投标文件的投标报价，调整后的投标报价对投标人起约束作用。如果投标人不接受修正后的报价，则取消其投标资格。</w:t>
      </w:r>
    </w:p>
    <w:p w14:paraId="57A1F41D">
      <w:pPr>
        <w:spacing w:line="480" w:lineRule="auto"/>
        <w:ind w:firstLine="470" w:firstLineChars="224"/>
        <w:rPr>
          <w:rFonts w:ascii="Times New Roman" w:hAnsi="Times New Roman" w:eastAsia="宋体" w:cs="Times New Roman"/>
          <w:b/>
          <w:color w:val="auto"/>
          <w:szCs w:val="21"/>
          <w:highlight w:val="none"/>
        </w:rPr>
      </w:pPr>
      <w:r>
        <w:rPr>
          <w:rFonts w:hint="eastAsia" w:ascii="宋体" w:hAnsi="宋体" w:eastAsia="宋体" w:cs="宋体"/>
          <w:b/>
          <w:color w:val="auto"/>
          <w:szCs w:val="21"/>
          <w:highlight w:val="none"/>
          <w:lang w:bidi="ar"/>
        </w:rPr>
        <w:t>条款号：</w:t>
      </w:r>
      <w:r>
        <w:rPr>
          <w:rFonts w:ascii="宋体" w:hAnsi="宋体" w:eastAsia="宋体" w:cs="宋体"/>
          <w:b/>
          <w:color w:val="auto"/>
          <w:szCs w:val="21"/>
          <w:highlight w:val="none"/>
          <w:lang w:bidi="ar"/>
        </w:rPr>
        <w:t xml:space="preserve"> 42.7  </w:t>
      </w:r>
      <w:r>
        <w:rPr>
          <w:rFonts w:ascii="Times New Roman" w:hAnsi="Times New Roman" w:eastAsia="宋体" w:cs="Times New Roman"/>
          <w:b/>
          <w:color w:val="auto"/>
          <w:szCs w:val="21"/>
          <w:highlight w:val="none"/>
          <w:lang w:bidi="ar"/>
        </w:rPr>
        <w:t xml:space="preserve">           </w:t>
      </w:r>
      <w:r>
        <w:rPr>
          <w:rFonts w:hint="eastAsia" w:ascii="宋体" w:hAnsi="宋体" w:eastAsia="宋体" w:cs="宋体"/>
          <w:b/>
          <w:color w:val="auto"/>
          <w:szCs w:val="21"/>
          <w:highlight w:val="none"/>
          <w:lang w:bidi="ar"/>
        </w:rPr>
        <w:t>修改类型：修改</w:t>
      </w:r>
    </w:p>
    <w:p w14:paraId="6C6D1918">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b/>
          <w:color w:val="auto"/>
          <w:szCs w:val="21"/>
          <w:highlight w:val="none"/>
          <w:lang w:bidi="ar"/>
        </w:rPr>
        <w:t>原文：</w:t>
      </w:r>
      <w:r>
        <w:rPr>
          <w:rFonts w:ascii="宋体" w:hAnsi="宋体" w:eastAsia="宋体" w:cs="Times New Roman"/>
          <w:color w:val="auto"/>
          <w:szCs w:val="21"/>
          <w:highlight w:val="none"/>
          <w:lang w:bidi="ar"/>
        </w:rPr>
        <w:t>4</w:t>
      </w:r>
      <w:r>
        <w:rPr>
          <w:rFonts w:ascii="宋体" w:hAnsi="宋体" w:eastAsia="宋体" w:cs="宋体"/>
          <w:color w:val="auto"/>
          <w:szCs w:val="21"/>
          <w:highlight w:val="none"/>
          <w:lang w:bidi="ar"/>
        </w:rPr>
        <w:t>2.7</w:t>
      </w:r>
      <w:r>
        <w:rPr>
          <w:rFonts w:hint="eastAsia" w:ascii="宋体" w:hAnsi="宋体" w:eastAsia="宋体" w:cs="宋体"/>
          <w:color w:val="auto"/>
          <w:szCs w:val="21"/>
          <w:highlight w:val="none"/>
          <w:lang w:bidi="ar"/>
        </w:rPr>
        <w:t>若通过经济标有效性审查的投标人不足三家，应当依法重新招标。（当</w:t>
      </w:r>
      <w:r>
        <w:rPr>
          <w:rFonts w:ascii="宋体" w:hAnsi="宋体" w:eastAsia="宋体" w:cs="宋体"/>
          <w:color w:val="auto"/>
          <w:szCs w:val="21"/>
          <w:highlight w:val="none"/>
          <w:lang w:bidi="ar"/>
        </w:rPr>
        <w:t>N</w:t>
      </w:r>
      <w:r>
        <w:rPr>
          <w:rFonts w:hint="eastAsia" w:ascii="宋体" w:hAnsi="宋体" w:eastAsia="宋体" w:cs="宋体"/>
          <w:color w:val="auto"/>
          <w:szCs w:val="21"/>
          <w:highlight w:val="none"/>
          <w:lang w:bidi="ar"/>
        </w:rPr>
        <w:t>个标段同时招标且不允许兼中时，若有效投标人不足</w:t>
      </w:r>
      <w:r>
        <w:rPr>
          <w:rFonts w:ascii="宋体" w:hAnsi="宋体" w:eastAsia="宋体" w:cs="宋体"/>
          <w:color w:val="auto"/>
          <w:szCs w:val="21"/>
          <w:highlight w:val="none"/>
          <w:lang w:bidi="ar"/>
        </w:rPr>
        <w:t>N+2</w:t>
      </w:r>
      <w:r>
        <w:rPr>
          <w:rFonts w:hint="eastAsia" w:ascii="宋体" w:hAnsi="宋体" w:eastAsia="宋体" w:cs="宋体"/>
          <w:color w:val="auto"/>
          <w:szCs w:val="21"/>
          <w:highlight w:val="none"/>
          <w:lang w:bidi="ar"/>
        </w:rPr>
        <w:t>家，应当依法重新招标）</w:t>
      </w:r>
    </w:p>
    <w:p w14:paraId="2FA68521">
      <w:pPr>
        <w:pBdr>
          <w:bottom w:val="single" w:color="auto" w:sz="12" w:space="1"/>
        </w:pBd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b/>
          <w:color w:val="auto"/>
          <w:szCs w:val="21"/>
          <w:highlight w:val="none"/>
          <w:lang w:bidi="ar"/>
        </w:rPr>
        <w:t>现文：</w:t>
      </w:r>
      <w:r>
        <w:rPr>
          <w:rFonts w:ascii="宋体" w:hAnsi="宋体" w:eastAsia="宋体" w:cs="Times New Roman"/>
          <w:color w:val="auto"/>
          <w:szCs w:val="21"/>
          <w:highlight w:val="none"/>
          <w:lang w:bidi="ar"/>
        </w:rPr>
        <w:t>4</w:t>
      </w:r>
      <w:r>
        <w:rPr>
          <w:rFonts w:ascii="宋体" w:hAnsi="宋体" w:eastAsia="宋体" w:cs="宋体"/>
          <w:color w:val="auto"/>
          <w:szCs w:val="21"/>
          <w:highlight w:val="none"/>
          <w:lang w:bidi="ar"/>
        </w:rPr>
        <w:t>2.7</w:t>
      </w:r>
      <w:r>
        <w:rPr>
          <w:rFonts w:hint="eastAsia" w:ascii="宋体" w:hAnsi="宋体" w:eastAsia="宋体" w:cs="宋体"/>
          <w:color w:val="auto"/>
          <w:szCs w:val="21"/>
          <w:highlight w:val="none"/>
          <w:lang w:bidi="ar"/>
        </w:rPr>
        <w:t>若通过经济标有效性审查的投标人不足三家，应当依法重新招标。</w:t>
      </w:r>
    </w:p>
    <w:p w14:paraId="06BB557B">
      <w:pPr>
        <w:spacing w:line="360" w:lineRule="auto"/>
        <w:ind w:firstLine="420" w:firstLineChars="200"/>
        <w:rPr>
          <w:rFonts w:hint="eastAsia" w:ascii="宋体" w:hAnsi="宋体"/>
          <w:b/>
          <w:color w:val="auto"/>
          <w:szCs w:val="21"/>
          <w:highlight w:val="none"/>
        </w:rPr>
      </w:pPr>
      <w:r>
        <w:rPr>
          <w:rFonts w:hint="eastAsia" w:ascii="宋体" w:hAnsi="宋体"/>
          <w:b/>
          <w:color w:val="auto"/>
          <w:szCs w:val="21"/>
          <w:highlight w:val="none"/>
        </w:rPr>
        <w:t>条款号：附表一</w:t>
      </w:r>
      <w:r>
        <w:rPr>
          <w:rFonts w:ascii="宋体" w:hAnsi="宋体"/>
          <w:b/>
          <w:color w:val="auto"/>
          <w:szCs w:val="21"/>
          <w:highlight w:val="none"/>
        </w:rPr>
        <w:t xml:space="preserve"> </w:t>
      </w:r>
      <w:r>
        <w:rPr>
          <w:rFonts w:hint="eastAsia" w:ascii="宋体" w:hAnsi="宋体"/>
          <w:b/>
          <w:color w:val="auto"/>
          <w:szCs w:val="21"/>
          <w:highlight w:val="none"/>
        </w:rPr>
        <w:t>《资格审查表》</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21C32B13">
      <w:pPr>
        <w:pBdr>
          <w:bottom w:val="single" w:color="auto" w:sz="6" w:space="1"/>
        </w:pBdr>
        <w:spacing w:line="360" w:lineRule="auto"/>
        <w:ind w:firstLine="420" w:firstLineChars="200"/>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b w:val="0"/>
          <w:bCs/>
          <w:color w:val="auto"/>
          <w:szCs w:val="21"/>
          <w:highlight w:val="none"/>
          <w:lang w:val="en-US" w:eastAsia="zh-CN"/>
        </w:rPr>
        <w:t>见范本</w:t>
      </w:r>
    </w:p>
    <w:p w14:paraId="52C81F8D">
      <w:pPr>
        <w:pBdr>
          <w:bottom w:val="single" w:color="auto" w:sz="6" w:space="1"/>
        </w:pBdr>
        <w:spacing w:line="360" w:lineRule="auto"/>
        <w:ind w:firstLine="420" w:firstLineChars="200"/>
        <w:rPr>
          <w:rFonts w:hint="eastAsia" w:ascii="宋体" w:hAnsi="宋体" w:eastAsia="宋体"/>
          <w:color w:val="auto"/>
          <w:szCs w:val="21"/>
          <w:highlight w:val="none"/>
          <w:lang w:eastAsia="zh-CN"/>
        </w:rPr>
      </w:pPr>
      <w:r>
        <w:rPr>
          <w:rFonts w:hint="eastAsia" w:ascii="宋体" w:hAnsi="宋体"/>
          <w:b/>
          <w:color w:val="auto"/>
          <w:szCs w:val="21"/>
          <w:highlight w:val="none"/>
        </w:rPr>
        <w:t>现文：</w:t>
      </w:r>
      <w:r>
        <w:rPr>
          <w:rFonts w:hint="eastAsia" w:ascii="宋体" w:hAnsi="宋体"/>
          <w:b w:val="0"/>
          <w:bCs/>
          <w:color w:val="auto"/>
          <w:szCs w:val="21"/>
          <w:highlight w:val="none"/>
          <w:lang w:val="en-US" w:eastAsia="zh-CN"/>
        </w:rPr>
        <w:t>见后附（现文：附表一</w:t>
      </w:r>
      <w:r>
        <w:rPr>
          <w:rFonts w:hint="eastAsia" w:ascii="宋体" w:hAnsi="宋体"/>
          <w:b w:val="0"/>
          <w:bCs/>
          <w:color w:val="auto"/>
          <w:szCs w:val="21"/>
          <w:highlight w:val="none"/>
        </w:rPr>
        <w:t>《资格审查表》</w:t>
      </w:r>
      <w:r>
        <w:rPr>
          <w:rFonts w:hint="eastAsia" w:ascii="宋体" w:hAnsi="宋体"/>
          <w:b w:val="0"/>
          <w:bCs/>
          <w:color w:val="auto"/>
          <w:szCs w:val="21"/>
          <w:highlight w:val="none"/>
          <w:lang w:eastAsia="zh-CN"/>
        </w:rPr>
        <w:t>）</w:t>
      </w:r>
    </w:p>
    <w:p w14:paraId="2BB70654">
      <w:pPr>
        <w:spacing w:line="360" w:lineRule="auto"/>
        <w:ind w:firstLine="420" w:firstLineChars="200"/>
        <w:rPr>
          <w:rFonts w:hint="eastAsia" w:ascii="宋体" w:hAnsi="宋体"/>
          <w:b/>
          <w:color w:val="auto"/>
          <w:szCs w:val="21"/>
          <w:highlight w:val="none"/>
        </w:rPr>
      </w:pPr>
      <w:r>
        <w:rPr>
          <w:rFonts w:hint="eastAsia" w:ascii="宋体" w:hAnsi="宋体"/>
          <w:b/>
          <w:color w:val="auto"/>
          <w:szCs w:val="21"/>
          <w:highlight w:val="none"/>
        </w:rPr>
        <w:t>条款号：附表二</w:t>
      </w:r>
      <w:r>
        <w:rPr>
          <w:rFonts w:ascii="宋体" w:hAnsi="宋体"/>
          <w:b/>
          <w:color w:val="auto"/>
          <w:szCs w:val="21"/>
          <w:highlight w:val="none"/>
        </w:rPr>
        <w:t xml:space="preserve"> </w:t>
      </w:r>
      <w:r>
        <w:rPr>
          <w:rFonts w:hint="eastAsia" w:ascii="宋体" w:hAnsi="宋体"/>
          <w:b/>
          <w:color w:val="auto"/>
          <w:szCs w:val="21"/>
          <w:highlight w:val="none"/>
        </w:rPr>
        <w:t>《技术标有效性审查表》</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28FCC6AE">
      <w:pPr>
        <w:pBdr>
          <w:bottom w:val="single" w:color="auto" w:sz="6" w:space="1"/>
        </w:pBdr>
        <w:spacing w:line="360" w:lineRule="auto"/>
        <w:ind w:firstLine="420" w:firstLineChars="200"/>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b w:val="0"/>
          <w:bCs/>
          <w:color w:val="auto"/>
          <w:szCs w:val="21"/>
          <w:highlight w:val="none"/>
          <w:lang w:val="en-US" w:eastAsia="zh-CN"/>
        </w:rPr>
        <w:t>见范本</w:t>
      </w:r>
    </w:p>
    <w:p w14:paraId="0618F5F6">
      <w:pPr>
        <w:pBdr>
          <w:bottom w:val="single" w:color="auto" w:sz="6" w:space="1"/>
        </w:pBdr>
        <w:spacing w:line="360" w:lineRule="auto"/>
        <w:ind w:firstLine="420" w:firstLineChars="200"/>
        <w:rPr>
          <w:rFonts w:hint="eastAsia" w:ascii="宋体" w:hAnsi="宋体" w:eastAsia="宋体"/>
          <w:color w:val="auto"/>
          <w:szCs w:val="21"/>
          <w:highlight w:val="none"/>
          <w:lang w:eastAsia="zh-CN"/>
        </w:rPr>
      </w:pPr>
      <w:r>
        <w:rPr>
          <w:rFonts w:hint="eastAsia" w:ascii="宋体" w:hAnsi="宋体"/>
          <w:b/>
          <w:color w:val="auto"/>
          <w:szCs w:val="21"/>
          <w:highlight w:val="none"/>
        </w:rPr>
        <w:t>现文：</w:t>
      </w:r>
      <w:r>
        <w:rPr>
          <w:rFonts w:hint="eastAsia" w:ascii="宋体" w:hAnsi="宋体"/>
          <w:b w:val="0"/>
          <w:bCs/>
          <w:color w:val="auto"/>
          <w:szCs w:val="21"/>
          <w:highlight w:val="none"/>
          <w:lang w:val="en-US" w:eastAsia="zh-CN"/>
        </w:rPr>
        <w:t>见后附（现文：附表二</w:t>
      </w:r>
      <w:r>
        <w:rPr>
          <w:rFonts w:hint="eastAsia" w:ascii="宋体" w:hAnsi="宋体"/>
          <w:color w:val="auto"/>
          <w:szCs w:val="21"/>
          <w:highlight w:val="none"/>
        </w:rPr>
        <w:t>《技术标有效性审查表》</w:t>
      </w:r>
      <w:r>
        <w:rPr>
          <w:rFonts w:hint="eastAsia" w:ascii="宋体" w:hAnsi="宋体"/>
          <w:color w:val="auto"/>
          <w:szCs w:val="21"/>
          <w:highlight w:val="none"/>
          <w:lang w:eastAsia="zh-CN"/>
        </w:rPr>
        <w:t>）</w:t>
      </w:r>
    </w:p>
    <w:p w14:paraId="68BACD75">
      <w:pPr>
        <w:spacing w:line="360" w:lineRule="auto"/>
        <w:ind w:firstLine="420" w:firstLineChars="200"/>
        <w:rPr>
          <w:rFonts w:hint="eastAsia" w:ascii="宋体" w:hAnsi="宋体"/>
          <w:b/>
          <w:color w:val="auto"/>
          <w:szCs w:val="21"/>
          <w:highlight w:val="none"/>
        </w:rPr>
      </w:pPr>
      <w:r>
        <w:rPr>
          <w:rFonts w:hint="eastAsia" w:ascii="宋体" w:hAnsi="宋体"/>
          <w:b/>
          <w:color w:val="auto"/>
          <w:szCs w:val="21"/>
          <w:highlight w:val="none"/>
        </w:rPr>
        <w:t>条款号：附表三</w:t>
      </w:r>
      <w:r>
        <w:rPr>
          <w:rFonts w:ascii="宋体" w:hAnsi="宋体"/>
          <w:b/>
          <w:color w:val="auto"/>
          <w:szCs w:val="21"/>
          <w:highlight w:val="none"/>
        </w:rPr>
        <w:t xml:space="preserve"> </w:t>
      </w:r>
      <w:r>
        <w:rPr>
          <w:rFonts w:hint="eastAsia" w:ascii="宋体" w:hAnsi="宋体"/>
          <w:b/>
          <w:color w:val="auto"/>
          <w:szCs w:val="21"/>
          <w:highlight w:val="none"/>
        </w:rPr>
        <w:t>《经济标有效性审查表》</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6563ECAA">
      <w:pPr>
        <w:pBdr>
          <w:bottom w:val="single" w:color="auto" w:sz="6" w:space="1"/>
        </w:pBdr>
        <w:spacing w:line="360" w:lineRule="auto"/>
        <w:ind w:firstLine="420" w:firstLineChars="200"/>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b w:val="0"/>
          <w:bCs/>
          <w:color w:val="auto"/>
          <w:szCs w:val="21"/>
          <w:highlight w:val="none"/>
          <w:lang w:val="en-US" w:eastAsia="zh-CN"/>
        </w:rPr>
        <w:t>见范本</w:t>
      </w:r>
    </w:p>
    <w:p w14:paraId="49966B8D">
      <w:pPr>
        <w:pBdr>
          <w:bottom w:val="single" w:color="auto" w:sz="6" w:space="1"/>
        </w:pBdr>
        <w:spacing w:line="360" w:lineRule="auto"/>
        <w:ind w:firstLine="420" w:firstLineChars="200"/>
        <w:rPr>
          <w:rFonts w:hint="eastAsia" w:ascii="宋体" w:hAnsi="宋体" w:eastAsia="宋体"/>
          <w:color w:val="auto"/>
          <w:szCs w:val="21"/>
          <w:highlight w:val="none"/>
          <w:lang w:eastAsia="zh-CN"/>
        </w:rPr>
      </w:pPr>
      <w:r>
        <w:rPr>
          <w:rFonts w:hint="eastAsia" w:ascii="宋体" w:hAnsi="宋体"/>
          <w:b/>
          <w:color w:val="auto"/>
          <w:szCs w:val="21"/>
          <w:highlight w:val="none"/>
        </w:rPr>
        <w:t>现文：</w:t>
      </w:r>
      <w:r>
        <w:rPr>
          <w:rFonts w:hint="eastAsia" w:ascii="宋体" w:hAnsi="宋体"/>
          <w:b w:val="0"/>
          <w:bCs/>
          <w:color w:val="auto"/>
          <w:szCs w:val="21"/>
          <w:highlight w:val="none"/>
          <w:lang w:val="en-US" w:eastAsia="zh-CN"/>
        </w:rPr>
        <w:t>见后附（现文：附表三</w:t>
      </w:r>
      <w:r>
        <w:rPr>
          <w:rFonts w:hint="eastAsia" w:ascii="宋体" w:hAnsi="宋体"/>
          <w:color w:val="auto"/>
          <w:szCs w:val="21"/>
          <w:highlight w:val="none"/>
        </w:rPr>
        <w:t>《经济标有效性审查表》</w:t>
      </w:r>
      <w:r>
        <w:rPr>
          <w:rFonts w:hint="eastAsia" w:ascii="宋体" w:hAnsi="宋体"/>
          <w:color w:val="auto"/>
          <w:szCs w:val="21"/>
          <w:highlight w:val="none"/>
          <w:lang w:eastAsia="zh-CN"/>
        </w:rPr>
        <w:t>）</w:t>
      </w:r>
    </w:p>
    <w:p w14:paraId="31A3B6DA">
      <w:pPr>
        <w:spacing w:line="360" w:lineRule="auto"/>
        <w:ind w:firstLine="420" w:firstLineChars="200"/>
        <w:rPr>
          <w:rFonts w:hint="eastAsia" w:ascii="宋体" w:hAnsi="宋体"/>
          <w:b/>
          <w:color w:val="auto"/>
          <w:szCs w:val="21"/>
          <w:highlight w:val="none"/>
        </w:rPr>
      </w:pPr>
      <w:r>
        <w:rPr>
          <w:rFonts w:hint="eastAsia" w:ascii="宋体" w:hAnsi="宋体"/>
          <w:b/>
          <w:color w:val="auto"/>
          <w:szCs w:val="21"/>
          <w:highlight w:val="none"/>
        </w:rPr>
        <w:t>条款号：附表四 《技术标详细审查评分表》         修改类型：修改</w:t>
      </w:r>
    </w:p>
    <w:p w14:paraId="4852B8AC">
      <w:pPr>
        <w:pBdr>
          <w:bottom w:val="single" w:color="auto" w:sz="6" w:space="1"/>
        </w:pBdr>
        <w:spacing w:line="360" w:lineRule="auto"/>
        <w:ind w:firstLine="420" w:firstLineChars="200"/>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b w:val="0"/>
          <w:bCs/>
          <w:color w:val="auto"/>
          <w:szCs w:val="21"/>
          <w:highlight w:val="none"/>
          <w:lang w:val="en-US" w:eastAsia="zh-CN"/>
        </w:rPr>
        <w:t>见范本</w:t>
      </w:r>
    </w:p>
    <w:p w14:paraId="5A6FD047">
      <w:pPr>
        <w:pBdr>
          <w:bottom w:val="single" w:color="auto" w:sz="6" w:space="1"/>
        </w:pBdr>
        <w:spacing w:line="360" w:lineRule="auto"/>
        <w:ind w:firstLine="420" w:firstLineChars="200"/>
        <w:rPr>
          <w:rFonts w:hint="eastAsia" w:ascii="宋体" w:hAnsi="宋体" w:eastAsia="宋体"/>
          <w:color w:val="auto"/>
          <w:szCs w:val="21"/>
          <w:highlight w:val="none"/>
          <w:lang w:eastAsia="zh-CN"/>
        </w:rPr>
      </w:pPr>
      <w:r>
        <w:rPr>
          <w:rFonts w:hint="eastAsia" w:ascii="宋体" w:hAnsi="宋体"/>
          <w:b/>
          <w:color w:val="auto"/>
          <w:szCs w:val="21"/>
          <w:highlight w:val="none"/>
        </w:rPr>
        <w:t>现文：</w:t>
      </w:r>
      <w:r>
        <w:rPr>
          <w:rFonts w:hint="eastAsia" w:ascii="宋体" w:hAnsi="宋体"/>
          <w:b w:val="0"/>
          <w:bCs/>
          <w:color w:val="auto"/>
          <w:szCs w:val="21"/>
          <w:highlight w:val="none"/>
          <w:lang w:val="en-US" w:eastAsia="zh-CN"/>
        </w:rPr>
        <w:t>见后附（现文：附表四《第一阶段详细审查评分表（项目管理团队）》、附表《</w:t>
      </w:r>
      <w:r>
        <w:rPr>
          <w:rStyle w:val="127"/>
          <w:rFonts w:hint="eastAsia"/>
          <w:bCs/>
          <w:color w:val="auto"/>
          <w:highlight w:val="none"/>
          <w:lang w:val="en-US" w:eastAsia="zh-CN"/>
        </w:rPr>
        <w:t>项目管理机构人员配置要求表</w:t>
      </w:r>
      <w:r>
        <w:rPr>
          <w:rFonts w:hint="eastAsia" w:ascii="宋体" w:hAnsi="宋体"/>
          <w:b w:val="0"/>
          <w:bCs/>
          <w:color w:val="auto"/>
          <w:szCs w:val="21"/>
          <w:highlight w:val="none"/>
          <w:lang w:val="en-US" w:eastAsia="zh-CN"/>
        </w:rPr>
        <w:t>》、附表四（A）《第二阶段详细审查评分表（企业资信）》）</w:t>
      </w:r>
    </w:p>
    <w:p w14:paraId="33E94ADD">
      <w:pPr>
        <w:spacing w:line="360" w:lineRule="auto"/>
        <w:ind w:firstLine="420" w:firstLineChars="200"/>
        <w:rPr>
          <w:rFonts w:hint="eastAsia" w:ascii="宋体" w:hAnsi="宋体"/>
          <w:b/>
          <w:color w:val="auto"/>
          <w:szCs w:val="21"/>
          <w:highlight w:val="none"/>
        </w:rPr>
      </w:pPr>
      <w:r>
        <w:rPr>
          <w:rFonts w:hint="eastAsia" w:ascii="宋体" w:hAnsi="宋体"/>
          <w:b/>
          <w:color w:val="auto"/>
          <w:szCs w:val="21"/>
          <w:highlight w:val="none"/>
        </w:rPr>
        <w:t>条款号：附表</w:t>
      </w:r>
      <w:r>
        <w:rPr>
          <w:rFonts w:hint="eastAsia" w:ascii="宋体" w:hAnsi="宋体"/>
          <w:b/>
          <w:color w:val="auto"/>
          <w:szCs w:val="21"/>
          <w:highlight w:val="none"/>
          <w:lang w:val="en-US" w:eastAsia="zh-CN"/>
        </w:rPr>
        <w:t>五《经济标评分表》</w:t>
      </w:r>
      <w:r>
        <w:rPr>
          <w:rFonts w:hint="eastAsia" w:ascii="宋体" w:hAnsi="宋体"/>
          <w:b/>
          <w:color w:val="auto"/>
          <w:szCs w:val="21"/>
          <w:highlight w:val="none"/>
        </w:rPr>
        <w:t xml:space="preserve">          修改类型：修改</w:t>
      </w:r>
    </w:p>
    <w:p w14:paraId="3747FC43">
      <w:pPr>
        <w:pBdr>
          <w:bottom w:val="single" w:color="auto" w:sz="6" w:space="1"/>
        </w:pBdr>
        <w:spacing w:line="360" w:lineRule="auto"/>
        <w:ind w:firstLine="420" w:firstLineChars="200"/>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b w:val="0"/>
          <w:bCs/>
          <w:color w:val="auto"/>
          <w:szCs w:val="21"/>
          <w:highlight w:val="none"/>
          <w:lang w:val="en-US" w:eastAsia="zh-CN"/>
        </w:rPr>
        <w:t>见范本</w:t>
      </w:r>
    </w:p>
    <w:p w14:paraId="5D177CCE">
      <w:pPr>
        <w:pBdr>
          <w:bottom w:val="single" w:color="auto" w:sz="6" w:space="1"/>
        </w:pBdr>
        <w:spacing w:line="360" w:lineRule="auto"/>
        <w:ind w:firstLine="420" w:firstLineChars="200"/>
        <w:rPr>
          <w:rFonts w:hint="eastAsia" w:ascii="宋体" w:hAnsi="宋体" w:eastAsia="宋体"/>
          <w:color w:val="auto"/>
          <w:szCs w:val="21"/>
          <w:highlight w:val="none"/>
          <w:lang w:eastAsia="zh-CN"/>
        </w:rPr>
      </w:pPr>
      <w:r>
        <w:rPr>
          <w:rFonts w:hint="eastAsia" w:ascii="宋体" w:hAnsi="宋体"/>
          <w:b/>
          <w:color w:val="auto"/>
          <w:szCs w:val="21"/>
          <w:highlight w:val="none"/>
        </w:rPr>
        <w:t>现文：</w:t>
      </w:r>
      <w:r>
        <w:rPr>
          <w:rFonts w:hint="eastAsia" w:ascii="宋体" w:hAnsi="宋体"/>
          <w:b w:val="0"/>
          <w:bCs/>
          <w:color w:val="auto"/>
          <w:szCs w:val="21"/>
          <w:highlight w:val="none"/>
          <w:lang w:val="en-US" w:eastAsia="zh-CN"/>
        </w:rPr>
        <w:t>见后附（现文：附表五</w:t>
      </w:r>
      <w:r>
        <w:rPr>
          <w:rFonts w:hint="eastAsia" w:ascii="宋体" w:hAnsi="宋体"/>
          <w:color w:val="auto"/>
          <w:szCs w:val="21"/>
          <w:highlight w:val="none"/>
        </w:rPr>
        <w:t>《经济标评分表》</w:t>
      </w:r>
      <w:r>
        <w:rPr>
          <w:rFonts w:hint="eastAsia" w:ascii="宋体" w:hAnsi="宋体"/>
          <w:color w:val="auto"/>
          <w:szCs w:val="21"/>
          <w:highlight w:val="none"/>
          <w:lang w:eastAsia="zh-CN"/>
        </w:rPr>
        <w:t>）</w:t>
      </w:r>
    </w:p>
    <w:p w14:paraId="74BBBCDE">
      <w:pPr>
        <w:spacing w:line="360" w:lineRule="auto"/>
        <w:ind w:firstLine="420" w:firstLineChars="200"/>
        <w:rPr>
          <w:rFonts w:hint="eastAsia" w:ascii="宋体" w:hAnsi="宋体"/>
          <w:b/>
          <w:color w:val="auto"/>
          <w:szCs w:val="21"/>
          <w:highlight w:val="none"/>
        </w:rPr>
      </w:pPr>
      <w:r>
        <w:rPr>
          <w:rFonts w:hint="eastAsia" w:ascii="宋体" w:hAnsi="宋体"/>
          <w:b/>
          <w:color w:val="auto"/>
          <w:szCs w:val="21"/>
          <w:highlight w:val="none"/>
        </w:rPr>
        <w:t>条款号：第四章  投标文件格式</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7EBE1B07">
      <w:pPr>
        <w:pBdr>
          <w:bottom w:val="single" w:color="auto" w:sz="6" w:space="1"/>
        </w:pBdr>
        <w:spacing w:line="360" w:lineRule="auto"/>
        <w:ind w:firstLine="420" w:firstLineChars="200"/>
        <w:rPr>
          <w:rFonts w:hint="eastAsia"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原范本</w:t>
      </w:r>
      <w:r>
        <w:rPr>
          <w:rFonts w:ascii="宋体" w:hAnsi="宋体"/>
          <w:color w:val="auto"/>
          <w:szCs w:val="21"/>
          <w:highlight w:val="none"/>
        </w:rPr>
        <w:t>GZZB2018-3</w:t>
      </w:r>
      <w:r>
        <w:rPr>
          <w:rFonts w:hint="eastAsia" w:ascii="宋体" w:hAnsi="宋体"/>
          <w:color w:val="auto"/>
          <w:szCs w:val="21"/>
          <w:highlight w:val="none"/>
        </w:rPr>
        <w:t xml:space="preserve"> 第四章</w:t>
      </w:r>
      <w:r>
        <w:rPr>
          <w:rFonts w:ascii="宋体" w:hAnsi="宋体"/>
          <w:color w:val="auto"/>
          <w:szCs w:val="21"/>
          <w:highlight w:val="none"/>
        </w:rPr>
        <w:t xml:space="preserve"> </w:t>
      </w:r>
      <w:r>
        <w:rPr>
          <w:rFonts w:hint="eastAsia" w:ascii="宋体" w:hAnsi="宋体"/>
          <w:color w:val="auto"/>
          <w:szCs w:val="21"/>
          <w:highlight w:val="none"/>
        </w:rPr>
        <w:t>投标文件格式</w:t>
      </w:r>
    </w:p>
    <w:p w14:paraId="463EA8C2">
      <w:pPr>
        <w:pBdr>
          <w:bottom w:val="single" w:color="auto" w:sz="6" w:space="1"/>
        </w:pBdr>
        <w:spacing w:line="360" w:lineRule="auto"/>
        <w:ind w:firstLine="420" w:firstLineChars="200"/>
        <w:rPr>
          <w:rFonts w:hint="eastAsia" w:ascii="宋体" w:hAnsi="宋体"/>
          <w:b/>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本招标文件 第四章</w:t>
      </w:r>
      <w:r>
        <w:rPr>
          <w:rFonts w:ascii="宋体" w:hAnsi="宋体"/>
          <w:color w:val="auto"/>
          <w:szCs w:val="21"/>
          <w:highlight w:val="none"/>
        </w:rPr>
        <w:t xml:space="preserve"> </w:t>
      </w:r>
      <w:r>
        <w:rPr>
          <w:rFonts w:hint="eastAsia" w:ascii="宋体" w:hAnsi="宋体"/>
          <w:color w:val="auto"/>
          <w:szCs w:val="21"/>
          <w:highlight w:val="none"/>
        </w:rPr>
        <w:t>投标文件格式</w:t>
      </w:r>
    </w:p>
    <w:p w14:paraId="22E4025A">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注：以上修改，仅限于本范本中有可供选择条款的情形。</w:t>
      </w:r>
    </w:p>
    <w:p w14:paraId="7C163506">
      <w:pPr>
        <w:spacing w:line="360" w:lineRule="auto"/>
        <w:ind w:firstLine="420" w:firstLineChars="200"/>
        <w:rPr>
          <w:rStyle w:val="127"/>
          <w:rFonts w:ascii="宋体" w:hAnsi="宋体"/>
          <w:b/>
          <w:color w:val="auto"/>
          <w:szCs w:val="21"/>
          <w:highlight w:val="none"/>
        </w:rPr>
      </w:pPr>
      <w:r>
        <w:rPr>
          <w:rStyle w:val="127"/>
          <w:rFonts w:ascii="宋体" w:hAnsi="宋体"/>
          <w:b/>
          <w:color w:val="auto"/>
          <w:szCs w:val="21"/>
          <w:highlight w:val="none"/>
        </w:rPr>
        <w:t>（以下无正文）</w:t>
      </w:r>
    </w:p>
    <w:p w14:paraId="000FDF92">
      <w:pPr>
        <w:pStyle w:val="6"/>
        <w:rPr>
          <w:color w:val="auto"/>
          <w:highlight w:val="none"/>
        </w:rPr>
      </w:pPr>
      <w:bookmarkStart w:id="22" w:name="_Toc21525500"/>
      <w:bookmarkStart w:id="23" w:name="_Toc2272556"/>
      <w:r>
        <w:rPr>
          <w:rFonts w:hint="eastAsia"/>
          <w:color w:val="auto"/>
          <w:highlight w:val="none"/>
        </w:rPr>
        <w:br w:type="page"/>
      </w:r>
      <w:r>
        <w:rPr>
          <w:rFonts w:hint="eastAsia"/>
          <w:color w:val="auto"/>
          <w:highlight w:val="none"/>
        </w:rPr>
        <w:t>二、开标、评标及定标办法</w:t>
      </w:r>
      <w:r>
        <w:rPr>
          <w:rFonts w:hint="eastAsia"/>
          <w:color w:val="auto"/>
          <w:szCs w:val="30"/>
          <w:highlight w:val="none"/>
        </w:rPr>
        <w:t>通用条款</w:t>
      </w:r>
      <w:bookmarkEnd w:id="22"/>
      <w:bookmarkEnd w:id="23"/>
    </w:p>
    <w:p w14:paraId="12F1E4A5">
      <w:pPr>
        <w:pStyle w:val="7"/>
        <w:spacing w:before="156" w:after="156"/>
        <w:ind w:firstLine="540" w:firstLineChars="200"/>
        <w:rPr>
          <w:color w:val="auto"/>
          <w:highlight w:val="none"/>
        </w:rPr>
      </w:pPr>
      <w:bookmarkStart w:id="24" w:name="_Toc2272557"/>
      <w:bookmarkStart w:id="25" w:name="_Toc21525501"/>
      <w:r>
        <w:rPr>
          <w:rFonts w:hint="eastAsia"/>
          <w:color w:val="auto"/>
          <w:highlight w:val="none"/>
        </w:rPr>
        <w:t>（一）总则</w:t>
      </w:r>
      <w:bookmarkEnd w:id="24"/>
      <w:bookmarkEnd w:id="25"/>
    </w:p>
    <w:p w14:paraId="104199B5">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14:paraId="16161E3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14:paraId="3B6B451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14:paraId="266BDB2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14:paraId="67A1237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14:paraId="59AF5DE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14:paraId="06F6077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14:paraId="7C454B7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35.7</w:t>
      </w:r>
      <w:r>
        <w:rPr>
          <w:rFonts w:hint="eastAsia" w:ascii="宋体" w:hAnsi="宋体"/>
          <w:color w:val="auto"/>
          <w:sz w:val="24"/>
          <w:szCs w:val="24"/>
          <w:highlight w:val="none"/>
        </w:rPr>
        <w:t>《财政部</w:t>
      </w:r>
      <w:r>
        <w:rPr>
          <w:rFonts w:ascii="宋体" w:hAnsi="宋体"/>
          <w:color w:val="auto"/>
          <w:sz w:val="24"/>
          <w:szCs w:val="24"/>
          <w:highlight w:val="none"/>
        </w:rPr>
        <w:t> </w:t>
      </w:r>
      <w:r>
        <w:rPr>
          <w:rFonts w:hint="eastAsia" w:ascii="宋体" w:hAnsi="宋体"/>
          <w:color w:val="auto"/>
          <w:sz w:val="24"/>
          <w:szCs w:val="24"/>
          <w:highlight w:val="none"/>
        </w:rPr>
        <w:t>工业和信息化部关于印发〈政府采购促进中小企业发展管理办法〉的通知》（财库〔</w:t>
      </w:r>
      <w:r>
        <w:rPr>
          <w:rFonts w:ascii="宋体" w:hAnsi="宋体"/>
          <w:color w:val="auto"/>
          <w:sz w:val="24"/>
          <w:szCs w:val="24"/>
          <w:highlight w:val="none"/>
        </w:rPr>
        <w:t>2020</w:t>
      </w:r>
      <w:r>
        <w:rPr>
          <w:rFonts w:hint="eastAsia" w:ascii="宋体" w:hAnsi="宋体"/>
          <w:color w:val="auto"/>
          <w:sz w:val="24"/>
          <w:szCs w:val="24"/>
          <w:highlight w:val="none"/>
        </w:rPr>
        <w:t>〕</w:t>
      </w:r>
      <w:r>
        <w:rPr>
          <w:rFonts w:ascii="宋体" w:hAnsi="宋体"/>
          <w:color w:val="auto"/>
          <w:sz w:val="24"/>
          <w:szCs w:val="24"/>
          <w:highlight w:val="none"/>
        </w:rPr>
        <w:t>46</w:t>
      </w:r>
      <w:r>
        <w:rPr>
          <w:rFonts w:hint="eastAsia" w:ascii="宋体" w:hAnsi="宋体"/>
          <w:color w:val="auto"/>
          <w:sz w:val="24"/>
          <w:szCs w:val="24"/>
          <w:highlight w:val="none"/>
        </w:rPr>
        <w:t>号）；</w:t>
      </w:r>
    </w:p>
    <w:p w14:paraId="1CCDCFC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8《广东省加强建设工程招标投标监督管理的若干规定》（粤发[2004]4号）；</w:t>
      </w:r>
    </w:p>
    <w:p w14:paraId="406BC4F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35.9</w:t>
      </w:r>
      <w:r>
        <w:rPr>
          <w:rFonts w:hint="eastAsia" w:ascii="宋体" w:hAnsi="宋体"/>
          <w:color w:val="auto"/>
          <w:sz w:val="24"/>
          <w:szCs w:val="24"/>
          <w:highlight w:val="none"/>
        </w:rPr>
        <w:t>《广东省政府采购促进中小企业发展实施细则（试行）》</w:t>
      </w:r>
    </w:p>
    <w:p w14:paraId="54F3CEC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10《广州市工程建设项目招标投标管理办法》（穗建规字〔2023〕12号）；</w:t>
      </w:r>
    </w:p>
    <w:p w14:paraId="5E8388F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4721EFC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35.12本项目招标文件。</w:t>
      </w:r>
    </w:p>
    <w:p w14:paraId="743ADE8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14:paraId="6B83DE5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36.1 </w:t>
      </w:r>
      <w:r>
        <w:rPr>
          <w:rFonts w:hint="eastAsia" w:ascii="宋体" w:hAnsi="宋体"/>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14:paraId="6D7773A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14:paraId="5B25203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1FAB44C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14:paraId="4B4B99E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36.5按下列程序进行开标：</w:t>
      </w:r>
    </w:p>
    <w:p w14:paraId="2D36282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276C7B9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36.5.2备用光盘的读取按投标须知前附表第36项的规定执行；</w:t>
      </w:r>
    </w:p>
    <w:p w14:paraId="5F1C60B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36.5.3投标人代表、招标人代表、监标人、记录人等有关人员在开标记录上签字确认；若有关人员不签字的，不影响开标程序；</w:t>
      </w:r>
    </w:p>
    <w:p w14:paraId="5AF5629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36.5.4开标结束。</w:t>
      </w:r>
    </w:p>
    <w:p w14:paraId="5B96AFC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796A0B2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36.7开标时，两个（含两个）以上的投标人加密打包投标文件电脑机器特征码一致的，不参与下一程序，并由评标委员会否决其投标。</w:t>
      </w:r>
    </w:p>
    <w:p w14:paraId="227B5B0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14:paraId="42D8CA2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w:t>
      </w:r>
    </w:p>
    <w:p w14:paraId="3DBFE215">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37.2评标委员会</w:t>
      </w:r>
      <w:r>
        <w:rPr>
          <w:rFonts w:hint="eastAsia" w:ascii="宋体" w:hAnsi="宋体"/>
          <w:bCs/>
          <w:color w:val="auto"/>
          <w:sz w:val="24"/>
          <w:szCs w:val="24"/>
          <w:highlight w:val="none"/>
        </w:rPr>
        <w:t>在开始评标前，应了解评标专家</w:t>
      </w:r>
      <w:r>
        <w:rPr>
          <w:rFonts w:ascii="宋体" w:hAnsi="宋体"/>
          <w:bCs/>
          <w:color w:val="auto"/>
          <w:sz w:val="24"/>
          <w:szCs w:val="24"/>
          <w:highlight w:val="none"/>
        </w:rPr>
        <w:t>的职责及守则</w:t>
      </w:r>
      <w:r>
        <w:rPr>
          <w:rFonts w:hint="eastAsia" w:ascii="宋体" w:hAnsi="宋体"/>
          <w:bCs/>
          <w:color w:val="auto"/>
          <w:sz w:val="24"/>
          <w:szCs w:val="24"/>
          <w:highlight w:val="none"/>
        </w:rPr>
        <w:t>，认真阅读附件</w:t>
      </w:r>
      <w:r>
        <w:rPr>
          <w:rFonts w:ascii="宋体" w:hAnsi="宋体"/>
          <w:bCs/>
          <w:color w:val="auto"/>
          <w:sz w:val="24"/>
          <w:szCs w:val="24"/>
          <w:highlight w:val="none"/>
        </w:rPr>
        <w:t>1《</w:t>
      </w:r>
      <w:r>
        <w:rPr>
          <w:rFonts w:hint="eastAsia" w:ascii="宋体" w:hAnsi="宋体"/>
          <w:bCs/>
          <w:color w:val="auto"/>
          <w:sz w:val="24"/>
          <w:szCs w:val="24"/>
          <w:highlight w:val="none"/>
        </w:rPr>
        <w:t>评标委员会成员声明》的内容并签名，签字后方可进行评标。</w:t>
      </w:r>
    </w:p>
    <w:p w14:paraId="5850897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37.3评标委员会的职责及守则：</w:t>
      </w:r>
    </w:p>
    <w:p w14:paraId="6912CB8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14:paraId="07033BF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.2</w:t>
      </w:r>
      <w:r>
        <w:rPr>
          <w:rFonts w:hint="eastAsia" w:ascii="宋体" w:hAnsi="宋体"/>
          <w:color w:val="auto"/>
          <w:sz w:val="24"/>
          <w:szCs w:val="24"/>
          <w:highlight w:val="none"/>
        </w:rPr>
        <w:t>向招标人报告评审意见，推荐合格的中标候选人。</w:t>
      </w:r>
    </w:p>
    <w:p w14:paraId="37152DB3">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w:t>
      </w:r>
      <w:r>
        <w:rPr>
          <w:rFonts w:hint="eastAsia" w:ascii="宋体" w:hAnsi="宋体"/>
          <w:bCs/>
          <w:color w:val="auto"/>
          <w:sz w:val="24"/>
          <w:szCs w:val="24"/>
          <w:highlight w:val="none"/>
        </w:rPr>
        <w:t>3</w:t>
      </w:r>
      <w:r>
        <w:rPr>
          <w:rFonts w:ascii="宋体" w:hAnsi="宋体"/>
          <w:bCs/>
          <w:color w:val="auto"/>
          <w:sz w:val="24"/>
          <w:szCs w:val="24"/>
          <w:highlight w:val="none"/>
        </w:rPr>
        <w:t>.3</w:t>
      </w:r>
      <w:r>
        <w:rPr>
          <w:rFonts w:ascii="宋体" w:hAnsi="宋体"/>
          <w:b/>
          <w:bCs/>
          <w:color w:val="auto"/>
          <w:sz w:val="24"/>
          <w:szCs w:val="24"/>
          <w:highlight w:val="none"/>
        </w:rPr>
        <w:t xml:space="preserve"> </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12A4166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.4</w:t>
      </w:r>
      <w:r>
        <w:rPr>
          <w:rFonts w:hint="eastAsia" w:ascii="宋体" w:hAnsi="宋体"/>
          <w:color w:val="auto"/>
          <w:sz w:val="24"/>
          <w:szCs w:val="24"/>
          <w:highlight w:val="none"/>
        </w:rPr>
        <w:t>全体参与评标人员：</w:t>
      </w:r>
    </w:p>
    <w:p w14:paraId="3E29345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.4.1 </w:t>
      </w:r>
      <w:r>
        <w:rPr>
          <w:rFonts w:hint="eastAsia" w:ascii="宋体" w:hAnsi="宋体"/>
          <w:color w:val="auto"/>
          <w:sz w:val="24"/>
          <w:szCs w:val="24"/>
          <w:highlight w:val="none"/>
        </w:rPr>
        <w:t>必须遵守评标纪律、不得泄密；</w:t>
      </w:r>
    </w:p>
    <w:p w14:paraId="18C30AB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.4.2 </w:t>
      </w:r>
      <w:r>
        <w:rPr>
          <w:rFonts w:hint="eastAsia" w:ascii="宋体" w:hAnsi="宋体"/>
          <w:color w:val="auto"/>
          <w:sz w:val="24"/>
          <w:szCs w:val="24"/>
          <w:highlight w:val="none"/>
        </w:rPr>
        <w:t>必须公正、不得循私；</w:t>
      </w:r>
    </w:p>
    <w:p w14:paraId="64E0686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.4.3 </w:t>
      </w:r>
      <w:r>
        <w:rPr>
          <w:rFonts w:hint="eastAsia" w:ascii="宋体" w:hAnsi="宋体"/>
          <w:color w:val="auto"/>
          <w:sz w:val="24"/>
          <w:szCs w:val="24"/>
          <w:highlight w:val="none"/>
        </w:rPr>
        <w:t>必须科学、不得草率；</w:t>
      </w:r>
    </w:p>
    <w:p w14:paraId="2989385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.4.4 </w:t>
      </w:r>
      <w:r>
        <w:rPr>
          <w:rFonts w:hint="eastAsia" w:ascii="宋体" w:hAnsi="宋体"/>
          <w:color w:val="auto"/>
          <w:sz w:val="24"/>
          <w:szCs w:val="24"/>
          <w:highlight w:val="none"/>
        </w:rPr>
        <w:t>必须客观、不得带有成见；</w:t>
      </w:r>
    </w:p>
    <w:p w14:paraId="6DDF069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.4.5 </w:t>
      </w:r>
      <w:r>
        <w:rPr>
          <w:rFonts w:hint="eastAsia" w:ascii="宋体" w:hAnsi="宋体"/>
          <w:color w:val="auto"/>
          <w:sz w:val="24"/>
          <w:szCs w:val="24"/>
          <w:highlight w:val="none"/>
        </w:rPr>
        <w:t>必须平等、不得强加于人；</w:t>
      </w:r>
    </w:p>
    <w:p w14:paraId="2BDF5FC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37.3.4.6 必须严谨、不得随意马虎。</w:t>
      </w:r>
    </w:p>
    <w:p w14:paraId="6AC0B5E7">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585D6CA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37.5评标结束后，评标委员会递交评标报告并依法推荐中标候选人。</w:t>
      </w:r>
      <w:r>
        <w:rPr>
          <w:rFonts w:ascii="宋体" w:hAnsi="宋体"/>
          <w:color w:val="auto"/>
          <w:sz w:val="24"/>
          <w:szCs w:val="24"/>
          <w:highlight w:val="none"/>
        </w:rPr>
        <w:t xml:space="preserve"> </w:t>
      </w:r>
    </w:p>
    <w:p w14:paraId="511D32A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14:paraId="7BB42D4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0407015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591503D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14:paraId="5290D22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14:paraId="58E3B1C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14529F6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14:paraId="774C8F1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14:paraId="6E509D9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p>
    <w:p w14:paraId="4817B11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39.3</w:t>
      </w:r>
      <w:r>
        <w:rPr>
          <w:rFonts w:hint="eastAsia" w:ascii="宋体" w:hAnsi="宋体"/>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14:paraId="4805869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14:paraId="251B2C4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14:paraId="503F3374">
      <w:pPr>
        <w:pStyle w:val="7"/>
        <w:spacing w:before="156" w:after="156"/>
        <w:ind w:firstLine="540" w:firstLineChars="200"/>
        <w:rPr>
          <w:rFonts w:hint="eastAsia" w:ascii="宋体" w:hAnsi="宋体" w:eastAsia="宋体" w:cs="宋体"/>
          <w:color w:val="auto"/>
          <w:highlight w:val="none"/>
        </w:rPr>
      </w:pPr>
      <w:bookmarkStart w:id="26" w:name="_Toc2272558"/>
      <w:bookmarkStart w:id="27" w:name="_Toc21525502"/>
      <w:r>
        <w:rPr>
          <w:rFonts w:hint="eastAsia" w:ascii="宋体" w:hAnsi="宋体" w:eastAsia="宋体" w:cs="宋体"/>
          <w:color w:val="auto"/>
          <w:highlight w:val="none"/>
        </w:rPr>
        <w:t>（二）开标评标办法程序和细则</w:t>
      </w:r>
      <w:bookmarkEnd w:id="26"/>
      <w:bookmarkEnd w:id="27"/>
    </w:p>
    <w:p w14:paraId="53C7730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注：以下八种评标办法所述企业综合诚信评价分数即投标截止当日广州市工程招标行业协会网站上公布的企业综合诚信评价60日诚信分。</w:t>
      </w:r>
    </w:p>
    <w:p w14:paraId="65BFF855">
      <w:pPr>
        <w:widowControl/>
        <w:spacing w:before="100" w:beforeAutospacing="1" w:after="100" w:afterAutospacing="1"/>
        <w:ind w:firstLine="540" w:firstLineChars="200"/>
        <w:jc w:val="left"/>
        <w:outlineLvl w:val="2"/>
        <w:rPr>
          <w:rFonts w:hint="eastAsia" w:ascii="宋体" w:hAnsi="宋体" w:eastAsia="宋体" w:cs="宋体"/>
          <w:b/>
          <w:color w:val="auto"/>
          <w:kern w:val="0"/>
          <w:sz w:val="27"/>
          <w:szCs w:val="27"/>
          <w:highlight w:val="none"/>
        </w:rPr>
      </w:pPr>
      <w:bookmarkStart w:id="28" w:name="_Toc179465967"/>
      <w:bookmarkStart w:id="29" w:name="_Toc2272563"/>
      <w:r>
        <w:rPr>
          <w:rFonts w:hint="eastAsia" w:ascii="宋体" w:hAnsi="宋体" w:eastAsia="宋体" w:cs="宋体"/>
          <w:b/>
          <w:color w:val="auto"/>
          <w:kern w:val="0"/>
          <w:sz w:val="27"/>
          <w:szCs w:val="27"/>
          <w:highlight w:val="none"/>
        </w:rPr>
        <w:t>可选办法六（适合综合评分法三，技术标与经济标同时开启）</w:t>
      </w:r>
    </w:p>
    <w:p w14:paraId="21DE6B85">
      <w:pPr>
        <w:spacing w:after="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40．开标和评标程序：</w:t>
      </w:r>
    </w:p>
    <w:p w14:paraId="487FE7B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40.1投标人递交技术标、经济标投标文件；</w:t>
      </w:r>
    </w:p>
    <w:p w14:paraId="6ACCA31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40.2技术标与经济标投标文件同时公开开标；</w:t>
      </w:r>
    </w:p>
    <w:p w14:paraId="66D2701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40.3由评标委员会对所有已公开开标的投标人进行资格审查；</w:t>
      </w:r>
    </w:p>
    <w:p w14:paraId="7FF6AF5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40.4技术标投标文件有效性审查；</w:t>
      </w:r>
    </w:p>
    <w:p w14:paraId="33FE875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40.5技术标详细审查评分；</w:t>
      </w:r>
    </w:p>
    <w:p w14:paraId="7D91C40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40.6计算第一阶段得分，并按照总分从高到低排列先后次序，编写第一阶段评审报告； </w:t>
      </w:r>
    </w:p>
    <w:p w14:paraId="7BAB12B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40.7按投标须知前附表第25项规定，确定进入第二阶段评审的投标人；</w:t>
      </w:r>
    </w:p>
    <w:p w14:paraId="305CEFC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40.8将进入第二阶段评审的投标人进行排序；</w:t>
      </w:r>
    </w:p>
    <w:p w14:paraId="2C4B37F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40.9按排序对经济标投标文件进行有效性审查（含投标报价算术校核），直至评出所有中标候选人；</w:t>
      </w:r>
    </w:p>
    <w:p w14:paraId="6767EC4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40.10评标委员会编写评标报告，向招标人推荐中标候选人名单。</w:t>
      </w:r>
    </w:p>
    <w:p w14:paraId="15694B1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开标细则</w:t>
      </w:r>
    </w:p>
    <w:p w14:paraId="7CC3D31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41.1开标由招标人主持；</w:t>
      </w:r>
    </w:p>
    <w:p w14:paraId="2938C0B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41.2细则</w:t>
      </w:r>
    </w:p>
    <w:p w14:paraId="26E6D0F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41.2.1投标截止期前，各投标人递交投标文件（包括技术标投标文件、经济标投标文件）至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交易平台。有关投标文件提交的事项详见第一章投标须知。 </w:t>
      </w:r>
    </w:p>
    <w:p w14:paraId="11429FD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r>
        <w:rPr>
          <w:rFonts w:hint="eastAsia" w:ascii="宋体" w:hAnsi="宋体" w:eastAsia="宋体" w:cs="宋体"/>
          <w:color w:val="auto"/>
          <w:sz w:val="24"/>
          <w:szCs w:val="24"/>
          <w:highlight w:val="none"/>
          <w:lang w:eastAsia="zh-CN"/>
        </w:rPr>
        <w:t>。</w:t>
      </w:r>
    </w:p>
    <w:p w14:paraId="7C34F41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41.3按36.5.1的规定完成解密后，公布下列内容，并予以记录，记录提交评标委员会评审： </w:t>
      </w:r>
    </w:p>
    <w:p w14:paraId="1A2A200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41.3.1开标时，公布：a、投标人名称；b、</w:t>
      </w:r>
      <w:r>
        <w:rPr>
          <w:rFonts w:hint="eastAsia" w:ascii="宋体" w:hAnsi="宋体" w:eastAsia="宋体" w:cs="宋体"/>
          <w:color w:val="auto"/>
          <w:sz w:val="24"/>
          <w:highlight w:val="none"/>
        </w:rPr>
        <w:t>投标文件</w:t>
      </w:r>
      <w:r>
        <w:rPr>
          <w:rFonts w:hint="eastAsia" w:ascii="宋体" w:hAnsi="宋体" w:eastAsia="宋体" w:cs="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14:paraId="00F7567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41.4招标人对开标过程进行记录，并存档备查，投标人在开标记录上签字。</w:t>
      </w:r>
    </w:p>
    <w:p w14:paraId="574C2CA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41.5 招标人将上述符合要求的投标文件，送至评标委员会进行评审。</w:t>
      </w:r>
    </w:p>
    <w:p w14:paraId="4B1E782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评标细则</w:t>
      </w:r>
    </w:p>
    <w:p w14:paraId="014600D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42.1评标委员会的组成：方式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FEA4EB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方式一：评标委员会为综合评标委员会，负责评标工作。</w:t>
      </w:r>
    </w:p>
    <w:p w14:paraId="273BC775">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方式二：评标委员会由技术评审组和经济评审组组成。其中：资格审查、技术评审由技术评标组负责，经济评审由经济评审组负责。</w:t>
      </w:r>
      <w:r>
        <w:rPr>
          <w:rFonts w:hint="eastAsia" w:ascii="宋体" w:hAnsi="宋体" w:eastAsia="宋体" w:cs="宋体"/>
          <w:color w:val="auto"/>
          <w:kern w:val="0"/>
          <w:sz w:val="24"/>
          <w:szCs w:val="24"/>
          <w:highlight w:val="none"/>
        </w:rPr>
        <w:t xml:space="preserve"> </w:t>
      </w:r>
    </w:p>
    <w:p w14:paraId="3110B161">
      <w:pPr>
        <w:tabs>
          <w:tab w:val="left" w:pos="738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42.2投标人资格审查</w:t>
      </w:r>
    </w:p>
    <w:p w14:paraId="76F0DD93">
      <w:pPr>
        <w:tabs>
          <w:tab w:val="left" w:pos="738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5E2E3123">
      <w:pPr>
        <w:tabs>
          <w:tab w:val="left" w:pos="738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42.2.2汇总资格审查情况，编写资格审查报告。</w:t>
      </w:r>
    </w:p>
    <w:p w14:paraId="0B9BC681">
      <w:pPr>
        <w:tabs>
          <w:tab w:val="left" w:pos="738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42.2.3资格审查不合格的投标文件不参加下一阶段的评标，不参与评标参考价的计算。</w:t>
      </w:r>
    </w:p>
    <w:p w14:paraId="01C57151">
      <w:pPr>
        <w:tabs>
          <w:tab w:val="left" w:pos="738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44E3DE27">
      <w:pPr>
        <w:tabs>
          <w:tab w:val="left" w:pos="738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42.2.5资审合格后，投标人的资格发生变化而不满足投标人合格条件，在发出中标通知书前，资格问题仍未解决的，招标人将取消其中标资格。</w:t>
      </w:r>
    </w:p>
    <w:p w14:paraId="2ED1C6A1">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42.2.6资格审查合格的投标人少于3名的（当N个标段同时招标且不允许兼中时，资格审查合格的投标人少于N+2名），则本项目招标失败。</w:t>
      </w:r>
    </w:p>
    <w:p w14:paraId="4658AFD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 第一阶段评审</w:t>
      </w:r>
    </w:p>
    <w:p w14:paraId="4C5CB4A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r>
        <w:rPr>
          <w:rFonts w:hint="eastAsia" w:ascii="宋体" w:hAnsi="宋体" w:eastAsia="宋体" w:cs="宋体"/>
          <w:color w:val="auto"/>
          <w:sz w:val="24"/>
          <w:szCs w:val="24"/>
          <w:highlight w:val="none"/>
          <w:lang w:eastAsia="zh-CN"/>
        </w:rPr>
        <w:t>。</w:t>
      </w:r>
    </w:p>
    <w:p w14:paraId="348AF2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详细审查评分：评标委员会按照本办法附表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详细审查评分表》对通过技术标有效性审查的投标文件进行详细审查，评出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得分。</w:t>
      </w:r>
    </w:p>
    <w:p w14:paraId="610E4C3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42.3.4评标委员会按照“第一阶段得分=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6F9E9F7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42.3.5招标人应在《投标须知前附表》中明确选择使用施工企业总排名或相应的施工专业承包排名计分。</w:t>
      </w:r>
    </w:p>
    <w:p w14:paraId="41F456A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 第二阶段评审</w:t>
      </w:r>
    </w:p>
    <w:p w14:paraId="61F64D9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42.4.1按照投标须知前附表第25项规定，确定进入第二阶段评审的投标人。若在进入第二阶段的最后名次发生并列的，则所有并列的投标人均进入第二阶段。</w:t>
      </w:r>
    </w:p>
    <w:p w14:paraId="3C832F6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42.4.2若进入第二阶段投标人中有投标报价均大于等于最高投标限价，则本项目招标失败，由招标人依法重新招标。</w:t>
      </w:r>
    </w:p>
    <w:p w14:paraId="3CE063A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42.4.3投标文件经济标的评分</w:t>
      </w:r>
    </w:p>
    <w:p w14:paraId="2D4E981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42.4.3.1计算评标参考价：</w:t>
      </w:r>
    </w:p>
    <w:p w14:paraId="3124EC5F">
      <w:pPr>
        <w:widowControl/>
        <w:spacing w:line="360" w:lineRule="auto"/>
        <w:ind w:firstLine="480"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区间抽取法</w:t>
      </w:r>
    </w:p>
    <w:p w14:paraId="79917E19">
      <w:pPr>
        <w:widowControl/>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1ECB6029">
      <w:pPr>
        <w:widowControl/>
        <w:snapToGrid w:val="0"/>
        <w:spacing w:line="360" w:lineRule="auto"/>
        <w:ind w:firstLine="480" w:firstLineChars="200"/>
        <w:rPr>
          <w:rFonts w:hint="eastAsia" w:ascii="宋体" w:hAnsi="宋体" w:eastAsia="宋体" w:cs="宋体"/>
          <w:color w:val="auto"/>
          <w:kern w:val="0"/>
          <w:sz w:val="24"/>
          <w:szCs w:val="24"/>
          <w:highlight w:val="none"/>
          <w:vertAlign w:val="subscript"/>
        </w:rPr>
      </w:pPr>
      <w:r>
        <w:rPr>
          <w:rFonts w:hint="eastAsia" w:ascii="宋体" w:hAnsi="宋体" w:eastAsia="宋体" w:cs="宋体"/>
          <w:color w:val="auto"/>
          <w:kern w:val="0"/>
          <w:sz w:val="24"/>
          <w:szCs w:val="24"/>
          <w:highlight w:val="none"/>
        </w:rPr>
        <w:t>评标参考价=（Q</w:t>
      </w:r>
      <w:r>
        <w:rPr>
          <w:rFonts w:hint="eastAsia" w:ascii="宋体" w:hAnsi="宋体" w:eastAsia="宋体" w:cs="宋体"/>
          <w:color w:val="auto"/>
          <w:kern w:val="0"/>
          <w:sz w:val="24"/>
          <w:szCs w:val="24"/>
          <w:highlight w:val="none"/>
          <w:vertAlign w:val="subscript"/>
        </w:rPr>
        <w:t>高</w:t>
      </w:r>
      <w:r>
        <w:rPr>
          <w:rFonts w:hint="eastAsia" w:ascii="宋体" w:hAnsi="宋体" w:eastAsia="宋体" w:cs="宋体"/>
          <w:color w:val="auto"/>
          <w:kern w:val="0"/>
          <w:sz w:val="24"/>
          <w:szCs w:val="24"/>
          <w:highlight w:val="none"/>
        </w:rPr>
        <w:t>-Q</w:t>
      </w:r>
      <w:r>
        <w:rPr>
          <w:rFonts w:hint="eastAsia" w:ascii="宋体" w:hAnsi="宋体" w:eastAsia="宋体" w:cs="宋体"/>
          <w:color w:val="auto"/>
          <w:kern w:val="0"/>
          <w:sz w:val="24"/>
          <w:szCs w:val="24"/>
          <w:highlight w:val="none"/>
          <w:vertAlign w:val="subscript"/>
        </w:rPr>
        <w:t>低</w:t>
      </w:r>
      <w:r>
        <w:rPr>
          <w:rFonts w:hint="eastAsia" w:ascii="宋体" w:hAnsi="宋体" w:eastAsia="宋体" w:cs="宋体"/>
          <w:color w:val="auto"/>
          <w:kern w:val="0"/>
          <w:sz w:val="24"/>
          <w:szCs w:val="24"/>
          <w:highlight w:val="none"/>
        </w:rPr>
        <w:t>）/100*Ｘ+Q</w:t>
      </w:r>
      <w:r>
        <w:rPr>
          <w:rFonts w:hint="eastAsia" w:ascii="宋体" w:hAnsi="宋体" w:eastAsia="宋体" w:cs="宋体"/>
          <w:color w:val="auto"/>
          <w:kern w:val="0"/>
          <w:sz w:val="24"/>
          <w:szCs w:val="24"/>
          <w:highlight w:val="none"/>
          <w:vertAlign w:val="subscript"/>
        </w:rPr>
        <w:t>低</w:t>
      </w:r>
    </w:p>
    <w:p w14:paraId="4351AAD9">
      <w:pPr>
        <w:widowControl/>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Q</w:t>
      </w:r>
      <w:r>
        <w:rPr>
          <w:rFonts w:hint="eastAsia" w:ascii="宋体" w:hAnsi="宋体" w:eastAsia="宋体" w:cs="宋体"/>
          <w:color w:val="auto"/>
          <w:sz w:val="24"/>
          <w:szCs w:val="24"/>
          <w:highlight w:val="none"/>
          <w:vertAlign w:val="subscript"/>
        </w:rPr>
        <w:t>低</w:t>
      </w:r>
      <w:r>
        <w:rPr>
          <w:rFonts w:hint="eastAsia" w:ascii="宋体" w:hAnsi="宋体" w:eastAsia="宋体" w:cs="宋体"/>
          <w:color w:val="auto"/>
          <w:sz w:val="24"/>
          <w:szCs w:val="24"/>
          <w:highlight w:val="none"/>
        </w:rPr>
        <w:t>：为达到或超过技术标及格分数线的投标人最低报价与工程成本警示价两者中的较高值；</w:t>
      </w:r>
    </w:p>
    <w:p w14:paraId="3E3911D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Q</w:t>
      </w:r>
      <w:r>
        <w:rPr>
          <w:rFonts w:hint="eastAsia" w:ascii="宋体" w:hAnsi="宋体" w:eastAsia="宋体" w:cs="宋体"/>
          <w:color w:val="auto"/>
          <w:kern w:val="0"/>
          <w:sz w:val="24"/>
          <w:szCs w:val="24"/>
          <w:highlight w:val="none"/>
          <w:vertAlign w:val="subscript"/>
        </w:rPr>
        <w:t>高</w:t>
      </w:r>
      <w:r>
        <w:rPr>
          <w:rFonts w:hint="eastAsia" w:ascii="宋体" w:hAnsi="宋体" w:eastAsia="宋体" w:cs="宋体"/>
          <w:color w:val="auto"/>
          <w:sz w:val="24"/>
          <w:szCs w:val="24"/>
          <w:highlight w:val="none"/>
        </w:rPr>
        <w:t>：为最高投标限价</w:t>
      </w:r>
    </w:p>
    <w:p w14:paraId="38F3E99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X:为等分点值，从[0,100]整数中随机抽取</w:t>
      </w:r>
    </w:p>
    <w:p w14:paraId="3F63745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42.4.3.2</w:t>
      </w:r>
      <w:r>
        <w:rPr>
          <w:rFonts w:hint="eastAsia" w:ascii="宋体" w:hAnsi="宋体" w:eastAsia="宋体" w:cs="宋体"/>
          <w:color w:val="auto"/>
          <w:sz w:val="24"/>
          <w:szCs w:val="24"/>
          <w:highlight w:val="none"/>
        </w:rPr>
        <w:t>当标价等于评标参考价时得100分，标价每高于评标参考价1%，扣1.5分，每低于评标参考价1%，扣1分，扣至0分为止，得出经济分，精确到小数点后两位。</w:t>
      </w:r>
    </w:p>
    <w:p w14:paraId="3605663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42.4.3.3评标委员会按投标须知前附表第32项的规定确定排序。</w:t>
      </w:r>
    </w:p>
    <w:p w14:paraId="25F97FB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5E11130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42.4.5经济标的算术校核。评标委员会对进行经济标有效性审查的投标文件投标报价按照就低不就高的原则进行算术校核，具体标准如下：</w:t>
      </w:r>
    </w:p>
    <w:p w14:paraId="32E8B82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42.4.5.1如果数字表示的金额和用文字表示的金额不一致时，应以文字表示的金额为准；</w:t>
      </w:r>
    </w:p>
    <w:p w14:paraId="048B35F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42.4.5.2经算术复核的投标人报价与其投标报价不一致时，按就低不就高原则确定其最终报价；</w:t>
      </w:r>
    </w:p>
    <w:p w14:paraId="2A0978F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017DE0B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42.4.5.4当合价、金额累加错误时，按就低不就高原则，如果累加修正值小于原累加值，则按累加修正值；如果累加修正值大于原累加值，则按原累加值；</w:t>
      </w:r>
    </w:p>
    <w:p w14:paraId="0F0E72A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42.4.5.5如果投标人的有关规费、暂列金额、暂估价、</w:t>
      </w:r>
      <w:r>
        <w:rPr>
          <w:rFonts w:hint="eastAsia" w:ascii="宋体" w:hAnsi="宋体" w:eastAsia="宋体" w:cs="宋体"/>
          <w:color w:val="auto"/>
          <w:sz w:val="24"/>
          <w:szCs w:val="24"/>
          <w:highlight w:val="none"/>
          <w:lang w:eastAsia="zh-CN"/>
        </w:rPr>
        <w:t>安全生产措施费</w:t>
      </w:r>
      <w:r>
        <w:rPr>
          <w:rFonts w:hint="eastAsia" w:ascii="宋体" w:hAnsi="宋体" w:eastAsia="宋体" w:cs="宋体"/>
          <w:color w:val="auto"/>
          <w:sz w:val="24"/>
          <w:szCs w:val="24"/>
          <w:highlight w:val="none"/>
        </w:rPr>
        <w:t>等未按招标文件规定的金额填写的，由评标委员会按照招标文件规定的金额进行修正；</w:t>
      </w:r>
    </w:p>
    <w:p w14:paraId="2357D7E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42.4.5.6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5E8CF41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42.4.5.7按就低不就高原则，当修正后报价小于原报价，总价按修正后报价；当修正后报价大于原报价，总价按原报价，并在签订合同时载明在结算价中扣除修正报价与原报价的差额。</w:t>
      </w:r>
    </w:p>
    <w:p w14:paraId="7415502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42.4.5.8按上述修正错误的原则及方法调整或修正投标文件的投标报价，调整后的投标报价对投标人起约束作用。如果投标人不接受修正后的报价，则取消其投标资格，并且其投标保证金也将不予退还。</w:t>
      </w:r>
    </w:p>
    <w:p w14:paraId="25E6147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7DD5DCD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42.6评标委员会应在通过投标文件经济标有效性审查的投标人中，按步骤42.4确定的投标人第二阶段排序，推荐前3名依次为第一中标候选人至第三中标候选人,并编制评标报告。</w:t>
      </w:r>
    </w:p>
    <w:p w14:paraId="16C92F5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42.7若通过经济标有效性审查的投标人不足三家，应当依法重新招标。（当N个标段同时招标且不允许兼中时，若有效投标人不足N+2家，应当依法重新招标）</w:t>
      </w:r>
      <w:bookmarkEnd w:id="28"/>
      <w:bookmarkEnd w:id="29"/>
    </w:p>
    <w:p w14:paraId="55231CA4">
      <w:pPr>
        <w:spacing w:line="360" w:lineRule="auto"/>
        <w:ind w:firstLine="420" w:firstLineChars="200"/>
        <w:rPr>
          <w:rFonts w:ascii="宋体" w:hAnsi="宋体"/>
          <w:color w:val="auto"/>
          <w:szCs w:val="21"/>
          <w:highlight w:val="none"/>
        </w:rPr>
      </w:pPr>
    </w:p>
    <w:p w14:paraId="71E2FD29">
      <w:pPr>
        <w:spacing w:line="276" w:lineRule="auto"/>
        <w:rPr>
          <w:rStyle w:val="127"/>
          <w:rFonts w:ascii="宋体" w:hAnsi="宋体"/>
          <w:b/>
          <w:bCs/>
          <w:color w:val="auto"/>
          <w:szCs w:val="21"/>
          <w:highlight w:val="none"/>
        </w:rPr>
      </w:pPr>
    </w:p>
    <w:p w14:paraId="0ABA0C41">
      <w:pPr>
        <w:spacing w:line="276" w:lineRule="auto"/>
        <w:rPr>
          <w:rStyle w:val="127"/>
          <w:rFonts w:ascii="宋体" w:hAnsi="宋体"/>
          <w:b/>
          <w:bCs/>
          <w:color w:val="auto"/>
          <w:szCs w:val="21"/>
          <w:highlight w:val="none"/>
        </w:rPr>
      </w:pPr>
    </w:p>
    <w:p w14:paraId="1E68F4FF">
      <w:pPr>
        <w:spacing w:line="276" w:lineRule="auto"/>
        <w:rPr>
          <w:rStyle w:val="127"/>
          <w:rFonts w:ascii="宋体" w:hAnsi="宋体"/>
          <w:b/>
          <w:bCs/>
          <w:color w:val="auto"/>
          <w:szCs w:val="21"/>
          <w:highlight w:val="none"/>
        </w:rPr>
      </w:pPr>
    </w:p>
    <w:p w14:paraId="1143B6C4">
      <w:pPr>
        <w:rPr>
          <w:rStyle w:val="127"/>
          <w:rFonts w:ascii="宋体" w:hAnsi="宋体"/>
          <w:b/>
          <w:bCs/>
          <w:color w:val="auto"/>
          <w:szCs w:val="21"/>
          <w:highlight w:val="none"/>
        </w:rPr>
      </w:pPr>
      <w:r>
        <w:rPr>
          <w:rStyle w:val="127"/>
          <w:rFonts w:hint="eastAsia" w:ascii="宋体" w:hAnsi="宋体"/>
          <w:b/>
          <w:bCs/>
          <w:color w:val="auto"/>
          <w:szCs w:val="21"/>
          <w:highlight w:val="none"/>
        </w:rPr>
        <w:br w:type="page"/>
      </w:r>
      <w:r>
        <w:rPr>
          <w:rStyle w:val="127"/>
          <w:rFonts w:hint="eastAsia" w:ascii="宋体" w:hAnsi="宋体"/>
          <w:b/>
          <w:bCs/>
          <w:color w:val="auto"/>
          <w:szCs w:val="21"/>
          <w:highlight w:val="none"/>
        </w:rPr>
        <w:t>附件1：</w:t>
      </w:r>
    </w:p>
    <w:p w14:paraId="1606EFFF">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评标委员会成员声明</w:t>
      </w:r>
    </w:p>
    <w:p w14:paraId="3C49E77A">
      <w:pPr>
        <w:widowControl w:val="0"/>
        <w:spacing w:line="360" w:lineRule="auto"/>
        <w:textAlignment w:val="auto"/>
        <w:rPr>
          <w:rFonts w:hint="eastAsia" w:ascii="宋体" w:hAnsi="宋体"/>
          <w:color w:val="auto"/>
          <w:szCs w:val="21"/>
          <w:highlight w:val="none"/>
        </w:rPr>
      </w:pPr>
      <w:r>
        <w:rPr>
          <w:rFonts w:hint="eastAsia" w:ascii="宋体" w:hAnsi="宋体"/>
          <w:color w:val="auto"/>
          <w:szCs w:val="21"/>
          <w:highlight w:val="none"/>
          <w:u w:val="single"/>
        </w:rPr>
        <w:t xml:space="preserve">   本项目招标人  </w:t>
      </w:r>
      <w:r>
        <w:rPr>
          <w:rFonts w:hint="eastAsia" w:ascii="宋体" w:hAnsi="宋体"/>
          <w:color w:val="auto"/>
          <w:szCs w:val="21"/>
          <w:highlight w:val="none"/>
        </w:rPr>
        <w:t>：</w:t>
      </w:r>
    </w:p>
    <w:p w14:paraId="2760A452">
      <w:pPr>
        <w:widowControl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本人就参与</w:t>
      </w:r>
      <w:r>
        <w:rPr>
          <w:rFonts w:hint="eastAsia" w:ascii="宋体" w:hAnsi="宋体"/>
          <w:color w:val="auto"/>
          <w:szCs w:val="21"/>
          <w:highlight w:val="none"/>
          <w:u w:val="single"/>
        </w:rPr>
        <w:t xml:space="preserve">               </w:t>
      </w:r>
      <w:r>
        <w:rPr>
          <w:rFonts w:hint="eastAsia" w:ascii="宋体" w:hAnsi="宋体"/>
          <w:color w:val="auto"/>
          <w:szCs w:val="21"/>
          <w:highlight w:val="none"/>
        </w:rPr>
        <w:t>项目的评标工作，作出郑重声明：</w:t>
      </w:r>
    </w:p>
    <w:p w14:paraId="0F842E99">
      <w:pPr>
        <w:widowControl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299AC1FD">
      <w:pPr>
        <w:widowControl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3336798F">
      <w:pPr>
        <w:widowControl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7A7759D5">
      <w:pPr>
        <w:widowControl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46D6014F">
      <w:pPr>
        <w:widowControl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6FE4183F">
      <w:pPr>
        <w:widowControl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如果本人违反上述声明内容，造成的后果由本人自行承担。</w:t>
      </w:r>
    </w:p>
    <w:p w14:paraId="4257D3B2">
      <w:pPr>
        <w:widowControl w:val="0"/>
        <w:spacing w:line="360" w:lineRule="auto"/>
        <w:ind w:firstLine="420" w:firstLineChars="200"/>
        <w:textAlignment w:val="auto"/>
        <w:rPr>
          <w:rFonts w:hint="eastAsia" w:ascii="宋体" w:hAnsi="宋体"/>
          <w:color w:val="auto"/>
          <w:szCs w:val="21"/>
          <w:highlight w:val="none"/>
        </w:rPr>
      </w:pPr>
    </w:p>
    <w:p w14:paraId="76803556">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声明人：</w:t>
      </w:r>
      <w:r>
        <w:rPr>
          <w:rFonts w:hint="eastAsia" w:ascii="宋体" w:hAnsi="宋体"/>
          <w:color w:val="auto"/>
          <w:szCs w:val="21"/>
          <w:highlight w:val="none"/>
          <w:u w:val="single"/>
        </w:rPr>
        <w:t xml:space="preserve">（签名）  </w:t>
      </w:r>
    </w:p>
    <w:p w14:paraId="00EDB81C">
      <w:pPr>
        <w:rPr>
          <w:rStyle w:val="127"/>
          <w:rFonts w:ascii="宋体" w:hAnsi="宋体"/>
          <w:b/>
          <w:bCs/>
          <w:color w:val="auto"/>
          <w:sz w:val="24"/>
          <w:szCs w:val="24"/>
          <w:highlight w:val="none"/>
        </w:rPr>
      </w:pPr>
      <w:r>
        <w:rPr>
          <w:rStyle w:val="127"/>
          <w:rFonts w:hint="eastAsia" w:ascii="宋体" w:hAnsi="宋体"/>
          <w:b/>
          <w:bCs/>
          <w:color w:val="auto"/>
          <w:szCs w:val="21"/>
          <w:highlight w:val="none"/>
        </w:rPr>
        <w:br w:type="page"/>
      </w:r>
      <w:r>
        <w:rPr>
          <w:rStyle w:val="127"/>
          <w:rFonts w:ascii="宋体" w:hAnsi="宋体"/>
          <w:b/>
          <w:bCs/>
          <w:color w:val="auto"/>
          <w:szCs w:val="21"/>
          <w:highlight w:val="none"/>
        </w:rPr>
        <w:t>附表一：</w:t>
      </w:r>
    </w:p>
    <w:p w14:paraId="483E5F9C">
      <w:pPr>
        <w:spacing w:line="276" w:lineRule="auto"/>
        <w:jc w:val="center"/>
        <w:rPr>
          <w:rStyle w:val="127"/>
          <w:rFonts w:ascii="宋体" w:hAnsi="宋体"/>
          <w:b/>
          <w:color w:val="auto"/>
          <w:sz w:val="32"/>
          <w:szCs w:val="32"/>
          <w:highlight w:val="none"/>
        </w:rPr>
      </w:pPr>
      <w:r>
        <w:rPr>
          <w:rStyle w:val="127"/>
          <w:rFonts w:ascii="宋体" w:hAnsi="宋体"/>
          <w:b/>
          <w:color w:val="auto"/>
          <w:sz w:val="32"/>
          <w:szCs w:val="32"/>
          <w:highlight w:val="none"/>
        </w:rPr>
        <w:t>资格审查表</w:t>
      </w:r>
    </w:p>
    <w:p w14:paraId="29EDF904">
      <w:pPr>
        <w:spacing w:line="276" w:lineRule="auto"/>
        <w:rPr>
          <w:rStyle w:val="127"/>
          <w:rFonts w:ascii="宋体" w:hAnsi="宋体"/>
          <w:color w:val="auto"/>
          <w:szCs w:val="21"/>
          <w:highlight w:val="none"/>
        </w:rPr>
      </w:pPr>
      <w:r>
        <w:rPr>
          <w:rStyle w:val="127"/>
          <w:rFonts w:ascii="宋体" w:hAnsi="宋体"/>
          <w:color w:val="auto"/>
          <w:szCs w:val="21"/>
          <w:highlight w:val="none"/>
        </w:rPr>
        <w:t>工程名称：</w:t>
      </w:r>
    </w:p>
    <w:p w14:paraId="7FB1981A">
      <w:pPr>
        <w:spacing w:line="276" w:lineRule="auto"/>
        <w:rPr>
          <w:rStyle w:val="127"/>
          <w:rFonts w:ascii="宋体" w:hAnsi="宋体"/>
          <w:color w:val="auto"/>
          <w:szCs w:val="21"/>
          <w:highlight w:val="none"/>
        </w:rPr>
      </w:pPr>
      <w:r>
        <w:rPr>
          <w:rStyle w:val="127"/>
          <w:rFonts w:ascii="宋体" w:hAnsi="宋体"/>
          <w:color w:val="auto"/>
          <w:szCs w:val="21"/>
          <w:highlight w:val="none"/>
        </w:rPr>
        <w:t>投标人名称：</w:t>
      </w:r>
    </w:p>
    <w:tbl>
      <w:tblPr>
        <w:tblStyle w:val="27"/>
        <w:tblW w:w="9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4"/>
        <w:gridCol w:w="3547"/>
        <w:gridCol w:w="4037"/>
        <w:gridCol w:w="911"/>
      </w:tblGrid>
      <w:tr w14:paraId="63819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41B94329">
            <w:pPr>
              <w:spacing w:before="120" w:after="60" w:line="276" w:lineRule="auto"/>
              <w:ind w:left="62" w:right="62"/>
              <w:jc w:val="center"/>
              <w:rPr>
                <w:rStyle w:val="127"/>
                <w:rFonts w:ascii="宋体" w:hAnsi="宋体"/>
                <w:b/>
                <w:color w:val="auto"/>
                <w:szCs w:val="21"/>
                <w:highlight w:val="none"/>
              </w:rPr>
            </w:pPr>
            <w:r>
              <w:rPr>
                <w:rStyle w:val="127"/>
                <w:rFonts w:ascii="宋体" w:hAnsi="宋体"/>
                <w:b/>
                <w:color w:val="auto"/>
                <w:szCs w:val="21"/>
                <w:highlight w:val="none"/>
              </w:rPr>
              <w:t>序号</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4B0552F1">
            <w:pPr>
              <w:spacing w:before="120" w:after="60" w:line="276" w:lineRule="auto"/>
              <w:ind w:left="62" w:right="62"/>
              <w:jc w:val="center"/>
              <w:rPr>
                <w:rStyle w:val="127"/>
                <w:rFonts w:ascii="宋体" w:hAnsi="宋体"/>
                <w:b/>
                <w:color w:val="auto"/>
                <w:szCs w:val="21"/>
                <w:highlight w:val="none"/>
              </w:rPr>
            </w:pPr>
            <w:r>
              <w:rPr>
                <w:rStyle w:val="127"/>
                <w:rFonts w:ascii="宋体" w:hAnsi="宋体"/>
                <w:b/>
                <w:color w:val="auto"/>
                <w:szCs w:val="21"/>
                <w:highlight w:val="none"/>
              </w:rPr>
              <w:t>审查项目</w:t>
            </w:r>
          </w:p>
        </w:tc>
        <w:tc>
          <w:tcPr>
            <w:tcW w:w="4037" w:type="dxa"/>
            <w:tcBorders>
              <w:top w:val="single" w:color="000000" w:sz="4" w:space="0"/>
              <w:left w:val="single" w:color="000000" w:sz="4" w:space="0"/>
              <w:bottom w:val="single" w:color="000000" w:sz="4" w:space="0"/>
              <w:right w:val="single" w:color="000000" w:sz="4" w:space="0"/>
            </w:tcBorders>
            <w:noWrap w:val="0"/>
            <w:vAlign w:val="center"/>
          </w:tcPr>
          <w:p w14:paraId="60303515">
            <w:pPr>
              <w:spacing w:before="120" w:after="60" w:line="276" w:lineRule="auto"/>
              <w:ind w:left="62" w:right="62"/>
              <w:jc w:val="center"/>
              <w:rPr>
                <w:rStyle w:val="127"/>
                <w:rFonts w:ascii="宋体" w:hAnsi="宋体"/>
                <w:b/>
                <w:color w:val="auto"/>
                <w:szCs w:val="21"/>
                <w:highlight w:val="none"/>
              </w:rPr>
            </w:pPr>
            <w:r>
              <w:rPr>
                <w:rStyle w:val="127"/>
                <w:rFonts w:ascii="宋体" w:hAnsi="宋体"/>
                <w:b/>
                <w:color w:val="auto"/>
                <w:szCs w:val="21"/>
                <w:highlight w:val="none"/>
              </w:rPr>
              <w:t>须审查的资料</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60978F96">
            <w:pPr>
              <w:spacing w:before="120" w:after="60" w:line="276" w:lineRule="auto"/>
              <w:ind w:left="62" w:right="62"/>
              <w:jc w:val="center"/>
              <w:rPr>
                <w:rStyle w:val="127"/>
                <w:rFonts w:hint="eastAsia" w:ascii="宋体" w:hAnsi="宋体"/>
                <w:b/>
                <w:color w:val="auto"/>
                <w:szCs w:val="21"/>
                <w:highlight w:val="none"/>
              </w:rPr>
            </w:pPr>
            <w:r>
              <w:rPr>
                <w:rStyle w:val="127"/>
                <w:rFonts w:ascii="宋体" w:hAnsi="宋体"/>
                <w:b/>
                <w:color w:val="auto"/>
                <w:szCs w:val="21"/>
                <w:highlight w:val="none"/>
              </w:rPr>
              <w:t>审查</w:t>
            </w:r>
          </w:p>
          <w:p w14:paraId="4879A68B">
            <w:pPr>
              <w:spacing w:before="120" w:after="60" w:line="276" w:lineRule="auto"/>
              <w:ind w:left="62" w:right="62"/>
              <w:jc w:val="center"/>
              <w:rPr>
                <w:rStyle w:val="127"/>
                <w:rFonts w:ascii="宋体" w:hAnsi="宋体"/>
                <w:b/>
                <w:color w:val="auto"/>
                <w:szCs w:val="21"/>
                <w:highlight w:val="none"/>
              </w:rPr>
            </w:pPr>
            <w:r>
              <w:rPr>
                <w:rStyle w:val="127"/>
                <w:rFonts w:ascii="宋体" w:hAnsi="宋体"/>
                <w:b/>
                <w:color w:val="auto"/>
                <w:szCs w:val="21"/>
                <w:highlight w:val="none"/>
              </w:rPr>
              <w:t>结果</w:t>
            </w:r>
          </w:p>
        </w:tc>
      </w:tr>
      <w:tr w14:paraId="129E8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51B27A56">
            <w:pPr>
              <w:spacing w:before="120" w:after="60"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1</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46954DEE">
            <w:pPr>
              <w:spacing w:before="120" w:after="60" w:line="276" w:lineRule="auto"/>
              <w:ind w:left="62" w:right="62"/>
              <w:jc w:val="left"/>
              <w:rPr>
                <w:rStyle w:val="127"/>
                <w:rFonts w:ascii="宋体" w:hAnsi="宋体"/>
                <w:color w:val="auto"/>
                <w:szCs w:val="21"/>
                <w:highlight w:val="none"/>
              </w:rPr>
            </w:pPr>
            <w:r>
              <w:rPr>
                <w:rStyle w:val="127"/>
                <w:rFonts w:ascii="宋体" w:hAnsi="宋体"/>
                <w:color w:val="auto"/>
                <w:szCs w:val="21"/>
                <w:highlight w:val="none"/>
              </w:rPr>
              <w:t>投标人参加投标的意思表达清楚，投标人代表被授权有效</w:t>
            </w:r>
          </w:p>
        </w:tc>
        <w:tc>
          <w:tcPr>
            <w:tcW w:w="4037" w:type="dxa"/>
            <w:tcBorders>
              <w:top w:val="single" w:color="000000" w:sz="4" w:space="0"/>
              <w:left w:val="single" w:color="000000" w:sz="4" w:space="0"/>
              <w:bottom w:val="single" w:color="000000" w:sz="4" w:space="0"/>
              <w:right w:val="single" w:color="000000" w:sz="4" w:space="0"/>
            </w:tcBorders>
            <w:noWrap w:val="0"/>
            <w:vAlign w:val="center"/>
          </w:tcPr>
          <w:p w14:paraId="5EA3FBA9">
            <w:pPr>
              <w:spacing w:before="120" w:after="60" w:line="276" w:lineRule="auto"/>
              <w:ind w:left="62" w:right="62"/>
              <w:jc w:val="left"/>
              <w:rPr>
                <w:rStyle w:val="127"/>
                <w:rFonts w:ascii="宋体" w:hAnsi="宋体"/>
                <w:color w:val="auto"/>
                <w:szCs w:val="21"/>
                <w:highlight w:val="none"/>
              </w:rPr>
            </w:pPr>
            <w:r>
              <w:rPr>
                <w:rStyle w:val="127"/>
                <w:rFonts w:ascii="宋体" w:hAnsi="宋体"/>
                <w:color w:val="auto"/>
                <w:szCs w:val="21"/>
                <w:highlight w:val="none"/>
              </w:rPr>
              <w:t>投标人声明、法定代表人证明书；委托投标的还应提供法人授权委托证明书</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671B49F3">
            <w:pPr>
              <w:spacing w:before="120" w:after="60" w:line="276" w:lineRule="auto"/>
              <w:ind w:left="62" w:right="62"/>
              <w:jc w:val="center"/>
              <w:rPr>
                <w:rStyle w:val="127"/>
                <w:rFonts w:ascii="宋体" w:hAnsi="宋体"/>
                <w:color w:val="auto"/>
                <w:szCs w:val="21"/>
                <w:highlight w:val="none"/>
              </w:rPr>
            </w:pPr>
          </w:p>
        </w:tc>
      </w:tr>
      <w:tr w14:paraId="26C7F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40A1CA21">
            <w:pPr>
              <w:spacing w:before="120" w:after="60"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2</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435AE309">
            <w:pPr>
              <w:spacing w:before="120" w:after="60" w:line="276" w:lineRule="auto"/>
              <w:ind w:left="62" w:right="62"/>
              <w:jc w:val="left"/>
              <w:rPr>
                <w:rStyle w:val="127"/>
                <w:rFonts w:ascii="宋体" w:hAnsi="宋体"/>
                <w:color w:val="auto"/>
                <w:szCs w:val="21"/>
                <w:highlight w:val="none"/>
              </w:rPr>
            </w:pPr>
            <w:r>
              <w:rPr>
                <w:rStyle w:val="127"/>
                <w:rFonts w:ascii="宋体" w:hAnsi="宋体"/>
                <w:color w:val="auto"/>
                <w:szCs w:val="21"/>
                <w:highlight w:val="none"/>
              </w:rPr>
              <w:t>投标人均具有独立法人资格，按国家法律经营</w:t>
            </w:r>
          </w:p>
        </w:tc>
        <w:tc>
          <w:tcPr>
            <w:tcW w:w="4037" w:type="dxa"/>
            <w:tcBorders>
              <w:top w:val="single" w:color="000000" w:sz="4" w:space="0"/>
              <w:left w:val="single" w:color="000000" w:sz="4" w:space="0"/>
              <w:bottom w:val="single" w:color="000000" w:sz="4" w:space="0"/>
              <w:right w:val="single" w:color="000000" w:sz="4" w:space="0"/>
            </w:tcBorders>
            <w:noWrap w:val="0"/>
            <w:vAlign w:val="center"/>
          </w:tcPr>
          <w:p w14:paraId="6A0C73A9">
            <w:pPr>
              <w:spacing w:before="120" w:after="60" w:line="276" w:lineRule="auto"/>
              <w:ind w:left="62" w:right="62"/>
              <w:jc w:val="left"/>
              <w:rPr>
                <w:rStyle w:val="127"/>
                <w:rFonts w:ascii="宋体" w:hAnsi="宋体"/>
                <w:color w:val="auto"/>
                <w:szCs w:val="21"/>
                <w:highlight w:val="none"/>
              </w:rPr>
            </w:pPr>
            <w:r>
              <w:rPr>
                <w:rStyle w:val="127"/>
                <w:rFonts w:hint="eastAsia" w:ascii="宋体" w:hAnsi="宋体"/>
                <w:color w:val="auto"/>
                <w:szCs w:val="21"/>
                <w:highlight w:val="none"/>
              </w:rPr>
              <w:t>营业执照扫描件或电子证照</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424A6367">
            <w:pPr>
              <w:spacing w:before="120" w:after="60" w:line="276" w:lineRule="auto"/>
              <w:ind w:left="62" w:right="62"/>
              <w:jc w:val="center"/>
              <w:rPr>
                <w:rStyle w:val="127"/>
                <w:rFonts w:ascii="宋体" w:hAnsi="宋体"/>
                <w:color w:val="auto"/>
                <w:szCs w:val="21"/>
                <w:highlight w:val="none"/>
              </w:rPr>
            </w:pPr>
          </w:p>
        </w:tc>
      </w:tr>
      <w:tr w14:paraId="7EAA2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64ADF662">
            <w:pPr>
              <w:spacing w:before="120" w:after="60"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3</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36ABBF6F">
            <w:pPr>
              <w:spacing w:before="120" w:after="60" w:line="276" w:lineRule="auto"/>
              <w:ind w:left="62" w:right="62"/>
              <w:jc w:val="left"/>
              <w:rPr>
                <w:rStyle w:val="127"/>
                <w:rFonts w:ascii="宋体" w:hAnsi="宋体"/>
                <w:color w:val="auto"/>
                <w:szCs w:val="21"/>
                <w:highlight w:val="none"/>
              </w:rPr>
            </w:pPr>
            <w:r>
              <w:rPr>
                <w:rStyle w:val="127"/>
                <w:rFonts w:hint="eastAsia" w:ascii="宋体" w:hAnsi="宋体"/>
                <w:color w:val="auto"/>
                <w:szCs w:val="21"/>
                <w:highlight w:val="none"/>
              </w:rPr>
              <w:t>投标人均持有建设行政主管部门颁发有效期内的企业资质证书及安全生产许可证；投标人资质符合公告要求</w:t>
            </w:r>
          </w:p>
        </w:tc>
        <w:tc>
          <w:tcPr>
            <w:tcW w:w="4037" w:type="dxa"/>
            <w:tcBorders>
              <w:top w:val="single" w:color="000000" w:sz="4" w:space="0"/>
              <w:left w:val="single" w:color="000000" w:sz="4" w:space="0"/>
              <w:bottom w:val="single" w:color="000000" w:sz="4" w:space="0"/>
              <w:right w:val="single" w:color="000000" w:sz="4" w:space="0"/>
            </w:tcBorders>
            <w:noWrap w:val="0"/>
            <w:vAlign w:val="center"/>
          </w:tcPr>
          <w:p w14:paraId="6159030D">
            <w:pPr>
              <w:spacing w:before="120" w:after="60" w:line="276" w:lineRule="auto"/>
              <w:ind w:left="62" w:right="62"/>
              <w:jc w:val="left"/>
              <w:rPr>
                <w:rStyle w:val="127"/>
                <w:rFonts w:ascii="宋体" w:hAnsi="宋体"/>
                <w:color w:val="auto"/>
                <w:szCs w:val="21"/>
                <w:highlight w:val="none"/>
              </w:rPr>
            </w:pPr>
            <w:r>
              <w:rPr>
                <w:rStyle w:val="127"/>
                <w:rFonts w:hint="eastAsia" w:ascii="宋体" w:hAnsi="宋体"/>
                <w:color w:val="auto"/>
                <w:szCs w:val="21"/>
                <w:highlight w:val="none"/>
              </w:rPr>
              <w:t>资质证书扫描件或电子证照、安全生产许可证扫描件或电子证照</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1F85099D">
            <w:pPr>
              <w:spacing w:before="120" w:after="60" w:line="276" w:lineRule="auto"/>
              <w:ind w:left="62" w:right="62"/>
              <w:jc w:val="center"/>
              <w:rPr>
                <w:rStyle w:val="127"/>
                <w:rFonts w:ascii="宋体" w:hAnsi="宋体"/>
                <w:color w:val="auto"/>
                <w:szCs w:val="21"/>
                <w:highlight w:val="none"/>
              </w:rPr>
            </w:pPr>
          </w:p>
        </w:tc>
      </w:tr>
      <w:tr w14:paraId="1F0F3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32B5420F">
            <w:pPr>
              <w:spacing w:before="120" w:after="60"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4</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35FDC3BD">
            <w:pPr>
              <w:spacing w:before="120" w:after="60" w:line="276" w:lineRule="auto"/>
              <w:ind w:left="62" w:right="62"/>
              <w:jc w:val="left"/>
              <w:rPr>
                <w:rStyle w:val="127"/>
                <w:rFonts w:ascii="宋体" w:hAnsi="宋体"/>
                <w:color w:val="auto"/>
                <w:szCs w:val="21"/>
                <w:highlight w:val="none"/>
              </w:rPr>
            </w:pPr>
            <w:r>
              <w:rPr>
                <w:rStyle w:val="127"/>
                <w:rFonts w:ascii="宋体" w:hAnsi="宋体"/>
                <w:color w:val="auto"/>
                <w:szCs w:val="21"/>
                <w:highlight w:val="none"/>
              </w:rPr>
              <w:t>投标人拟担任本工程项目负责人符合公告要求</w:t>
            </w:r>
          </w:p>
        </w:tc>
        <w:tc>
          <w:tcPr>
            <w:tcW w:w="4037" w:type="dxa"/>
            <w:tcBorders>
              <w:top w:val="single" w:color="000000" w:sz="4" w:space="0"/>
              <w:left w:val="single" w:color="000000" w:sz="4" w:space="0"/>
              <w:bottom w:val="single" w:color="000000" w:sz="4" w:space="0"/>
              <w:right w:val="single" w:color="000000" w:sz="4" w:space="0"/>
            </w:tcBorders>
            <w:noWrap w:val="0"/>
            <w:vAlign w:val="center"/>
          </w:tcPr>
          <w:p w14:paraId="65A457A2">
            <w:pPr>
              <w:spacing w:before="120" w:after="60" w:line="276" w:lineRule="auto"/>
              <w:ind w:left="62" w:right="62"/>
              <w:jc w:val="left"/>
              <w:rPr>
                <w:rStyle w:val="127"/>
                <w:color w:val="auto"/>
                <w:highlight w:val="none"/>
              </w:rPr>
            </w:pPr>
            <w:r>
              <w:rPr>
                <w:rStyle w:val="127"/>
                <w:rFonts w:hint="eastAsia"/>
                <w:color w:val="auto"/>
                <w:highlight w:val="none"/>
              </w:rPr>
              <w:t>有效期内的建造师注册证书扫描件或电子证书（注：打印建造师电子证书后，在个人签名处手写本人签名再扫描提交。）</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070F0400">
            <w:pPr>
              <w:spacing w:before="120" w:after="60" w:line="276" w:lineRule="auto"/>
              <w:ind w:left="62" w:right="62"/>
              <w:jc w:val="center"/>
              <w:rPr>
                <w:rStyle w:val="127"/>
                <w:rFonts w:ascii="宋体" w:hAnsi="宋体"/>
                <w:color w:val="auto"/>
                <w:szCs w:val="21"/>
                <w:highlight w:val="none"/>
              </w:rPr>
            </w:pPr>
          </w:p>
        </w:tc>
      </w:tr>
      <w:tr w14:paraId="7F7F9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6A8E569A">
            <w:pPr>
              <w:spacing w:before="120" w:after="60"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5</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75A494EC">
            <w:pPr>
              <w:spacing w:before="120" w:after="60" w:line="276" w:lineRule="auto"/>
              <w:ind w:left="62" w:right="62"/>
              <w:jc w:val="left"/>
              <w:rPr>
                <w:rStyle w:val="127"/>
                <w:rFonts w:ascii="宋体" w:hAnsi="宋体"/>
                <w:color w:val="auto"/>
                <w:szCs w:val="21"/>
                <w:highlight w:val="none"/>
              </w:rPr>
            </w:pPr>
            <w:r>
              <w:rPr>
                <w:rStyle w:val="127"/>
                <w:rFonts w:hint="eastAsia" w:ascii="宋体" w:hAnsi="宋体"/>
                <w:color w:val="auto"/>
                <w:szCs w:val="21"/>
                <w:highlight w:val="none"/>
              </w:rPr>
              <w:t>持有项目负责人安全生产考核合格证（B类）或建筑施工企业项目负责人安全生产考核合格证</w:t>
            </w:r>
          </w:p>
        </w:tc>
        <w:tc>
          <w:tcPr>
            <w:tcW w:w="4037" w:type="dxa"/>
            <w:tcBorders>
              <w:top w:val="single" w:color="000000" w:sz="4" w:space="0"/>
              <w:left w:val="single" w:color="000000" w:sz="4" w:space="0"/>
              <w:bottom w:val="single" w:color="000000" w:sz="4" w:space="0"/>
              <w:right w:val="single" w:color="000000" w:sz="4" w:space="0"/>
            </w:tcBorders>
            <w:noWrap w:val="0"/>
            <w:vAlign w:val="center"/>
          </w:tcPr>
          <w:p w14:paraId="349E8941">
            <w:pPr>
              <w:spacing w:before="120" w:after="60" w:line="276" w:lineRule="auto"/>
              <w:ind w:left="62" w:right="62"/>
              <w:jc w:val="left"/>
              <w:rPr>
                <w:rStyle w:val="127"/>
                <w:rFonts w:ascii="宋体" w:hAnsi="宋体"/>
                <w:color w:val="auto"/>
                <w:szCs w:val="21"/>
                <w:highlight w:val="none"/>
              </w:rPr>
            </w:pPr>
            <w:r>
              <w:rPr>
                <w:rStyle w:val="127"/>
                <w:rFonts w:hint="eastAsia" w:ascii="宋体" w:hAnsi="宋体"/>
                <w:color w:val="auto"/>
                <w:szCs w:val="21"/>
                <w:highlight w:val="none"/>
              </w:rPr>
              <w:t>项目负责人安全生产考核合格证（B类）或建筑施工企业项目负责人安全生产考核合格证证书扫描件或电子证书</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3020F12F">
            <w:pPr>
              <w:spacing w:before="120" w:after="60" w:line="276" w:lineRule="auto"/>
              <w:ind w:left="62" w:right="62"/>
              <w:jc w:val="center"/>
              <w:rPr>
                <w:rStyle w:val="127"/>
                <w:rFonts w:ascii="宋体" w:hAnsi="宋体"/>
                <w:color w:val="auto"/>
                <w:szCs w:val="21"/>
                <w:highlight w:val="none"/>
              </w:rPr>
            </w:pPr>
          </w:p>
        </w:tc>
      </w:tr>
      <w:tr w14:paraId="0B6F9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72056C86">
            <w:pPr>
              <w:spacing w:before="120" w:after="60" w:line="276" w:lineRule="auto"/>
              <w:ind w:left="62" w:right="62"/>
              <w:jc w:val="center"/>
              <w:rPr>
                <w:rStyle w:val="127"/>
                <w:rFonts w:hint="eastAsia" w:ascii="宋体" w:hAnsi="宋体"/>
                <w:color w:val="auto"/>
                <w:szCs w:val="21"/>
                <w:highlight w:val="none"/>
              </w:rPr>
            </w:pPr>
            <w:r>
              <w:rPr>
                <w:rStyle w:val="127"/>
                <w:rFonts w:hint="eastAsia" w:ascii="宋体" w:hAnsi="宋体"/>
                <w:color w:val="auto"/>
                <w:szCs w:val="21"/>
                <w:highlight w:val="none"/>
              </w:rPr>
              <w:t>6</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16CF2E3D">
            <w:pPr>
              <w:spacing w:before="120" w:after="60" w:line="276" w:lineRule="auto"/>
              <w:ind w:left="62" w:right="62"/>
              <w:jc w:val="left"/>
              <w:rPr>
                <w:rStyle w:val="127"/>
                <w:rFonts w:ascii="宋体" w:hAnsi="宋体"/>
                <w:color w:val="auto"/>
                <w:szCs w:val="21"/>
                <w:highlight w:val="none"/>
              </w:rPr>
            </w:pPr>
            <w:r>
              <w:rPr>
                <w:rStyle w:val="127"/>
                <w:rFonts w:ascii="宋体" w:hAnsi="宋体"/>
                <w:color w:val="auto"/>
                <w:szCs w:val="21"/>
                <w:highlight w:val="none"/>
              </w:rPr>
              <w:t>投标人拟担任本工程技术负责人符合公告要求</w:t>
            </w:r>
          </w:p>
        </w:tc>
        <w:tc>
          <w:tcPr>
            <w:tcW w:w="4037" w:type="dxa"/>
            <w:tcBorders>
              <w:top w:val="single" w:color="000000" w:sz="4" w:space="0"/>
              <w:left w:val="single" w:color="000000" w:sz="4" w:space="0"/>
              <w:bottom w:val="single" w:color="000000" w:sz="4" w:space="0"/>
              <w:right w:val="single" w:color="000000" w:sz="4" w:space="0"/>
            </w:tcBorders>
            <w:noWrap w:val="0"/>
            <w:vAlign w:val="center"/>
          </w:tcPr>
          <w:p w14:paraId="54B5561A">
            <w:pPr>
              <w:spacing w:before="120" w:after="60" w:line="276" w:lineRule="auto"/>
              <w:ind w:left="62" w:right="62"/>
              <w:jc w:val="left"/>
              <w:rPr>
                <w:rStyle w:val="127"/>
                <w:rFonts w:hint="default" w:ascii="宋体" w:hAnsi="宋体" w:eastAsia="宋体"/>
                <w:color w:val="auto"/>
                <w:szCs w:val="21"/>
                <w:highlight w:val="none"/>
                <w:lang w:val="en-US" w:eastAsia="zh-CN"/>
              </w:rPr>
            </w:pPr>
            <w:r>
              <w:rPr>
                <w:rStyle w:val="127"/>
                <w:rFonts w:ascii="宋体" w:hAnsi="宋体"/>
                <w:color w:val="auto"/>
                <w:szCs w:val="21"/>
                <w:highlight w:val="none"/>
              </w:rPr>
              <w:t>拟委托技术负责人的</w:t>
            </w:r>
            <w:r>
              <w:rPr>
                <w:rStyle w:val="127"/>
                <w:rFonts w:hint="eastAsia" w:ascii="宋体" w:hAnsi="宋体"/>
                <w:color w:val="auto"/>
                <w:szCs w:val="21"/>
                <w:highlight w:val="none"/>
              </w:rPr>
              <w:t>职称</w:t>
            </w:r>
            <w:r>
              <w:rPr>
                <w:rStyle w:val="127"/>
                <w:rFonts w:ascii="宋体" w:hAnsi="宋体"/>
                <w:color w:val="auto"/>
                <w:szCs w:val="21"/>
                <w:highlight w:val="none"/>
              </w:rPr>
              <w:t>证书</w:t>
            </w:r>
            <w:r>
              <w:rPr>
                <w:rStyle w:val="127"/>
                <w:rFonts w:hint="eastAsia" w:ascii="宋体" w:hAnsi="宋体"/>
                <w:color w:val="auto"/>
                <w:szCs w:val="21"/>
                <w:highlight w:val="none"/>
              </w:rPr>
              <w:t>扫描件</w:t>
            </w:r>
            <w:r>
              <w:rPr>
                <w:rStyle w:val="127"/>
                <w:rFonts w:hint="eastAsia" w:ascii="宋体" w:hAnsi="宋体"/>
                <w:color w:val="auto"/>
                <w:szCs w:val="21"/>
                <w:highlight w:val="none"/>
                <w:lang w:val="en-US" w:eastAsia="zh-CN"/>
              </w:rPr>
              <w:t>或电子证书</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834AC73">
            <w:pPr>
              <w:spacing w:before="120" w:after="60" w:line="276" w:lineRule="auto"/>
              <w:ind w:left="62" w:right="62"/>
              <w:jc w:val="center"/>
              <w:rPr>
                <w:rStyle w:val="127"/>
                <w:rFonts w:ascii="宋体" w:hAnsi="宋体"/>
                <w:color w:val="auto"/>
                <w:szCs w:val="21"/>
                <w:highlight w:val="none"/>
              </w:rPr>
            </w:pPr>
          </w:p>
        </w:tc>
      </w:tr>
      <w:tr w14:paraId="4C616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58CBC697">
            <w:pPr>
              <w:spacing w:before="120" w:after="60" w:line="276" w:lineRule="auto"/>
              <w:ind w:left="62" w:right="62"/>
              <w:jc w:val="center"/>
              <w:rPr>
                <w:rStyle w:val="127"/>
                <w:rFonts w:hint="eastAsia" w:ascii="宋体" w:hAnsi="宋体"/>
                <w:color w:val="auto"/>
                <w:szCs w:val="21"/>
                <w:highlight w:val="none"/>
              </w:rPr>
            </w:pPr>
            <w:r>
              <w:rPr>
                <w:rStyle w:val="127"/>
                <w:rFonts w:hint="eastAsia" w:ascii="宋体" w:hAnsi="宋体"/>
                <w:color w:val="auto"/>
                <w:szCs w:val="21"/>
                <w:highlight w:val="none"/>
              </w:rPr>
              <w:t>7</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4EA3C4EE">
            <w:pPr>
              <w:spacing w:before="120" w:after="60" w:line="276" w:lineRule="auto"/>
              <w:ind w:left="62" w:right="62"/>
              <w:jc w:val="left"/>
              <w:rPr>
                <w:rStyle w:val="127"/>
                <w:rFonts w:ascii="宋体" w:hAnsi="宋体"/>
                <w:color w:val="auto"/>
                <w:szCs w:val="21"/>
                <w:highlight w:val="none"/>
              </w:rPr>
            </w:pPr>
            <w:r>
              <w:rPr>
                <w:rStyle w:val="127"/>
                <w:rFonts w:hint="eastAsia" w:ascii="宋体" w:hAnsi="宋体"/>
                <w:color w:val="auto"/>
                <w:szCs w:val="21"/>
                <w:highlight w:val="none"/>
              </w:rPr>
              <w:t>专职安全员须具有在有效期内的安全生产考核合格证（C类）或建筑施工企业专职安全生产管理人员安全生产考核合格证（C3）</w:t>
            </w:r>
          </w:p>
        </w:tc>
        <w:tc>
          <w:tcPr>
            <w:tcW w:w="4037" w:type="dxa"/>
            <w:tcBorders>
              <w:top w:val="single" w:color="000000" w:sz="4" w:space="0"/>
              <w:left w:val="single" w:color="000000" w:sz="4" w:space="0"/>
              <w:bottom w:val="single" w:color="000000" w:sz="4" w:space="0"/>
              <w:right w:val="single" w:color="000000" w:sz="4" w:space="0"/>
            </w:tcBorders>
            <w:noWrap w:val="0"/>
            <w:vAlign w:val="center"/>
          </w:tcPr>
          <w:p w14:paraId="647A56EE">
            <w:pPr>
              <w:spacing w:before="120" w:after="60" w:line="276" w:lineRule="auto"/>
              <w:ind w:left="62" w:right="62"/>
              <w:jc w:val="left"/>
              <w:rPr>
                <w:rStyle w:val="127"/>
                <w:rFonts w:ascii="宋体" w:hAnsi="宋体"/>
                <w:color w:val="auto"/>
                <w:szCs w:val="21"/>
                <w:highlight w:val="none"/>
              </w:rPr>
            </w:pPr>
            <w:r>
              <w:rPr>
                <w:rStyle w:val="127"/>
                <w:rFonts w:hint="eastAsia" w:ascii="宋体" w:hAnsi="宋体"/>
                <w:color w:val="auto"/>
                <w:szCs w:val="21"/>
                <w:highlight w:val="none"/>
              </w:rPr>
              <w:t>专职安全员须具有在有效期内的安全生产考核合格证（C类）或建筑施工企业专职安全生产管理人员安全生产考核合格证（C3）</w:t>
            </w:r>
            <w:r>
              <w:rPr>
                <w:rStyle w:val="127"/>
                <w:rFonts w:hint="eastAsia" w:ascii="宋体" w:hAnsi="宋体"/>
                <w:color w:val="auto"/>
                <w:highlight w:val="none"/>
              </w:rPr>
              <w:t>证书扫描件或电子证书</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52E8F29A">
            <w:pPr>
              <w:spacing w:before="120" w:after="60" w:line="276" w:lineRule="auto"/>
              <w:ind w:left="62" w:right="62"/>
              <w:jc w:val="center"/>
              <w:rPr>
                <w:rStyle w:val="127"/>
                <w:rFonts w:ascii="宋体" w:hAnsi="宋体"/>
                <w:color w:val="auto"/>
                <w:szCs w:val="21"/>
                <w:highlight w:val="none"/>
              </w:rPr>
            </w:pPr>
          </w:p>
        </w:tc>
      </w:tr>
      <w:tr w14:paraId="1AD06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66859800">
            <w:pPr>
              <w:spacing w:before="120" w:after="60" w:line="276" w:lineRule="auto"/>
              <w:ind w:left="62" w:right="62"/>
              <w:jc w:val="center"/>
              <w:rPr>
                <w:rStyle w:val="127"/>
                <w:rFonts w:hint="eastAsia" w:ascii="宋体" w:hAnsi="宋体"/>
                <w:color w:val="auto"/>
                <w:szCs w:val="21"/>
                <w:highlight w:val="none"/>
              </w:rPr>
            </w:pPr>
            <w:r>
              <w:rPr>
                <w:rStyle w:val="127"/>
                <w:rFonts w:ascii="宋体" w:hAnsi="宋体"/>
                <w:color w:val="auto"/>
                <w:szCs w:val="21"/>
                <w:highlight w:val="none"/>
              </w:rPr>
              <w:t>8</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02A0D92C">
            <w:pPr>
              <w:spacing w:before="120" w:after="60" w:line="276" w:lineRule="auto"/>
              <w:ind w:left="62" w:right="62"/>
              <w:jc w:val="left"/>
              <w:rPr>
                <w:rStyle w:val="127"/>
                <w:rFonts w:ascii="宋体" w:hAnsi="宋体"/>
                <w:color w:val="auto"/>
                <w:szCs w:val="21"/>
                <w:highlight w:val="none"/>
              </w:rPr>
            </w:pPr>
            <w:r>
              <w:rPr>
                <w:rStyle w:val="127"/>
                <w:rFonts w:ascii="宋体" w:hAnsi="宋体"/>
                <w:color w:val="auto"/>
                <w:szCs w:val="21"/>
                <w:highlight w:val="none"/>
              </w:rPr>
              <w:t>投标人提供的投标人声明符合公告要求</w:t>
            </w:r>
          </w:p>
        </w:tc>
        <w:tc>
          <w:tcPr>
            <w:tcW w:w="4037" w:type="dxa"/>
            <w:tcBorders>
              <w:top w:val="single" w:color="000000" w:sz="4" w:space="0"/>
              <w:left w:val="single" w:color="000000" w:sz="4" w:space="0"/>
              <w:bottom w:val="single" w:color="000000" w:sz="4" w:space="0"/>
              <w:right w:val="single" w:color="000000" w:sz="4" w:space="0"/>
            </w:tcBorders>
            <w:noWrap w:val="0"/>
            <w:vAlign w:val="center"/>
          </w:tcPr>
          <w:p w14:paraId="205674C4">
            <w:pPr>
              <w:spacing w:before="120" w:after="60" w:line="276" w:lineRule="auto"/>
              <w:ind w:left="62" w:right="62"/>
              <w:jc w:val="left"/>
              <w:rPr>
                <w:rStyle w:val="127"/>
                <w:rFonts w:ascii="宋体" w:hAnsi="宋体"/>
                <w:color w:val="auto"/>
                <w:szCs w:val="21"/>
                <w:highlight w:val="none"/>
              </w:rPr>
            </w:pPr>
            <w:r>
              <w:rPr>
                <w:rStyle w:val="127"/>
                <w:rFonts w:ascii="宋体" w:hAnsi="宋体"/>
                <w:color w:val="auto"/>
                <w:szCs w:val="21"/>
                <w:highlight w:val="none"/>
              </w:rPr>
              <w:t>投标人声明</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62B7EEE3">
            <w:pPr>
              <w:spacing w:before="120" w:after="60" w:line="276" w:lineRule="auto"/>
              <w:ind w:left="62" w:right="62"/>
              <w:jc w:val="center"/>
              <w:rPr>
                <w:rStyle w:val="127"/>
                <w:rFonts w:ascii="宋体" w:hAnsi="宋体"/>
                <w:color w:val="auto"/>
                <w:szCs w:val="21"/>
                <w:highlight w:val="none"/>
              </w:rPr>
            </w:pPr>
          </w:p>
        </w:tc>
      </w:tr>
      <w:tr w14:paraId="312E6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7F8B02D7">
            <w:pPr>
              <w:spacing w:before="120" w:after="60"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9</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0094B456">
            <w:pPr>
              <w:spacing w:before="120" w:after="60" w:line="276" w:lineRule="auto"/>
              <w:ind w:left="62" w:right="62"/>
              <w:jc w:val="left"/>
              <w:rPr>
                <w:rStyle w:val="127"/>
                <w:rFonts w:ascii="宋体" w:hAnsi="宋体"/>
                <w:color w:val="auto"/>
                <w:szCs w:val="21"/>
                <w:highlight w:val="none"/>
              </w:rPr>
            </w:pPr>
            <w:r>
              <w:rPr>
                <w:rStyle w:val="127"/>
                <w:rFonts w:ascii="宋体" w:hAnsi="宋体"/>
                <w:color w:val="auto"/>
                <w:szCs w:val="21"/>
                <w:highlight w:val="none"/>
              </w:rPr>
              <w:t>投标人声明中签字的项目负责人和技术负责人与本项目拟派的项目负责人和技术负责人一致</w:t>
            </w:r>
          </w:p>
        </w:tc>
        <w:tc>
          <w:tcPr>
            <w:tcW w:w="4037" w:type="dxa"/>
            <w:tcBorders>
              <w:top w:val="single" w:color="000000" w:sz="4" w:space="0"/>
              <w:left w:val="single" w:color="000000" w:sz="4" w:space="0"/>
              <w:bottom w:val="single" w:color="000000" w:sz="4" w:space="0"/>
              <w:right w:val="single" w:color="000000" w:sz="4" w:space="0"/>
            </w:tcBorders>
            <w:noWrap w:val="0"/>
            <w:vAlign w:val="center"/>
          </w:tcPr>
          <w:p w14:paraId="6BF7F1CC">
            <w:pPr>
              <w:spacing w:before="120" w:after="60" w:line="276" w:lineRule="auto"/>
              <w:ind w:left="62" w:right="62"/>
              <w:jc w:val="left"/>
              <w:rPr>
                <w:rStyle w:val="127"/>
                <w:rFonts w:ascii="宋体" w:hAnsi="宋体"/>
                <w:color w:val="auto"/>
                <w:szCs w:val="21"/>
                <w:highlight w:val="none"/>
              </w:rPr>
            </w:pPr>
            <w:r>
              <w:rPr>
                <w:rStyle w:val="127"/>
                <w:rFonts w:ascii="宋体" w:hAnsi="宋体"/>
                <w:color w:val="auto"/>
                <w:szCs w:val="21"/>
                <w:highlight w:val="none"/>
              </w:rPr>
              <w:t>网上投标时选择拟投标的项目负责人、资格审查文件中拟委派的技术负责人及投标人声明</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54CD898E">
            <w:pPr>
              <w:spacing w:before="120" w:after="60" w:line="276" w:lineRule="auto"/>
              <w:ind w:left="62" w:right="62"/>
              <w:jc w:val="center"/>
              <w:rPr>
                <w:rStyle w:val="127"/>
                <w:rFonts w:ascii="宋体" w:hAnsi="宋体"/>
                <w:color w:val="auto"/>
                <w:szCs w:val="21"/>
                <w:highlight w:val="none"/>
              </w:rPr>
            </w:pPr>
          </w:p>
        </w:tc>
      </w:tr>
      <w:tr w14:paraId="4CBF7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62C49503">
            <w:pPr>
              <w:spacing w:before="120" w:after="60" w:line="276" w:lineRule="auto"/>
              <w:ind w:left="62" w:right="62"/>
              <w:jc w:val="center"/>
              <w:rPr>
                <w:rStyle w:val="127"/>
                <w:rFonts w:ascii="宋体" w:hAnsi="宋体"/>
                <w:color w:val="auto"/>
                <w:szCs w:val="21"/>
                <w:highlight w:val="none"/>
              </w:rPr>
            </w:pPr>
            <w:r>
              <w:rPr>
                <w:rStyle w:val="127"/>
                <w:rFonts w:hint="eastAsia" w:ascii="宋体" w:hAnsi="宋体"/>
                <w:color w:val="auto"/>
                <w:szCs w:val="21"/>
                <w:highlight w:val="none"/>
              </w:rPr>
              <w:t>10</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17A4FBDA">
            <w:pPr>
              <w:spacing w:before="120" w:after="60" w:line="276" w:lineRule="auto"/>
              <w:ind w:left="62" w:right="62"/>
              <w:jc w:val="left"/>
              <w:rPr>
                <w:rStyle w:val="127"/>
                <w:rFonts w:ascii="宋体" w:hAnsi="宋体"/>
                <w:color w:val="auto"/>
                <w:szCs w:val="21"/>
                <w:highlight w:val="none"/>
              </w:rPr>
            </w:pPr>
            <w:r>
              <w:rPr>
                <w:rFonts w:hint="eastAsia" w:ascii="宋体" w:hAnsi="宋体"/>
                <w:color w:val="auto"/>
                <w:szCs w:val="21"/>
                <w:highlight w:val="none"/>
              </w:rPr>
              <w:t>本项目不接受联合体投标</w:t>
            </w:r>
          </w:p>
        </w:tc>
        <w:tc>
          <w:tcPr>
            <w:tcW w:w="4037" w:type="dxa"/>
            <w:tcBorders>
              <w:top w:val="single" w:color="000000" w:sz="4" w:space="0"/>
              <w:left w:val="single" w:color="000000" w:sz="4" w:space="0"/>
              <w:bottom w:val="single" w:color="000000" w:sz="4" w:space="0"/>
              <w:right w:val="single" w:color="000000" w:sz="4" w:space="0"/>
            </w:tcBorders>
            <w:noWrap w:val="0"/>
            <w:vAlign w:val="center"/>
          </w:tcPr>
          <w:p w14:paraId="2F0174B5">
            <w:pPr>
              <w:spacing w:before="120" w:after="60" w:line="276" w:lineRule="auto"/>
              <w:ind w:left="62" w:right="62"/>
              <w:jc w:val="left"/>
              <w:rPr>
                <w:rStyle w:val="127"/>
                <w:rFonts w:ascii="宋体" w:hAnsi="宋体"/>
                <w:color w:val="auto"/>
                <w:szCs w:val="21"/>
                <w:highlight w:val="none"/>
              </w:rPr>
            </w:pPr>
            <w:r>
              <w:rPr>
                <w:rFonts w:hint="eastAsia" w:ascii="宋体" w:hAnsi="宋体"/>
                <w:color w:val="auto"/>
                <w:highlight w:val="none"/>
              </w:rPr>
              <w:t>/</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0CF2B091">
            <w:pPr>
              <w:spacing w:before="120" w:after="60" w:line="276" w:lineRule="auto"/>
              <w:ind w:left="62" w:right="62"/>
              <w:jc w:val="center"/>
              <w:rPr>
                <w:rStyle w:val="127"/>
                <w:rFonts w:ascii="宋体" w:hAnsi="宋体"/>
                <w:color w:val="auto"/>
                <w:szCs w:val="21"/>
                <w:highlight w:val="none"/>
              </w:rPr>
            </w:pPr>
          </w:p>
        </w:tc>
      </w:tr>
      <w:tr w14:paraId="32A0B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46E0F07F">
            <w:pPr>
              <w:spacing w:before="120" w:after="60" w:line="276" w:lineRule="auto"/>
              <w:ind w:left="62" w:right="62"/>
              <w:jc w:val="center"/>
              <w:rPr>
                <w:rStyle w:val="127"/>
                <w:rFonts w:ascii="宋体" w:hAnsi="宋体"/>
                <w:color w:val="auto"/>
                <w:szCs w:val="21"/>
                <w:highlight w:val="none"/>
              </w:rPr>
            </w:pPr>
            <w:r>
              <w:rPr>
                <w:rStyle w:val="127"/>
                <w:rFonts w:hint="eastAsia" w:ascii="宋体" w:hAnsi="宋体"/>
                <w:color w:val="auto"/>
                <w:szCs w:val="21"/>
                <w:highlight w:val="none"/>
              </w:rPr>
              <w:t>11</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4A4FE778">
            <w:pPr>
              <w:spacing w:before="120" w:after="60" w:line="276" w:lineRule="auto"/>
              <w:ind w:left="62" w:right="62"/>
              <w:jc w:val="left"/>
              <w:rPr>
                <w:rStyle w:val="127"/>
                <w:rFonts w:ascii="宋体" w:hAnsi="宋体"/>
                <w:color w:val="auto"/>
                <w:szCs w:val="21"/>
                <w:highlight w:val="none"/>
              </w:rPr>
            </w:pPr>
            <w:r>
              <w:rPr>
                <w:rFonts w:hint="eastAsia" w:ascii="宋体" w:hAnsi="宋体"/>
                <w:bCs/>
                <w:color w:val="auto"/>
                <w:szCs w:val="21"/>
                <w:highlight w:val="none"/>
              </w:rPr>
              <w:t>资格审查前，投标人须在广州市住房和城乡建设局建立企业信用档案及拟担任本工程项目负责人、专职安全员须是本企业中的在册人员</w:t>
            </w:r>
          </w:p>
        </w:tc>
        <w:tc>
          <w:tcPr>
            <w:tcW w:w="4037" w:type="dxa"/>
            <w:tcBorders>
              <w:top w:val="single" w:color="000000" w:sz="4" w:space="0"/>
              <w:left w:val="single" w:color="000000" w:sz="4" w:space="0"/>
              <w:bottom w:val="single" w:color="000000" w:sz="4" w:space="0"/>
              <w:right w:val="single" w:color="000000" w:sz="4" w:space="0"/>
            </w:tcBorders>
            <w:noWrap w:val="0"/>
            <w:vAlign w:val="center"/>
          </w:tcPr>
          <w:p w14:paraId="35ECA4FE">
            <w:pPr>
              <w:spacing w:before="120" w:after="60" w:line="276" w:lineRule="auto"/>
              <w:ind w:left="62" w:right="62"/>
              <w:jc w:val="left"/>
              <w:rPr>
                <w:rStyle w:val="127"/>
                <w:rFonts w:ascii="宋体" w:hAnsi="宋体"/>
                <w:color w:val="auto"/>
                <w:szCs w:val="21"/>
                <w:highlight w:val="none"/>
              </w:rPr>
            </w:pPr>
            <w:r>
              <w:rPr>
                <w:rStyle w:val="127"/>
                <w:rFonts w:hint="eastAsia" w:ascii="宋体" w:hAnsi="宋体"/>
                <w:color w:val="auto"/>
                <w:szCs w:val="21"/>
                <w:highlight w:val="none"/>
              </w:rPr>
              <w:t>投标人在广州市住建行业信用管理平台内企业信用档案的企业和人员信息</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67C714F2">
            <w:pPr>
              <w:spacing w:before="120" w:after="60" w:line="276" w:lineRule="auto"/>
              <w:ind w:left="62" w:right="62"/>
              <w:jc w:val="center"/>
              <w:rPr>
                <w:rStyle w:val="127"/>
                <w:rFonts w:ascii="宋体" w:hAnsi="宋体"/>
                <w:color w:val="auto"/>
                <w:szCs w:val="21"/>
                <w:highlight w:val="none"/>
              </w:rPr>
            </w:pPr>
          </w:p>
        </w:tc>
      </w:tr>
      <w:tr w14:paraId="0C4F3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3DD5F6FD">
            <w:pPr>
              <w:spacing w:before="120" w:after="60" w:line="276" w:lineRule="auto"/>
              <w:ind w:left="62" w:right="62"/>
              <w:jc w:val="center"/>
              <w:rPr>
                <w:rStyle w:val="127"/>
                <w:rFonts w:ascii="宋体" w:hAnsi="宋体"/>
                <w:color w:val="auto"/>
                <w:szCs w:val="21"/>
                <w:highlight w:val="none"/>
              </w:rPr>
            </w:pPr>
            <w:r>
              <w:rPr>
                <w:rStyle w:val="127"/>
                <w:rFonts w:hint="eastAsia" w:ascii="宋体" w:hAnsi="宋体"/>
                <w:color w:val="auto"/>
                <w:szCs w:val="21"/>
                <w:highlight w:val="none"/>
              </w:rPr>
              <w:t>12</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734181E1">
            <w:pPr>
              <w:spacing w:line="276" w:lineRule="auto"/>
              <w:ind w:left="62" w:right="62"/>
              <w:rPr>
                <w:rStyle w:val="127"/>
                <w:color w:val="auto"/>
                <w:highlight w:val="none"/>
              </w:rPr>
            </w:pPr>
            <w:r>
              <w:rPr>
                <w:rFonts w:hint="eastAsia" w:ascii="宋体" w:hAnsi="宋体"/>
                <w:color w:val="auto"/>
                <w:highlight w:val="none"/>
              </w:rPr>
              <w:t>投标人未出现以下情形：与其它投标人的单位负责人为同一人或者存在控股、管理关系的（按投标人提供的《投标人声明》第九条内容进行评审）</w:t>
            </w:r>
          </w:p>
        </w:tc>
        <w:tc>
          <w:tcPr>
            <w:tcW w:w="4037" w:type="dxa"/>
            <w:tcBorders>
              <w:top w:val="single" w:color="000000" w:sz="4" w:space="0"/>
              <w:left w:val="single" w:color="000000" w:sz="4" w:space="0"/>
              <w:bottom w:val="single" w:color="000000" w:sz="4" w:space="0"/>
              <w:right w:val="single" w:color="000000" w:sz="4" w:space="0"/>
            </w:tcBorders>
            <w:noWrap w:val="0"/>
            <w:vAlign w:val="center"/>
          </w:tcPr>
          <w:p w14:paraId="0D52A745">
            <w:pPr>
              <w:spacing w:before="120" w:after="60" w:line="276" w:lineRule="auto"/>
              <w:ind w:left="62" w:right="62"/>
              <w:jc w:val="left"/>
              <w:rPr>
                <w:rStyle w:val="127"/>
                <w:rFonts w:ascii="宋体" w:hAnsi="宋体"/>
                <w:color w:val="auto"/>
                <w:szCs w:val="21"/>
                <w:highlight w:val="none"/>
              </w:rPr>
            </w:pPr>
            <w:r>
              <w:rPr>
                <w:rStyle w:val="127"/>
                <w:rFonts w:hint="eastAsia" w:ascii="宋体" w:hAnsi="宋体"/>
                <w:color w:val="auto"/>
                <w:szCs w:val="21"/>
                <w:highlight w:val="none"/>
              </w:rPr>
              <w:t>投标人声明</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359D7645">
            <w:pPr>
              <w:spacing w:before="120" w:after="60" w:line="276" w:lineRule="auto"/>
              <w:ind w:left="62" w:right="62"/>
              <w:jc w:val="center"/>
              <w:rPr>
                <w:rStyle w:val="127"/>
                <w:rFonts w:ascii="宋体" w:hAnsi="宋体"/>
                <w:color w:val="auto"/>
                <w:szCs w:val="21"/>
                <w:highlight w:val="none"/>
              </w:rPr>
            </w:pPr>
          </w:p>
        </w:tc>
      </w:tr>
      <w:tr w14:paraId="33328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594" w:type="dxa"/>
            <w:tcBorders>
              <w:top w:val="single" w:color="000000" w:sz="4" w:space="0"/>
              <w:left w:val="single" w:color="000000" w:sz="4" w:space="0"/>
              <w:bottom w:val="single" w:color="000000" w:sz="4" w:space="0"/>
              <w:right w:val="single" w:color="000000" w:sz="4" w:space="0"/>
            </w:tcBorders>
            <w:noWrap w:val="0"/>
            <w:vAlign w:val="center"/>
          </w:tcPr>
          <w:p w14:paraId="40F20398">
            <w:pPr>
              <w:spacing w:before="120" w:after="60" w:line="276" w:lineRule="auto"/>
              <w:ind w:left="62" w:right="62"/>
              <w:jc w:val="center"/>
              <w:rPr>
                <w:rStyle w:val="127"/>
                <w:rFonts w:ascii="宋体" w:hAnsi="宋体"/>
                <w:color w:val="auto"/>
                <w:szCs w:val="21"/>
                <w:highlight w:val="none"/>
              </w:rPr>
            </w:pPr>
            <w:r>
              <w:rPr>
                <w:rStyle w:val="127"/>
                <w:rFonts w:hint="eastAsia" w:ascii="宋体" w:hAnsi="宋体"/>
                <w:color w:val="auto"/>
                <w:szCs w:val="21"/>
                <w:highlight w:val="none"/>
              </w:rPr>
              <w:t>13</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3CDA3CFD">
            <w:pPr>
              <w:spacing w:before="120" w:after="60" w:line="276" w:lineRule="auto"/>
              <w:ind w:left="62" w:right="62"/>
              <w:jc w:val="left"/>
              <w:rPr>
                <w:rStyle w:val="127"/>
                <w:rFonts w:ascii="宋体" w:hAnsi="宋体"/>
                <w:color w:val="auto"/>
                <w:szCs w:val="21"/>
                <w:highlight w:val="none"/>
              </w:rPr>
            </w:pPr>
            <w:r>
              <w:rPr>
                <w:rFonts w:hint="eastAsia" w:ascii="宋体" w:hAnsi="宋体" w:cs="宋体"/>
                <w:color w:val="auto"/>
                <w:szCs w:val="21"/>
                <w:highlight w:val="none"/>
              </w:rPr>
              <w:t>未被列入拖欠农民工工资失信联合惩戒对象名单和失信被执行人</w:t>
            </w:r>
          </w:p>
        </w:tc>
        <w:tc>
          <w:tcPr>
            <w:tcW w:w="4037" w:type="dxa"/>
            <w:tcBorders>
              <w:top w:val="single" w:color="000000" w:sz="4" w:space="0"/>
              <w:left w:val="single" w:color="000000" w:sz="4" w:space="0"/>
              <w:bottom w:val="single" w:color="000000" w:sz="4" w:space="0"/>
              <w:right w:val="single" w:color="000000" w:sz="4" w:space="0"/>
            </w:tcBorders>
            <w:noWrap w:val="0"/>
            <w:vAlign w:val="center"/>
          </w:tcPr>
          <w:p w14:paraId="38E8715D">
            <w:pPr>
              <w:spacing w:before="120" w:after="60" w:line="276" w:lineRule="auto"/>
              <w:ind w:left="62" w:right="62"/>
              <w:jc w:val="left"/>
              <w:rPr>
                <w:rStyle w:val="127"/>
                <w:rFonts w:ascii="宋体" w:hAnsi="宋体"/>
                <w:color w:val="auto"/>
                <w:szCs w:val="21"/>
                <w:highlight w:val="none"/>
              </w:rPr>
            </w:pPr>
            <w:r>
              <w:rPr>
                <w:rFonts w:hint="eastAsia" w:ascii="宋体" w:hAnsi="宋体"/>
                <w:color w:val="auto"/>
                <w:szCs w:val="21"/>
                <w:highlight w:val="none"/>
              </w:rPr>
              <w:t>投标人无需提供资料，按投标截止时间</w:t>
            </w:r>
            <w:r>
              <w:rPr>
                <w:rFonts w:ascii="宋体" w:hAnsi="宋体"/>
                <w:color w:val="auto"/>
                <w:szCs w:val="21"/>
                <w:highlight w:val="none"/>
              </w:rPr>
              <w:t>广州交易集团有限公司(广州公共资源交易中心)</w:t>
            </w:r>
            <w:r>
              <w:rPr>
                <w:rFonts w:hint="eastAsia" w:ascii="宋体" w:hAnsi="宋体"/>
                <w:color w:val="auto"/>
                <w:szCs w:val="21"/>
                <w:highlight w:val="none"/>
              </w:rPr>
              <w:t>交易系统比对的结果进行评审</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467EDD19">
            <w:pPr>
              <w:spacing w:before="120" w:after="60" w:line="276" w:lineRule="auto"/>
              <w:ind w:left="62" w:right="62"/>
              <w:jc w:val="center"/>
              <w:rPr>
                <w:rStyle w:val="127"/>
                <w:rFonts w:ascii="宋体" w:hAnsi="宋体"/>
                <w:color w:val="auto"/>
                <w:szCs w:val="21"/>
                <w:highlight w:val="none"/>
              </w:rPr>
            </w:pPr>
          </w:p>
        </w:tc>
      </w:tr>
    </w:tbl>
    <w:p w14:paraId="6F836585">
      <w:pPr>
        <w:spacing w:line="276" w:lineRule="auto"/>
        <w:ind w:firstLine="420" w:firstLineChars="200"/>
        <w:rPr>
          <w:rStyle w:val="127"/>
          <w:rFonts w:ascii="宋体" w:hAnsi="宋体"/>
          <w:color w:val="auto"/>
          <w:szCs w:val="21"/>
          <w:highlight w:val="none"/>
        </w:rPr>
      </w:pPr>
      <w:r>
        <w:rPr>
          <w:rStyle w:val="127"/>
          <w:rFonts w:ascii="宋体" w:hAnsi="宋体"/>
          <w:color w:val="auto"/>
          <w:szCs w:val="21"/>
          <w:highlight w:val="none"/>
        </w:rPr>
        <w:t>备注：</w:t>
      </w:r>
    </w:p>
    <w:p w14:paraId="295F9C02">
      <w:pPr>
        <w:spacing w:line="276" w:lineRule="auto"/>
        <w:ind w:firstLine="470" w:firstLineChars="224"/>
        <w:rPr>
          <w:rStyle w:val="127"/>
          <w:rFonts w:ascii="宋体" w:hAnsi="宋体"/>
          <w:color w:val="auto"/>
          <w:szCs w:val="21"/>
          <w:highlight w:val="none"/>
        </w:rPr>
      </w:pPr>
      <w:r>
        <w:rPr>
          <w:rStyle w:val="127"/>
          <w:rFonts w:ascii="宋体" w:hAnsi="宋体"/>
          <w:color w:val="auto"/>
          <w:szCs w:val="21"/>
          <w:highlight w:val="none"/>
        </w:rPr>
        <w:t>1.</w:t>
      </w:r>
      <w:r>
        <w:rPr>
          <w:rStyle w:val="127"/>
          <w:rFonts w:hint="eastAsia" w:ascii="宋体" w:hAnsi="宋体"/>
          <w:color w:val="auto"/>
          <w:szCs w:val="21"/>
          <w:highlight w:val="none"/>
        </w:rPr>
        <w:t xml:space="preserve">每一项目符合的打“○”，不符合的打“×”； </w:t>
      </w:r>
    </w:p>
    <w:p w14:paraId="23E6B8FD">
      <w:pPr>
        <w:spacing w:line="276" w:lineRule="auto"/>
        <w:ind w:firstLine="470" w:firstLineChars="224"/>
        <w:rPr>
          <w:rStyle w:val="127"/>
          <w:rFonts w:ascii="宋体" w:hAnsi="宋体"/>
          <w:color w:val="auto"/>
          <w:szCs w:val="21"/>
          <w:highlight w:val="none"/>
        </w:rPr>
      </w:pPr>
      <w:r>
        <w:rPr>
          <w:rStyle w:val="127"/>
          <w:rFonts w:ascii="宋体" w:hAnsi="宋体"/>
          <w:color w:val="auto"/>
          <w:szCs w:val="21"/>
          <w:highlight w:val="none"/>
        </w:rPr>
        <w:t>2.</w:t>
      </w:r>
      <w:r>
        <w:rPr>
          <w:rStyle w:val="127"/>
          <w:rFonts w:hint="eastAsia" w:ascii="宋体" w:hAnsi="宋体"/>
          <w:color w:val="auto"/>
          <w:szCs w:val="21"/>
          <w:highlight w:val="none"/>
        </w:rPr>
        <w:t>若评委意见不一致时，则按少数服从多数的原则，作出评审结论。汇总后，出现一个“×”的结论为“不通过”；</w:t>
      </w:r>
    </w:p>
    <w:p w14:paraId="7B85E8AC">
      <w:pPr>
        <w:spacing w:line="276" w:lineRule="auto"/>
        <w:ind w:firstLine="470" w:firstLineChars="224"/>
        <w:rPr>
          <w:rStyle w:val="127"/>
          <w:rFonts w:hint="eastAsia" w:ascii="宋体" w:hAnsi="宋体"/>
          <w:color w:val="auto"/>
          <w:szCs w:val="21"/>
          <w:highlight w:val="none"/>
        </w:rPr>
      </w:pPr>
      <w:r>
        <w:rPr>
          <w:rStyle w:val="127"/>
          <w:rFonts w:ascii="宋体" w:hAnsi="宋体"/>
          <w:color w:val="auto"/>
          <w:szCs w:val="21"/>
          <w:highlight w:val="none"/>
        </w:rPr>
        <w:t>3.</w:t>
      </w:r>
      <w:r>
        <w:rPr>
          <w:rStyle w:val="127"/>
          <w:rFonts w:hint="eastAsia" w:ascii="宋体" w:hAnsi="宋体"/>
          <w:color w:val="auto"/>
          <w:szCs w:val="21"/>
          <w:highlight w:val="none"/>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326F3418">
      <w:pPr>
        <w:spacing w:line="480" w:lineRule="auto"/>
        <w:ind w:firstLine="470" w:firstLineChars="224"/>
        <w:rPr>
          <w:rStyle w:val="127"/>
          <w:rFonts w:ascii="宋体" w:hAnsi="宋体"/>
          <w:color w:val="auto"/>
          <w:szCs w:val="21"/>
          <w:highlight w:val="none"/>
        </w:rPr>
      </w:pPr>
    </w:p>
    <w:p w14:paraId="34755F49">
      <w:pPr>
        <w:rPr>
          <w:rStyle w:val="127"/>
          <w:rFonts w:ascii="宋体" w:hAnsi="宋体"/>
          <w:color w:val="auto"/>
          <w:highlight w:val="none"/>
        </w:rPr>
        <w:sectPr>
          <w:footerReference r:id="rId10" w:type="first"/>
          <w:footerReference r:id="rId9" w:type="default"/>
          <w:endnotePr>
            <w:numFmt w:val="decimal"/>
          </w:endnotePr>
          <w:pgSz w:w="11906" w:h="16838"/>
          <w:pgMar w:top="1418" w:right="1418" w:bottom="1418" w:left="1418" w:header="851" w:footer="907" w:gutter="0"/>
          <w:pgNumType w:fmt="decimal" w:start="1"/>
          <w:cols w:space="720" w:num="1"/>
          <w:docGrid w:type="linesAndChars" w:linePitch="312" w:charSpace="0"/>
        </w:sectPr>
      </w:pPr>
    </w:p>
    <w:p w14:paraId="5D1BFD6B">
      <w:pPr>
        <w:spacing w:line="276" w:lineRule="auto"/>
        <w:rPr>
          <w:rStyle w:val="127"/>
          <w:rFonts w:ascii="宋体" w:hAnsi="宋体"/>
          <w:b/>
          <w:bCs/>
          <w:color w:val="auto"/>
          <w:szCs w:val="21"/>
          <w:highlight w:val="none"/>
        </w:rPr>
      </w:pPr>
      <w:r>
        <w:rPr>
          <w:rStyle w:val="127"/>
          <w:rFonts w:ascii="宋体" w:hAnsi="宋体"/>
          <w:b/>
          <w:bCs/>
          <w:color w:val="auto"/>
          <w:szCs w:val="21"/>
          <w:highlight w:val="none"/>
        </w:rPr>
        <w:t>附表二</w:t>
      </w:r>
    </w:p>
    <w:p w14:paraId="67DBCAC4">
      <w:pPr>
        <w:spacing w:line="276" w:lineRule="auto"/>
        <w:jc w:val="center"/>
        <w:rPr>
          <w:rStyle w:val="127"/>
          <w:rFonts w:ascii="宋体" w:hAnsi="宋体"/>
          <w:b/>
          <w:color w:val="auto"/>
          <w:sz w:val="36"/>
          <w:szCs w:val="36"/>
          <w:highlight w:val="none"/>
        </w:rPr>
      </w:pPr>
      <w:r>
        <w:rPr>
          <w:rStyle w:val="127"/>
          <w:rFonts w:ascii="宋体" w:hAnsi="宋体"/>
          <w:b/>
          <w:color w:val="auto"/>
          <w:sz w:val="36"/>
          <w:szCs w:val="36"/>
          <w:highlight w:val="none"/>
        </w:rPr>
        <w:t>技术标有效性审查表</w:t>
      </w:r>
    </w:p>
    <w:p w14:paraId="6640941A">
      <w:pPr>
        <w:spacing w:line="276" w:lineRule="auto"/>
        <w:rPr>
          <w:rStyle w:val="127"/>
          <w:rFonts w:ascii="宋体" w:hAnsi="宋体"/>
          <w:color w:val="auto"/>
          <w:szCs w:val="21"/>
          <w:highlight w:val="none"/>
        </w:rPr>
      </w:pPr>
      <w:r>
        <w:rPr>
          <w:rStyle w:val="127"/>
          <w:rFonts w:ascii="宋体" w:hAnsi="宋体"/>
          <w:color w:val="auto"/>
          <w:szCs w:val="21"/>
          <w:highlight w:val="none"/>
        </w:rPr>
        <w:t>工程名称：</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9"/>
        <w:gridCol w:w="11117"/>
        <w:gridCol w:w="1250"/>
      </w:tblGrid>
      <w:tr w14:paraId="1C25A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652E74D">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序号</w:t>
            </w:r>
          </w:p>
        </w:tc>
        <w:tc>
          <w:tcPr>
            <w:tcW w:w="11117" w:type="dxa"/>
            <w:tcBorders>
              <w:top w:val="single" w:color="000000" w:sz="4" w:space="0"/>
              <w:left w:val="single" w:color="000000" w:sz="4" w:space="0"/>
              <w:bottom w:val="single" w:color="000000" w:sz="4" w:space="0"/>
              <w:right w:val="single" w:color="000000" w:sz="4" w:space="0"/>
              <w:tl2br w:val="single" w:color="auto" w:sz="4" w:space="0"/>
            </w:tcBorders>
            <w:noWrap w:val="0"/>
            <w:vAlign w:val="top"/>
          </w:tcPr>
          <w:p w14:paraId="5B183DC8">
            <w:pPr>
              <w:spacing w:line="276" w:lineRule="auto"/>
              <w:ind w:left="62" w:right="62"/>
              <w:jc w:val="right"/>
              <w:rPr>
                <w:rStyle w:val="127"/>
                <w:rFonts w:ascii="宋体" w:hAnsi="宋体"/>
                <w:color w:val="auto"/>
                <w:szCs w:val="21"/>
                <w:highlight w:val="none"/>
              </w:rPr>
            </w:pPr>
            <w:r>
              <w:rPr>
                <w:rStyle w:val="127"/>
                <w:rFonts w:ascii="宋体" w:hAnsi="宋体"/>
                <w:color w:val="auto"/>
                <w:szCs w:val="21"/>
                <w:highlight w:val="none"/>
              </w:rPr>
              <w:t xml:space="preserve">             </w:t>
            </w:r>
            <w:r>
              <w:rPr>
                <w:rStyle w:val="127"/>
                <w:rFonts w:hint="eastAsia" w:ascii="宋体" w:hAnsi="宋体"/>
                <w:color w:val="auto"/>
                <w:szCs w:val="21"/>
                <w:highlight w:val="none"/>
              </w:rPr>
              <w:t xml:space="preserve">       </w:t>
            </w:r>
            <w:r>
              <w:rPr>
                <w:rStyle w:val="127"/>
                <w:rFonts w:ascii="宋体" w:hAnsi="宋体"/>
                <w:color w:val="auto"/>
                <w:szCs w:val="21"/>
                <w:highlight w:val="none"/>
              </w:rPr>
              <w:t xml:space="preserve">                                             投标人</w:t>
            </w:r>
          </w:p>
          <w:p w14:paraId="67AEEA12">
            <w:pPr>
              <w:spacing w:line="276" w:lineRule="auto"/>
              <w:ind w:left="62" w:right="62"/>
              <w:rPr>
                <w:rStyle w:val="127"/>
                <w:rFonts w:ascii="宋体" w:hAnsi="宋体"/>
                <w:color w:val="auto"/>
                <w:szCs w:val="21"/>
                <w:highlight w:val="none"/>
              </w:rPr>
            </w:pPr>
            <w:r>
              <w:rPr>
                <w:rStyle w:val="127"/>
                <w:rFonts w:ascii="宋体" w:hAnsi="宋体"/>
                <w:color w:val="auto"/>
                <w:szCs w:val="21"/>
                <w:highlight w:val="none"/>
              </w:rPr>
              <w:t>评审内容</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430BA530">
            <w:pPr>
              <w:spacing w:line="276" w:lineRule="auto"/>
              <w:ind w:left="62" w:right="62"/>
              <w:rPr>
                <w:rStyle w:val="127"/>
                <w:rFonts w:ascii="宋体" w:hAnsi="宋体"/>
                <w:color w:val="auto"/>
                <w:szCs w:val="21"/>
                <w:highlight w:val="none"/>
              </w:rPr>
            </w:pPr>
          </w:p>
        </w:tc>
      </w:tr>
      <w:tr w14:paraId="78AD4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 w:hRule="atLeast"/>
          <w:jc w:val="center"/>
        </w:trPr>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44545D0">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1</w:t>
            </w:r>
          </w:p>
        </w:tc>
        <w:tc>
          <w:tcPr>
            <w:tcW w:w="11117" w:type="dxa"/>
            <w:tcBorders>
              <w:top w:val="single" w:color="000000" w:sz="4" w:space="0"/>
              <w:left w:val="single" w:color="000000" w:sz="4" w:space="0"/>
              <w:bottom w:val="single" w:color="000000" w:sz="4" w:space="0"/>
              <w:right w:val="single" w:color="000000" w:sz="4" w:space="0"/>
            </w:tcBorders>
            <w:noWrap w:val="0"/>
            <w:vAlign w:val="center"/>
          </w:tcPr>
          <w:p w14:paraId="3AA6B253">
            <w:pPr>
              <w:adjustRightInd w:val="0"/>
              <w:rPr>
                <w:rStyle w:val="127"/>
                <w:rFonts w:ascii="宋体" w:hAnsi="宋体"/>
                <w:color w:val="auto"/>
                <w:szCs w:val="21"/>
                <w:highlight w:val="none"/>
              </w:rPr>
            </w:pPr>
            <w:r>
              <w:rPr>
                <w:rFonts w:hint="eastAsia" w:ascii="宋体" w:hAnsi="宋体" w:cs="宋体"/>
                <w:color w:val="auto"/>
                <w:szCs w:val="21"/>
                <w:highlight w:val="none"/>
                <w:u w:val="single"/>
              </w:rPr>
              <w:t>《广州建设工程施工技术标招标投标书》中的工期不符合招标文件要求的；</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0B157253">
            <w:pPr>
              <w:spacing w:line="276" w:lineRule="auto"/>
              <w:ind w:left="62" w:right="62"/>
              <w:rPr>
                <w:rStyle w:val="127"/>
                <w:rFonts w:ascii="宋体" w:hAnsi="宋体"/>
                <w:color w:val="auto"/>
                <w:szCs w:val="21"/>
                <w:highlight w:val="none"/>
              </w:rPr>
            </w:pPr>
          </w:p>
        </w:tc>
      </w:tr>
      <w:tr w14:paraId="4C6BF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8336FF9">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2</w:t>
            </w:r>
          </w:p>
        </w:tc>
        <w:tc>
          <w:tcPr>
            <w:tcW w:w="11117" w:type="dxa"/>
            <w:tcBorders>
              <w:top w:val="single" w:color="000000" w:sz="4" w:space="0"/>
              <w:left w:val="single" w:color="000000" w:sz="4" w:space="0"/>
              <w:bottom w:val="single" w:color="000000" w:sz="4" w:space="0"/>
              <w:right w:val="single" w:color="000000" w:sz="4" w:space="0"/>
            </w:tcBorders>
            <w:noWrap w:val="0"/>
            <w:vAlign w:val="center"/>
          </w:tcPr>
          <w:p w14:paraId="1345E728">
            <w:pPr>
              <w:adjustRightInd w:val="0"/>
              <w:rPr>
                <w:rStyle w:val="127"/>
                <w:rFonts w:ascii="宋体" w:hAnsi="宋体"/>
                <w:color w:val="auto"/>
                <w:szCs w:val="21"/>
                <w:highlight w:val="none"/>
              </w:rPr>
            </w:pPr>
            <w:r>
              <w:rPr>
                <w:rFonts w:hint="eastAsia" w:ascii="宋体" w:hAnsi="宋体" w:cs="宋体"/>
                <w:color w:val="auto"/>
                <w:szCs w:val="21"/>
                <w:highlight w:val="none"/>
                <w:u w:val="single"/>
              </w:rPr>
              <w:t>《广州建设工程施工技术标招标投标书）》中的工程质量标准不符合招标文件要求的；</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18BC7AC4">
            <w:pPr>
              <w:spacing w:line="276" w:lineRule="auto"/>
              <w:ind w:left="62" w:right="62"/>
              <w:rPr>
                <w:rStyle w:val="127"/>
                <w:rFonts w:ascii="宋体" w:hAnsi="宋体"/>
                <w:color w:val="auto"/>
                <w:szCs w:val="21"/>
                <w:highlight w:val="none"/>
              </w:rPr>
            </w:pPr>
          </w:p>
        </w:tc>
      </w:tr>
      <w:tr w14:paraId="7DD81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C46F614">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3</w:t>
            </w:r>
          </w:p>
        </w:tc>
        <w:tc>
          <w:tcPr>
            <w:tcW w:w="11117" w:type="dxa"/>
            <w:tcBorders>
              <w:top w:val="single" w:color="000000" w:sz="4" w:space="0"/>
              <w:left w:val="single" w:color="000000" w:sz="4" w:space="0"/>
              <w:bottom w:val="single" w:color="000000" w:sz="4" w:space="0"/>
              <w:right w:val="single" w:color="000000" w:sz="4" w:space="0"/>
            </w:tcBorders>
            <w:noWrap w:val="0"/>
            <w:vAlign w:val="center"/>
          </w:tcPr>
          <w:p w14:paraId="2D7A3BD6">
            <w:pPr>
              <w:adjustRightInd w:val="0"/>
              <w:rPr>
                <w:rStyle w:val="127"/>
                <w:rFonts w:ascii="宋体" w:hAnsi="宋体"/>
                <w:color w:val="auto"/>
                <w:szCs w:val="21"/>
                <w:highlight w:val="none"/>
              </w:rPr>
            </w:pPr>
            <w:r>
              <w:rPr>
                <w:rFonts w:hint="eastAsia" w:ascii="宋体" w:hAnsi="宋体"/>
                <w:color w:val="auto"/>
                <w:szCs w:val="21"/>
                <w:highlight w:val="none"/>
              </w:rPr>
              <w:t>投标文件中没有有效的法定代表人证明书，或由委托代理人签署的投标文件中没有法定代表人授权书；</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7AF5C85B">
            <w:pPr>
              <w:spacing w:line="276" w:lineRule="auto"/>
              <w:ind w:left="62" w:right="62"/>
              <w:rPr>
                <w:rStyle w:val="127"/>
                <w:rFonts w:ascii="宋体" w:hAnsi="宋体"/>
                <w:color w:val="auto"/>
                <w:szCs w:val="21"/>
                <w:highlight w:val="none"/>
              </w:rPr>
            </w:pPr>
          </w:p>
        </w:tc>
      </w:tr>
      <w:tr w14:paraId="3FFDC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AA292FF">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4</w:t>
            </w:r>
          </w:p>
        </w:tc>
        <w:tc>
          <w:tcPr>
            <w:tcW w:w="11117" w:type="dxa"/>
            <w:tcBorders>
              <w:top w:val="single" w:color="000000" w:sz="4" w:space="0"/>
              <w:left w:val="single" w:color="000000" w:sz="4" w:space="0"/>
              <w:bottom w:val="single" w:color="000000" w:sz="4" w:space="0"/>
              <w:right w:val="single" w:color="000000" w:sz="4" w:space="0"/>
            </w:tcBorders>
            <w:noWrap w:val="0"/>
            <w:vAlign w:val="center"/>
          </w:tcPr>
          <w:p w14:paraId="34C0CCA5">
            <w:pPr>
              <w:adjustRightInd w:val="0"/>
              <w:rPr>
                <w:rStyle w:val="127"/>
                <w:color w:val="auto"/>
                <w:highlight w:val="none"/>
              </w:rPr>
            </w:pPr>
            <w:r>
              <w:rPr>
                <w:rFonts w:hint="eastAsia" w:ascii="宋体" w:hAnsi="宋体" w:cs="宋体"/>
                <w:color w:val="auto"/>
                <w:szCs w:val="21"/>
                <w:highlight w:val="none"/>
              </w:rPr>
              <w:t>投标文件未按规定的格式填写，或主要内容不全，或关键字迹模糊、无法辨认的；</w:t>
            </w:r>
            <w:r>
              <w:rPr>
                <w:rFonts w:hint="eastAsia" w:ascii="宋体" w:hAnsi="宋体" w:cs="宋体"/>
                <w:color w:val="auto"/>
                <w:szCs w:val="21"/>
                <w:highlight w:val="none"/>
                <w:u w:val="single"/>
              </w:rPr>
              <w:t>（投标文件规定格式（即参与评审的格式）为技术标部分带★号的格式（即格式3、格式4、格式6、格式7、格式10）</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0D35DB5D">
            <w:pPr>
              <w:spacing w:line="276" w:lineRule="auto"/>
              <w:ind w:left="62" w:right="62"/>
              <w:rPr>
                <w:rStyle w:val="127"/>
                <w:rFonts w:ascii="宋体" w:hAnsi="宋体"/>
                <w:color w:val="auto"/>
                <w:szCs w:val="21"/>
                <w:highlight w:val="none"/>
              </w:rPr>
            </w:pPr>
          </w:p>
        </w:tc>
      </w:tr>
      <w:tr w14:paraId="25EE9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6DCDF42">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5</w:t>
            </w:r>
          </w:p>
        </w:tc>
        <w:tc>
          <w:tcPr>
            <w:tcW w:w="11117" w:type="dxa"/>
            <w:tcBorders>
              <w:top w:val="single" w:color="000000" w:sz="4" w:space="0"/>
              <w:left w:val="single" w:color="000000" w:sz="4" w:space="0"/>
              <w:bottom w:val="single" w:color="000000" w:sz="4" w:space="0"/>
              <w:right w:val="single" w:color="000000" w:sz="4" w:space="0"/>
            </w:tcBorders>
            <w:noWrap w:val="0"/>
            <w:vAlign w:val="center"/>
          </w:tcPr>
          <w:p w14:paraId="07F4BDE7">
            <w:pPr>
              <w:adjustRightInd w:val="0"/>
              <w:rPr>
                <w:rStyle w:val="127"/>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5DC0393B">
            <w:pPr>
              <w:spacing w:line="276" w:lineRule="auto"/>
              <w:ind w:left="62" w:right="62"/>
              <w:rPr>
                <w:rStyle w:val="127"/>
                <w:rFonts w:ascii="宋体" w:hAnsi="宋体"/>
                <w:color w:val="auto"/>
                <w:szCs w:val="21"/>
                <w:highlight w:val="none"/>
              </w:rPr>
            </w:pPr>
          </w:p>
        </w:tc>
      </w:tr>
      <w:tr w14:paraId="48364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59173A5">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6</w:t>
            </w:r>
          </w:p>
        </w:tc>
        <w:tc>
          <w:tcPr>
            <w:tcW w:w="11117" w:type="dxa"/>
            <w:tcBorders>
              <w:top w:val="single" w:color="000000" w:sz="4" w:space="0"/>
              <w:left w:val="single" w:color="000000" w:sz="4" w:space="0"/>
              <w:bottom w:val="single" w:color="000000" w:sz="4" w:space="0"/>
              <w:right w:val="single" w:color="000000" w:sz="4" w:space="0"/>
            </w:tcBorders>
            <w:noWrap w:val="0"/>
            <w:vAlign w:val="center"/>
          </w:tcPr>
          <w:p w14:paraId="446F3BA2">
            <w:pPr>
              <w:adjustRightInd w:val="0"/>
              <w:rPr>
                <w:rStyle w:val="127"/>
                <w:rFonts w:ascii="宋体" w:hAnsi="宋体"/>
                <w:color w:val="auto"/>
                <w:szCs w:val="21"/>
                <w:highlight w:val="none"/>
              </w:rPr>
            </w:pPr>
            <w:r>
              <w:rPr>
                <w:rFonts w:hint="eastAsia" w:ascii="宋体" w:hAnsi="宋体"/>
                <w:color w:val="auto"/>
                <w:szCs w:val="21"/>
                <w:highlight w:val="none"/>
              </w:rPr>
              <w:t>无《参与编制技术标投标文件人员名单》的；</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64CAF57E">
            <w:pPr>
              <w:spacing w:line="276" w:lineRule="auto"/>
              <w:ind w:left="62" w:right="62"/>
              <w:rPr>
                <w:rStyle w:val="127"/>
                <w:rFonts w:ascii="宋体" w:hAnsi="宋体"/>
                <w:color w:val="auto"/>
                <w:szCs w:val="21"/>
                <w:highlight w:val="none"/>
                <w:shd w:val="pct10" w:color="auto" w:fill="FFFFFF"/>
              </w:rPr>
            </w:pPr>
          </w:p>
        </w:tc>
      </w:tr>
      <w:tr w14:paraId="5C845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BDADB52">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7</w:t>
            </w:r>
          </w:p>
        </w:tc>
        <w:tc>
          <w:tcPr>
            <w:tcW w:w="11117" w:type="dxa"/>
            <w:tcBorders>
              <w:top w:val="single" w:color="000000" w:sz="4" w:space="0"/>
              <w:left w:val="single" w:color="000000" w:sz="4" w:space="0"/>
              <w:bottom w:val="single" w:color="000000" w:sz="4" w:space="0"/>
              <w:right w:val="single" w:color="000000" w:sz="4" w:space="0"/>
            </w:tcBorders>
            <w:noWrap w:val="0"/>
            <w:vAlign w:val="center"/>
          </w:tcPr>
          <w:p w14:paraId="31E3C7F7">
            <w:pPr>
              <w:adjustRightInd w:val="0"/>
              <w:rPr>
                <w:rStyle w:val="127"/>
                <w:rFonts w:ascii="宋体" w:hAnsi="宋体"/>
                <w:color w:val="auto"/>
                <w:szCs w:val="21"/>
                <w:highlight w:val="none"/>
              </w:rPr>
            </w:pPr>
            <w:r>
              <w:rPr>
                <w:rFonts w:hint="eastAsia" w:ascii="宋体" w:hAnsi="宋体"/>
                <w:color w:val="auto"/>
                <w:szCs w:val="21"/>
                <w:highlight w:val="none"/>
              </w:rPr>
              <w:t>投标人与本项目其他投标人加密打包投标文件电脑机器特征码一致的(以</w:t>
            </w:r>
            <w:r>
              <w:rPr>
                <w:rFonts w:hint="eastAsia" w:ascii="宋体" w:hAnsi="宋体" w:cs="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5A9579C0">
            <w:pPr>
              <w:spacing w:line="276" w:lineRule="auto"/>
              <w:ind w:left="62" w:right="62"/>
              <w:rPr>
                <w:rStyle w:val="127"/>
                <w:rFonts w:ascii="宋体" w:hAnsi="宋体"/>
                <w:color w:val="auto"/>
                <w:szCs w:val="21"/>
                <w:highlight w:val="none"/>
              </w:rPr>
            </w:pPr>
          </w:p>
        </w:tc>
      </w:tr>
    </w:tbl>
    <w:p w14:paraId="609FDFC2">
      <w:pPr>
        <w:spacing w:line="276" w:lineRule="auto"/>
        <w:ind w:firstLine="420" w:firstLineChars="200"/>
        <w:rPr>
          <w:rStyle w:val="127"/>
          <w:rFonts w:ascii="宋体" w:hAnsi="宋体"/>
          <w:color w:val="auto"/>
          <w:szCs w:val="21"/>
          <w:highlight w:val="none"/>
        </w:rPr>
      </w:pPr>
      <w:r>
        <w:rPr>
          <w:rStyle w:val="127"/>
          <w:rFonts w:ascii="宋体" w:hAnsi="宋体"/>
          <w:color w:val="auto"/>
          <w:szCs w:val="21"/>
          <w:highlight w:val="none"/>
        </w:rPr>
        <w:t>注：</w:t>
      </w:r>
    </w:p>
    <w:p w14:paraId="597DDB2E">
      <w:pPr>
        <w:spacing w:line="276" w:lineRule="auto"/>
        <w:ind w:firstLine="420" w:firstLineChars="200"/>
        <w:rPr>
          <w:rStyle w:val="127"/>
          <w:rFonts w:ascii="宋体" w:hAnsi="宋体"/>
          <w:color w:val="auto"/>
          <w:szCs w:val="21"/>
          <w:highlight w:val="none"/>
        </w:rPr>
      </w:pPr>
      <w:r>
        <w:rPr>
          <w:rStyle w:val="127"/>
          <w:rFonts w:hint="eastAsia" w:ascii="宋体" w:hAnsi="宋体"/>
          <w:color w:val="auto"/>
          <w:szCs w:val="21"/>
          <w:highlight w:val="none"/>
        </w:rPr>
        <w:t>1.本表使用GZZB2018-3招标文件范本，与范本内容不同之处均以下划线标明。技术标评审中，响应性、承诺性内容不应作为评分因素，可在该表中对上述内容进行符合性审查。审查标准须具备可操作性；</w:t>
      </w:r>
    </w:p>
    <w:p w14:paraId="7D481A5C">
      <w:pPr>
        <w:spacing w:line="276" w:lineRule="auto"/>
        <w:ind w:firstLine="420" w:firstLineChars="200"/>
        <w:rPr>
          <w:rStyle w:val="127"/>
          <w:rFonts w:ascii="宋体" w:hAnsi="宋体"/>
          <w:color w:val="auto"/>
          <w:szCs w:val="21"/>
          <w:highlight w:val="none"/>
        </w:rPr>
      </w:pPr>
      <w:r>
        <w:rPr>
          <w:rStyle w:val="127"/>
          <w:rFonts w:hint="eastAsia" w:ascii="宋体" w:hAnsi="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4E075420">
      <w:pPr>
        <w:spacing w:line="276" w:lineRule="auto"/>
        <w:ind w:firstLine="420" w:firstLineChars="200"/>
        <w:rPr>
          <w:rStyle w:val="127"/>
          <w:rFonts w:ascii="宋体" w:hAnsi="宋体"/>
          <w:color w:val="auto"/>
          <w:szCs w:val="21"/>
          <w:highlight w:val="none"/>
        </w:rPr>
      </w:pPr>
      <w:r>
        <w:rPr>
          <w:rStyle w:val="127"/>
          <w:rFonts w:hint="eastAsia" w:ascii="宋体" w:hAnsi="宋体"/>
          <w:color w:val="auto"/>
          <w:szCs w:val="21"/>
          <w:highlight w:val="none"/>
        </w:rPr>
        <w:t>3.凡出现以上任何一项情形，结论均为无效，否则就为有效；</w:t>
      </w:r>
    </w:p>
    <w:p w14:paraId="70AE1C3E">
      <w:pPr>
        <w:spacing w:line="276" w:lineRule="auto"/>
        <w:ind w:firstLine="420" w:firstLineChars="200"/>
        <w:rPr>
          <w:rStyle w:val="127"/>
          <w:rFonts w:ascii="宋体" w:hAnsi="宋体"/>
          <w:color w:val="auto"/>
          <w:szCs w:val="21"/>
          <w:highlight w:val="none"/>
        </w:rPr>
      </w:pPr>
      <w:r>
        <w:rPr>
          <w:rStyle w:val="127"/>
          <w:rFonts w:ascii="宋体" w:hAnsi="宋体"/>
          <w:color w:val="auto"/>
          <w:szCs w:val="21"/>
          <w:highlight w:val="none"/>
        </w:rPr>
        <w:t>4</w:t>
      </w:r>
      <w:r>
        <w:rPr>
          <w:rStyle w:val="127"/>
          <w:rFonts w:hint="eastAsia" w:ascii="宋体" w:hAnsi="宋体"/>
          <w:color w:val="auto"/>
          <w:szCs w:val="21"/>
          <w:highlight w:val="none"/>
        </w:rPr>
        <w:t>.如对本表中某种情形的评审意见不一致时，以评标委员会过半数成员的意见作为评标委员会对该情形的认定结论</w:t>
      </w:r>
      <w:r>
        <w:rPr>
          <w:rStyle w:val="127"/>
          <w:rFonts w:ascii="宋体" w:hAnsi="宋体"/>
          <w:color w:val="auto"/>
          <w:szCs w:val="21"/>
          <w:highlight w:val="none"/>
        </w:rPr>
        <w:t>。</w:t>
      </w:r>
    </w:p>
    <w:p w14:paraId="7BD96BAD">
      <w:pPr>
        <w:spacing w:line="276" w:lineRule="auto"/>
        <w:ind w:firstLine="420" w:firstLineChars="200"/>
        <w:rPr>
          <w:rStyle w:val="127"/>
          <w:rFonts w:ascii="宋体" w:hAnsi="宋体"/>
          <w:color w:val="auto"/>
          <w:szCs w:val="21"/>
          <w:highlight w:val="none"/>
        </w:rPr>
      </w:pPr>
      <w:r>
        <w:rPr>
          <w:rStyle w:val="127"/>
          <w:rFonts w:ascii="宋体" w:hAnsi="宋体"/>
          <w:color w:val="auto"/>
          <w:szCs w:val="21"/>
          <w:highlight w:val="none"/>
        </w:rPr>
        <w:t>评委签名：</w:t>
      </w:r>
    </w:p>
    <w:p w14:paraId="62AD6AB7">
      <w:pPr>
        <w:spacing w:line="276" w:lineRule="auto"/>
        <w:rPr>
          <w:rStyle w:val="127"/>
          <w:rFonts w:ascii="宋体" w:hAnsi="宋体"/>
          <w:b/>
          <w:bCs/>
          <w:color w:val="auto"/>
          <w:szCs w:val="21"/>
          <w:highlight w:val="none"/>
        </w:rPr>
      </w:pPr>
      <w:r>
        <w:rPr>
          <w:rStyle w:val="127"/>
          <w:rFonts w:ascii="宋体" w:hAnsi="宋体"/>
          <w:color w:val="auto"/>
          <w:highlight w:val="none"/>
        </w:rPr>
        <w:br w:type="page"/>
      </w:r>
      <w:r>
        <w:rPr>
          <w:rFonts w:ascii="宋体" w:hAnsi="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701040</wp:posOffset>
                </wp:positionH>
                <wp:positionV relativeFrom="paragraph">
                  <wp:posOffset>-1598930</wp:posOffset>
                </wp:positionV>
                <wp:extent cx="6982460" cy="424180"/>
                <wp:effectExtent l="0" t="4445" r="8890" b="9525"/>
                <wp:wrapNone/>
                <wp:docPr id="1" name="自选图形 14"/>
                <wp:cNvGraphicFramePr/>
                <a:graphic xmlns:a="http://schemas.openxmlformats.org/drawingml/2006/main">
                  <a:graphicData uri="http://schemas.microsoft.com/office/word/2010/wordprocessingShape">
                    <wps:wsp>
                      <wps:cNvCnPr/>
                      <wps:spPr>
                        <a:xfrm>
                          <a:off x="0" y="0"/>
                          <a:ext cx="6982460" cy="4241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4" o:spid="_x0000_s1026" o:spt="32" type="#_x0000_t32" style="position:absolute;left:0pt;margin-left:55.2pt;margin-top:-125.9pt;height:33.4pt;width:549.8pt;z-index:251659264;mso-width-relative:page;mso-height-relative:page;" filled="f" stroked="t" coordsize="21600,21600" o:gfxdata="UEsDBAoAAAAAAIdO4kAAAAAAAAAAAAAAAAAEAAAAZHJzL1BLAwQUAAAACACHTuJATXQqJdkAAAAO&#10;AQAADwAAAGRycy9kb3ducmV2LnhtbE2PwU7DMBBE70j8g7VIXFBrOyKopHEqhMSBI20lrm68JCnx&#10;OoqdpvTr2Z7gOLNPszPl5ux7ccIxdoEM6KUCgVQH11FjYL97W6xAxGTJ2T4QGvjBCJvq9qa0hQsz&#10;feBpmxrBIRQLa6BNaSikjHWL3sZlGJD49hVGbxPLsZFutDOH+15mSj1JbzviD60d8LXF+ns7eQMY&#10;p1yrl2ff7N8v88NndjnOw86Y+zut1iASntMfDNf6XB0q7nQIE7koetZaPTJqYJHlmkdckUwr3ndg&#10;T69yBbIq5f8Z1S9QSwMEFAAAAAgAh07iQCsux3v8AQAA6QMAAA4AAABkcnMvZTJvRG9jLnhtbK1T&#10;zY7TMBC+I/EOlu80bdWtulHTPbQsFwSVgAeYOk5iyX/yeJv2xg3xDNw48g7wNistb8HYKV1YLj2Q&#10;gzP2zHwz3+fx8uZgNNvLgMrZik9GY86kFa5Wtq34h/e3LxacYQRbg3ZWVvwokd+snj9b9r6UU9c5&#10;XcvACMRi2fuKdzH6sihQdNIAjpyXlpyNCwYibUNb1AF6Qje6mI7H86J3ofbBCYlIp5vByU+I4RJA&#10;1zRKyI0Td0baOKAGqSESJeyUR77K3TaNFPFt06CMTFecmMa8UhGyd2ktVkso2wC+U+LUAlzSwhNO&#10;BpSlomeoDURgd0H9A2WUCA5dE0fCmWIgkhUhFpPxE23edeBl5kJSoz+Ljv8PVrzZbwNTNU0CZxYM&#10;XfjDp28/P36+//Lj/vtXNpkliXqPJUWu7Tacdui3IfE9NMGkPzFhhyzr8SyrPEQm6HB+vZjO5qS4&#10;IN9sOpsssu7FY7YPGF9JZ1gyKo4xgGq7uHbW0g26MMnawv41RqpPib8TUmltWV/x66vpFVUAmsiG&#10;JoFM44kV2jbnotOqvlVapwwM7W6tA9tDmor8JZaE+1dYKrIB7Ia47BrmpZNQv7Q1i0dPell6Jjy1&#10;YGTNmZb0qpJFgFBGUPqSSCqtLXWQhB6kTdbO1ceseD6nCcg9nqY1jdif+5z9+EJX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NdCol2QAAAA4BAAAPAAAAAAAAAAEAIAAAACIAAABkcnMvZG93bnJl&#10;di54bWxQSwECFAAUAAAACACHTuJAKy7He/wBAADpAwAADgAAAAAAAAABACAAAAAoAQAAZHJzL2Uy&#10;b0RvYy54bWxQSwUGAAAAAAYABgBZAQAAlgUAAAAA&#10;">
                <v:fill on="f" focussize="0,0"/>
                <v:stroke color="#000000" joinstyle="round"/>
                <v:imagedata o:title=""/>
                <o:lock v:ext="edit" aspectratio="f"/>
              </v:shape>
            </w:pict>
          </mc:Fallback>
        </mc:AlternateContent>
      </w:r>
      <w:r>
        <w:rPr>
          <w:rStyle w:val="127"/>
          <w:rFonts w:ascii="宋体" w:hAnsi="宋体"/>
          <w:b/>
          <w:bCs/>
          <w:color w:val="auto"/>
          <w:szCs w:val="21"/>
          <w:highlight w:val="none"/>
        </w:rPr>
        <w:t>附表三</w:t>
      </w:r>
    </w:p>
    <w:p w14:paraId="71780296">
      <w:pPr>
        <w:spacing w:line="276" w:lineRule="auto"/>
        <w:jc w:val="center"/>
        <w:rPr>
          <w:rStyle w:val="127"/>
          <w:rFonts w:ascii="宋体" w:hAnsi="宋体"/>
          <w:b/>
          <w:color w:val="auto"/>
          <w:sz w:val="36"/>
          <w:szCs w:val="36"/>
          <w:highlight w:val="none"/>
        </w:rPr>
      </w:pPr>
      <w:r>
        <w:rPr>
          <w:rStyle w:val="127"/>
          <w:rFonts w:ascii="宋体" w:hAnsi="宋体"/>
          <w:b/>
          <w:color w:val="auto"/>
          <w:sz w:val="36"/>
          <w:szCs w:val="36"/>
          <w:highlight w:val="none"/>
        </w:rPr>
        <w:t>经济标有效性审查表</w:t>
      </w:r>
    </w:p>
    <w:p w14:paraId="153F9663">
      <w:pPr>
        <w:spacing w:line="276" w:lineRule="auto"/>
        <w:rPr>
          <w:rStyle w:val="127"/>
          <w:rFonts w:ascii="宋体" w:hAnsi="宋体"/>
          <w:color w:val="auto"/>
          <w:szCs w:val="21"/>
          <w:highlight w:val="none"/>
        </w:rPr>
      </w:pPr>
      <w:r>
        <w:rPr>
          <w:rStyle w:val="127"/>
          <w:rFonts w:ascii="宋体" w:hAnsi="宋体"/>
          <w:color w:val="auto"/>
          <w:szCs w:val="21"/>
          <w:highlight w:val="none"/>
        </w:rPr>
        <w:t>工程名称：</w:t>
      </w:r>
    </w:p>
    <w:tbl>
      <w:tblPr>
        <w:tblStyle w:val="27"/>
        <w:tblW w:w="140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
        <w:gridCol w:w="11190"/>
        <w:gridCol w:w="1894"/>
      </w:tblGrid>
      <w:tr w14:paraId="210F4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0F129546">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序号</w:t>
            </w:r>
          </w:p>
        </w:tc>
        <w:tc>
          <w:tcPr>
            <w:tcW w:w="11190" w:type="dxa"/>
            <w:tcBorders>
              <w:top w:val="single" w:color="000000" w:sz="4" w:space="0"/>
              <w:left w:val="single" w:color="000000" w:sz="4" w:space="0"/>
              <w:bottom w:val="single" w:color="000000" w:sz="4" w:space="0"/>
              <w:right w:val="single" w:color="000000" w:sz="4" w:space="0"/>
              <w:tl2br w:val="single" w:color="auto" w:sz="4" w:space="0"/>
            </w:tcBorders>
            <w:noWrap w:val="0"/>
            <w:vAlign w:val="top"/>
          </w:tcPr>
          <w:p w14:paraId="6D5E12E1">
            <w:pPr>
              <w:spacing w:line="276" w:lineRule="auto"/>
              <w:ind w:left="62" w:right="62"/>
              <w:jc w:val="right"/>
              <w:rPr>
                <w:rStyle w:val="127"/>
                <w:rFonts w:ascii="宋体" w:hAnsi="宋体"/>
                <w:color w:val="auto"/>
                <w:szCs w:val="21"/>
                <w:highlight w:val="none"/>
              </w:rPr>
            </w:pPr>
            <w:r>
              <w:rPr>
                <w:rStyle w:val="127"/>
                <w:rFonts w:ascii="宋体" w:hAnsi="宋体"/>
                <w:color w:val="auto"/>
                <w:szCs w:val="21"/>
                <w:highlight w:val="none"/>
              </w:rPr>
              <w:t xml:space="preserve">               </w:t>
            </w:r>
            <w:r>
              <w:rPr>
                <w:rStyle w:val="127"/>
                <w:rFonts w:hint="eastAsia" w:ascii="宋体" w:hAnsi="宋体"/>
                <w:color w:val="auto"/>
                <w:szCs w:val="21"/>
                <w:highlight w:val="none"/>
              </w:rPr>
              <w:t xml:space="preserve">                            </w:t>
            </w:r>
            <w:r>
              <w:rPr>
                <w:rStyle w:val="127"/>
                <w:rFonts w:ascii="宋体" w:hAnsi="宋体"/>
                <w:color w:val="auto"/>
                <w:szCs w:val="21"/>
                <w:highlight w:val="none"/>
              </w:rPr>
              <w:t xml:space="preserve">                   投标人</w:t>
            </w:r>
          </w:p>
          <w:p w14:paraId="161C3813">
            <w:pPr>
              <w:spacing w:line="276" w:lineRule="auto"/>
              <w:ind w:left="62" w:right="62"/>
              <w:rPr>
                <w:rStyle w:val="127"/>
                <w:rFonts w:ascii="宋体" w:hAnsi="宋体"/>
                <w:color w:val="auto"/>
                <w:szCs w:val="21"/>
                <w:highlight w:val="none"/>
              </w:rPr>
            </w:pPr>
            <w:r>
              <w:rPr>
                <w:rStyle w:val="127"/>
                <w:rFonts w:ascii="宋体" w:hAnsi="宋体"/>
                <w:color w:val="auto"/>
                <w:szCs w:val="21"/>
                <w:highlight w:val="none"/>
              </w:rPr>
              <w:t>评审内容</w:t>
            </w:r>
          </w:p>
        </w:tc>
        <w:tc>
          <w:tcPr>
            <w:tcW w:w="1894" w:type="dxa"/>
            <w:tcBorders>
              <w:top w:val="single" w:color="000000" w:sz="4" w:space="0"/>
              <w:left w:val="single" w:color="000000" w:sz="4" w:space="0"/>
              <w:bottom w:val="single" w:color="000000" w:sz="4" w:space="0"/>
              <w:right w:val="single" w:color="000000" w:sz="4" w:space="0"/>
            </w:tcBorders>
            <w:noWrap w:val="0"/>
            <w:vAlign w:val="top"/>
          </w:tcPr>
          <w:p w14:paraId="1DCB20F8">
            <w:pPr>
              <w:spacing w:line="276" w:lineRule="auto"/>
              <w:ind w:left="62" w:right="62"/>
              <w:rPr>
                <w:rStyle w:val="127"/>
                <w:rFonts w:ascii="宋体" w:hAnsi="宋体"/>
                <w:color w:val="auto"/>
                <w:szCs w:val="21"/>
                <w:highlight w:val="none"/>
              </w:rPr>
            </w:pPr>
          </w:p>
        </w:tc>
      </w:tr>
      <w:tr w14:paraId="197FD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08AB17F5">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1</w:t>
            </w:r>
          </w:p>
        </w:tc>
        <w:tc>
          <w:tcPr>
            <w:tcW w:w="11190" w:type="dxa"/>
            <w:tcBorders>
              <w:top w:val="single" w:color="000000" w:sz="4" w:space="0"/>
              <w:left w:val="single" w:color="000000" w:sz="4" w:space="0"/>
              <w:bottom w:val="single" w:color="000000" w:sz="4" w:space="0"/>
              <w:right w:val="single" w:color="000000" w:sz="4" w:space="0"/>
            </w:tcBorders>
            <w:noWrap w:val="0"/>
            <w:vAlign w:val="center"/>
          </w:tcPr>
          <w:p w14:paraId="22174B99">
            <w:pPr>
              <w:spacing w:line="276" w:lineRule="auto"/>
              <w:ind w:left="62" w:right="62"/>
              <w:rPr>
                <w:rStyle w:val="127"/>
                <w:rFonts w:ascii="宋体" w:hAnsi="宋体"/>
                <w:color w:val="auto"/>
                <w:szCs w:val="21"/>
                <w:highlight w:val="none"/>
              </w:rPr>
            </w:pPr>
            <w:r>
              <w:rPr>
                <w:rStyle w:val="127"/>
                <w:rFonts w:ascii="宋体" w:hAnsi="宋体"/>
                <w:color w:val="auto"/>
                <w:szCs w:val="21"/>
                <w:highlight w:val="none"/>
              </w:rPr>
              <w:t>对同一招标项目出现两个或以上的投标报价，且没有申明哪个有效；</w:t>
            </w:r>
          </w:p>
        </w:tc>
        <w:tc>
          <w:tcPr>
            <w:tcW w:w="1894" w:type="dxa"/>
            <w:tcBorders>
              <w:top w:val="single" w:color="000000" w:sz="4" w:space="0"/>
              <w:left w:val="single" w:color="000000" w:sz="4" w:space="0"/>
              <w:bottom w:val="single" w:color="000000" w:sz="4" w:space="0"/>
              <w:right w:val="single" w:color="000000" w:sz="4" w:space="0"/>
            </w:tcBorders>
            <w:noWrap w:val="0"/>
            <w:vAlign w:val="top"/>
          </w:tcPr>
          <w:p w14:paraId="77D0AD90">
            <w:pPr>
              <w:spacing w:line="276" w:lineRule="auto"/>
              <w:ind w:left="62" w:right="62"/>
              <w:rPr>
                <w:rStyle w:val="127"/>
                <w:rFonts w:ascii="宋体" w:hAnsi="宋体"/>
                <w:color w:val="auto"/>
                <w:szCs w:val="21"/>
                <w:highlight w:val="none"/>
              </w:rPr>
            </w:pPr>
          </w:p>
        </w:tc>
      </w:tr>
      <w:tr w14:paraId="45791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5BEF6771">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2</w:t>
            </w:r>
          </w:p>
        </w:tc>
        <w:tc>
          <w:tcPr>
            <w:tcW w:w="11190" w:type="dxa"/>
            <w:tcBorders>
              <w:top w:val="single" w:color="000000" w:sz="4" w:space="0"/>
              <w:left w:val="single" w:color="000000" w:sz="4" w:space="0"/>
              <w:bottom w:val="single" w:color="000000" w:sz="4" w:space="0"/>
              <w:right w:val="single" w:color="000000" w:sz="4" w:space="0"/>
            </w:tcBorders>
            <w:noWrap w:val="0"/>
            <w:vAlign w:val="center"/>
          </w:tcPr>
          <w:p w14:paraId="041320A7">
            <w:pPr>
              <w:spacing w:line="276" w:lineRule="auto"/>
              <w:ind w:left="62" w:right="62"/>
              <w:rPr>
                <w:rStyle w:val="127"/>
                <w:rFonts w:hint="eastAsia" w:ascii="宋体" w:hAnsi="宋体" w:eastAsia="宋体"/>
                <w:color w:val="auto"/>
                <w:szCs w:val="21"/>
                <w:highlight w:val="none"/>
                <w:lang w:eastAsia="zh-CN"/>
              </w:rPr>
            </w:pPr>
            <w:r>
              <w:rPr>
                <w:rFonts w:hint="eastAsia" w:ascii="宋体" w:hAnsi="宋体" w:cs="宋体"/>
                <w:color w:val="auto"/>
                <w:szCs w:val="21"/>
                <w:highlight w:val="none"/>
              </w:rPr>
              <w:t>投标报价高于最高投标限价的；</w:t>
            </w:r>
          </w:p>
        </w:tc>
        <w:tc>
          <w:tcPr>
            <w:tcW w:w="1894" w:type="dxa"/>
            <w:tcBorders>
              <w:top w:val="single" w:color="000000" w:sz="4" w:space="0"/>
              <w:left w:val="single" w:color="000000" w:sz="4" w:space="0"/>
              <w:bottom w:val="single" w:color="000000" w:sz="4" w:space="0"/>
              <w:right w:val="single" w:color="000000" w:sz="4" w:space="0"/>
            </w:tcBorders>
            <w:noWrap w:val="0"/>
            <w:vAlign w:val="top"/>
          </w:tcPr>
          <w:p w14:paraId="648575D7">
            <w:pPr>
              <w:spacing w:line="276" w:lineRule="auto"/>
              <w:ind w:left="62" w:right="62"/>
              <w:rPr>
                <w:rStyle w:val="127"/>
                <w:rFonts w:ascii="宋体" w:hAnsi="宋体"/>
                <w:color w:val="auto"/>
                <w:szCs w:val="21"/>
                <w:highlight w:val="none"/>
              </w:rPr>
            </w:pPr>
          </w:p>
        </w:tc>
      </w:tr>
      <w:tr w14:paraId="6D90F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17D06B90">
            <w:pPr>
              <w:spacing w:line="276" w:lineRule="auto"/>
              <w:ind w:left="62" w:right="62"/>
              <w:jc w:val="center"/>
              <w:rPr>
                <w:rStyle w:val="127"/>
                <w:rFonts w:ascii="宋体" w:hAnsi="宋体"/>
                <w:color w:val="auto"/>
                <w:szCs w:val="21"/>
                <w:highlight w:val="none"/>
              </w:rPr>
            </w:pPr>
            <w:r>
              <w:rPr>
                <w:rStyle w:val="127"/>
                <w:rFonts w:ascii="宋体" w:hAnsi="宋体"/>
                <w:color w:val="auto"/>
                <w:szCs w:val="21"/>
                <w:highlight w:val="none"/>
              </w:rPr>
              <w:t>3</w:t>
            </w:r>
          </w:p>
        </w:tc>
        <w:tc>
          <w:tcPr>
            <w:tcW w:w="11190" w:type="dxa"/>
            <w:tcBorders>
              <w:top w:val="single" w:color="000000" w:sz="4" w:space="0"/>
              <w:left w:val="single" w:color="000000" w:sz="4" w:space="0"/>
              <w:bottom w:val="single" w:color="000000" w:sz="4" w:space="0"/>
              <w:right w:val="single" w:color="000000" w:sz="4" w:space="0"/>
            </w:tcBorders>
            <w:noWrap w:val="0"/>
            <w:vAlign w:val="center"/>
          </w:tcPr>
          <w:p w14:paraId="2CE4A348">
            <w:pPr>
              <w:spacing w:line="276" w:lineRule="auto"/>
              <w:ind w:left="62" w:right="62"/>
              <w:jc w:val="left"/>
              <w:rPr>
                <w:rStyle w:val="127"/>
                <w:rFonts w:ascii="宋体" w:hAnsi="宋体"/>
                <w:color w:val="auto"/>
                <w:szCs w:val="21"/>
                <w:highlight w:val="none"/>
              </w:rPr>
            </w:pPr>
            <w:r>
              <w:rPr>
                <w:rStyle w:val="127"/>
                <w:rFonts w:ascii="宋体" w:hAnsi="宋体"/>
                <w:color w:val="auto"/>
                <w:szCs w:val="21"/>
                <w:highlight w:val="none"/>
              </w:rPr>
              <w:t>投标报价低于成本的；</w:t>
            </w:r>
          </w:p>
        </w:tc>
        <w:tc>
          <w:tcPr>
            <w:tcW w:w="1894" w:type="dxa"/>
            <w:tcBorders>
              <w:top w:val="single" w:color="000000" w:sz="4" w:space="0"/>
              <w:left w:val="single" w:color="000000" w:sz="4" w:space="0"/>
              <w:bottom w:val="single" w:color="000000" w:sz="4" w:space="0"/>
              <w:right w:val="single" w:color="000000" w:sz="4" w:space="0"/>
            </w:tcBorders>
            <w:noWrap w:val="0"/>
            <w:vAlign w:val="top"/>
          </w:tcPr>
          <w:p w14:paraId="3781BC11">
            <w:pPr>
              <w:spacing w:line="276" w:lineRule="auto"/>
              <w:ind w:left="62" w:right="62"/>
              <w:rPr>
                <w:rStyle w:val="127"/>
                <w:rFonts w:ascii="宋体" w:hAnsi="宋体"/>
                <w:color w:val="auto"/>
                <w:szCs w:val="21"/>
                <w:highlight w:val="none"/>
              </w:rPr>
            </w:pPr>
          </w:p>
        </w:tc>
      </w:tr>
      <w:tr w14:paraId="45F95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632F5B00">
            <w:pPr>
              <w:spacing w:line="276" w:lineRule="auto"/>
              <w:ind w:left="62" w:right="62"/>
              <w:jc w:val="center"/>
              <w:rPr>
                <w:rStyle w:val="127"/>
                <w:rFonts w:hint="eastAsia" w:ascii="宋体" w:hAnsi="宋体"/>
                <w:color w:val="auto"/>
                <w:szCs w:val="21"/>
                <w:highlight w:val="none"/>
              </w:rPr>
            </w:pPr>
            <w:r>
              <w:rPr>
                <w:rStyle w:val="127"/>
                <w:rFonts w:hint="eastAsia" w:ascii="宋体" w:hAnsi="宋体"/>
                <w:color w:val="auto"/>
                <w:szCs w:val="21"/>
                <w:highlight w:val="none"/>
              </w:rPr>
              <w:t>4</w:t>
            </w:r>
          </w:p>
        </w:tc>
        <w:tc>
          <w:tcPr>
            <w:tcW w:w="11190" w:type="dxa"/>
            <w:tcBorders>
              <w:top w:val="single" w:color="000000" w:sz="4" w:space="0"/>
              <w:left w:val="single" w:color="000000" w:sz="4" w:space="0"/>
              <w:bottom w:val="single" w:color="000000" w:sz="4" w:space="0"/>
              <w:right w:val="single" w:color="000000" w:sz="4" w:space="0"/>
            </w:tcBorders>
            <w:noWrap w:val="0"/>
            <w:vAlign w:val="center"/>
          </w:tcPr>
          <w:p w14:paraId="02FF07AE">
            <w:pPr>
              <w:spacing w:line="276" w:lineRule="auto"/>
              <w:ind w:left="62" w:right="62"/>
              <w:rPr>
                <w:rStyle w:val="127"/>
                <w:color w:val="auto"/>
                <w:highlight w:val="none"/>
              </w:rPr>
            </w:pPr>
            <w:r>
              <w:rPr>
                <w:rFonts w:hint="eastAsia" w:ascii="宋体" w:hAnsi="宋体" w:cs="宋体"/>
                <w:color w:val="auto"/>
                <w:szCs w:val="21"/>
                <w:highlight w:val="none"/>
              </w:rPr>
              <w:t>投标文件未按规定的格式填写，或主要内容不全，或关键字迹模糊、无法辨认的；</w:t>
            </w:r>
            <w:r>
              <w:rPr>
                <w:rFonts w:hint="eastAsia" w:ascii="宋体" w:hAnsi="宋体" w:cs="宋体"/>
                <w:color w:val="auto"/>
                <w:szCs w:val="21"/>
                <w:highlight w:val="none"/>
                <w:u w:val="single"/>
              </w:rPr>
              <w:t>（投标文件规定格式（即参与评审的格式）为经济标部分带★号的格式（即格式2、格式4、格式5））</w:t>
            </w:r>
          </w:p>
        </w:tc>
        <w:tc>
          <w:tcPr>
            <w:tcW w:w="1894" w:type="dxa"/>
            <w:tcBorders>
              <w:top w:val="single" w:color="000000" w:sz="4" w:space="0"/>
              <w:left w:val="single" w:color="000000" w:sz="4" w:space="0"/>
              <w:bottom w:val="single" w:color="000000" w:sz="4" w:space="0"/>
              <w:right w:val="single" w:color="000000" w:sz="4" w:space="0"/>
            </w:tcBorders>
            <w:noWrap w:val="0"/>
            <w:vAlign w:val="top"/>
          </w:tcPr>
          <w:p w14:paraId="6EA26E6C">
            <w:pPr>
              <w:spacing w:line="276" w:lineRule="auto"/>
              <w:ind w:left="62" w:right="62"/>
              <w:rPr>
                <w:rStyle w:val="127"/>
                <w:rFonts w:ascii="宋体" w:hAnsi="宋体"/>
                <w:color w:val="auto"/>
                <w:szCs w:val="21"/>
                <w:highlight w:val="none"/>
              </w:rPr>
            </w:pPr>
          </w:p>
        </w:tc>
      </w:tr>
      <w:tr w14:paraId="3565C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32DE2A3C">
            <w:pPr>
              <w:spacing w:line="276" w:lineRule="auto"/>
              <w:ind w:left="62" w:right="62"/>
              <w:jc w:val="center"/>
              <w:rPr>
                <w:rStyle w:val="127"/>
                <w:rFonts w:hint="eastAsia" w:ascii="宋体" w:hAnsi="宋体"/>
                <w:color w:val="auto"/>
                <w:szCs w:val="21"/>
                <w:highlight w:val="none"/>
              </w:rPr>
            </w:pPr>
            <w:r>
              <w:rPr>
                <w:rStyle w:val="127"/>
                <w:rFonts w:hint="eastAsia" w:ascii="宋体" w:hAnsi="宋体"/>
                <w:color w:val="auto"/>
                <w:szCs w:val="21"/>
                <w:highlight w:val="none"/>
              </w:rPr>
              <w:t>5</w:t>
            </w:r>
          </w:p>
        </w:tc>
        <w:tc>
          <w:tcPr>
            <w:tcW w:w="11190" w:type="dxa"/>
            <w:tcBorders>
              <w:top w:val="single" w:color="000000" w:sz="4" w:space="0"/>
              <w:left w:val="single" w:color="000000" w:sz="4" w:space="0"/>
              <w:bottom w:val="single" w:color="000000" w:sz="4" w:space="0"/>
              <w:right w:val="single" w:color="000000" w:sz="4" w:space="0"/>
            </w:tcBorders>
            <w:noWrap w:val="0"/>
            <w:vAlign w:val="center"/>
          </w:tcPr>
          <w:p w14:paraId="3A396CF8">
            <w:pPr>
              <w:spacing w:line="276" w:lineRule="auto"/>
              <w:ind w:left="62" w:right="62"/>
              <w:rPr>
                <w:rStyle w:val="127"/>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894" w:type="dxa"/>
            <w:tcBorders>
              <w:top w:val="single" w:color="000000" w:sz="4" w:space="0"/>
              <w:left w:val="single" w:color="000000" w:sz="4" w:space="0"/>
              <w:bottom w:val="single" w:color="000000" w:sz="4" w:space="0"/>
              <w:right w:val="single" w:color="000000" w:sz="4" w:space="0"/>
            </w:tcBorders>
            <w:noWrap w:val="0"/>
            <w:vAlign w:val="top"/>
          </w:tcPr>
          <w:p w14:paraId="549D7B5B">
            <w:pPr>
              <w:spacing w:line="276" w:lineRule="auto"/>
              <w:ind w:left="62" w:right="62"/>
              <w:rPr>
                <w:rStyle w:val="127"/>
                <w:rFonts w:ascii="宋体" w:hAnsi="宋体"/>
                <w:color w:val="auto"/>
                <w:szCs w:val="21"/>
                <w:highlight w:val="none"/>
              </w:rPr>
            </w:pPr>
          </w:p>
        </w:tc>
      </w:tr>
      <w:tr w14:paraId="40268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5CA55542">
            <w:pPr>
              <w:spacing w:line="276" w:lineRule="auto"/>
              <w:ind w:left="62" w:right="62"/>
              <w:jc w:val="center"/>
              <w:rPr>
                <w:rStyle w:val="127"/>
                <w:rFonts w:hint="eastAsia" w:ascii="宋体" w:hAnsi="宋体"/>
                <w:color w:val="auto"/>
                <w:szCs w:val="21"/>
                <w:highlight w:val="none"/>
              </w:rPr>
            </w:pPr>
            <w:r>
              <w:rPr>
                <w:rStyle w:val="127"/>
                <w:rFonts w:hint="eastAsia" w:ascii="宋体" w:hAnsi="宋体"/>
                <w:color w:val="auto"/>
                <w:szCs w:val="21"/>
                <w:highlight w:val="none"/>
              </w:rPr>
              <w:t>6</w:t>
            </w:r>
          </w:p>
        </w:tc>
        <w:tc>
          <w:tcPr>
            <w:tcW w:w="11190" w:type="dxa"/>
            <w:tcBorders>
              <w:top w:val="single" w:color="000000" w:sz="4" w:space="0"/>
              <w:left w:val="single" w:color="000000" w:sz="4" w:space="0"/>
              <w:bottom w:val="single" w:color="000000" w:sz="4" w:space="0"/>
              <w:right w:val="single" w:color="000000" w:sz="4" w:space="0"/>
            </w:tcBorders>
            <w:noWrap w:val="0"/>
            <w:vAlign w:val="center"/>
          </w:tcPr>
          <w:p w14:paraId="6D6BB0CE">
            <w:pPr>
              <w:spacing w:line="276" w:lineRule="auto"/>
              <w:ind w:left="62" w:right="62"/>
              <w:rPr>
                <w:rStyle w:val="127"/>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894" w:type="dxa"/>
            <w:tcBorders>
              <w:top w:val="single" w:color="000000" w:sz="4" w:space="0"/>
              <w:left w:val="single" w:color="000000" w:sz="4" w:space="0"/>
              <w:bottom w:val="single" w:color="000000" w:sz="4" w:space="0"/>
              <w:right w:val="single" w:color="000000" w:sz="4" w:space="0"/>
            </w:tcBorders>
            <w:noWrap w:val="0"/>
            <w:vAlign w:val="top"/>
          </w:tcPr>
          <w:p w14:paraId="003382BC">
            <w:pPr>
              <w:spacing w:line="276" w:lineRule="auto"/>
              <w:ind w:left="62" w:right="62"/>
              <w:rPr>
                <w:rStyle w:val="127"/>
                <w:rFonts w:ascii="宋体" w:hAnsi="宋体"/>
                <w:color w:val="auto"/>
                <w:szCs w:val="21"/>
                <w:highlight w:val="none"/>
              </w:rPr>
            </w:pPr>
          </w:p>
        </w:tc>
      </w:tr>
      <w:tr w14:paraId="029B4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0017CCDC">
            <w:pPr>
              <w:spacing w:line="276" w:lineRule="auto"/>
              <w:ind w:left="62" w:right="62"/>
              <w:jc w:val="center"/>
              <w:rPr>
                <w:rStyle w:val="127"/>
                <w:rFonts w:hint="eastAsia" w:ascii="宋体" w:hAnsi="宋体"/>
                <w:color w:val="auto"/>
                <w:szCs w:val="21"/>
                <w:highlight w:val="none"/>
              </w:rPr>
            </w:pPr>
            <w:r>
              <w:rPr>
                <w:rStyle w:val="127"/>
                <w:rFonts w:hint="eastAsia" w:ascii="宋体" w:hAnsi="宋体"/>
                <w:color w:val="auto"/>
                <w:szCs w:val="21"/>
                <w:highlight w:val="none"/>
              </w:rPr>
              <w:t>7</w:t>
            </w:r>
          </w:p>
        </w:tc>
        <w:tc>
          <w:tcPr>
            <w:tcW w:w="11190" w:type="dxa"/>
            <w:tcBorders>
              <w:top w:val="single" w:color="000000" w:sz="4" w:space="0"/>
              <w:left w:val="single" w:color="000000" w:sz="4" w:space="0"/>
              <w:bottom w:val="single" w:color="000000" w:sz="4" w:space="0"/>
              <w:right w:val="single" w:color="000000" w:sz="4" w:space="0"/>
            </w:tcBorders>
            <w:noWrap w:val="0"/>
            <w:vAlign w:val="center"/>
          </w:tcPr>
          <w:p w14:paraId="74E58A64">
            <w:pPr>
              <w:spacing w:line="276" w:lineRule="auto"/>
              <w:ind w:left="62" w:right="62"/>
              <w:rPr>
                <w:rStyle w:val="127"/>
                <w:rFonts w:hint="eastAsia" w:ascii="宋体" w:hAnsi="宋体"/>
                <w:color w:val="auto"/>
                <w:szCs w:val="21"/>
                <w:highlight w:val="none"/>
              </w:rPr>
            </w:pPr>
            <w:r>
              <w:rPr>
                <w:rStyle w:val="127"/>
                <w:rFonts w:ascii="宋体" w:hAnsi="宋体"/>
                <w:color w:val="auto"/>
                <w:szCs w:val="21"/>
                <w:highlight w:val="none"/>
              </w:rPr>
              <w:t>无《对投标文件编制的承诺》</w:t>
            </w:r>
            <w:r>
              <w:rPr>
                <w:rStyle w:val="127"/>
                <w:rFonts w:hint="eastAsia" w:ascii="宋体" w:hAnsi="宋体"/>
                <w:color w:val="auto"/>
                <w:szCs w:val="21"/>
                <w:highlight w:val="none"/>
              </w:rPr>
              <w:t>；</w:t>
            </w:r>
          </w:p>
        </w:tc>
        <w:tc>
          <w:tcPr>
            <w:tcW w:w="1894" w:type="dxa"/>
            <w:tcBorders>
              <w:top w:val="single" w:color="000000" w:sz="4" w:space="0"/>
              <w:left w:val="single" w:color="000000" w:sz="4" w:space="0"/>
              <w:bottom w:val="single" w:color="000000" w:sz="4" w:space="0"/>
              <w:right w:val="single" w:color="000000" w:sz="4" w:space="0"/>
            </w:tcBorders>
            <w:noWrap w:val="0"/>
            <w:vAlign w:val="top"/>
          </w:tcPr>
          <w:p w14:paraId="547C00C2">
            <w:pPr>
              <w:spacing w:line="276" w:lineRule="auto"/>
              <w:ind w:left="62" w:right="62"/>
              <w:rPr>
                <w:rStyle w:val="127"/>
                <w:rFonts w:ascii="宋体" w:hAnsi="宋体"/>
                <w:color w:val="auto"/>
                <w:szCs w:val="21"/>
                <w:highlight w:val="none"/>
              </w:rPr>
            </w:pPr>
          </w:p>
        </w:tc>
      </w:tr>
      <w:tr w14:paraId="04540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7D0A1B0D">
            <w:pPr>
              <w:spacing w:line="276" w:lineRule="auto"/>
              <w:ind w:left="62" w:right="62"/>
              <w:jc w:val="center"/>
              <w:rPr>
                <w:rStyle w:val="127"/>
                <w:rFonts w:ascii="宋体" w:hAnsi="宋体"/>
                <w:color w:val="auto"/>
                <w:szCs w:val="21"/>
                <w:highlight w:val="none"/>
              </w:rPr>
            </w:pPr>
            <w:r>
              <w:rPr>
                <w:rStyle w:val="127"/>
                <w:rFonts w:hint="eastAsia" w:ascii="宋体" w:hAnsi="宋体"/>
                <w:color w:val="auto"/>
                <w:szCs w:val="21"/>
                <w:highlight w:val="none"/>
              </w:rPr>
              <w:t>8</w:t>
            </w:r>
          </w:p>
        </w:tc>
        <w:tc>
          <w:tcPr>
            <w:tcW w:w="11190" w:type="dxa"/>
            <w:tcBorders>
              <w:top w:val="single" w:color="000000" w:sz="4" w:space="0"/>
              <w:left w:val="single" w:color="000000" w:sz="4" w:space="0"/>
              <w:bottom w:val="single" w:color="000000" w:sz="4" w:space="0"/>
              <w:right w:val="single" w:color="000000" w:sz="4" w:space="0"/>
            </w:tcBorders>
            <w:noWrap w:val="0"/>
            <w:vAlign w:val="center"/>
          </w:tcPr>
          <w:p w14:paraId="7AF59C8F">
            <w:pPr>
              <w:spacing w:line="276" w:lineRule="auto"/>
              <w:ind w:left="62" w:right="62"/>
              <w:rPr>
                <w:rStyle w:val="127"/>
                <w:rFonts w:hint="eastAsia" w:ascii="宋体" w:hAnsi="宋体"/>
                <w:color w:val="auto"/>
                <w:szCs w:val="21"/>
                <w:highlight w:val="none"/>
              </w:rPr>
            </w:pPr>
            <w:r>
              <w:rPr>
                <w:rStyle w:val="127"/>
                <w:rFonts w:hint="eastAsia" w:ascii="宋体" w:hAnsi="宋体"/>
                <w:color w:val="auto"/>
                <w:szCs w:val="21"/>
                <w:highlight w:val="none"/>
              </w:rPr>
              <w:t>投标人与本项目其他投标人的投标文件工程量清单编制机器硬件信息一致的（以广州公共资源交易中心交易平台评标系统的检索信息为准）。</w:t>
            </w:r>
          </w:p>
        </w:tc>
        <w:tc>
          <w:tcPr>
            <w:tcW w:w="1894" w:type="dxa"/>
            <w:tcBorders>
              <w:top w:val="single" w:color="000000" w:sz="4" w:space="0"/>
              <w:left w:val="single" w:color="000000" w:sz="4" w:space="0"/>
              <w:bottom w:val="single" w:color="000000" w:sz="4" w:space="0"/>
              <w:right w:val="single" w:color="000000" w:sz="4" w:space="0"/>
            </w:tcBorders>
            <w:noWrap w:val="0"/>
            <w:vAlign w:val="top"/>
          </w:tcPr>
          <w:p w14:paraId="7866B6D3">
            <w:pPr>
              <w:spacing w:line="276" w:lineRule="auto"/>
              <w:ind w:left="62" w:right="62"/>
              <w:rPr>
                <w:rStyle w:val="127"/>
                <w:rFonts w:ascii="宋体" w:hAnsi="宋体"/>
                <w:color w:val="auto"/>
                <w:szCs w:val="21"/>
                <w:highlight w:val="none"/>
              </w:rPr>
            </w:pPr>
          </w:p>
        </w:tc>
      </w:tr>
    </w:tbl>
    <w:p w14:paraId="0EC7C431">
      <w:pPr>
        <w:spacing w:line="276" w:lineRule="auto"/>
        <w:ind w:firstLine="420" w:firstLineChars="200"/>
        <w:rPr>
          <w:rStyle w:val="127"/>
          <w:rFonts w:ascii="宋体" w:hAnsi="宋体"/>
          <w:color w:val="auto"/>
          <w:szCs w:val="21"/>
          <w:highlight w:val="none"/>
        </w:rPr>
      </w:pPr>
      <w:r>
        <w:rPr>
          <w:rStyle w:val="127"/>
          <w:rFonts w:ascii="宋体" w:hAnsi="宋体"/>
          <w:color w:val="auto"/>
          <w:szCs w:val="21"/>
          <w:highlight w:val="none"/>
        </w:rPr>
        <w:t>注：</w:t>
      </w:r>
    </w:p>
    <w:p w14:paraId="649D8199">
      <w:pPr>
        <w:spacing w:line="276" w:lineRule="auto"/>
        <w:ind w:firstLine="420" w:firstLineChars="200"/>
        <w:rPr>
          <w:rStyle w:val="127"/>
          <w:rFonts w:ascii="宋体" w:hAnsi="宋体"/>
          <w:color w:val="auto"/>
          <w:szCs w:val="21"/>
          <w:highlight w:val="none"/>
        </w:rPr>
      </w:pPr>
      <w:r>
        <w:rPr>
          <w:rStyle w:val="127"/>
          <w:rFonts w:hint="eastAsia" w:ascii="宋体" w:hAnsi="宋体"/>
          <w:color w:val="auto"/>
          <w:szCs w:val="21"/>
          <w:highlight w:val="none"/>
        </w:rPr>
        <w:t>1.本表使用GZZB2018-3招标文件范本，与范本内容不同之处均以下划线标明；</w:t>
      </w:r>
    </w:p>
    <w:p w14:paraId="263B63A1">
      <w:pPr>
        <w:spacing w:line="276" w:lineRule="auto"/>
        <w:ind w:firstLine="420" w:firstLineChars="200"/>
        <w:rPr>
          <w:rStyle w:val="127"/>
          <w:rFonts w:ascii="宋体" w:hAnsi="宋体"/>
          <w:color w:val="auto"/>
          <w:szCs w:val="21"/>
          <w:highlight w:val="none"/>
        </w:rPr>
      </w:pPr>
      <w:r>
        <w:rPr>
          <w:rStyle w:val="127"/>
          <w:rFonts w:hint="eastAsia" w:ascii="宋体" w:hAnsi="宋体"/>
          <w:color w:val="auto"/>
          <w:szCs w:val="21"/>
          <w:highlight w:val="none"/>
        </w:rPr>
        <w:t>2.凡出现以上任何一项情形，结论均为无效，否则就为有效；</w:t>
      </w:r>
    </w:p>
    <w:p w14:paraId="28DAD030">
      <w:pPr>
        <w:spacing w:line="276" w:lineRule="auto"/>
        <w:ind w:firstLine="420" w:firstLineChars="200"/>
        <w:rPr>
          <w:rStyle w:val="127"/>
          <w:rFonts w:ascii="宋体" w:hAnsi="宋体"/>
          <w:color w:val="auto"/>
          <w:szCs w:val="21"/>
          <w:highlight w:val="none"/>
        </w:rPr>
      </w:pPr>
      <w:r>
        <w:rPr>
          <w:rStyle w:val="127"/>
          <w:rFonts w:hint="eastAsia" w:ascii="宋体" w:hAnsi="宋体"/>
          <w:color w:val="auto"/>
          <w:szCs w:val="21"/>
          <w:highlight w:val="none"/>
        </w:rPr>
        <w:t>3.如对本表中某种情形的评审意见不一致时，以评标委员会过半数成员的意见作为评标委员会对该情形的认定结论；</w:t>
      </w:r>
    </w:p>
    <w:p w14:paraId="79A6D37A">
      <w:pPr>
        <w:spacing w:line="276" w:lineRule="auto"/>
        <w:ind w:firstLine="420" w:firstLineChars="200"/>
        <w:rPr>
          <w:rStyle w:val="127"/>
          <w:rFonts w:ascii="宋体" w:hAnsi="宋体"/>
          <w:color w:val="auto"/>
          <w:szCs w:val="21"/>
          <w:highlight w:val="none"/>
        </w:rPr>
      </w:pPr>
      <w:r>
        <w:rPr>
          <w:rStyle w:val="127"/>
          <w:rFonts w:hint="eastAsia" w:ascii="宋体" w:hAnsi="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r>
        <w:rPr>
          <w:rStyle w:val="127"/>
          <w:rFonts w:ascii="宋体" w:hAnsi="宋体"/>
          <w:color w:val="auto"/>
          <w:szCs w:val="21"/>
          <w:highlight w:val="none"/>
        </w:rPr>
        <w:t>。</w:t>
      </w:r>
    </w:p>
    <w:p w14:paraId="43FDD5A4">
      <w:pPr>
        <w:spacing w:line="276" w:lineRule="auto"/>
        <w:ind w:firstLine="420" w:firstLineChars="200"/>
        <w:rPr>
          <w:rStyle w:val="127"/>
          <w:rFonts w:ascii="宋体" w:hAnsi="宋体"/>
          <w:color w:val="auto"/>
          <w:szCs w:val="21"/>
          <w:highlight w:val="none"/>
        </w:rPr>
        <w:sectPr>
          <w:endnotePr>
            <w:numFmt w:val="decimal"/>
          </w:endnotePr>
          <w:pgSz w:w="16838" w:h="11906"/>
          <w:pgMar w:top="1418" w:right="1418" w:bottom="1418" w:left="1418" w:header="851" w:footer="907" w:gutter="0"/>
          <w:pgNumType w:fmt="decimal"/>
          <w:cols w:space="720" w:num="1"/>
          <w:titlePg/>
          <w:docGrid w:type="linesAndChars" w:linePitch="312" w:charSpace="0"/>
        </w:sectPr>
      </w:pPr>
      <w:r>
        <w:rPr>
          <w:rStyle w:val="127"/>
          <w:rFonts w:ascii="宋体" w:hAnsi="宋体"/>
          <w:color w:val="auto"/>
          <w:szCs w:val="21"/>
          <w:highlight w:val="none"/>
        </w:rPr>
        <w:t>评委签名：</w:t>
      </w:r>
    </w:p>
    <w:p w14:paraId="0B02AE4E">
      <w:pPr>
        <w:outlineLvl w:val="2"/>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附表四</w:t>
      </w:r>
    </w:p>
    <w:p w14:paraId="166301D8">
      <w:pPr>
        <w:jc w:val="center"/>
        <w:rPr>
          <w:rFonts w:ascii="宋体" w:hAnsi="Calibri" w:eastAsia="宋体" w:cs="宋体"/>
          <w:b/>
          <w:color w:val="auto"/>
          <w:sz w:val="36"/>
          <w:szCs w:val="36"/>
          <w:highlight w:val="none"/>
          <w:u w:val="single"/>
        </w:rPr>
      </w:pPr>
      <w:r>
        <w:rPr>
          <w:rFonts w:hint="eastAsia" w:ascii="宋体" w:hAnsi="宋体" w:eastAsia="宋体" w:cs="宋体"/>
          <w:b/>
          <w:color w:val="auto"/>
          <w:sz w:val="36"/>
          <w:szCs w:val="36"/>
          <w:highlight w:val="none"/>
          <w:lang w:bidi="ar"/>
        </w:rPr>
        <w:t>第一阶段详细审查评分表（项目管理团队）</w:t>
      </w:r>
    </w:p>
    <w:p w14:paraId="5EA07DD4">
      <w:pPr>
        <w:rPr>
          <w:rFonts w:ascii="宋体" w:hAnsi="宋体" w:eastAsia="宋体" w:cs="宋体"/>
          <w:color w:val="auto"/>
          <w:szCs w:val="21"/>
          <w:highlight w:val="none"/>
          <w:shd w:val="clear" w:color="auto" w:fill="FFFFFF"/>
          <w:lang w:bidi="ar"/>
        </w:rPr>
      </w:pP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shd w:val="clear" w:color="auto" w:fill="FFFFFF"/>
          <w:lang w:bidi="ar"/>
        </w:rPr>
        <w:t>工程名称：</w:t>
      </w:r>
    </w:p>
    <w:tbl>
      <w:tblPr>
        <w:tblStyle w:val="27"/>
        <w:tblW w:w="14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3"/>
        <w:gridCol w:w="1322"/>
        <w:gridCol w:w="715"/>
        <w:gridCol w:w="11663"/>
      </w:tblGrid>
      <w:tr w14:paraId="4E988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tcMar>
              <w:left w:w="10" w:type="dxa"/>
              <w:right w:w="10" w:type="dxa"/>
            </w:tcMar>
            <w:vAlign w:val="center"/>
          </w:tcPr>
          <w:p w14:paraId="79CD48C1">
            <w:pPr>
              <w:widowControl/>
              <w:jc w:val="center"/>
              <w:rPr>
                <w:rFonts w:ascii="宋体" w:hAnsi="Calibri" w:eastAsia="宋体" w:cs="宋体"/>
                <w:color w:val="auto"/>
                <w:kern w:val="0"/>
                <w:szCs w:val="21"/>
                <w:highlight w:val="none"/>
              </w:rPr>
            </w:pPr>
            <w:r>
              <w:rPr>
                <w:rFonts w:hint="eastAsia" w:ascii="宋体" w:hAnsi="宋体" w:eastAsia="宋体" w:cs="宋体"/>
                <w:b/>
                <w:color w:val="auto"/>
                <w:kern w:val="0"/>
                <w:szCs w:val="21"/>
                <w:highlight w:val="none"/>
                <w:lang w:bidi="ar"/>
              </w:rPr>
              <w:t>评分项目</w:t>
            </w:r>
          </w:p>
        </w:tc>
        <w:tc>
          <w:tcPr>
            <w:tcW w:w="1322"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2EA59F1C">
            <w:pPr>
              <w:widowControl/>
              <w:jc w:val="center"/>
              <w:rPr>
                <w:rFonts w:ascii="宋体" w:hAnsi="Calibri" w:eastAsia="宋体" w:cs="宋体"/>
                <w:color w:val="auto"/>
                <w:kern w:val="0"/>
                <w:szCs w:val="21"/>
                <w:highlight w:val="none"/>
              </w:rPr>
            </w:pPr>
            <w:r>
              <w:rPr>
                <w:rFonts w:hint="eastAsia" w:ascii="宋体" w:hAnsi="宋体" w:eastAsia="宋体" w:cs="宋体"/>
                <w:b/>
                <w:color w:val="auto"/>
                <w:kern w:val="0"/>
                <w:szCs w:val="21"/>
                <w:highlight w:val="none"/>
                <w:lang w:bidi="ar"/>
              </w:rPr>
              <w:t>评分内容</w:t>
            </w:r>
          </w:p>
        </w:tc>
        <w:tc>
          <w:tcPr>
            <w:tcW w:w="715"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5942DAEE">
            <w:pPr>
              <w:widowControl/>
              <w:jc w:val="center"/>
              <w:rPr>
                <w:rFonts w:ascii="宋体" w:hAnsi="Calibri" w:eastAsia="宋体" w:cs="宋体"/>
                <w:color w:val="auto"/>
                <w:kern w:val="0"/>
                <w:szCs w:val="21"/>
                <w:highlight w:val="none"/>
              </w:rPr>
            </w:pPr>
            <w:r>
              <w:rPr>
                <w:rFonts w:hint="eastAsia" w:ascii="宋体" w:hAnsi="宋体" w:eastAsia="宋体" w:cs="宋体"/>
                <w:b/>
                <w:color w:val="auto"/>
                <w:kern w:val="0"/>
                <w:szCs w:val="21"/>
                <w:highlight w:val="none"/>
                <w:lang w:bidi="ar"/>
              </w:rPr>
              <w:t>分值</w:t>
            </w:r>
          </w:p>
        </w:tc>
        <w:tc>
          <w:tcPr>
            <w:tcW w:w="11663"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29C67779">
            <w:pPr>
              <w:widowControl/>
              <w:jc w:val="center"/>
              <w:rPr>
                <w:rFonts w:ascii="宋体" w:hAnsi="Calibri" w:eastAsia="宋体" w:cs="宋体"/>
                <w:color w:val="auto"/>
                <w:kern w:val="0"/>
                <w:szCs w:val="21"/>
                <w:highlight w:val="none"/>
              </w:rPr>
            </w:pPr>
            <w:r>
              <w:rPr>
                <w:rFonts w:hint="eastAsia" w:ascii="宋体" w:hAnsi="宋体" w:eastAsia="宋体" w:cs="宋体"/>
                <w:b/>
                <w:color w:val="auto"/>
                <w:kern w:val="0"/>
                <w:szCs w:val="21"/>
                <w:highlight w:val="none"/>
                <w:lang w:bidi="ar"/>
              </w:rPr>
              <w:t>评审标准</w:t>
            </w:r>
          </w:p>
        </w:tc>
      </w:tr>
      <w:tr w14:paraId="6654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923" w:type="dxa"/>
            <w:tcBorders>
              <w:top w:val="nil"/>
              <w:left w:val="single" w:color="auto" w:sz="4" w:space="0"/>
              <w:bottom w:val="single" w:color="auto" w:sz="4" w:space="0"/>
              <w:right w:val="single" w:color="auto" w:sz="4" w:space="0"/>
            </w:tcBorders>
            <w:shd w:val="clear" w:color="auto" w:fill="FFFFFF"/>
            <w:noWrap w:val="0"/>
            <w:tcMar>
              <w:left w:w="10" w:type="dxa"/>
              <w:right w:w="10" w:type="dxa"/>
            </w:tcMar>
            <w:vAlign w:val="center"/>
          </w:tcPr>
          <w:p w14:paraId="11DA8751">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一、项目管理班子答辩</w:t>
            </w:r>
            <w:r>
              <w:rPr>
                <w:rFonts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15</w:t>
            </w:r>
            <w:r>
              <w:rPr>
                <w:rFonts w:ascii="宋体" w:hAnsi="宋体" w:eastAsia="宋体" w:cs="宋体"/>
                <w:color w:val="auto"/>
                <w:kern w:val="0"/>
                <w:szCs w:val="21"/>
                <w:highlight w:val="none"/>
                <w:lang w:bidi="ar"/>
              </w:rPr>
              <w:t>分)</w:t>
            </w:r>
          </w:p>
        </w:tc>
        <w:tc>
          <w:tcPr>
            <w:tcW w:w="1322"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7B76CB76">
            <w:pPr>
              <w:widowControl/>
              <w:jc w:val="center"/>
              <w:rPr>
                <w:rFonts w:ascii="宋体" w:hAnsi="Calibri" w:eastAsia="宋体" w:cs="宋体"/>
                <w:color w:val="auto"/>
                <w:kern w:val="0"/>
                <w:szCs w:val="21"/>
                <w:highlight w:val="none"/>
              </w:rPr>
            </w:pPr>
            <w:r>
              <w:rPr>
                <w:rFonts w:hint="eastAsia" w:ascii="宋体" w:hAnsi="Calibri" w:eastAsia="宋体" w:cs="宋体"/>
                <w:color w:val="auto"/>
                <w:kern w:val="0"/>
                <w:szCs w:val="21"/>
                <w:highlight w:val="none"/>
              </w:rPr>
              <w:t>1、项目管理班子陈述；</w:t>
            </w:r>
          </w:p>
          <w:p w14:paraId="6EE57B62">
            <w:pPr>
              <w:widowControl/>
              <w:jc w:val="center"/>
              <w:rPr>
                <w:rFonts w:ascii="宋体" w:hAnsi="Calibri" w:eastAsia="宋体" w:cs="宋体"/>
                <w:color w:val="auto"/>
                <w:kern w:val="0"/>
                <w:szCs w:val="21"/>
                <w:highlight w:val="none"/>
              </w:rPr>
            </w:pPr>
            <w:r>
              <w:rPr>
                <w:rFonts w:hint="eastAsia" w:ascii="宋体" w:hAnsi="Calibri" w:eastAsia="宋体" w:cs="宋体"/>
                <w:color w:val="auto"/>
                <w:kern w:val="0"/>
                <w:szCs w:val="21"/>
                <w:highlight w:val="none"/>
              </w:rPr>
              <w:t>2、评委针对其陈述内容及方案所提的相关问题</w:t>
            </w:r>
          </w:p>
        </w:tc>
        <w:tc>
          <w:tcPr>
            <w:tcW w:w="715"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179EDD97">
            <w:pPr>
              <w:widowControl/>
              <w:jc w:val="center"/>
              <w:rPr>
                <w:rFonts w:hint="default" w:ascii="宋体" w:hAnsi="Calibri" w:eastAsia="宋体" w:cs="宋体"/>
                <w:color w:val="auto"/>
                <w:kern w:val="0"/>
                <w:szCs w:val="21"/>
                <w:highlight w:val="none"/>
                <w:lang w:val="en-US" w:eastAsia="zh-CN"/>
              </w:rPr>
            </w:pPr>
            <w:r>
              <w:rPr>
                <w:rFonts w:hint="eastAsia" w:ascii="宋体" w:cs="宋体"/>
                <w:color w:val="auto"/>
                <w:kern w:val="0"/>
                <w:szCs w:val="21"/>
                <w:highlight w:val="none"/>
                <w:lang w:val="en-US" w:eastAsia="zh-CN" w:bidi="ar"/>
              </w:rPr>
              <w:t>15</w:t>
            </w:r>
          </w:p>
        </w:tc>
        <w:tc>
          <w:tcPr>
            <w:tcW w:w="11663"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15945D2D">
            <w:pPr>
              <w:widowControl/>
              <w:jc w:val="left"/>
              <w:rPr>
                <w:rFonts w:ascii="宋体" w:hAnsi="Calibri" w:eastAsia="宋体" w:cs="宋体"/>
                <w:color w:val="auto"/>
                <w:kern w:val="0"/>
                <w:szCs w:val="21"/>
                <w:highlight w:val="none"/>
              </w:rPr>
            </w:pPr>
            <w:r>
              <w:rPr>
                <w:rFonts w:hint="eastAsia" w:ascii="宋体" w:hAnsi="Calibri" w:eastAsia="宋体" w:cs="宋体"/>
                <w:color w:val="auto"/>
                <w:kern w:val="0"/>
                <w:szCs w:val="21"/>
                <w:highlight w:val="none"/>
              </w:rPr>
              <w:t>1、项目管理班子陈述（包括但不限于以下）：</w:t>
            </w:r>
          </w:p>
          <w:p w14:paraId="00F85CE1">
            <w:pPr>
              <w:widowControl/>
              <w:jc w:val="left"/>
              <w:rPr>
                <w:rFonts w:ascii="宋体" w:hAnsi="Calibri" w:eastAsia="宋体" w:cs="宋体"/>
                <w:color w:val="auto"/>
                <w:kern w:val="0"/>
                <w:szCs w:val="21"/>
                <w:highlight w:val="none"/>
              </w:rPr>
            </w:pPr>
            <w:r>
              <w:rPr>
                <w:rFonts w:hint="eastAsia" w:ascii="宋体" w:hAnsi="Calibri" w:eastAsia="宋体" w:cs="宋体"/>
                <w:color w:val="auto"/>
                <w:kern w:val="0"/>
                <w:szCs w:val="21"/>
                <w:highlight w:val="none"/>
              </w:rPr>
              <w:t>（1）介绍参加答辩的项目管理班子情况。</w:t>
            </w:r>
          </w:p>
          <w:p w14:paraId="6248AF45">
            <w:pPr>
              <w:widowControl/>
              <w:jc w:val="left"/>
              <w:rPr>
                <w:rFonts w:ascii="宋体" w:hAnsi="Calibri" w:eastAsia="宋体" w:cs="宋体"/>
                <w:color w:val="auto"/>
                <w:kern w:val="0"/>
                <w:szCs w:val="21"/>
                <w:highlight w:val="none"/>
              </w:rPr>
            </w:pPr>
            <w:r>
              <w:rPr>
                <w:rFonts w:hint="eastAsia" w:ascii="宋体" w:hAnsi="Calibri" w:eastAsia="宋体" w:cs="宋体"/>
                <w:color w:val="auto"/>
                <w:kern w:val="0"/>
                <w:szCs w:val="21"/>
                <w:highlight w:val="none"/>
              </w:rPr>
              <w:t>（2）介绍现场踏勘情况，对参与投标项目的了解情况。</w:t>
            </w:r>
          </w:p>
          <w:p w14:paraId="77BD1E4E">
            <w:pPr>
              <w:widowControl/>
              <w:jc w:val="left"/>
              <w:rPr>
                <w:rFonts w:ascii="宋体" w:hAnsi="Calibri" w:eastAsia="宋体" w:cs="宋体"/>
                <w:color w:val="auto"/>
                <w:kern w:val="0"/>
                <w:szCs w:val="21"/>
                <w:highlight w:val="none"/>
              </w:rPr>
            </w:pPr>
            <w:r>
              <w:rPr>
                <w:rFonts w:hint="eastAsia" w:ascii="宋体" w:hAnsi="Calibri" w:eastAsia="宋体" w:cs="宋体"/>
                <w:color w:val="auto"/>
                <w:kern w:val="0"/>
                <w:szCs w:val="21"/>
                <w:highlight w:val="none"/>
              </w:rPr>
              <w:t>（3）施工组织方案要点；</w:t>
            </w:r>
          </w:p>
          <w:p w14:paraId="348E8F98">
            <w:pPr>
              <w:widowControl/>
              <w:jc w:val="left"/>
              <w:rPr>
                <w:rFonts w:ascii="宋体" w:hAnsi="Calibri" w:eastAsia="宋体" w:cs="宋体"/>
                <w:color w:val="auto"/>
                <w:kern w:val="0"/>
                <w:szCs w:val="21"/>
                <w:highlight w:val="none"/>
              </w:rPr>
            </w:pPr>
            <w:r>
              <w:rPr>
                <w:rFonts w:hint="eastAsia" w:ascii="宋体" w:hAnsi="Calibri" w:eastAsia="宋体" w:cs="宋体"/>
                <w:color w:val="auto"/>
                <w:kern w:val="0"/>
                <w:szCs w:val="21"/>
                <w:highlight w:val="none"/>
              </w:rPr>
              <w:t>（4）项目施工组织的重点、难点分析及应对措施；</w:t>
            </w:r>
          </w:p>
          <w:p w14:paraId="64C720B7">
            <w:pPr>
              <w:widowControl/>
              <w:jc w:val="left"/>
              <w:rPr>
                <w:rFonts w:ascii="宋体" w:hAnsi="Calibri" w:eastAsia="宋体" w:cs="宋体"/>
                <w:color w:val="auto"/>
                <w:kern w:val="0"/>
                <w:szCs w:val="21"/>
                <w:highlight w:val="none"/>
              </w:rPr>
            </w:pPr>
            <w:r>
              <w:rPr>
                <w:rFonts w:hint="eastAsia" w:ascii="宋体" w:hAnsi="Calibri" w:eastAsia="宋体" w:cs="宋体"/>
                <w:color w:val="auto"/>
                <w:kern w:val="0"/>
                <w:szCs w:val="21"/>
                <w:highlight w:val="none"/>
              </w:rPr>
              <w:t>（5）人员、设备投入计划</w:t>
            </w:r>
          </w:p>
          <w:p w14:paraId="356A448F">
            <w:pPr>
              <w:widowControl/>
              <w:jc w:val="left"/>
              <w:rPr>
                <w:rFonts w:ascii="宋体" w:hAnsi="Calibri" w:eastAsia="宋体" w:cs="宋体"/>
                <w:color w:val="auto"/>
                <w:kern w:val="0"/>
                <w:szCs w:val="21"/>
                <w:highlight w:val="none"/>
              </w:rPr>
            </w:pPr>
            <w:r>
              <w:rPr>
                <w:rFonts w:hint="eastAsia" w:ascii="宋体" w:hAnsi="Calibri" w:eastAsia="宋体" w:cs="宋体"/>
                <w:color w:val="auto"/>
                <w:kern w:val="0"/>
                <w:szCs w:val="21"/>
                <w:highlight w:val="none"/>
              </w:rPr>
              <w:t>2、评委针对其陈述内容及方案所提的相关问题</w:t>
            </w:r>
          </w:p>
          <w:p w14:paraId="3CD735F7">
            <w:pPr>
              <w:widowControl/>
              <w:jc w:val="left"/>
              <w:rPr>
                <w:rFonts w:ascii="宋体" w:hAnsi="Calibri" w:eastAsia="宋体" w:cs="宋体"/>
                <w:color w:val="auto"/>
                <w:kern w:val="0"/>
                <w:szCs w:val="21"/>
                <w:highlight w:val="none"/>
              </w:rPr>
            </w:pPr>
            <w:r>
              <w:rPr>
                <w:rFonts w:hint="eastAsia" w:ascii="宋体" w:hAnsi="Calibri" w:eastAsia="宋体" w:cs="宋体"/>
                <w:color w:val="auto"/>
                <w:kern w:val="0"/>
                <w:szCs w:val="21"/>
                <w:highlight w:val="none"/>
              </w:rPr>
              <w:t>优：</w:t>
            </w:r>
            <w:r>
              <w:rPr>
                <w:rFonts w:hint="eastAsia" w:ascii="宋体" w:cs="宋体"/>
                <w:color w:val="auto"/>
                <w:kern w:val="0"/>
                <w:szCs w:val="21"/>
                <w:highlight w:val="none"/>
                <w:lang w:val="en-US" w:eastAsia="zh-CN"/>
              </w:rPr>
              <w:t>[15</w:t>
            </w:r>
            <w:r>
              <w:rPr>
                <w:rFonts w:hint="eastAsia" w:ascii="宋体" w:hAnsi="Calibri" w:eastAsia="宋体" w:cs="宋体"/>
                <w:color w:val="auto"/>
                <w:kern w:val="0"/>
                <w:szCs w:val="21"/>
                <w:highlight w:val="none"/>
              </w:rPr>
              <w:t>，</w:t>
            </w:r>
            <w:r>
              <w:rPr>
                <w:rFonts w:hint="eastAsia" w:ascii="宋体" w:cs="宋体"/>
                <w:color w:val="auto"/>
                <w:kern w:val="0"/>
                <w:szCs w:val="21"/>
                <w:highlight w:val="none"/>
                <w:lang w:val="en-US" w:eastAsia="zh-CN"/>
              </w:rPr>
              <w:t>10</w:t>
            </w:r>
            <w:r>
              <w:rPr>
                <w:rFonts w:hint="eastAsia" w:ascii="宋体" w:hAnsi="Calibri" w:eastAsia="宋体" w:cs="宋体"/>
                <w:color w:val="auto"/>
                <w:kern w:val="0"/>
                <w:szCs w:val="21"/>
                <w:highlight w:val="none"/>
              </w:rPr>
              <w:t>）</w:t>
            </w:r>
            <w:r>
              <w:rPr>
                <w:rFonts w:hint="eastAsia" w:ascii="宋体" w:cs="宋体"/>
                <w:color w:val="auto"/>
                <w:kern w:val="0"/>
                <w:szCs w:val="21"/>
                <w:highlight w:val="none"/>
                <w:lang w:eastAsia="zh-CN"/>
              </w:rPr>
              <w:t>分，</w:t>
            </w:r>
            <w:r>
              <w:rPr>
                <w:rFonts w:hint="eastAsia" w:ascii="宋体" w:hAnsi="Calibri" w:eastAsia="宋体" w:cs="宋体"/>
                <w:color w:val="auto"/>
                <w:kern w:val="0"/>
                <w:szCs w:val="21"/>
                <w:highlight w:val="none"/>
              </w:rPr>
              <w:t>项目管理班子掌握项目情况，对施工组织方案认识清晰，对施工的重点、难点认识深刻，应对措施合理可行，人员、设备投入计划对工程进度有保障，施工组织方案对工程质量、工期的保证合理可行；回答评委提问思路清晰、内容准确。</w:t>
            </w:r>
          </w:p>
          <w:p w14:paraId="3C270D10">
            <w:pPr>
              <w:widowControl/>
              <w:jc w:val="left"/>
              <w:rPr>
                <w:rFonts w:ascii="宋体" w:hAnsi="Calibri" w:eastAsia="宋体" w:cs="宋体"/>
                <w:color w:val="auto"/>
                <w:kern w:val="0"/>
                <w:szCs w:val="21"/>
                <w:highlight w:val="none"/>
              </w:rPr>
            </w:pPr>
            <w:r>
              <w:rPr>
                <w:rFonts w:hint="eastAsia" w:ascii="宋体" w:hAnsi="Calibri" w:eastAsia="宋体" w:cs="宋体"/>
                <w:color w:val="auto"/>
                <w:kern w:val="0"/>
                <w:szCs w:val="21"/>
                <w:highlight w:val="none"/>
              </w:rPr>
              <w:t>良：</w:t>
            </w:r>
            <w:r>
              <w:rPr>
                <w:rFonts w:hint="eastAsia" w:ascii="宋体" w:cs="宋体"/>
                <w:color w:val="auto"/>
                <w:kern w:val="0"/>
                <w:szCs w:val="21"/>
                <w:highlight w:val="none"/>
                <w:lang w:val="en-US" w:eastAsia="zh-CN"/>
              </w:rPr>
              <w:t>[10</w:t>
            </w:r>
            <w:r>
              <w:rPr>
                <w:rFonts w:hint="eastAsia" w:ascii="宋体" w:hAnsi="Calibri" w:eastAsia="宋体" w:cs="宋体"/>
                <w:color w:val="auto"/>
                <w:kern w:val="0"/>
                <w:szCs w:val="21"/>
                <w:highlight w:val="none"/>
              </w:rPr>
              <w:t>,</w:t>
            </w:r>
            <w:r>
              <w:rPr>
                <w:rFonts w:hint="eastAsia" w:ascii="宋体" w:cs="宋体"/>
                <w:color w:val="auto"/>
                <w:kern w:val="0"/>
                <w:szCs w:val="21"/>
                <w:highlight w:val="none"/>
                <w:lang w:val="en-US" w:eastAsia="zh-CN"/>
              </w:rPr>
              <w:t>6</w:t>
            </w:r>
            <w:r>
              <w:rPr>
                <w:rFonts w:hint="eastAsia" w:ascii="宋体" w:hAnsi="Calibri" w:eastAsia="宋体" w:cs="宋体"/>
                <w:color w:val="auto"/>
                <w:kern w:val="0"/>
                <w:szCs w:val="21"/>
                <w:highlight w:val="none"/>
              </w:rPr>
              <w:t>）</w:t>
            </w:r>
            <w:r>
              <w:rPr>
                <w:rFonts w:hint="eastAsia" w:ascii="宋体" w:cs="宋体"/>
                <w:color w:val="auto"/>
                <w:kern w:val="0"/>
                <w:szCs w:val="21"/>
                <w:highlight w:val="none"/>
                <w:lang w:eastAsia="zh-CN"/>
              </w:rPr>
              <w:t>分，</w:t>
            </w:r>
            <w:r>
              <w:rPr>
                <w:rFonts w:hint="eastAsia" w:ascii="宋体" w:hAnsi="Calibri" w:eastAsia="宋体" w:cs="宋体"/>
                <w:color w:val="auto"/>
                <w:kern w:val="0"/>
                <w:szCs w:val="21"/>
                <w:highlight w:val="none"/>
              </w:rPr>
              <w:t>项目管理班子了解项目情况，对施工组织方案认识较清晰，对施工的重点、难点认识到位，应对措施基本合理，人员、设备投入计划对工程进度基本有保障，施工组织方案对工程质量、工期的保证基本合理可行；回答评委提问思路比较清晰、内容基本准确。</w:t>
            </w:r>
          </w:p>
          <w:p w14:paraId="4772E5A6">
            <w:pPr>
              <w:widowControl/>
              <w:jc w:val="left"/>
              <w:rPr>
                <w:rFonts w:ascii="宋体" w:hAnsi="Calibri" w:eastAsia="宋体" w:cs="宋体"/>
                <w:color w:val="auto"/>
                <w:kern w:val="0"/>
                <w:szCs w:val="21"/>
                <w:highlight w:val="none"/>
              </w:rPr>
            </w:pPr>
            <w:r>
              <w:rPr>
                <w:rFonts w:hint="eastAsia" w:ascii="宋体" w:hAnsi="Calibri" w:eastAsia="宋体" w:cs="宋体"/>
                <w:color w:val="auto"/>
                <w:kern w:val="0"/>
                <w:szCs w:val="21"/>
                <w:highlight w:val="none"/>
              </w:rPr>
              <w:t>中：</w:t>
            </w:r>
            <w:r>
              <w:rPr>
                <w:rFonts w:hint="eastAsia" w:ascii="宋体" w:cs="宋体"/>
                <w:color w:val="auto"/>
                <w:kern w:val="0"/>
                <w:szCs w:val="21"/>
                <w:highlight w:val="none"/>
                <w:lang w:val="en-US" w:eastAsia="zh-CN"/>
              </w:rPr>
              <w:t>[6</w:t>
            </w:r>
            <w:r>
              <w:rPr>
                <w:rFonts w:hint="eastAsia" w:ascii="宋体" w:hAnsi="Calibri" w:eastAsia="宋体" w:cs="宋体"/>
                <w:color w:val="auto"/>
                <w:kern w:val="0"/>
                <w:szCs w:val="21"/>
                <w:highlight w:val="none"/>
              </w:rPr>
              <w:t>,0）</w:t>
            </w:r>
            <w:r>
              <w:rPr>
                <w:rFonts w:hint="eastAsia" w:ascii="宋体" w:eastAsia="宋体" w:cs="宋体"/>
                <w:color w:val="auto"/>
                <w:kern w:val="0"/>
                <w:szCs w:val="21"/>
                <w:highlight w:val="none"/>
                <w:lang w:val="en-US" w:eastAsia="zh-CN"/>
              </w:rPr>
              <w:t>分</w:t>
            </w:r>
            <w:r>
              <w:rPr>
                <w:rFonts w:hint="eastAsia" w:ascii="宋体" w:eastAsia="宋体" w:cs="宋体"/>
                <w:color w:val="auto"/>
                <w:kern w:val="0"/>
                <w:szCs w:val="21"/>
                <w:highlight w:val="none"/>
                <w:lang w:eastAsia="zh-CN"/>
              </w:rPr>
              <w:t>，</w:t>
            </w:r>
            <w:r>
              <w:rPr>
                <w:rFonts w:hint="eastAsia" w:ascii="宋体" w:hAnsi="Calibri" w:eastAsia="宋体" w:cs="宋体"/>
                <w:color w:val="auto"/>
                <w:kern w:val="0"/>
                <w:szCs w:val="21"/>
                <w:highlight w:val="none"/>
              </w:rPr>
              <w:t>项目管理班子不了解项目情况；或对施工组织方案认识一般；或未能把握施工的重点、难点；或人员、设备投入计划对工程进度保障差</w:t>
            </w:r>
            <w:r>
              <w:rPr>
                <w:rFonts w:hint="eastAsia" w:ascii="宋体" w:hAnsi="Calibri" w:eastAsia="宋体" w:cs="宋体"/>
                <w:color w:val="auto"/>
                <w:kern w:val="0"/>
                <w:szCs w:val="21"/>
                <w:highlight w:val="none"/>
                <w:lang w:eastAsia="zh-CN"/>
              </w:rPr>
              <w:t>，</w:t>
            </w:r>
            <w:r>
              <w:rPr>
                <w:rFonts w:hint="eastAsia" w:ascii="宋体" w:hAnsi="Calibri" w:eastAsia="宋体" w:cs="宋体"/>
                <w:color w:val="auto"/>
                <w:kern w:val="0"/>
                <w:szCs w:val="21"/>
                <w:highlight w:val="none"/>
              </w:rPr>
              <w:t>施工组织方案对工程质量、工期的保证可行性较差；或回答评委提问思路不清晰、答非所问。</w:t>
            </w:r>
          </w:p>
          <w:p w14:paraId="27DC8CB6">
            <w:pPr>
              <w:widowControl/>
              <w:jc w:val="left"/>
              <w:rPr>
                <w:rFonts w:ascii="宋体" w:hAnsi="Calibri" w:eastAsia="宋体" w:cs="宋体"/>
                <w:color w:val="auto"/>
                <w:kern w:val="0"/>
                <w:szCs w:val="21"/>
                <w:highlight w:val="none"/>
              </w:rPr>
            </w:pPr>
            <w:r>
              <w:rPr>
                <w:rFonts w:hint="eastAsia" w:ascii="宋体" w:hAnsi="Calibri" w:eastAsia="宋体" w:cs="宋体"/>
                <w:color w:val="auto"/>
                <w:kern w:val="0"/>
                <w:szCs w:val="21"/>
                <w:highlight w:val="none"/>
              </w:rPr>
              <w:t>差：0</w:t>
            </w:r>
            <w:r>
              <w:rPr>
                <w:rFonts w:hint="eastAsia" w:ascii="宋体" w:cs="宋体"/>
                <w:color w:val="auto"/>
                <w:kern w:val="0"/>
                <w:szCs w:val="21"/>
                <w:highlight w:val="none"/>
                <w:lang w:val="en-US" w:eastAsia="zh-CN"/>
              </w:rPr>
              <w:t>分</w:t>
            </w:r>
            <w:r>
              <w:rPr>
                <w:rFonts w:hint="eastAsia" w:ascii="宋体" w:cs="宋体"/>
                <w:color w:val="auto"/>
                <w:kern w:val="0"/>
                <w:szCs w:val="21"/>
                <w:highlight w:val="none"/>
                <w:lang w:eastAsia="zh-CN"/>
              </w:rPr>
              <w:t>，</w:t>
            </w:r>
            <w:r>
              <w:rPr>
                <w:rFonts w:hint="eastAsia" w:ascii="宋体" w:hAnsi="Calibri" w:eastAsia="宋体" w:cs="宋体"/>
                <w:color w:val="auto"/>
                <w:kern w:val="0"/>
                <w:szCs w:val="21"/>
                <w:highlight w:val="none"/>
              </w:rPr>
              <w:t>项目负责人、项目技术负责人均未参加答辩。</w:t>
            </w:r>
          </w:p>
        </w:tc>
      </w:tr>
      <w:tr w14:paraId="57B8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923" w:type="dxa"/>
            <w:vMerge w:val="restart"/>
            <w:tcBorders>
              <w:top w:val="nil"/>
              <w:left w:val="single" w:color="auto" w:sz="4" w:space="0"/>
              <w:bottom w:val="single" w:color="auto" w:sz="4" w:space="0"/>
              <w:right w:val="single" w:color="auto" w:sz="4" w:space="0"/>
            </w:tcBorders>
            <w:shd w:val="clear" w:color="auto" w:fill="FFFFFF"/>
            <w:noWrap w:val="0"/>
            <w:tcMar>
              <w:left w:w="10" w:type="dxa"/>
              <w:right w:w="10" w:type="dxa"/>
            </w:tcMar>
            <w:vAlign w:val="center"/>
          </w:tcPr>
          <w:p w14:paraId="2ACC4C9E">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二、项目管理机构（项目管理机构所有人员不得互相兼任）</w:t>
            </w:r>
            <w:r>
              <w:rPr>
                <w:rFonts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85</w:t>
            </w:r>
            <w:r>
              <w:rPr>
                <w:rFonts w:ascii="宋体" w:hAnsi="宋体" w:eastAsia="宋体" w:cs="宋体"/>
                <w:color w:val="auto"/>
                <w:kern w:val="0"/>
                <w:szCs w:val="21"/>
                <w:highlight w:val="none"/>
                <w:lang w:bidi="ar"/>
              </w:rPr>
              <w:t>分)</w:t>
            </w:r>
          </w:p>
        </w:tc>
        <w:tc>
          <w:tcPr>
            <w:tcW w:w="1322"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5C6542BB">
            <w:pPr>
              <w:widowControl/>
              <w:jc w:val="center"/>
              <w:rPr>
                <w:rFonts w:hint="default" w:ascii="宋体" w:hAnsi="Calibri" w:eastAsia="宋体" w:cs="宋体"/>
                <w:b w:val="0"/>
                <w:bCs/>
                <w:color w:val="auto"/>
                <w:kern w:val="0"/>
                <w:szCs w:val="21"/>
                <w:highlight w:val="none"/>
                <w:lang w:val="en-US" w:eastAsia="zh-CN"/>
              </w:rPr>
            </w:pPr>
            <w:r>
              <w:rPr>
                <w:rFonts w:hint="eastAsia" w:ascii="宋体" w:hAnsi="宋体" w:eastAsia="宋体" w:cs="宋体"/>
                <w:b w:val="0"/>
                <w:bCs/>
                <w:color w:val="auto"/>
                <w:kern w:val="0"/>
                <w:szCs w:val="21"/>
                <w:highlight w:val="none"/>
                <w:lang w:val="en-US" w:eastAsia="zh-CN" w:bidi="ar"/>
              </w:rPr>
              <w:t>项目管理机构人员配备情况</w:t>
            </w:r>
          </w:p>
        </w:tc>
        <w:tc>
          <w:tcPr>
            <w:tcW w:w="715"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1E401B22">
            <w:pPr>
              <w:widowControl/>
              <w:jc w:val="center"/>
              <w:rPr>
                <w:rFonts w:hint="default" w:ascii="宋体" w:hAnsi="Calibri" w:eastAsia="宋体" w:cs="宋体"/>
                <w:color w:val="auto"/>
                <w:kern w:val="0"/>
                <w:szCs w:val="21"/>
                <w:highlight w:val="none"/>
                <w:lang w:val="en-US" w:eastAsia="zh-CN"/>
              </w:rPr>
            </w:pPr>
            <w:r>
              <w:rPr>
                <w:rFonts w:hint="eastAsia" w:ascii="宋体" w:cs="宋体"/>
                <w:color w:val="auto"/>
                <w:kern w:val="0"/>
                <w:szCs w:val="21"/>
                <w:highlight w:val="none"/>
                <w:lang w:val="en-US" w:eastAsia="zh-CN" w:bidi="ar"/>
              </w:rPr>
              <w:t>10</w:t>
            </w:r>
          </w:p>
        </w:tc>
        <w:tc>
          <w:tcPr>
            <w:tcW w:w="11663"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64A750C4">
            <w:pPr>
              <w:rPr>
                <w:rFonts w:ascii="宋体" w:hAnsi="Calibri" w:eastAsia="宋体" w:cs="宋体"/>
                <w:color w:val="auto"/>
                <w:kern w:val="0"/>
                <w:szCs w:val="21"/>
                <w:highlight w:val="none"/>
              </w:rPr>
            </w:pPr>
            <w:r>
              <w:rPr>
                <w:rFonts w:hint="eastAsia" w:ascii="宋体" w:hAnsi="宋体" w:cs="宋体"/>
                <w:color w:val="auto"/>
                <w:szCs w:val="21"/>
                <w:highlight w:val="none"/>
                <w:shd w:val="clear" w:color="auto" w:fill="FFFFFF"/>
                <w:lang w:bidi="ar"/>
              </w:rPr>
              <w:t>项目管理机构人员配备满足附表</w:t>
            </w:r>
            <w:r>
              <w:rPr>
                <w:rFonts w:hint="eastAsia" w:ascii="宋体" w:hAnsi="宋体" w:cs="宋体"/>
                <w:color w:val="auto"/>
                <w:szCs w:val="21"/>
                <w:highlight w:val="none"/>
                <w:shd w:val="clear" w:color="auto" w:fill="FFFFFF"/>
                <w:lang w:eastAsia="zh-CN" w:bidi="ar"/>
              </w:rPr>
              <w:t>《</w:t>
            </w:r>
            <w:r>
              <w:rPr>
                <w:rFonts w:hint="eastAsia" w:ascii="宋体" w:hAnsi="宋体" w:cs="宋体"/>
                <w:color w:val="auto"/>
                <w:szCs w:val="21"/>
                <w:highlight w:val="none"/>
                <w:shd w:val="clear" w:color="auto" w:fill="FFFFFF"/>
                <w:lang w:bidi="ar"/>
              </w:rPr>
              <w:t>项目管理机构人员配置要求表</w:t>
            </w:r>
            <w:r>
              <w:rPr>
                <w:rFonts w:hint="eastAsia" w:ascii="宋体" w:hAnsi="宋体" w:cs="宋体"/>
                <w:color w:val="auto"/>
                <w:szCs w:val="21"/>
                <w:highlight w:val="none"/>
                <w:shd w:val="clear" w:color="auto" w:fill="FFFFFF"/>
                <w:lang w:eastAsia="zh-CN" w:bidi="ar"/>
              </w:rPr>
              <w:t>》</w:t>
            </w:r>
            <w:r>
              <w:rPr>
                <w:rFonts w:hint="eastAsia" w:ascii="宋体" w:hAnsi="宋体" w:cs="宋体"/>
                <w:color w:val="auto"/>
                <w:szCs w:val="21"/>
                <w:highlight w:val="none"/>
                <w:shd w:val="clear" w:color="auto" w:fill="FFFFFF"/>
                <w:lang w:bidi="ar"/>
              </w:rPr>
              <w:t>要求</w:t>
            </w:r>
            <w:r>
              <w:rPr>
                <w:rFonts w:hint="eastAsia" w:ascii="宋体" w:hAnsi="宋体" w:cs="宋体"/>
                <w:color w:val="auto"/>
                <w:szCs w:val="21"/>
                <w:highlight w:val="none"/>
                <w:shd w:val="clear" w:color="auto" w:fill="FFFFFF"/>
                <w:lang w:val="en-US" w:eastAsia="zh-CN" w:bidi="ar"/>
              </w:rPr>
              <w:t>的，得10分，不满足的不得分。</w:t>
            </w:r>
          </w:p>
        </w:tc>
      </w:tr>
      <w:tr w14:paraId="73695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923" w:type="dxa"/>
            <w:vMerge w:val="continue"/>
            <w:tcBorders>
              <w:top w:val="nil"/>
              <w:left w:val="single" w:color="auto" w:sz="4" w:space="0"/>
              <w:bottom w:val="single" w:color="auto" w:sz="4" w:space="0"/>
              <w:right w:val="single" w:color="auto" w:sz="4" w:space="0"/>
            </w:tcBorders>
            <w:shd w:val="clear" w:color="auto" w:fill="FFFFFF"/>
            <w:noWrap w:val="0"/>
            <w:tcMar>
              <w:left w:w="10" w:type="dxa"/>
              <w:right w:w="10" w:type="dxa"/>
            </w:tcMar>
            <w:vAlign w:val="center"/>
          </w:tcPr>
          <w:p w14:paraId="290FE95B">
            <w:pPr>
              <w:rPr>
                <w:rFonts w:ascii="Times New Roman" w:hAnsi="Times New Roman" w:eastAsia="宋体" w:cs="Times New Roman"/>
                <w:color w:val="auto"/>
                <w:sz w:val="20"/>
                <w:szCs w:val="20"/>
                <w:highlight w:val="none"/>
              </w:rPr>
            </w:pPr>
          </w:p>
        </w:tc>
        <w:tc>
          <w:tcPr>
            <w:tcW w:w="1322"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7130E73D">
            <w:pPr>
              <w:widowControl/>
              <w:jc w:val="center"/>
              <w:rPr>
                <w:rFonts w:hint="eastAsia" w:ascii="宋体" w:hAnsi="宋体" w:eastAsia="宋体" w:cs="宋体"/>
                <w:b w:val="0"/>
                <w:bCs/>
                <w:color w:val="auto"/>
                <w:kern w:val="0"/>
                <w:szCs w:val="21"/>
                <w:highlight w:val="none"/>
                <w:lang w:bidi="ar"/>
              </w:rPr>
            </w:pPr>
            <w:r>
              <w:rPr>
                <w:rFonts w:hint="eastAsia" w:ascii="宋体" w:hAnsi="宋体" w:eastAsia="宋体" w:cs="宋体"/>
                <w:b w:val="0"/>
                <w:bCs/>
                <w:color w:val="auto"/>
                <w:kern w:val="0"/>
                <w:szCs w:val="21"/>
                <w:highlight w:val="none"/>
                <w:lang w:bidi="ar"/>
              </w:rPr>
              <w:t>技术负责人</w:t>
            </w:r>
          </w:p>
        </w:tc>
        <w:tc>
          <w:tcPr>
            <w:tcW w:w="715"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03A54331">
            <w:pPr>
              <w:widowControl/>
              <w:jc w:val="center"/>
              <w:rPr>
                <w:rFonts w:hint="eastAsia" w:ascii="宋体" w:cs="宋体"/>
                <w:color w:val="auto"/>
                <w:kern w:val="0"/>
                <w:szCs w:val="21"/>
                <w:highlight w:val="none"/>
                <w:lang w:val="en-US" w:eastAsia="zh-CN" w:bidi="ar"/>
              </w:rPr>
            </w:pPr>
            <w:r>
              <w:rPr>
                <w:rFonts w:hint="eastAsia" w:ascii="宋体" w:cs="宋体"/>
                <w:color w:val="auto"/>
                <w:kern w:val="0"/>
                <w:szCs w:val="21"/>
                <w:highlight w:val="none"/>
                <w:lang w:val="en-US" w:eastAsia="zh-CN" w:bidi="ar"/>
              </w:rPr>
              <w:t>25</w:t>
            </w:r>
          </w:p>
        </w:tc>
        <w:tc>
          <w:tcPr>
            <w:tcW w:w="11663"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0806BE49">
            <w:pPr>
              <w:snapToGrid w:val="0"/>
              <w:spacing w:line="0" w:lineRule="atLeast"/>
              <w:jc w:val="left"/>
              <w:rPr>
                <w:rFonts w:ascii="宋体" w:hAnsi="宋体" w:cs="宋体"/>
                <w:color w:val="auto"/>
                <w:szCs w:val="21"/>
                <w:highlight w:val="none"/>
                <w:shd w:val="clear" w:color="auto" w:fill="FFFFFF"/>
                <w:lang w:bidi="ar"/>
              </w:rPr>
            </w:pPr>
            <w:r>
              <w:rPr>
                <w:rFonts w:hint="eastAsia" w:ascii="宋体" w:hAnsi="宋体" w:cs="宋体"/>
                <w:color w:val="auto"/>
                <w:szCs w:val="21"/>
                <w:highlight w:val="none"/>
                <w:shd w:val="clear" w:color="auto" w:fill="FFFFFF"/>
                <w:lang w:bidi="ar"/>
              </w:rPr>
              <w:t>1.技术负责人具有</w:t>
            </w:r>
            <w:r>
              <w:rPr>
                <w:rFonts w:hint="eastAsia" w:ascii="宋体" w:hAnsi="宋体" w:cs="宋体"/>
                <w:color w:val="auto"/>
                <w:kern w:val="0"/>
                <w:szCs w:val="21"/>
                <w:highlight w:val="none"/>
                <w:lang w:bidi="ar"/>
              </w:rPr>
              <w:t>建筑工程类相关专业高级工程师（副高）或以上技术职称的，得15分；</w:t>
            </w:r>
          </w:p>
          <w:p w14:paraId="010F4186">
            <w:pPr>
              <w:snapToGrid w:val="0"/>
              <w:spacing w:line="0" w:lineRule="atLeast"/>
              <w:jc w:val="left"/>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lang w:bidi="ar"/>
              </w:rPr>
              <w:t>2.技术负责人具有10年或以上（含10年）工作经验的，得</w:t>
            </w:r>
            <w:r>
              <w:rPr>
                <w:rFonts w:hint="eastAsia" w:ascii="宋体" w:hAnsi="宋体" w:cs="宋体"/>
                <w:color w:val="auto"/>
                <w:kern w:val="0"/>
                <w:szCs w:val="21"/>
                <w:highlight w:val="none"/>
                <w:lang w:bidi="ar"/>
              </w:rPr>
              <w:t>10分；具有5至9年工作经验的，得5分。</w:t>
            </w:r>
          </w:p>
          <w:p w14:paraId="474D5DE5">
            <w:pPr>
              <w:snapToGrid w:val="0"/>
              <w:spacing w:line="0" w:lineRule="atLeast"/>
              <w:jc w:val="left"/>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技术负责人为1人，</w:t>
            </w:r>
            <w:r>
              <w:rPr>
                <w:rFonts w:hint="eastAsia" w:ascii="宋体" w:hAnsi="宋体" w:cs="宋体"/>
                <w:color w:val="auto"/>
                <w:kern w:val="0"/>
                <w:szCs w:val="21"/>
                <w:highlight w:val="none"/>
                <w:lang w:bidi="ar"/>
              </w:rPr>
              <w:t>本项最高得25分</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不提供或不满足上述要求的不得分。</w:t>
            </w:r>
          </w:p>
        </w:tc>
      </w:tr>
      <w:tr w14:paraId="52373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923" w:type="dxa"/>
            <w:vMerge w:val="continue"/>
            <w:tcBorders>
              <w:top w:val="nil"/>
              <w:left w:val="single" w:color="auto" w:sz="4" w:space="0"/>
              <w:bottom w:val="single" w:color="auto" w:sz="4" w:space="0"/>
              <w:right w:val="single" w:color="auto" w:sz="4" w:space="0"/>
            </w:tcBorders>
            <w:shd w:val="clear" w:color="auto" w:fill="FFFFFF"/>
            <w:noWrap w:val="0"/>
            <w:tcMar>
              <w:left w:w="10" w:type="dxa"/>
              <w:right w:w="10" w:type="dxa"/>
            </w:tcMar>
            <w:vAlign w:val="center"/>
          </w:tcPr>
          <w:p w14:paraId="75FDB596">
            <w:pPr>
              <w:rPr>
                <w:rFonts w:ascii="Times New Roman" w:hAnsi="Times New Roman" w:eastAsia="宋体" w:cs="Times New Roman"/>
                <w:color w:val="auto"/>
                <w:sz w:val="20"/>
                <w:szCs w:val="20"/>
                <w:highlight w:val="none"/>
              </w:rPr>
            </w:pPr>
          </w:p>
        </w:tc>
        <w:tc>
          <w:tcPr>
            <w:tcW w:w="1322"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28B03361">
            <w:pPr>
              <w:widowControl/>
              <w:jc w:val="center"/>
              <w:rPr>
                <w:rFonts w:ascii="宋体" w:hAnsi="Calibri" w:eastAsia="宋体" w:cs="宋体"/>
                <w:b w:val="0"/>
                <w:bCs/>
                <w:color w:val="auto"/>
                <w:kern w:val="0"/>
                <w:szCs w:val="21"/>
                <w:highlight w:val="none"/>
              </w:rPr>
            </w:pPr>
            <w:r>
              <w:rPr>
                <w:rFonts w:hint="eastAsia" w:ascii="宋体" w:hAnsi="宋体" w:eastAsia="宋体" w:cs="宋体"/>
                <w:b w:val="0"/>
                <w:bCs/>
                <w:color w:val="auto"/>
                <w:kern w:val="0"/>
                <w:szCs w:val="21"/>
                <w:highlight w:val="none"/>
                <w:lang w:bidi="ar"/>
              </w:rPr>
              <w:t>质量负责人</w:t>
            </w:r>
          </w:p>
        </w:tc>
        <w:tc>
          <w:tcPr>
            <w:tcW w:w="715"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75EF88F3">
            <w:pPr>
              <w:widowControl/>
              <w:jc w:val="center"/>
              <w:rPr>
                <w:rFonts w:hint="default" w:ascii="宋体" w:hAnsi="Calibri" w:eastAsia="宋体" w:cs="宋体"/>
                <w:color w:val="auto"/>
                <w:kern w:val="0"/>
                <w:szCs w:val="21"/>
                <w:highlight w:val="none"/>
                <w:lang w:val="en-US" w:eastAsia="zh-CN"/>
              </w:rPr>
            </w:pPr>
            <w:r>
              <w:rPr>
                <w:rFonts w:hint="default" w:ascii="宋体" w:cs="宋体"/>
                <w:color w:val="auto"/>
                <w:kern w:val="0"/>
                <w:szCs w:val="21"/>
                <w:highlight w:val="none"/>
                <w:lang w:val="en-US" w:eastAsia="zh-CN" w:bidi="ar"/>
              </w:rPr>
              <w:t>20</w:t>
            </w:r>
          </w:p>
        </w:tc>
        <w:tc>
          <w:tcPr>
            <w:tcW w:w="11663"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15F2FFE8">
            <w:pPr>
              <w:snapToGrid w:val="0"/>
              <w:spacing w:line="0" w:lineRule="atLeas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1.质量负责人</w:t>
            </w:r>
            <w:r>
              <w:rPr>
                <w:rFonts w:hint="eastAsia" w:ascii="宋体" w:hAnsi="宋体" w:cs="宋体"/>
                <w:color w:val="auto"/>
                <w:szCs w:val="21"/>
                <w:highlight w:val="none"/>
                <w:shd w:val="clear" w:color="auto" w:fill="FFFFFF"/>
                <w:lang w:bidi="ar"/>
              </w:rPr>
              <w:t>具有</w:t>
            </w:r>
            <w:r>
              <w:rPr>
                <w:rFonts w:hint="eastAsia" w:ascii="宋体" w:hAnsi="宋体" w:cs="宋体"/>
                <w:color w:val="auto"/>
                <w:kern w:val="0"/>
                <w:szCs w:val="21"/>
                <w:highlight w:val="none"/>
                <w:lang w:bidi="ar"/>
              </w:rPr>
              <w:t>建筑工程类相关专业高级工程师（副高）或以上技术职称的，得</w:t>
            </w:r>
            <w:r>
              <w:rPr>
                <w:rFonts w:hint="default" w:ascii="宋体" w:hAnsi="宋体" w:cs="宋体"/>
                <w:color w:val="auto"/>
                <w:kern w:val="0"/>
                <w:szCs w:val="21"/>
                <w:highlight w:val="none"/>
                <w:lang w:val="en-US" w:bidi="ar"/>
              </w:rPr>
              <w:t>10</w:t>
            </w:r>
            <w:r>
              <w:rPr>
                <w:rFonts w:hint="eastAsia" w:ascii="宋体" w:hAnsi="宋体" w:cs="宋体"/>
                <w:color w:val="auto"/>
                <w:kern w:val="0"/>
                <w:szCs w:val="21"/>
                <w:highlight w:val="none"/>
                <w:lang w:bidi="ar"/>
              </w:rPr>
              <w:t>分；</w:t>
            </w:r>
          </w:p>
          <w:p w14:paraId="1B447439">
            <w:pPr>
              <w:snapToGrid w:val="0"/>
              <w:spacing w:line="0" w:lineRule="atLeas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2.质量负责人</w:t>
            </w:r>
            <w:r>
              <w:rPr>
                <w:rFonts w:hint="eastAsia" w:ascii="宋体" w:hAnsi="宋体" w:cs="宋体"/>
                <w:color w:val="auto"/>
                <w:szCs w:val="21"/>
                <w:highlight w:val="none"/>
                <w:shd w:val="clear" w:color="auto" w:fill="FFFFFF"/>
                <w:lang w:bidi="ar"/>
              </w:rPr>
              <w:t>具有10年或以上（含10年）工作经验的，得</w:t>
            </w:r>
            <w:r>
              <w:rPr>
                <w:rFonts w:hint="eastAsia" w:ascii="宋体" w:hAnsi="宋体" w:cs="宋体"/>
                <w:color w:val="auto"/>
                <w:kern w:val="0"/>
                <w:szCs w:val="21"/>
                <w:highlight w:val="none"/>
                <w:lang w:bidi="ar"/>
              </w:rPr>
              <w:t>10分；具有5至9年工作经验的，得5分。</w:t>
            </w:r>
          </w:p>
          <w:p w14:paraId="3E451F4E">
            <w:pPr>
              <w:snapToGrid w:val="0"/>
              <w:spacing w:line="0" w:lineRule="atLeast"/>
              <w:jc w:val="left"/>
              <w:rPr>
                <w:rFonts w:ascii="宋体" w:hAnsi="Calibri" w:eastAsia="宋体" w:cs="宋体"/>
                <w:color w:val="auto"/>
                <w:kern w:val="0"/>
                <w:szCs w:val="21"/>
                <w:highlight w:val="none"/>
              </w:rPr>
            </w:pPr>
            <w:r>
              <w:rPr>
                <w:rFonts w:hint="eastAsia" w:ascii="宋体" w:hAnsi="宋体" w:cs="宋体"/>
                <w:color w:val="auto"/>
                <w:kern w:val="0"/>
                <w:szCs w:val="21"/>
                <w:highlight w:val="none"/>
                <w:lang w:val="en-US" w:eastAsia="zh-CN" w:bidi="ar"/>
              </w:rPr>
              <w:t>质量负责人为1人，</w:t>
            </w:r>
            <w:r>
              <w:rPr>
                <w:rFonts w:hint="eastAsia" w:ascii="宋体" w:hAnsi="宋体" w:cs="宋体"/>
                <w:color w:val="auto"/>
                <w:kern w:val="0"/>
                <w:szCs w:val="21"/>
                <w:highlight w:val="none"/>
                <w:lang w:bidi="ar"/>
              </w:rPr>
              <w:t>本项最高得</w:t>
            </w:r>
            <w:r>
              <w:rPr>
                <w:rFonts w:hint="default" w:ascii="宋体" w:hAnsi="宋体" w:cs="宋体"/>
                <w:color w:val="auto"/>
                <w:kern w:val="0"/>
                <w:szCs w:val="21"/>
                <w:highlight w:val="none"/>
                <w:lang w:val="en-US" w:bidi="ar"/>
              </w:rPr>
              <w:t>20</w:t>
            </w:r>
            <w:r>
              <w:rPr>
                <w:rFonts w:hint="eastAsia" w:ascii="宋体" w:hAnsi="宋体" w:cs="宋体"/>
                <w:color w:val="auto"/>
                <w:kern w:val="0"/>
                <w:szCs w:val="21"/>
                <w:highlight w:val="none"/>
                <w:lang w:bidi="ar"/>
              </w:rPr>
              <w:t>分</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不提供或不满足上述要求的不得分</w:t>
            </w:r>
            <w:r>
              <w:rPr>
                <w:rFonts w:hint="eastAsia" w:ascii="宋体" w:hAnsi="宋体" w:cs="宋体"/>
                <w:color w:val="auto"/>
                <w:kern w:val="0"/>
                <w:szCs w:val="21"/>
                <w:highlight w:val="none"/>
                <w:lang w:bidi="ar"/>
              </w:rPr>
              <w:t>。</w:t>
            </w:r>
          </w:p>
        </w:tc>
      </w:tr>
      <w:tr w14:paraId="26F5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923" w:type="dxa"/>
            <w:vMerge w:val="continue"/>
            <w:tcBorders>
              <w:top w:val="nil"/>
              <w:left w:val="single" w:color="auto" w:sz="4" w:space="0"/>
              <w:bottom w:val="single" w:color="auto" w:sz="4" w:space="0"/>
              <w:right w:val="single" w:color="auto" w:sz="4" w:space="0"/>
            </w:tcBorders>
            <w:shd w:val="clear" w:color="auto" w:fill="FFFFFF"/>
            <w:noWrap w:val="0"/>
            <w:tcMar>
              <w:left w:w="10" w:type="dxa"/>
              <w:right w:w="10" w:type="dxa"/>
            </w:tcMar>
            <w:vAlign w:val="center"/>
          </w:tcPr>
          <w:p w14:paraId="4FEEEE77">
            <w:pPr>
              <w:rPr>
                <w:rFonts w:ascii="Times New Roman" w:hAnsi="Times New Roman" w:eastAsia="宋体" w:cs="Times New Roman"/>
                <w:color w:val="auto"/>
                <w:sz w:val="20"/>
                <w:szCs w:val="20"/>
                <w:highlight w:val="none"/>
              </w:rPr>
            </w:pPr>
          </w:p>
        </w:tc>
        <w:tc>
          <w:tcPr>
            <w:tcW w:w="1322" w:type="dxa"/>
            <w:tcBorders>
              <w:top w:val="nil"/>
              <w:left w:val="nil"/>
              <w:bottom w:val="single" w:color="auto" w:sz="4" w:space="0"/>
              <w:right w:val="single" w:color="auto" w:sz="4" w:space="0"/>
            </w:tcBorders>
            <w:shd w:val="clear" w:color="auto" w:fill="FFFFFF"/>
            <w:noWrap w:val="0"/>
            <w:tcMar>
              <w:left w:w="10" w:type="dxa"/>
              <w:right w:w="10" w:type="dxa"/>
            </w:tcMar>
            <w:vAlign w:val="center"/>
          </w:tcPr>
          <w:p w14:paraId="1D790C8E">
            <w:pPr>
              <w:widowControl/>
              <w:jc w:val="center"/>
              <w:rPr>
                <w:rFonts w:ascii="宋体" w:hAnsi="Calibri" w:eastAsia="宋体" w:cs="宋体"/>
                <w:b w:val="0"/>
                <w:bCs/>
                <w:color w:val="auto"/>
                <w:kern w:val="0"/>
                <w:szCs w:val="21"/>
                <w:highlight w:val="none"/>
              </w:rPr>
            </w:pPr>
            <w:r>
              <w:rPr>
                <w:rFonts w:hint="eastAsia" w:ascii="宋体" w:hAnsi="宋体" w:eastAsia="宋体" w:cs="宋体"/>
                <w:b w:val="0"/>
                <w:bCs/>
                <w:color w:val="auto"/>
                <w:kern w:val="0"/>
                <w:szCs w:val="21"/>
                <w:highlight w:val="none"/>
                <w:lang w:bidi="ar"/>
              </w:rPr>
              <w:t>安全负责人</w:t>
            </w:r>
          </w:p>
        </w:tc>
        <w:tc>
          <w:tcPr>
            <w:tcW w:w="715" w:type="dxa"/>
            <w:tcBorders>
              <w:top w:val="nil"/>
              <w:left w:val="nil"/>
              <w:bottom w:val="single" w:color="auto" w:sz="4" w:space="0"/>
              <w:right w:val="single" w:color="auto" w:sz="4" w:space="0"/>
            </w:tcBorders>
            <w:shd w:val="clear" w:color="auto" w:fill="FFFFFF"/>
            <w:noWrap w:val="0"/>
            <w:tcMar>
              <w:left w:w="10" w:type="dxa"/>
              <w:right w:w="10" w:type="dxa"/>
            </w:tcMar>
            <w:vAlign w:val="center"/>
          </w:tcPr>
          <w:p w14:paraId="1AFCFD62">
            <w:pPr>
              <w:widowControl/>
              <w:jc w:val="center"/>
              <w:rPr>
                <w:rFonts w:hint="default" w:ascii="宋体" w:hAnsi="Calibri" w:eastAsia="宋体" w:cs="宋体"/>
                <w:color w:val="auto"/>
                <w:kern w:val="0"/>
                <w:szCs w:val="21"/>
                <w:highlight w:val="none"/>
                <w:lang w:val="en-US" w:eastAsia="zh-CN"/>
              </w:rPr>
            </w:pPr>
            <w:r>
              <w:rPr>
                <w:rFonts w:hint="default" w:ascii="宋体" w:cs="宋体"/>
                <w:color w:val="auto"/>
                <w:kern w:val="0"/>
                <w:szCs w:val="21"/>
                <w:highlight w:val="none"/>
                <w:lang w:val="en-US" w:eastAsia="zh-CN" w:bidi="ar"/>
              </w:rPr>
              <w:t>20</w:t>
            </w:r>
          </w:p>
        </w:tc>
        <w:tc>
          <w:tcPr>
            <w:tcW w:w="11663"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4AB0DEED">
            <w:pPr>
              <w:snapToGrid w:val="0"/>
              <w:spacing w:line="0" w:lineRule="atLeast"/>
              <w:jc w:val="left"/>
              <w:rPr>
                <w:rFonts w:ascii="宋体" w:hAnsi="宋体" w:cs="宋体"/>
                <w:color w:val="auto"/>
                <w:kern w:val="0"/>
                <w:szCs w:val="21"/>
                <w:highlight w:val="none"/>
                <w:lang w:bidi="ar"/>
              </w:rPr>
            </w:pPr>
            <w:r>
              <w:rPr>
                <w:rFonts w:hint="eastAsia" w:ascii="宋体" w:hAnsi="宋体" w:cs="宋体"/>
                <w:color w:val="auto"/>
                <w:szCs w:val="21"/>
                <w:highlight w:val="none"/>
                <w:shd w:val="clear" w:color="auto" w:fill="FFFFFF"/>
              </w:rPr>
              <w:t>1.</w:t>
            </w:r>
            <w:r>
              <w:rPr>
                <w:rFonts w:hint="eastAsia" w:ascii="宋体" w:hAnsi="宋体" w:cs="宋体"/>
                <w:color w:val="auto"/>
                <w:kern w:val="0"/>
                <w:szCs w:val="21"/>
                <w:highlight w:val="none"/>
                <w:lang w:bidi="ar"/>
              </w:rPr>
              <w:t>安全负责人（与专职安全员不为同一人）具有建筑工程类相关专业高级工程师（副高）或以上技术职称的，得</w:t>
            </w:r>
            <w:r>
              <w:rPr>
                <w:rFonts w:hint="default" w:ascii="宋体" w:hAnsi="宋体" w:cs="宋体"/>
                <w:color w:val="auto"/>
                <w:kern w:val="0"/>
                <w:szCs w:val="21"/>
                <w:highlight w:val="none"/>
                <w:lang w:val="en-US" w:bidi="ar"/>
              </w:rPr>
              <w:t>10</w:t>
            </w:r>
            <w:r>
              <w:rPr>
                <w:rFonts w:hint="eastAsia" w:ascii="宋体" w:hAnsi="宋体" w:cs="宋体"/>
                <w:color w:val="auto"/>
                <w:kern w:val="0"/>
                <w:szCs w:val="21"/>
                <w:highlight w:val="none"/>
                <w:lang w:bidi="ar"/>
              </w:rPr>
              <w:t>分；</w:t>
            </w:r>
          </w:p>
          <w:p w14:paraId="7BD1A08E">
            <w:pPr>
              <w:snapToGrid w:val="0"/>
              <w:spacing w:line="0" w:lineRule="atLeas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2.安全负责人（与专职安全员不为同一人）具有注册安全工程师注册证书且在有效期内的，得10分。</w:t>
            </w:r>
          </w:p>
          <w:p w14:paraId="6A951EC2">
            <w:pPr>
              <w:snapToGrid w:val="0"/>
              <w:spacing w:line="0" w:lineRule="atLeast"/>
              <w:jc w:val="left"/>
              <w:rPr>
                <w:rFonts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bidi="ar"/>
              </w:rPr>
              <w:t>安全负责人为1人，</w:t>
            </w:r>
            <w:r>
              <w:rPr>
                <w:rFonts w:hint="eastAsia" w:ascii="宋体" w:hAnsi="宋体" w:cs="宋体"/>
                <w:color w:val="auto"/>
                <w:kern w:val="0"/>
                <w:szCs w:val="21"/>
                <w:highlight w:val="none"/>
                <w:lang w:bidi="ar"/>
              </w:rPr>
              <w:t>本项最高得</w:t>
            </w:r>
            <w:r>
              <w:rPr>
                <w:rFonts w:hint="default" w:ascii="宋体" w:hAnsi="宋体" w:cs="宋体"/>
                <w:color w:val="auto"/>
                <w:kern w:val="0"/>
                <w:szCs w:val="21"/>
                <w:highlight w:val="none"/>
                <w:lang w:val="en-US" w:bidi="ar"/>
              </w:rPr>
              <w:t>20</w:t>
            </w:r>
            <w:r>
              <w:rPr>
                <w:rFonts w:hint="eastAsia" w:ascii="宋体" w:hAnsi="宋体" w:cs="宋体"/>
                <w:color w:val="auto"/>
                <w:kern w:val="0"/>
                <w:szCs w:val="21"/>
                <w:highlight w:val="none"/>
                <w:lang w:bidi="ar"/>
              </w:rPr>
              <w:t>分</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不提供或不满足上述要求的不得分</w:t>
            </w:r>
            <w:r>
              <w:rPr>
                <w:rFonts w:hint="eastAsia" w:ascii="宋体" w:hAnsi="宋体" w:cs="宋体"/>
                <w:color w:val="auto"/>
                <w:kern w:val="0"/>
                <w:szCs w:val="21"/>
                <w:highlight w:val="none"/>
                <w:lang w:bidi="ar"/>
              </w:rPr>
              <w:t>。</w:t>
            </w:r>
          </w:p>
        </w:tc>
      </w:tr>
      <w:tr w14:paraId="6BF9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923" w:type="dxa"/>
            <w:vMerge w:val="continue"/>
            <w:tcBorders>
              <w:top w:val="nil"/>
              <w:left w:val="single" w:color="auto" w:sz="4" w:space="0"/>
              <w:bottom w:val="single" w:color="auto" w:sz="4" w:space="0"/>
              <w:right w:val="single" w:color="auto" w:sz="4" w:space="0"/>
            </w:tcBorders>
            <w:shd w:val="clear" w:color="auto" w:fill="FFFFFF"/>
            <w:noWrap w:val="0"/>
            <w:tcMar>
              <w:left w:w="10" w:type="dxa"/>
              <w:right w:w="10" w:type="dxa"/>
            </w:tcMar>
            <w:vAlign w:val="center"/>
          </w:tcPr>
          <w:p w14:paraId="2753E729">
            <w:pPr>
              <w:rPr>
                <w:rFonts w:ascii="Times New Roman" w:hAnsi="Times New Roman" w:eastAsia="宋体" w:cs="Times New Roman"/>
                <w:color w:val="auto"/>
                <w:sz w:val="20"/>
                <w:szCs w:val="20"/>
                <w:highlight w:val="none"/>
              </w:rPr>
            </w:pPr>
          </w:p>
        </w:tc>
        <w:tc>
          <w:tcPr>
            <w:tcW w:w="1322" w:type="dxa"/>
            <w:tcBorders>
              <w:top w:val="nil"/>
              <w:left w:val="nil"/>
              <w:bottom w:val="single" w:color="auto" w:sz="4" w:space="0"/>
              <w:right w:val="single" w:color="auto" w:sz="4" w:space="0"/>
            </w:tcBorders>
            <w:shd w:val="clear" w:color="auto" w:fill="FFFFFF"/>
            <w:noWrap w:val="0"/>
            <w:tcMar>
              <w:left w:w="10" w:type="dxa"/>
              <w:right w:w="10" w:type="dxa"/>
            </w:tcMar>
            <w:vAlign w:val="center"/>
          </w:tcPr>
          <w:p w14:paraId="1D934AD4">
            <w:pPr>
              <w:widowControl/>
              <w:jc w:val="center"/>
              <w:rPr>
                <w:rFonts w:ascii="宋体" w:hAnsi="Calibri" w:eastAsia="宋体" w:cs="宋体"/>
                <w:b w:val="0"/>
                <w:bCs/>
                <w:color w:val="auto"/>
                <w:kern w:val="0"/>
                <w:szCs w:val="21"/>
                <w:highlight w:val="none"/>
              </w:rPr>
            </w:pPr>
            <w:r>
              <w:rPr>
                <w:rFonts w:hint="eastAsia" w:ascii="宋体" w:hAnsi="宋体" w:eastAsia="宋体" w:cs="宋体"/>
                <w:b w:val="0"/>
                <w:bCs/>
                <w:color w:val="auto"/>
                <w:kern w:val="0"/>
                <w:szCs w:val="21"/>
                <w:highlight w:val="none"/>
                <w:lang w:bidi="ar"/>
              </w:rPr>
              <w:t>造价负责人</w:t>
            </w:r>
          </w:p>
        </w:tc>
        <w:tc>
          <w:tcPr>
            <w:tcW w:w="715" w:type="dxa"/>
            <w:tcBorders>
              <w:top w:val="nil"/>
              <w:left w:val="nil"/>
              <w:bottom w:val="single" w:color="auto" w:sz="4" w:space="0"/>
              <w:right w:val="single" w:color="auto" w:sz="4" w:space="0"/>
            </w:tcBorders>
            <w:shd w:val="clear" w:color="auto" w:fill="FFFFFF"/>
            <w:noWrap w:val="0"/>
            <w:tcMar>
              <w:left w:w="10" w:type="dxa"/>
              <w:right w:w="10" w:type="dxa"/>
            </w:tcMar>
            <w:vAlign w:val="center"/>
          </w:tcPr>
          <w:p w14:paraId="3CF54158">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bidi="ar"/>
              </w:rPr>
              <w:t>10</w:t>
            </w:r>
          </w:p>
        </w:tc>
        <w:tc>
          <w:tcPr>
            <w:tcW w:w="11663"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7AA923C4">
            <w:pPr>
              <w:rPr>
                <w:color w:val="auto"/>
                <w:highlight w:val="none"/>
              </w:rPr>
            </w:pPr>
            <w:r>
              <w:rPr>
                <w:rFonts w:hint="eastAsia" w:ascii="宋体" w:hAnsi="宋体" w:cs="宋体"/>
                <w:color w:val="auto"/>
                <w:szCs w:val="21"/>
                <w:highlight w:val="none"/>
                <w:shd w:val="clear" w:color="auto" w:fill="FFFFFF"/>
              </w:rPr>
              <w:t>造价负责人</w:t>
            </w:r>
            <w:r>
              <w:rPr>
                <w:rFonts w:hint="eastAsia" w:ascii="宋体" w:hAnsi="宋体" w:cs="宋体"/>
                <w:color w:val="auto"/>
                <w:kern w:val="0"/>
                <w:szCs w:val="21"/>
                <w:highlight w:val="none"/>
                <w:lang w:val="en-US" w:eastAsia="zh-CN" w:bidi="ar"/>
              </w:rPr>
              <w:t>：</w:t>
            </w:r>
          </w:p>
          <w:p w14:paraId="0C660311">
            <w:pPr>
              <w:numPr>
                <w:ilvl w:val="0"/>
                <w:numId w:val="3"/>
              </w:numPr>
              <w:snapToGrid w:val="0"/>
              <w:rPr>
                <w:rFonts w:hint="eastAsia" w:ascii="宋体" w:hAnsi="宋体" w:eastAsia="宋体" w:cs="宋体"/>
                <w:color w:val="auto"/>
                <w:szCs w:val="21"/>
                <w:highlight w:val="none"/>
                <w:shd w:val="clear" w:color="auto" w:fill="FFFFFF"/>
              </w:rPr>
            </w:pPr>
            <w:r>
              <w:rPr>
                <w:rFonts w:hint="eastAsia" w:ascii="宋体" w:hAnsi="宋体" w:cs="宋体"/>
                <w:color w:val="auto"/>
                <w:szCs w:val="21"/>
                <w:highlight w:val="none"/>
                <w:shd w:val="clear" w:color="auto" w:fill="FFFFFF"/>
              </w:rPr>
              <w:t>具有</w:t>
            </w:r>
            <w:r>
              <w:rPr>
                <w:rFonts w:hint="eastAsia" w:ascii="宋体" w:hAnsi="宋体" w:cs="宋体"/>
                <w:color w:val="auto"/>
                <w:kern w:val="0"/>
                <w:szCs w:val="21"/>
                <w:highlight w:val="none"/>
                <w:lang w:bidi="ar"/>
              </w:rPr>
              <w:t>建筑工程类</w:t>
            </w:r>
            <w:r>
              <w:rPr>
                <w:rFonts w:cs="宋体"/>
                <w:color w:val="auto"/>
                <w:kern w:val="0"/>
                <w:szCs w:val="21"/>
                <w:highlight w:val="none"/>
                <w:lang w:bidi="ar"/>
              </w:rPr>
              <w:t>或</w:t>
            </w:r>
            <w:r>
              <w:rPr>
                <w:rFonts w:hint="eastAsia" w:cs="宋体"/>
                <w:color w:val="auto"/>
                <w:kern w:val="0"/>
                <w:szCs w:val="21"/>
                <w:highlight w:val="none"/>
                <w:lang w:bidi="ar"/>
              </w:rPr>
              <w:t>造价类</w:t>
            </w:r>
            <w:r>
              <w:rPr>
                <w:rFonts w:hint="eastAsia" w:ascii="宋体" w:hAnsi="宋体" w:cs="宋体"/>
                <w:color w:val="auto"/>
                <w:kern w:val="0"/>
                <w:szCs w:val="21"/>
                <w:highlight w:val="none"/>
                <w:lang w:bidi="ar"/>
              </w:rPr>
              <w:t>相关专业</w:t>
            </w:r>
            <w:r>
              <w:rPr>
                <w:rFonts w:hint="eastAsia" w:ascii="宋体" w:hAnsi="宋体" w:eastAsia="宋体" w:cs="宋体"/>
                <w:color w:val="auto"/>
                <w:kern w:val="0"/>
                <w:szCs w:val="21"/>
                <w:highlight w:val="none"/>
                <w:lang w:bidi="ar"/>
              </w:rPr>
              <w:t>高级工程师（副高）或以上技术职称的，得10分；</w:t>
            </w:r>
          </w:p>
          <w:p w14:paraId="15C43595">
            <w:pPr>
              <w:snapToGrid w:val="0"/>
              <w:spacing w:line="0" w:lineRule="atLeast"/>
              <w:jc w:val="left"/>
              <w:rPr>
                <w:rFonts w:ascii="Calibri" w:hAnsi="Calibri" w:eastAsia="宋体" w:cs="宋体"/>
                <w:color w:val="auto"/>
                <w:szCs w:val="21"/>
                <w:highlight w:val="none"/>
              </w:rPr>
            </w:pPr>
            <w:r>
              <w:rPr>
                <w:rFonts w:hint="eastAsia" w:ascii="宋体" w:hAnsi="宋体" w:cs="宋体"/>
                <w:color w:val="auto"/>
                <w:kern w:val="0"/>
                <w:szCs w:val="21"/>
                <w:highlight w:val="none"/>
                <w:lang w:bidi="ar"/>
              </w:rPr>
              <w:t>本项最高得</w:t>
            </w:r>
            <w:r>
              <w:rPr>
                <w:rFonts w:hint="eastAsia" w:ascii="宋体" w:hAnsi="宋体" w:cs="宋体"/>
                <w:color w:val="auto"/>
                <w:kern w:val="0"/>
                <w:szCs w:val="21"/>
                <w:highlight w:val="none"/>
                <w:lang w:val="en-US" w:eastAsia="zh-CN" w:bidi="ar"/>
              </w:rPr>
              <w:t>10</w:t>
            </w:r>
            <w:r>
              <w:rPr>
                <w:rFonts w:hint="eastAsia" w:ascii="宋体" w:hAnsi="宋体" w:cs="宋体"/>
                <w:color w:val="auto"/>
                <w:kern w:val="0"/>
                <w:szCs w:val="21"/>
                <w:highlight w:val="none"/>
                <w:lang w:bidi="ar"/>
              </w:rPr>
              <w:t>分</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不提供或不满足上述要求的不得分</w:t>
            </w:r>
            <w:r>
              <w:rPr>
                <w:rFonts w:hint="eastAsia" w:ascii="宋体" w:hAnsi="宋体" w:cs="宋体"/>
                <w:color w:val="auto"/>
                <w:kern w:val="0"/>
                <w:szCs w:val="21"/>
                <w:highlight w:val="none"/>
                <w:lang w:bidi="ar"/>
              </w:rPr>
              <w:t>。</w:t>
            </w:r>
          </w:p>
        </w:tc>
      </w:tr>
      <w:tr w14:paraId="5B74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2245" w:type="dxa"/>
            <w:gridSpan w:val="2"/>
            <w:tcBorders>
              <w:top w:val="single" w:color="auto" w:sz="4" w:space="0"/>
              <w:left w:val="single" w:color="auto" w:sz="4" w:space="0"/>
              <w:bottom w:val="single" w:color="auto" w:sz="4" w:space="0"/>
              <w:right w:val="single" w:color="auto" w:sz="4" w:space="0"/>
            </w:tcBorders>
            <w:shd w:val="clear" w:color="auto" w:fill="FFFFFF"/>
            <w:noWrap w:val="0"/>
            <w:tcMar>
              <w:left w:w="10" w:type="dxa"/>
              <w:right w:w="10" w:type="dxa"/>
            </w:tcMar>
            <w:vAlign w:val="center"/>
          </w:tcPr>
          <w:p w14:paraId="175E4EC2">
            <w:pPr>
              <w:widowControl/>
              <w:jc w:val="center"/>
              <w:rPr>
                <w:rFonts w:ascii="宋体" w:hAnsi="Calibri" w:eastAsia="宋体" w:cs="宋体"/>
                <w:color w:val="auto"/>
                <w:kern w:val="0"/>
                <w:szCs w:val="21"/>
                <w:highlight w:val="none"/>
              </w:rPr>
            </w:pPr>
            <w:r>
              <w:rPr>
                <w:rFonts w:hint="eastAsia" w:ascii="宋体" w:hAnsi="宋体" w:eastAsia="宋体" w:cs="宋体"/>
                <w:color w:val="auto"/>
                <w:kern w:val="0"/>
                <w:szCs w:val="21"/>
                <w:highlight w:val="none"/>
                <w:lang w:bidi="ar"/>
              </w:rPr>
              <w:t>合计（一</w:t>
            </w:r>
            <w:r>
              <w:rPr>
                <w:rFonts w:ascii="宋体" w:hAnsi="宋体" w:eastAsia="宋体" w:cs="宋体"/>
                <w:color w:val="auto"/>
                <w:kern w:val="0"/>
                <w:szCs w:val="21"/>
                <w:highlight w:val="none"/>
                <w:lang w:bidi="ar"/>
              </w:rPr>
              <w:t>+二）</w:t>
            </w:r>
          </w:p>
        </w:tc>
        <w:tc>
          <w:tcPr>
            <w:tcW w:w="715"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756C9DCD">
            <w:pPr>
              <w:widowControl/>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lang w:bidi="ar"/>
              </w:rPr>
              <w:t>100</w:t>
            </w:r>
          </w:p>
        </w:tc>
        <w:tc>
          <w:tcPr>
            <w:tcW w:w="11663"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6E5655E7">
            <w:pPr>
              <w:widowControl/>
              <w:jc w:val="left"/>
              <w:rPr>
                <w:rFonts w:ascii="宋体" w:hAnsi="Calibri" w:eastAsia="宋体" w:cs="宋体"/>
                <w:color w:val="auto"/>
                <w:kern w:val="0"/>
                <w:szCs w:val="21"/>
                <w:highlight w:val="none"/>
              </w:rPr>
            </w:pPr>
            <w:r>
              <w:rPr>
                <w:rFonts w:ascii="Calibri" w:hAnsi="Calibri" w:eastAsia="宋体" w:cs="Calibri"/>
                <w:color w:val="auto"/>
                <w:kern w:val="0"/>
                <w:szCs w:val="21"/>
                <w:highlight w:val="none"/>
                <w:lang w:bidi="ar"/>
              </w:rPr>
              <w:t> </w:t>
            </w:r>
          </w:p>
        </w:tc>
      </w:tr>
    </w:tbl>
    <w:p w14:paraId="73C630D9">
      <w:pPr>
        <w:widowControl/>
        <w:shd w:val="clear" w:color="auto" w:fill="FFFFFF"/>
        <w:rPr>
          <w:rFonts w:ascii="宋体" w:hAnsi="宋体" w:eastAsia="宋体" w:cs="宋体"/>
          <w:color w:val="auto"/>
          <w:kern w:val="0"/>
          <w:szCs w:val="21"/>
          <w:highlight w:val="none"/>
          <w:shd w:val="clear" w:color="auto" w:fill="FFFFFF"/>
          <w:lang w:bidi="ar"/>
        </w:rPr>
      </w:pPr>
      <w:r>
        <w:rPr>
          <w:rFonts w:ascii="宋体" w:hAnsi="宋体" w:eastAsia="宋体" w:cs="宋体"/>
          <w:color w:val="auto"/>
          <w:kern w:val="0"/>
          <w:szCs w:val="21"/>
          <w:highlight w:val="none"/>
          <w:shd w:val="clear" w:color="auto" w:fill="FFFFFF"/>
          <w:lang w:bidi="ar"/>
        </w:rPr>
        <w:t>注：</w:t>
      </w:r>
    </w:p>
    <w:p w14:paraId="00FC87A3">
      <w:pPr>
        <w:widowControl/>
        <w:shd w:val="clear" w:color="auto" w:fill="FFFFFF"/>
        <w:rPr>
          <w:rFonts w:hint="eastAsia" w:ascii="宋体" w:hAnsi="宋体" w:cs="宋体"/>
          <w:bCs/>
          <w:color w:val="auto"/>
          <w:kern w:val="0"/>
          <w:szCs w:val="21"/>
          <w:highlight w:val="none"/>
          <w:shd w:val="clear" w:color="auto" w:fill="FFFFFF"/>
          <w:lang w:val="en-US" w:eastAsia="zh-CN" w:bidi="ar"/>
        </w:rPr>
      </w:pPr>
      <w:r>
        <w:rPr>
          <w:rFonts w:hint="eastAsia" w:ascii="宋体" w:hAnsi="宋体" w:cs="宋体"/>
          <w:bCs/>
          <w:color w:val="auto"/>
          <w:kern w:val="0"/>
          <w:szCs w:val="21"/>
          <w:highlight w:val="none"/>
          <w:shd w:val="clear" w:color="auto" w:fill="FFFFFF"/>
          <w:lang w:val="en-US" w:eastAsia="zh-CN" w:bidi="ar"/>
        </w:rPr>
        <w:t>1、（1）圆括号：（ ）表示开区间，即不包含端点。例如：（0,1） 表示所有大于0且小于1的实数。（2）中括号：[ ]表示闭区间，即包含端点。例如：[0,1] 表示所有大于等于0且小于等于1的实数。</w:t>
      </w:r>
    </w:p>
    <w:p w14:paraId="28F3648C">
      <w:pPr>
        <w:widowControl/>
        <w:shd w:val="clear" w:color="auto" w:fill="FFFFFF"/>
        <w:rPr>
          <w:rFonts w:ascii="宋体" w:hAnsi="宋体" w:eastAsia="宋体" w:cs="宋体"/>
          <w:bCs/>
          <w:color w:val="auto"/>
          <w:kern w:val="0"/>
          <w:szCs w:val="21"/>
          <w:highlight w:val="none"/>
          <w:shd w:val="clear" w:color="auto" w:fill="FFFFFF"/>
          <w:lang w:bidi="ar"/>
        </w:rPr>
      </w:pPr>
      <w:r>
        <w:rPr>
          <w:rFonts w:hint="eastAsia" w:ascii="宋体" w:hAnsi="宋体" w:cs="宋体"/>
          <w:bCs/>
          <w:color w:val="auto"/>
          <w:kern w:val="0"/>
          <w:szCs w:val="21"/>
          <w:highlight w:val="none"/>
          <w:shd w:val="clear" w:color="auto" w:fill="FFFFFF"/>
          <w:lang w:val="en-US" w:eastAsia="zh-CN" w:bidi="ar"/>
        </w:rPr>
        <w:t>2</w:t>
      </w:r>
      <w:r>
        <w:rPr>
          <w:rFonts w:ascii="宋体" w:hAnsi="宋体" w:eastAsia="宋体" w:cs="宋体"/>
          <w:bCs/>
          <w:color w:val="auto"/>
          <w:kern w:val="0"/>
          <w:szCs w:val="21"/>
          <w:highlight w:val="none"/>
          <w:shd w:val="clear" w:color="auto" w:fill="FFFFFF"/>
          <w:lang w:bidi="ar"/>
        </w:rPr>
        <w:t>、</w:t>
      </w:r>
      <w:r>
        <w:rPr>
          <w:rFonts w:hint="eastAsia" w:ascii="宋体" w:hAnsi="宋体" w:cs="宋体"/>
          <w:bCs/>
          <w:color w:val="auto"/>
          <w:kern w:val="0"/>
          <w:szCs w:val="21"/>
          <w:highlight w:val="none"/>
          <w:shd w:val="clear" w:color="auto" w:fill="FFFFFF"/>
          <w:lang w:eastAsia="zh-CN" w:bidi="ar"/>
        </w:rPr>
        <w:t>【</w:t>
      </w:r>
      <w:r>
        <w:rPr>
          <w:rFonts w:hint="eastAsia" w:ascii="宋体" w:hAnsi="宋体" w:eastAsia="宋体" w:cs="宋体"/>
          <w:b/>
          <w:bCs w:val="0"/>
          <w:color w:val="auto"/>
          <w:kern w:val="0"/>
          <w:szCs w:val="21"/>
          <w:highlight w:val="none"/>
          <w:shd w:val="clear" w:color="auto" w:fill="FFFFFF"/>
          <w:lang w:bidi="ar"/>
        </w:rPr>
        <w:t>项目管理班子答</w:t>
      </w:r>
      <w:r>
        <w:rPr>
          <w:rFonts w:hint="eastAsia" w:ascii="宋体" w:hAnsi="宋体" w:eastAsia="宋体" w:cs="宋体"/>
          <w:b/>
          <w:bCs/>
          <w:color w:val="auto"/>
          <w:kern w:val="0"/>
          <w:szCs w:val="21"/>
          <w:highlight w:val="none"/>
          <w:shd w:val="clear" w:color="auto" w:fill="FFFFFF"/>
          <w:lang w:bidi="ar"/>
        </w:rPr>
        <w:t>辩</w:t>
      </w:r>
      <w:r>
        <w:rPr>
          <w:rFonts w:hint="eastAsia" w:ascii="宋体" w:hAnsi="宋体" w:cs="宋体"/>
          <w:b/>
          <w:bCs/>
          <w:color w:val="auto"/>
          <w:kern w:val="0"/>
          <w:szCs w:val="21"/>
          <w:highlight w:val="none"/>
          <w:shd w:val="clear" w:color="auto" w:fill="FFFFFF"/>
          <w:lang w:eastAsia="zh-CN" w:bidi="ar"/>
        </w:rPr>
        <w:t>】</w:t>
      </w:r>
      <w:r>
        <w:rPr>
          <w:rFonts w:hint="eastAsia" w:ascii="宋体" w:hAnsi="宋体" w:eastAsia="宋体" w:cs="宋体"/>
          <w:bCs/>
          <w:color w:val="auto"/>
          <w:kern w:val="0"/>
          <w:szCs w:val="21"/>
          <w:highlight w:val="none"/>
          <w:shd w:val="clear" w:color="auto" w:fill="FFFFFF"/>
          <w:lang w:bidi="ar"/>
        </w:rPr>
        <w:t>：由通过技术标有效性审查的投标人拟投入本项目负责人、技术负责人项目管理班子讲解投标方案、解答疑问，评标委员会专家根据答辩情况进行评审。讲解投标方案注意事项如下：</w:t>
      </w:r>
    </w:p>
    <w:p w14:paraId="7782C48F">
      <w:pPr>
        <w:widowControl/>
        <w:shd w:val="clear" w:color="auto" w:fill="FFFFFF"/>
        <w:rPr>
          <w:rFonts w:ascii="宋体" w:hAnsi="宋体" w:eastAsia="宋体" w:cs="宋体"/>
          <w:bCs/>
          <w:color w:val="auto"/>
          <w:kern w:val="0"/>
          <w:szCs w:val="21"/>
          <w:highlight w:val="none"/>
          <w:shd w:val="clear" w:color="auto" w:fill="FFFFFF"/>
          <w:lang w:bidi="ar"/>
        </w:rPr>
      </w:pPr>
      <w:r>
        <w:rPr>
          <w:rFonts w:hint="eastAsia" w:ascii="宋体" w:hAnsi="宋体" w:cs="宋体"/>
          <w:bCs/>
          <w:color w:val="auto"/>
          <w:kern w:val="0"/>
          <w:szCs w:val="21"/>
          <w:highlight w:val="none"/>
          <w:shd w:val="clear" w:color="auto" w:fill="FFFFFF"/>
          <w:lang w:val="en-US" w:eastAsia="zh-CN" w:bidi="ar"/>
        </w:rPr>
        <w:t>（1）</w:t>
      </w:r>
      <w:r>
        <w:rPr>
          <w:rFonts w:hint="eastAsia" w:ascii="宋体" w:hAnsi="宋体" w:eastAsia="宋体" w:cs="宋体"/>
          <w:bCs/>
          <w:color w:val="auto"/>
          <w:kern w:val="0"/>
          <w:szCs w:val="21"/>
          <w:highlight w:val="none"/>
          <w:shd w:val="clear" w:color="auto" w:fill="FFFFFF"/>
          <w:lang w:bidi="ar"/>
        </w:rPr>
        <w:t>讲解投标方案的人员组成：由项目负责人、技术负责人中的</w:t>
      </w:r>
      <w:r>
        <w:rPr>
          <w:rFonts w:ascii="宋体" w:hAnsi="宋体" w:eastAsia="宋体" w:cs="宋体"/>
          <w:bCs/>
          <w:color w:val="auto"/>
          <w:kern w:val="0"/>
          <w:szCs w:val="21"/>
          <w:highlight w:val="none"/>
          <w:shd w:val="clear" w:color="auto" w:fill="FFFFFF"/>
          <w:lang w:bidi="ar"/>
        </w:rPr>
        <w:t>1人或2人组成(参与人员须是本单位的在职人员）。</w:t>
      </w:r>
    </w:p>
    <w:p w14:paraId="634151B3">
      <w:pPr>
        <w:widowControl/>
        <w:shd w:val="clear" w:color="auto" w:fill="FFFFFF"/>
        <w:rPr>
          <w:rFonts w:ascii="宋体" w:hAnsi="宋体" w:eastAsia="宋体" w:cs="宋体"/>
          <w:bCs/>
          <w:color w:val="auto"/>
          <w:kern w:val="0"/>
          <w:szCs w:val="21"/>
          <w:highlight w:val="none"/>
          <w:shd w:val="clear" w:color="auto" w:fill="FFFFFF"/>
          <w:lang w:bidi="ar"/>
        </w:rPr>
      </w:pPr>
      <w:r>
        <w:rPr>
          <w:rFonts w:hint="eastAsia" w:ascii="宋体" w:hAnsi="宋体" w:cs="宋体"/>
          <w:bCs/>
          <w:color w:val="auto"/>
          <w:kern w:val="0"/>
          <w:szCs w:val="21"/>
          <w:highlight w:val="none"/>
          <w:shd w:val="clear" w:color="auto" w:fill="FFFFFF"/>
          <w:lang w:val="en-US" w:eastAsia="zh-CN" w:bidi="ar"/>
        </w:rPr>
        <w:t>（2）</w:t>
      </w:r>
      <w:r>
        <w:rPr>
          <w:rFonts w:hint="eastAsia" w:ascii="宋体" w:hAnsi="宋体" w:eastAsia="宋体" w:cs="宋体"/>
          <w:bCs/>
          <w:color w:val="auto"/>
          <w:kern w:val="0"/>
          <w:szCs w:val="21"/>
          <w:highlight w:val="none"/>
          <w:shd w:val="clear" w:color="auto" w:fill="FFFFFF"/>
          <w:lang w:bidi="ar"/>
        </w:rPr>
        <w:t>讲解投标方案的顺序：通过随机抽取方式确定讲解顺序。</w:t>
      </w:r>
    </w:p>
    <w:p w14:paraId="47DB2138">
      <w:pPr>
        <w:widowControl/>
        <w:shd w:val="clear" w:color="auto" w:fill="FFFFFF"/>
        <w:rPr>
          <w:rFonts w:ascii="宋体" w:hAnsi="宋体" w:eastAsia="宋体" w:cs="宋体"/>
          <w:bCs/>
          <w:color w:val="auto"/>
          <w:kern w:val="0"/>
          <w:szCs w:val="21"/>
          <w:highlight w:val="none"/>
          <w:shd w:val="clear" w:color="auto" w:fill="FFFFFF"/>
          <w:lang w:bidi="ar"/>
        </w:rPr>
      </w:pPr>
      <w:r>
        <w:rPr>
          <w:rFonts w:hint="eastAsia" w:ascii="宋体" w:hAnsi="宋体" w:cs="宋体"/>
          <w:bCs/>
          <w:color w:val="auto"/>
          <w:kern w:val="0"/>
          <w:szCs w:val="21"/>
          <w:highlight w:val="none"/>
          <w:shd w:val="clear" w:color="auto" w:fill="FFFFFF"/>
          <w:lang w:val="en-US" w:eastAsia="zh-CN" w:bidi="ar"/>
        </w:rPr>
        <w:t>（3）</w:t>
      </w:r>
      <w:r>
        <w:rPr>
          <w:rFonts w:hint="eastAsia" w:ascii="宋体" w:hAnsi="宋体" w:eastAsia="宋体" w:cs="宋体"/>
          <w:bCs/>
          <w:color w:val="auto"/>
          <w:kern w:val="0"/>
          <w:szCs w:val="21"/>
          <w:highlight w:val="none"/>
          <w:shd w:val="clear" w:color="auto" w:fill="FFFFFF"/>
          <w:lang w:bidi="ar"/>
        </w:rPr>
        <w:t>讲解方案人员的要求：投标人在参加讲解时，</w:t>
      </w:r>
      <w:r>
        <w:rPr>
          <w:rFonts w:hint="eastAsia" w:ascii="宋体" w:hAnsi="宋体" w:eastAsia="宋体" w:cs="宋体"/>
          <w:b/>
          <w:color w:val="auto"/>
          <w:kern w:val="0"/>
          <w:szCs w:val="21"/>
          <w:highlight w:val="none"/>
          <w:shd w:val="clear" w:color="auto" w:fill="FFFFFF"/>
          <w:lang w:bidi="ar"/>
        </w:rPr>
        <w:t>应向招标人（招标代理）提供一份加盖公章的法定代表人证明书及授权委托书，并展示讲解人员在本单位</w:t>
      </w:r>
      <w:r>
        <w:rPr>
          <w:rFonts w:ascii="宋体" w:hAnsi="宋体" w:eastAsia="宋体" w:cs="宋体"/>
          <w:b/>
          <w:color w:val="auto"/>
          <w:kern w:val="0"/>
          <w:szCs w:val="21"/>
          <w:highlight w:val="none"/>
          <w:shd w:val="clear" w:color="auto" w:fill="FFFFFF"/>
          <w:lang w:bidi="ar"/>
        </w:rPr>
        <w:t>202</w:t>
      </w:r>
      <w:r>
        <w:rPr>
          <w:rFonts w:hint="eastAsia" w:ascii="宋体" w:hAnsi="宋体" w:eastAsia="宋体" w:cs="宋体"/>
          <w:b/>
          <w:color w:val="auto"/>
          <w:kern w:val="0"/>
          <w:szCs w:val="21"/>
          <w:highlight w:val="none"/>
          <w:shd w:val="clear" w:color="auto" w:fill="FFFFFF"/>
          <w:lang w:val="en-US" w:eastAsia="zh-CN" w:bidi="ar"/>
        </w:rPr>
        <w:t>5</w:t>
      </w:r>
      <w:r>
        <w:rPr>
          <w:rFonts w:hint="eastAsia" w:ascii="宋体" w:hAnsi="宋体" w:eastAsia="宋体" w:cs="宋体"/>
          <w:b/>
          <w:color w:val="auto"/>
          <w:kern w:val="0"/>
          <w:szCs w:val="21"/>
          <w:highlight w:val="none"/>
          <w:shd w:val="clear" w:color="auto" w:fill="FFFFFF"/>
          <w:lang w:bidi="ar"/>
        </w:rPr>
        <w:t>年</w:t>
      </w:r>
      <w:r>
        <w:rPr>
          <w:rFonts w:hint="eastAsia" w:ascii="宋体" w:hAnsi="宋体" w:cs="宋体"/>
          <w:b/>
          <w:color w:val="auto"/>
          <w:kern w:val="0"/>
          <w:szCs w:val="21"/>
          <w:highlight w:val="none"/>
          <w:shd w:val="clear" w:color="auto" w:fill="FFFFFF"/>
          <w:lang w:val="en-US" w:eastAsia="zh-CN" w:bidi="ar"/>
        </w:rPr>
        <w:t>10</w:t>
      </w:r>
      <w:r>
        <w:rPr>
          <w:rFonts w:hint="eastAsia" w:ascii="宋体" w:hAnsi="宋体" w:eastAsia="宋体" w:cs="宋体"/>
          <w:b/>
          <w:color w:val="auto"/>
          <w:kern w:val="0"/>
          <w:szCs w:val="21"/>
          <w:highlight w:val="none"/>
          <w:shd w:val="clear" w:color="auto" w:fill="FFFFFF"/>
          <w:lang w:bidi="ar"/>
        </w:rPr>
        <w:t>月的有效社保证明复印件并加盖单位公章</w:t>
      </w:r>
      <w:r>
        <w:rPr>
          <w:rFonts w:ascii="宋体" w:hAnsi="宋体" w:eastAsia="宋体" w:cs="宋体"/>
          <w:b/>
          <w:color w:val="auto"/>
          <w:kern w:val="0"/>
          <w:szCs w:val="21"/>
          <w:highlight w:val="none"/>
          <w:shd w:val="clear" w:color="auto" w:fill="FFFFFF"/>
          <w:lang w:bidi="ar"/>
        </w:rPr>
        <w:t>)、身份证原件</w:t>
      </w:r>
      <w:r>
        <w:rPr>
          <w:rFonts w:hint="eastAsia" w:ascii="宋体" w:hAnsi="宋体" w:eastAsia="宋体" w:cs="宋体"/>
          <w:bCs/>
          <w:color w:val="auto"/>
          <w:kern w:val="0"/>
          <w:szCs w:val="21"/>
          <w:highlight w:val="none"/>
          <w:shd w:val="clear" w:color="auto" w:fill="FFFFFF"/>
          <w:lang w:bidi="ar"/>
        </w:rPr>
        <w:t>，招标人（招标代理）核对确认身份后再进行讲解。未能出示前述证明文件的单位不予参加讲解环节。</w:t>
      </w:r>
    </w:p>
    <w:p w14:paraId="74777A41">
      <w:pPr>
        <w:widowControl/>
        <w:shd w:val="clear" w:color="auto" w:fill="FFFFFF"/>
        <w:rPr>
          <w:rFonts w:ascii="宋体" w:hAnsi="宋体" w:eastAsia="宋体" w:cs="宋体"/>
          <w:bCs/>
          <w:color w:val="auto"/>
          <w:kern w:val="0"/>
          <w:szCs w:val="21"/>
          <w:highlight w:val="none"/>
          <w:shd w:val="clear" w:color="auto" w:fill="FFFFFF"/>
          <w:lang w:bidi="ar"/>
        </w:rPr>
      </w:pPr>
      <w:r>
        <w:rPr>
          <w:rFonts w:hint="eastAsia" w:ascii="宋体" w:hAnsi="宋体" w:cs="宋体"/>
          <w:bCs/>
          <w:color w:val="auto"/>
          <w:kern w:val="0"/>
          <w:szCs w:val="21"/>
          <w:highlight w:val="none"/>
          <w:shd w:val="clear" w:color="auto" w:fill="FFFFFF"/>
          <w:lang w:val="en-US" w:eastAsia="zh-CN" w:bidi="ar"/>
        </w:rPr>
        <w:t>（4）</w:t>
      </w:r>
      <w:r>
        <w:rPr>
          <w:rFonts w:hint="eastAsia" w:ascii="宋体" w:hAnsi="宋体" w:eastAsia="宋体" w:cs="宋体"/>
          <w:bCs/>
          <w:color w:val="auto"/>
          <w:kern w:val="0"/>
          <w:szCs w:val="21"/>
          <w:highlight w:val="none"/>
          <w:shd w:val="clear" w:color="auto" w:fill="FFFFFF"/>
          <w:lang w:bidi="ar"/>
        </w:rPr>
        <w:t>讲解形式与要求：讲解环节在评标时进行，具体时间根据评标委员会评审进度而定；招标人（招标代理）在投标方案讲解开始前通知通过技术标有效性审查的投标人到达讲解地点（讲解人员应预留出足够的时间，并保持通讯畅通），讲解人员先陈述，评委针对陈述内容及施工方案提问，由讲解人员进行解答。未通过技术标有效性审查的投标单位无需再参与方案讲解。</w:t>
      </w:r>
    </w:p>
    <w:p w14:paraId="2F815DEB">
      <w:pPr>
        <w:widowControl/>
        <w:shd w:val="clear" w:color="auto" w:fill="FFFFFF"/>
        <w:rPr>
          <w:rFonts w:hint="default" w:ascii="宋体" w:hAnsi="宋体" w:eastAsia="宋体" w:cs="宋体"/>
          <w:color w:val="auto"/>
          <w:kern w:val="0"/>
          <w:szCs w:val="21"/>
          <w:highlight w:val="none"/>
          <w:shd w:val="clear" w:color="auto" w:fill="FFFFFF"/>
          <w:lang w:val="en-US" w:eastAsia="zh-CN" w:bidi="ar"/>
        </w:rPr>
      </w:pPr>
      <w:r>
        <w:rPr>
          <w:rFonts w:hint="eastAsia" w:ascii="宋体" w:hAnsi="宋体" w:cs="宋体"/>
          <w:bCs/>
          <w:color w:val="auto"/>
          <w:kern w:val="0"/>
          <w:szCs w:val="21"/>
          <w:highlight w:val="none"/>
          <w:shd w:val="clear" w:color="auto" w:fill="FFFFFF"/>
          <w:lang w:val="en-US" w:eastAsia="zh-CN" w:bidi="ar"/>
        </w:rPr>
        <w:t>（5）</w:t>
      </w:r>
      <w:r>
        <w:rPr>
          <w:rFonts w:hint="eastAsia" w:ascii="宋体" w:hAnsi="宋体" w:eastAsia="宋体" w:cs="宋体"/>
          <w:bCs/>
          <w:color w:val="auto"/>
          <w:kern w:val="0"/>
          <w:szCs w:val="21"/>
          <w:highlight w:val="none"/>
          <w:shd w:val="clear" w:color="auto" w:fill="FFFFFF"/>
          <w:lang w:bidi="ar"/>
        </w:rPr>
        <w:t>每个投标人答辩时间不超过15分钟</w:t>
      </w:r>
      <w:r>
        <w:rPr>
          <w:rFonts w:hint="eastAsia" w:ascii="宋体" w:hAnsi="宋体" w:cs="宋体"/>
          <w:bCs/>
          <w:color w:val="auto"/>
          <w:kern w:val="0"/>
          <w:szCs w:val="21"/>
          <w:highlight w:val="none"/>
          <w:shd w:val="clear" w:color="auto" w:fill="FFFFFF"/>
          <w:lang w:eastAsia="zh-CN" w:bidi="ar"/>
        </w:rPr>
        <w:t>，</w:t>
      </w:r>
      <w:r>
        <w:rPr>
          <w:rFonts w:hint="eastAsia" w:ascii="宋体" w:hAnsi="宋体" w:cs="宋体"/>
          <w:bCs/>
          <w:color w:val="auto"/>
          <w:kern w:val="0"/>
          <w:szCs w:val="21"/>
          <w:highlight w:val="none"/>
          <w:shd w:val="clear" w:color="auto" w:fill="FFFFFF"/>
          <w:lang w:val="en-US" w:eastAsia="zh-CN" w:bidi="ar"/>
        </w:rPr>
        <w:t>其中</w:t>
      </w:r>
      <w:r>
        <w:rPr>
          <w:rFonts w:hint="eastAsia" w:ascii="宋体" w:hAnsi="宋体" w:eastAsia="宋体" w:cs="宋体"/>
          <w:bCs/>
          <w:color w:val="auto"/>
          <w:kern w:val="0"/>
          <w:szCs w:val="21"/>
          <w:highlight w:val="none"/>
          <w:shd w:val="clear" w:color="auto" w:fill="FFFFFF"/>
          <w:lang w:bidi="ar"/>
        </w:rPr>
        <w:t>讲解时长：每家投标人控制在</w:t>
      </w:r>
      <w:r>
        <w:rPr>
          <w:rFonts w:hint="default" w:ascii="宋体" w:hAnsi="宋体" w:eastAsia="宋体" w:cs="宋体"/>
          <w:bCs/>
          <w:color w:val="auto"/>
          <w:kern w:val="0"/>
          <w:szCs w:val="21"/>
          <w:highlight w:val="none"/>
          <w:shd w:val="clear" w:color="auto" w:fill="FFFFFF"/>
          <w:lang w:val="en-US" w:bidi="ar"/>
        </w:rPr>
        <w:t>10</w:t>
      </w:r>
      <w:r>
        <w:rPr>
          <w:rFonts w:ascii="宋体" w:hAnsi="宋体" w:eastAsia="宋体" w:cs="宋体"/>
          <w:bCs/>
          <w:color w:val="auto"/>
          <w:kern w:val="0"/>
          <w:szCs w:val="21"/>
          <w:highlight w:val="none"/>
          <w:shd w:val="clear" w:color="auto" w:fill="FFFFFF"/>
          <w:lang w:bidi="ar"/>
        </w:rPr>
        <w:t>分钟内。</w:t>
      </w:r>
    </w:p>
    <w:p w14:paraId="6A11C360">
      <w:pPr>
        <w:widowControl/>
        <w:shd w:val="clear" w:color="auto" w:fill="FFFFFF"/>
        <w:rPr>
          <w:rFonts w:ascii="宋体" w:hAnsi="宋体" w:eastAsia="宋体" w:cs="宋体"/>
          <w:color w:val="auto"/>
          <w:kern w:val="0"/>
          <w:szCs w:val="21"/>
          <w:highlight w:val="none"/>
          <w:shd w:val="clear" w:color="auto" w:fill="FFFFFF"/>
          <w:lang w:bidi="ar"/>
        </w:rPr>
      </w:pPr>
      <w:r>
        <w:rPr>
          <w:rFonts w:hint="eastAsia" w:ascii="宋体" w:hAnsi="宋体" w:cs="宋体"/>
          <w:color w:val="auto"/>
          <w:kern w:val="0"/>
          <w:szCs w:val="21"/>
          <w:highlight w:val="none"/>
          <w:shd w:val="clear" w:color="auto" w:fill="FFFFFF"/>
          <w:lang w:val="en-US" w:eastAsia="zh-CN" w:bidi="ar"/>
        </w:rPr>
        <w:t>3</w:t>
      </w:r>
      <w:r>
        <w:rPr>
          <w:rFonts w:hint="eastAsia" w:ascii="宋体" w:hAnsi="宋体" w:eastAsia="宋体" w:cs="宋体"/>
          <w:color w:val="auto"/>
          <w:kern w:val="0"/>
          <w:szCs w:val="21"/>
          <w:highlight w:val="none"/>
          <w:shd w:val="clear" w:color="auto" w:fill="FFFFFF"/>
          <w:lang w:bidi="ar"/>
        </w:rPr>
        <w:t>、</w:t>
      </w:r>
      <w:r>
        <w:rPr>
          <w:rFonts w:hint="eastAsia" w:ascii="宋体" w:hAnsi="宋体" w:eastAsia="宋体" w:cs="宋体"/>
          <w:b/>
          <w:color w:val="auto"/>
          <w:kern w:val="0"/>
          <w:szCs w:val="21"/>
          <w:highlight w:val="none"/>
          <w:shd w:val="clear" w:color="auto" w:fill="FFFFFF"/>
          <w:lang w:bidi="ar"/>
        </w:rPr>
        <w:t>【项目管理机构】</w:t>
      </w:r>
      <w:r>
        <w:rPr>
          <w:rFonts w:hint="eastAsia" w:ascii="宋体" w:hAnsi="宋体" w:eastAsia="宋体" w:cs="宋体"/>
          <w:color w:val="auto"/>
          <w:kern w:val="0"/>
          <w:szCs w:val="21"/>
          <w:highlight w:val="none"/>
          <w:shd w:val="clear" w:color="auto" w:fill="FFFFFF"/>
          <w:lang w:bidi="ar"/>
        </w:rPr>
        <w:t>：</w:t>
      </w:r>
    </w:p>
    <w:p w14:paraId="5B68B88E">
      <w:pPr>
        <w:widowControl/>
        <w:shd w:val="clear" w:color="auto" w:fill="FFFFFF"/>
        <w:ind w:firstLine="0" w:firstLineChars="0"/>
        <w:rPr>
          <w:rFonts w:hint="eastAsia" w:ascii="宋体" w:hAnsi="宋体" w:cs="宋体"/>
          <w:color w:val="auto"/>
          <w:kern w:val="0"/>
          <w:szCs w:val="21"/>
          <w:highlight w:val="none"/>
          <w:shd w:val="clear" w:color="auto" w:fill="FFFFFF"/>
          <w:lang w:eastAsia="zh-CN" w:bidi="ar"/>
        </w:rPr>
      </w:pPr>
      <w:r>
        <w:rPr>
          <w:rFonts w:hint="eastAsia" w:ascii="宋体" w:hAnsi="宋体" w:cs="宋体"/>
          <w:bCs/>
          <w:color w:val="auto"/>
          <w:kern w:val="0"/>
          <w:szCs w:val="21"/>
          <w:highlight w:val="none"/>
          <w:shd w:val="clear" w:color="auto" w:fill="FFFFFF"/>
          <w:lang w:val="en-US" w:eastAsia="zh-CN" w:bidi="ar"/>
        </w:rPr>
        <w:t>（1）</w:t>
      </w:r>
      <w:r>
        <w:rPr>
          <w:rFonts w:hint="eastAsia" w:ascii="宋体" w:hAnsi="宋体" w:eastAsia="宋体" w:cs="宋体"/>
          <w:color w:val="auto"/>
          <w:kern w:val="0"/>
          <w:szCs w:val="21"/>
          <w:highlight w:val="none"/>
          <w:shd w:val="clear" w:color="auto" w:fill="FFFFFF"/>
          <w:lang w:bidi="ar"/>
        </w:rPr>
        <w:t>投标人应相应提供人员相关的职称证书、执业注册证书（如有）、岗位证书（或上岗证或培训证）、社保证明等扫描件，工作经验以大学专科（或以上）毕业证的颁发日期开始计算至投标截止时间止；项目管理团队人员各岗位人员不得相互</w:t>
      </w:r>
      <w:r>
        <w:rPr>
          <w:rFonts w:hint="eastAsia" w:ascii="宋体" w:hAnsi="宋体" w:cs="宋体"/>
          <w:color w:val="auto"/>
          <w:kern w:val="0"/>
          <w:szCs w:val="21"/>
          <w:highlight w:val="none"/>
          <w:shd w:val="clear" w:color="auto" w:fill="FFFFFF"/>
          <w:lang w:eastAsia="zh-CN" w:bidi="ar"/>
        </w:rPr>
        <w:t>兼任</w:t>
      </w:r>
      <w:r>
        <w:rPr>
          <w:rFonts w:hint="eastAsia" w:ascii="宋体" w:hAnsi="宋体" w:eastAsia="宋体" w:cs="宋体"/>
          <w:color w:val="auto"/>
          <w:kern w:val="0"/>
          <w:szCs w:val="21"/>
          <w:highlight w:val="none"/>
          <w:shd w:val="clear" w:color="auto" w:fill="FFFFFF"/>
          <w:lang w:bidi="ar"/>
        </w:rPr>
        <w:t>。须提供对应要求的证书扫描件并加盖投标单位公章或电子印章。职称专业以职称证书上注明的专业为准，不同专业职称证书只计算一次且按最高级别的职称进行计分</w:t>
      </w:r>
      <w:r>
        <w:rPr>
          <w:rFonts w:hint="eastAsia" w:ascii="宋体" w:hAnsi="宋体" w:cs="宋体"/>
          <w:color w:val="auto"/>
          <w:kern w:val="0"/>
          <w:szCs w:val="21"/>
          <w:highlight w:val="none"/>
          <w:shd w:val="clear" w:color="auto" w:fill="FFFFFF"/>
          <w:lang w:eastAsia="zh-CN" w:bidi="ar"/>
        </w:rPr>
        <w:t>。</w:t>
      </w:r>
    </w:p>
    <w:p w14:paraId="6BED2DAF">
      <w:pPr>
        <w:widowControl/>
        <w:shd w:val="clear" w:color="auto" w:fill="FFFFFF"/>
        <w:ind w:firstLine="0" w:firstLineChars="0"/>
        <w:rPr>
          <w:rFonts w:hint="eastAsia" w:ascii="宋体" w:hAnsi="宋体" w:eastAsia="宋体" w:cs="宋体"/>
          <w:color w:val="auto"/>
          <w:kern w:val="0"/>
          <w:szCs w:val="21"/>
          <w:highlight w:val="none"/>
          <w:shd w:val="clear" w:color="auto" w:fill="FFFFFF"/>
          <w:lang w:bidi="ar"/>
        </w:rPr>
      </w:pPr>
      <w:r>
        <w:rPr>
          <w:rFonts w:hint="eastAsia" w:ascii="宋体" w:hAnsi="宋体" w:cs="宋体"/>
          <w:bCs/>
          <w:color w:val="auto"/>
          <w:kern w:val="0"/>
          <w:szCs w:val="21"/>
          <w:highlight w:val="none"/>
          <w:shd w:val="clear" w:color="auto" w:fill="FFFFFF"/>
          <w:lang w:val="en-US" w:eastAsia="zh-CN" w:bidi="ar"/>
        </w:rPr>
        <w:t>（2）</w:t>
      </w:r>
      <w:r>
        <w:rPr>
          <w:rFonts w:hint="eastAsia" w:ascii="宋体" w:hAnsi="宋体" w:eastAsia="宋体" w:cs="宋体"/>
          <w:color w:val="auto"/>
          <w:kern w:val="0"/>
          <w:szCs w:val="21"/>
          <w:highlight w:val="none"/>
          <w:shd w:val="clear" w:color="auto" w:fill="FFFFFF"/>
          <w:lang w:bidi="ar"/>
        </w:rPr>
        <w:t>按照《造价工程师职业资格制度规定》的规定，根据原人事部、原建设部发布的《造价工程师执业资格制度暂行规定》（人发〔</w:t>
      </w:r>
      <w:r>
        <w:rPr>
          <w:rFonts w:ascii="宋体" w:hAnsi="宋体" w:eastAsia="宋体" w:cs="宋体"/>
          <w:color w:val="auto"/>
          <w:kern w:val="0"/>
          <w:szCs w:val="21"/>
          <w:highlight w:val="none"/>
          <w:shd w:val="clear" w:color="auto" w:fill="FFFFFF"/>
          <w:lang w:bidi="ar"/>
        </w:rPr>
        <w:t>1996〕77号）取得的造价工程师执业资格，并经注册且在</w:t>
      </w:r>
      <w:r>
        <w:rPr>
          <w:rFonts w:hint="eastAsia" w:ascii="宋体" w:hAnsi="宋体" w:eastAsia="宋体" w:cs="宋体"/>
          <w:color w:val="auto"/>
          <w:kern w:val="0"/>
          <w:szCs w:val="21"/>
          <w:highlight w:val="none"/>
          <w:shd w:val="clear" w:color="auto" w:fill="FFFFFF"/>
          <w:lang w:bidi="ar"/>
        </w:rPr>
        <w:t>有效期内的，等同于一级注册造价工程师。</w:t>
      </w:r>
    </w:p>
    <w:p w14:paraId="1E3F5946">
      <w:pPr>
        <w:widowControl/>
        <w:shd w:val="clear" w:color="auto" w:fill="FFFFFF"/>
        <w:ind w:firstLine="0" w:firstLineChars="0"/>
        <w:rPr>
          <w:rFonts w:ascii="宋体" w:hAnsi="宋体" w:eastAsia="宋体" w:cs="宋体"/>
          <w:color w:val="auto"/>
          <w:kern w:val="0"/>
          <w:szCs w:val="21"/>
          <w:highlight w:val="none"/>
          <w:shd w:val="clear" w:color="auto" w:fill="FFFFFF"/>
        </w:rPr>
      </w:pPr>
      <w:r>
        <w:rPr>
          <w:rFonts w:hint="eastAsia" w:ascii="宋体" w:hAnsi="宋体" w:cs="宋体"/>
          <w:bCs/>
          <w:color w:val="auto"/>
          <w:kern w:val="0"/>
          <w:szCs w:val="21"/>
          <w:highlight w:val="none"/>
          <w:shd w:val="clear" w:color="auto" w:fill="FFFFFF"/>
          <w:lang w:val="en-US" w:eastAsia="zh-CN" w:bidi="ar"/>
        </w:rPr>
        <w:t>（3）</w:t>
      </w:r>
      <w:r>
        <w:rPr>
          <w:rFonts w:hint="eastAsia" w:ascii="宋体" w:hAnsi="宋体" w:eastAsia="宋体" w:cs="宋体"/>
          <w:color w:val="auto"/>
          <w:kern w:val="0"/>
          <w:szCs w:val="21"/>
          <w:highlight w:val="none"/>
          <w:shd w:val="clear" w:color="auto" w:fill="FFFFFF"/>
          <w:lang w:bidi="ar"/>
        </w:rPr>
        <w:t>投标人应同时提供人员截止投标前近一个月（即</w:t>
      </w:r>
      <w:r>
        <w:rPr>
          <w:rFonts w:ascii="宋体" w:hAnsi="宋体" w:eastAsia="宋体" w:cs="宋体"/>
          <w:color w:val="auto"/>
          <w:kern w:val="0"/>
          <w:szCs w:val="21"/>
          <w:highlight w:val="none"/>
          <w:shd w:val="clear" w:color="auto" w:fill="FFFFFF"/>
          <w:lang w:bidi="ar"/>
        </w:rPr>
        <w:t>202</w:t>
      </w:r>
      <w:r>
        <w:rPr>
          <w:rFonts w:hint="eastAsia" w:ascii="宋体" w:hAnsi="宋体" w:eastAsia="宋体" w:cs="宋体"/>
          <w:color w:val="auto"/>
          <w:kern w:val="0"/>
          <w:szCs w:val="21"/>
          <w:highlight w:val="none"/>
          <w:shd w:val="clear" w:color="auto" w:fill="FFFFFF"/>
          <w:lang w:val="en-US" w:eastAsia="zh-CN" w:bidi="ar"/>
        </w:rPr>
        <w:t>5</w:t>
      </w:r>
      <w:r>
        <w:rPr>
          <w:rFonts w:ascii="宋体" w:hAnsi="宋体" w:eastAsia="宋体" w:cs="宋体"/>
          <w:color w:val="auto"/>
          <w:kern w:val="0"/>
          <w:szCs w:val="21"/>
          <w:highlight w:val="none"/>
          <w:shd w:val="clear" w:color="auto" w:fill="FFFFFF"/>
          <w:lang w:bidi="ar"/>
        </w:rPr>
        <w:t>年</w:t>
      </w:r>
      <w:r>
        <w:rPr>
          <w:rFonts w:hint="eastAsia" w:ascii="宋体" w:hAnsi="宋体" w:cs="宋体"/>
          <w:color w:val="auto"/>
          <w:kern w:val="0"/>
          <w:szCs w:val="21"/>
          <w:highlight w:val="none"/>
          <w:shd w:val="clear" w:color="auto" w:fill="FFFFFF"/>
          <w:lang w:val="en-US" w:eastAsia="zh-CN" w:bidi="ar"/>
        </w:rPr>
        <w:t>10</w:t>
      </w:r>
      <w:r>
        <w:rPr>
          <w:rFonts w:ascii="宋体" w:hAnsi="宋体" w:eastAsia="宋体" w:cs="宋体"/>
          <w:color w:val="auto"/>
          <w:kern w:val="0"/>
          <w:szCs w:val="21"/>
          <w:highlight w:val="none"/>
          <w:shd w:val="clear" w:color="auto" w:fill="FFFFFF"/>
          <w:lang w:bidi="ar"/>
        </w:rPr>
        <w:t>月）在本单位（不含投标人的子公司、独立法人的分公司或分支机构）缴纳社保的有效证明文件扫描件。不符合条件或无提交相关资料的不计分。</w:t>
      </w:r>
    </w:p>
    <w:p w14:paraId="1F7704D1">
      <w:pPr>
        <w:widowControl/>
        <w:jc w:val="both"/>
        <w:rPr>
          <w:rFonts w:hint="eastAsia" w:ascii="宋体" w:hAnsi="宋体" w:eastAsia="宋体" w:cs="宋体"/>
          <w:color w:val="auto"/>
          <w:kern w:val="0"/>
          <w:szCs w:val="21"/>
          <w:highlight w:val="none"/>
          <w:shd w:val="clear" w:color="auto" w:fill="FFFFFF"/>
          <w:lang w:bidi="ar"/>
        </w:rPr>
      </w:pPr>
      <w:r>
        <w:rPr>
          <w:rFonts w:hint="eastAsia" w:ascii="宋体" w:hAnsi="宋体" w:cs="宋体"/>
          <w:color w:val="auto"/>
          <w:kern w:val="0"/>
          <w:szCs w:val="21"/>
          <w:highlight w:val="none"/>
          <w:shd w:val="clear" w:color="auto" w:fill="FFFFFF"/>
          <w:lang w:val="en-US" w:eastAsia="zh-CN" w:bidi="ar"/>
        </w:rPr>
        <w:t>4</w:t>
      </w:r>
      <w:r>
        <w:rPr>
          <w:rFonts w:hint="eastAsia" w:ascii="宋体" w:hAnsi="宋体" w:eastAsia="宋体" w:cs="宋体"/>
          <w:color w:val="auto"/>
          <w:kern w:val="0"/>
          <w:szCs w:val="21"/>
          <w:highlight w:val="none"/>
          <w:shd w:val="clear" w:color="auto" w:fill="FFFFFF"/>
          <w:lang w:bidi="ar"/>
        </w:rPr>
        <w:t>、所有评委的评分分数的算术平均值为投标人的最终得分，分数出现小数点，保留小数点后二位小数，第三位小数四舍五入。</w:t>
      </w:r>
      <w:r>
        <w:rPr>
          <w:rFonts w:ascii="微软雅黑" w:hAnsi="微软雅黑" w:eastAsia="微软雅黑" w:cs="宋体"/>
          <w:color w:val="auto"/>
          <w:kern w:val="0"/>
          <w:szCs w:val="21"/>
          <w:highlight w:val="none"/>
          <w:shd w:val="clear" w:color="auto" w:fill="FFFFFF"/>
          <w:lang w:bidi="ar"/>
        </w:rPr>
        <w:t xml:space="preserve"> </w:t>
      </w:r>
    </w:p>
    <w:p w14:paraId="7D82BCEE">
      <w:pPr>
        <w:rPr>
          <w:rFonts w:ascii="宋体" w:hAnsi="宋体" w:eastAsia="宋体" w:cs="Times New Roman"/>
          <w:b/>
          <w:color w:val="auto"/>
          <w:sz w:val="28"/>
          <w:szCs w:val="28"/>
          <w:highlight w:val="none"/>
          <w:lang w:bidi="ar"/>
        </w:rPr>
      </w:pPr>
      <w:r>
        <w:rPr>
          <w:rFonts w:hint="eastAsia" w:ascii="宋体" w:hAnsi="宋体" w:eastAsia="宋体" w:cs="宋体"/>
          <w:color w:val="auto"/>
          <w:kern w:val="0"/>
          <w:szCs w:val="21"/>
          <w:highlight w:val="none"/>
          <w:shd w:val="clear" w:color="auto" w:fill="FFFFFF"/>
          <w:lang w:bidi="ar"/>
        </w:rPr>
        <w:t>评委签名：</w:t>
      </w:r>
      <w:r>
        <w:rPr>
          <w:rFonts w:ascii="宋体" w:hAnsi="Calibri" w:eastAsia="宋体" w:cs="宋体"/>
          <w:color w:val="auto"/>
          <w:kern w:val="0"/>
          <w:szCs w:val="21"/>
          <w:highlight w:val="none"/>
          <w:shd w:val="clear" w:color="auto" w:fill="FFFFFF"/>
          <w:lang w:bidi="ar"/>
        </w:rPr>
        <w:t xml:space="preserve">                                                                               </w:t>
      </w:r>
      <w:r>
        <w:rPr>
          <w:rFonts w:hint="eastAsia" w:ascii="宋体" w:hAnsi="宋体" w:eastAsia="宋体" w:cs="宋体"/>
          <w:color w:val="auto"/>
          <w:kern w:val="0"/>
          <w:szCs w:val="21"/>
          <w:highlight w:val="none"/>
          <w:shd w:val="clear" w:color="auto" w:fill="FFFFFF"/>
          <w:lang w:bidi="ar"/>
        </w:rPr>
        <w:t>日期：</w:t>
      </w:r>
      <w:r>
        <w:rPr>
          <w:rFonts w:ascii="宋体" w:hAnsi="宋体" w:eastAsia="宋体" w:cs="Times New Roman"/>
          <w:b/>
          <w:color w:val="auto"/>
          <w:sz w:val="28"/>
          <w:szCs w:val="28"/>
          <w:highlight w:val="none"/>
          <w:lang w:bidi="ar"/>
        </w:rPr>
        <w:t xml:space="preserve"> </w:t>
      </w:r>
    </w:p>
    <w:p w14:paraId="082D21E5">
      <w:pPr>
        <w:rPr>
          <w:rFonts w:ascii="宋体" w:hAnsi="宋体" w:eastAsia="宋体" w:cs="Times New Roman"/>
          <w:b/>
          <w:color w:val="auto"/>
          <w:sz w:val="28"/>
          <w:szCs w:val="28"/>
          <w:highlight w:val="none"/>
          <w:lang w:bidi="ar"/>
        </w:rPr>
        <w:sectPr>
          <w:headerReference r:id="rId13" w:type="first"/>
          <w:footerReference r:id="rId16" w:type="first"/>
          <w:headerReference r:id="rId11" w:type="default"/>
          <w:footerReference r:id="rId14" w:type="default"/>
          <w:headerReference r:id="rId12" w:type="even"/>
          <w:footerReference r:id="rId15" w:type="even"/>
          <w:endnotePr>
            <w:numFmt w:val="decimal"/>
          </w:endnotePr>
          <w:pgSz w:w="16838" w:h="11906"/>
          <w:pgMar w:top="1418" w:right="1418" w:bottom="1418" w:left="1418" w:header="851" w:footer="907" w:gutter="0"/>
          <w:pgNumType w:fmt="decimal"/>
          <w:cols w:space="720" w:num="1"/>
          <w:titlePg/>
          <w:docGrid w:type="linesAndChars" w:linePitch="312" w:charSpace="0"/>
        </w:sectPr>
      </w:pPr>
    </w:p>
    <w:p w14:paraId="0115BCCF">
      <w:pPr>
        <w:pStyle w:val="134"/>
        <w:jc w:val="both"/>
        <w:outlineLvl w:val="0"/>
        <w:rPr>
          <w:rStyle w:val="127"/>
          <w:rFonts w:hint="eastAsia"/>
          <w:bCs/>
          <w:color w:val="auto"/>
          <w:highlight w:val="none"/>
          <w:lang w:val="en-US" w:eastAsia="zh-CN"/>
        </w:rPr>
      </w:pPr>
      <w:r>
        <w:rPr>
          <w:rStyle w:val="127"/>
          <w:rFonts w:hint="eastAsia"/>
          <w:bCs/>
          <w:color w:val="auto"/>
          <w:highlight w:val="none"/>
          <w:lang w:val="en-US" w:eastAsia="zh-CN"/>
        </w:rPr>
        <w:t>附表：《项目管理机构人员配置要求表》</w:t>
      </w:r>
    </w:p>
    <w:tbl>
      <w:tblPr>
        <w:tblStyle w:val="27"/>
        <w:tblW w:w="51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313"/>
        <w:gridCol w:w="922"/>
        <w:gridCol w:w="5742"/>
        <w:gridCol w:w="1503"/>
      </w:tblGrid>
      <w:tr w14:paraId="0E79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57" w:hRule="atLeast"/>
          <w:tblHeader/>
          <w:jc w:val="center"/>
        </w:trPr>
        <w:tc>
          <w:tcPr>
            <w:tcW w:w="692" w:type="pct"/>
            <w:tcBorders>
              <w:top w:val="single" w:color="auto" w:sz="4" w:space="0"/>
              <w:left w:val="single" w:color="auto" w:sz="4" w:space="0"/>
              <w:bottom w:val="single" w:color="auto" w:sz="4" w:space="0"/>
              <w:right w:val="single" w:color="auto" w:sz="4" w:space="0"/>
            </w:tcBorders>
            <w:noWrap w:val="0"/>
            <w:vAlign w:val="center"/>
          </w:tcPr>
          <w:p w14:paraId="7132525B">
            <w:pPr>
              <w:keepNext w:val="0"/>
              <w:keepLines w:val="0"/>
              <w:suppressLineNumbers w:val="0"/>
              <w:snapToGrid w:val="0"/>
              <w:spacing w:before="0" w:beforeAutospacing="0" w:after="0" w:afterAutospacing="0"/>
              <w:ind w:left="0" w:right="0"/>
              <w:jc w:val="center"/>
              <w:rPr>
                <w:rFonts w:hint="eastAsia" w:ascii="宋体" w:hAnsi="宋体" w:eastAsia="宋体" w:cs="宋体"/>
                <w:b/>
                <w:color w:val="auto"/>
                <w:sz w:val="21"/>
                <w:highlight w:val="none"/>
                <w:lang w:val="zh-TW" w:eastAsia="zh-CN"/>
              </w:rPr>
            </w:pPr>
            <w:r>
              <w:rPr>
                <w:rFonts w:hint="eastAsia" w:ascii="宋体" w:hAnsi="宋体" w:eastAsia="宋体" w:cs="宋体"/>
                <w:b/>
                <w:color w:val="auto"/>
                <w:sz w:val="21"/>
                <w:highlight w:val="none"/>
                <w:lang w:val="zh-TW" w:eastAsia="zh-CN"/>
              </w:rPr>
              <w:t>在本项目任职</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68F396EF">
            <w:pPr>
              <w:keepNext w:val="0"/>
              <w:keepLines w:val="0"/>
              <w:suppressLineNumbers w:val="0"/>
              <w:snapToGrid w:val="0"/>
              <w:spacing w:before="0" w:beforeAutospacing="0" w:after="0" w:afterAutospacing="0"/>
              <w:ind w:left="0" w:right="0"/>
              <w:jc w:val="center"/>
              <w:rPr>
                <w:rFonts w:hint="eastAsia" w:ascii="宋体" w:hAnsi="宋体" w:eastAsia="宋体" w:cs="宋体"/>
                <w:b/>
                <w:color w:val="auto"/>
                <w:sz w:val="21"/>
                <w:highlight w:val="none"/>
                <w:lang w:val="zh-TW" w:eastAsia="zh-CN"/>
              </w:rPr>
            </w:pPr>
            <w:r>
              <w:rPr>
                <w:rFonts w:hint="eastAsia" w:ascii="宋体" w:hAnsi="宋体" w:eastAsia="宋体" w:cs="宋体"/>
                <w:b/>
                <w:color w:val="auto"/>
                <w:sz w:val="21"/>
                <w:highlight w:val="none"/>
                <w:lang w:val="zh-TW" w:eastAsia="zh-CN"/>
              </w:rPr>
              <w:t>数量（人）</w:t>
            </w:r>
          </w:p>
        </w:tc>
        <w:tc>
          <w:tcPr>
            <w:tcW w:w="3028" w:type="pct"/>
            <w:tcBorders>
              <w:top w:val="single" w:color="auto" w:sz="4" w:space="0"/>
              <w:left w:val="single" w:color="auto" w:sz="4" w:space="0"/>
              <w:bottom w:val="single" w:color="auto" w:sz="4" w:space="0"/>
              <w:right w:val="single" w:color="auto" w:sz="4" w:space="0"/>
            </w:tcBorders>
            <w:noWrap w:val="0"/>
            <w:vAlign w:val="center"/>
          </w:tcPr>
          <w:p w14:paraId="496BDA93">
            <w:pPr>
              <w:keepNext w:val="0"/>
              <w:keepLines w:val="0"/>
              <w:suppressLineNumbers w:val="0"/>
              <w:snapToGrid w:val="0"/>
              <w:spacing w:before="0" w:beforeAutospacing="0" w:after="0" w:afterAutospacing="0"/>
              <w:ind w:left="0" w:right="0"/>
              <w:jc w:val="center"/>
              <w:rPr>
                <w:rFonts w:hint="eastAsia" w:ascii="宋体" w:hAnsi="宋体" w:eastAsia="宋体" w:cs="宋体"/>
                <w:b/>
                <w:color w:val="auto"/>
                <w:sz w:val="21"/>
                <w:highlight w:val="none"/>
                <w:lang w:val="zh-TW" w:eastAsia="zh-CN"/>
              </w:rPr>
            </w:pPr>
            <w:r>
              <w:rPr>
                <w:rFonts w:hint="eastAsia" w:ascii="宋体" w:hAnsi="宋体" w:eastAsia="宋体" w:cs="宋体"/>
                <w:b/>
                <w:color w:val="auto"/>
                <w:sz w:val="21"/>
                <w:highlight w:val="none"/>
                <w:lang w:val="zh-TW" w:eastAsia="zh-CN"/>
              </w:rPr>
              <w:t>基本要求</w:t>
            </w:r>
          </w:p>
        </w:tc>
        <w:tc>
          <w:tcPr>
            <w:tcW w:w="792" w:type="pct"/>
            <w:tcBorders>
              <w:top w:val="single" w:color="auto" w:sz="4" w:space="0"/>
              <w:left w:val="single" w:color="auto" w:sz="4" w:space="0"/>
              <w:bottom w:val="single" w:color="auto" w:sz="4" w:space="0"/>
              <w:right w:val="single" w:color="auto" w:sz="4" w:space="0"/>
            </w:tcBorders>
            <w:noWrap w:val="0"/>
            <w:vAlign w:val="center"/>
          </w:tcPr>
          <w:p w14:paraId="42163620">
            <w:pPr>
              <w:keepNext w:val="0"/>
              <w:keepLines w:val="0"/>
              <w:suppressLineNumbers w:val="0"/>
              <w:snapToGrid w:val="0"/>
              <w:spacing w:before="0" w:beforeAutospacing="0" w:after="0" w:afterAutospacing="0"/>
              <w:ind w:left="0" w:right="0"/>
              <w:jc w:val="center"/>
              <w:rPr>
                <w:rFonts w:hint="eastAsia" w:ascii="宋体" w:hAnsi="宋体" w:eastAsia="宋体" w:cs="宋体"/>
                <w:b/>
                <w:color w:val="auto"/>
                <w:sz w:val="21"/>
                <w:highlight w:val="none"/>
                <w:lang w:val="en-US" w:eastAsia="zh-CN"/>
              </w:rPr>
            </w:pPr>
            <w:r>
              <w:rPr>
                <w:rFonts w:hint="eastAsia" w:ascii="宋体" w:hAnsi="宋体" w:eastAsia="宋体" w:cs="宋体"/>
                <w:b/>
                <w:color w:val="auto"/>
                <w:sz w:val="21"/>
                <w:highlight w:val="none"/>
                <w:lang w:val="en-US" w:eastAsia="zh-CN"/>
              </w:rPr>
              <w:t>备注</w:t>
            </w:r>
          </w:p>
        </w:tc>
      </w:tr>
      <w:tr w14:paraId="6BB2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57" w:hRule="atLeast"/>
          <w:jc w:val="center"/>
        </w:trPr>
        <w:tc>
          <w:tcPr>
            <w:tcW w:w="692" w:type="pct"/>
            <w:tcBorders>
              <w:top w:val="single" w:color="auto" w:sz="4" w:space="0"/>
              <w:left w:val="single" w:color="auto" w:sz="4" w:space="0"/>
              <w:bottom w:val="single" w:color="auto" w:sz="4" w:space="0"/>
              <w:right w:val="single" w:color="auto" w:sz="4" w:space="0"/>
            </w:tcBorders>
            <w:noWrap w:val="0"/>
            <w:vAlign w:val="center"/>
          </w:tcPr>
          <w:p w14:paraId="54FAAFC5">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highlight w:val="none"/>
                <w:lang w:val="zh-TW"/>
              </w:rPr>
            </w:pPr>
            <w:r>
              <w:rPr>
                <w:rFonts w:hint="eastAsia" w:ascii="宋体" w:hAnsi="宋体" w:eastAsia="宋体" w:cs="宋体"/>
                <w:color w:val="auto"/>
                <w:sz w:val="21"/>
                <w:highlight w:val="none"/>
                <w:lang w:val="zh-TW"/>
              </w:rPr>
              <w:t>项目负责人</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5867509A">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p>
        </w:tc>
        <w:tc>
          <w:tcPr>
            <w:tcW w:w="3028" w:type="pct"/>
            <w:tcBorders>
              <w:top w:val="single" w:color="auto" w:sz="4" w:space="0"/>
              <w:left w:val="single" w:color="auto" w:sz="4" w:space="0"/>
              <w:bottom w:val="single" w:color="auto" w:sz="4" w:space="0"/>
              <w:right w:val="single" w:color="auto" w:sz="4" w:space="0"/>
            </w:tcBorders>
            <w:noWrap w:val="0"/>
            <w:vAlign w:val="center"/>
          </w:tcPr>
          <w:p w14:paraId="3A5D81AF">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highlight w:val="none"/>
                <w:lang w:val="zh-TW"/>
              </w:rPr>
            </w:pPr>
            <w:r>
              <w:rPr>
                <w:rFonts w:hint="eastAsia" w:ascii="宋体" w:hAnsi="宋体" w:eastAsia="宋体" w:cs="宋体"/>
                <w:color w:val="auto"/>
                <w:sz w:val="21"/>
                <w:highlight w:val="none"/>
              </w:rPr>
              <w:t>按招标公告要求</w:t>
            </w:r>
          </w:p>
        </w:tc>
        <w:tc>
          <w:tcPr>
            <w:tcW w:w="792" w:type="pct"/>
            <w:tcBorders>
              <w:top w:val="single" w:color="auto" w:sz="4" w:space="0"/>
              <w:left w:val="single" w:color="auto" w:sz="4" w:space="0"/>
              <w:bottom w:val="single" w:color="auto" w:sz="4" w:space="0"/>
              <w:right w:val="single" w:color="auto" w:sz="4" w:space="0"/>
            </w:tcBorders>
            <w:noWrap w:val="0"/>
            <w:vAlign w:val="center"/>
          </w:tcPr>
          <w:p w14:paraId="6F5701BF">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highlight w:val="none"/>
                <w:lang w:val="zh-TW"/>
              </w:rPr>
            </w:pPr>
            <w:r>
              <w:rPr>
                <w:rFonts w:hint="eastAsia" w:ascii="宋体" w:hAnsi="宋体" w:eastAsia="宋体" w:cs="宋体"/>
                <w:color w:val="auto"/>
                <w:sz w:val="21"/>
                <w:highlight w:val="none"/>
              </w:rPr>
              <w:t>须按招标公告要求提供资料</w:t>
            </w:r>
          </w:p>
        </w:tc>
      </w:tr>
      <w:tr w14:paraId="6A8A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57" w:hRule="atLeast"/>
          <w:jc w:val="center"/>
        </w:trPr>
        <w:tc>
          <w:tcPr>
            <w:tcW w:w="692" w:type="pct"/>
            <w:tcBorders>
              <w:top w:val="single" w:color="auto" w:sz="4" w:space="0"/>
              <w:left w:val="single" w:color="auto" w:sz="4" w:space="0"/>
              <w:bottom w:val="single" w:color="auto" w:sz="4" w:space="0"/>
              <w:right w:val="single" w:color="auto" w:sz="4" w:space="0"/>
            </w:tcBorders>
            <w:noWrap w:val="0"/>
            <w:vAlign w:val="center"/>
          </w:tcPr>
          <w:p w14:paraId="600EE479">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highlight w:val="none"/>
                <w:lang w:val="zh-TW"/>
              </w:rPr>
            </w:pPr>
            <w:r>
              <w:rPr>
                <w:rFonts w:hint="eastAsia" w:ascii="宋体" w:hAnsi="宋体" w:eastAsia="宋体" w:cs="宋体"/>
                <w:color w:val="auto"/>
                <w:sz w:val="21"/>
                <w:highlight w:val="none"/>
                <w:lang w:val="zh-TW"/>
              </w:rPr>
              <w:t>技术负责人</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11FAF4C7">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highlight w:val="none"/>
                <w:lang w:val="zh-TW"/>
              </w:rPr>
            </w:pPr>
            <w:r>
              <w:rPr>
                <w:rFonts w:hint="eastAsia" w:ascii="宋体" w:hAnsi="宋体" w:eastAsia="宋体" w:cs="宋体"/>
                <w:color w:val="auto"/>
                <w:sz w:val="21"/>
                <w:highlight w:val="none"/>
                <w:lang w:val="zh-TW"/>
              </w:rPr>
              <w:t>1</w:t>
            </w:r>
          </w:p>
        </w:tc>
        <w:tc>
          <w:tcPr>
            <w:tcW w:w="3028" w:type="pct"/>
            <w:tcBorders>
              <w:top w:val="single" w:color="auto" w:sz="4" w:space="0"/>
              <w:left w:val="single" w:color="auto" w:sz="4" w:space="0"/>
              <w:bottom w:val="single" w:color="auto" w:sz="4" w:space="0"/>
              <w:right w:val="single" w:color="auto" w:sz="4" w:space="0"/>
            </w:tcBorders>
            <w:noWrap w:val="0"/>
            <w:vAlign w:val="center"/>
          </w:tcPr>
          <w:p w14:paraId="5E2BDF4C">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highlight w:val="none"/>
                <w:lang w:val="zh-TW"/>
              </w:rPr>
            </w:pPr>
            <w:r>
              <w:rPr>
                <w:rFonts w:hint="eastAsia" w:ascii="宋体" w:hAnsi="宋体" w:eastAsia="宋体" w:cs="宋体"/>
                <w:color w:val="auto"/>
                <w:sz w:val="21"/>
                <w:highlight w:val="none"/>
              </w:rPr>
              <w:t>按招标公告要求</w:t>
            </w:r>
          </w:p>
        </w:tc>
        <w:tc>
          <w:tcPr>
            <w:tcW w:w="792" w:type="pct"/>
            <w:tcBorders>
              <w:top w:val="single" w:color="auto" w:sz="4" w:space="0"/>
              <w:left w:val="single" w:color="auto" w:sz="4" w:space="0"/>
              <w:bottom w:val="single" w:color="auto" w:sz="4" w:space="0"/>
              <w:right w:val="single" w:color="auto" w:sz="4" w:space="0"/>
            </w:tcBorders>
            <w:noWrap w:val="0"/>
            <w:vAlign w:val="center"/>
          </w:tcPr>
          <w:p w14:paraId="05E50B36">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highlight w:val="none"/>
                <w:lang w:val="zh-TW"/>
              </w:rPr>
            </w:pPr>
            <w:r>
              <w:rPr>
                <w:rFonts w:hint="eastAsia" w:ascii="宋体" w:hAnsi="宋体" w:eastAsia="宋体" w:cs="宋体"/>
                <w:color w:val="auto"/>
                <w:sz w:val="21"/>
                <w:highlight w:val="none"/>
              </w:rPr>
              <w:t>须按招标公告要求提供资料</w:t>
            </w:r>
          </w:p>
        </w:tc>
      </w:tr>
      <w:tr w14:paraId="66A3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57" w:hRule="atLeast"/>
          <w:jc w:val="center"/>
        </w:trPr>
        <w:tc>
          <w:tcPr>
            <w:tcW w:w="692" w:type="pct"/>
            <w:tcBorders>
              <w:top w:val="single" w:color="auto" w:sz="4" w:space="0"/>
              <w:left w:val="single" w:color="auto" w:sz="4" w:space="0"/>
              <w:bottom w:val="single" w:color="auto" w:sz="4" w:space="0"/>
              <w:right w:val="single" w:color="auto" w:sz="4" w:space="0"/>
            </w:tcBorders>
            <w:noWrap w:val="0"/>
            <w:vAlign w:val="center"/>
          </w:tcPr>
          <w:p w14:paraId="1DEC8FF7">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highlight w:val="none"/>
                <w:lang w:val="zh-TW"/>
              </w:rPr>
            </w:pPr>
            <w:r>
              <w:rPr>
                <w:rFonts w:hint="eastAsia" w:ascii="宋体" w:hAnsi="宋体" w:eastAsia="宋体" w:cs="宋体"/>
                <w:color w:val="auto"/>
                <w:sz w:val="21"/>
                <w:highlight w:val="none"/>
                <w:lang w:val="zh-TW"/>
              </w:rPr>
              <w:t>专职安全员</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7C3AC492">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highlight w:val="none"/>
                <w:lang w:val="zh-TW"/>
              </w:rPr>
            </w:pPr>
            <w:r>
              <w:rPr>
                <w:rFonts w:hint="eastAsia" w:ascii="宋体" w:hAnsi="宋体" w:eastAsia="宋体" w:cs="宋体"/>
                <w:color w:val="auto"/>
                <w:sz w:val="21"/>
                <w:highlight w:val="none"/>
                <w:lang w:val="en-US" w:eastAsia="zh-CN"/>
              </w:rPr>
              <w:t>1</w:t>
            </w:r>
          </w:p>
        </w:tc>
        <w:tc>
          <w:tcPr>
            <w:tcW w:w="3028" w:type="pct"/>
            <w:tcBorders>
              <w:top w:val="single" w:color="auto" w:sz="4" w:space="0"/>
              <w:left w:val="single" w:color="auto" w:sz="4" w:space="0"/>
              <w:bottom w:val="single" w:color="auto" w:sz="4" w:space="0"/>
              <w:right w:val="single" w:color="auto" w:sz="4" w:space="0"/>
            </w:tcBorders>
            <w:noWrap w:val="0"/>
            <w:vAlign w:val="center"/>
          </w:tcPr>
          <w:p w14:paraId="36B148EB">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highlight w:val="none"/>
                <w:lang w:val="zh-TW"/>
              </w:rPr>
            </w:pPr>
            <w:r>
              <w:rPr>
                <w:rFonts w:hint="eastAsia" w:ascii="宋体" w:hAnsi="宋体" w:eastAsia="宋体" w:cs="宋体"/>
                <w:color w:val="auto"/>
                <w:sz w:val="21"/>
                <w:highlight w:val="none"/>
              </w:rPr>
              <w:t>按招标公告要求</w:t>
            </w:r>
          </w:p>
        </w:tc>
        <w:tc>
          <w:tcPr>
            <w:tcW w:w="792" w:type="pct"/>
            <w:tcBorders>
              <w:top w:val="single" w:color="auto" w:sz="4" w:space="0"/>
              <w:left w:val="single" w:color="auto" w:sz="4" w:space="0"/>
              <w:bottom w:val="single" w:color="auto" w:sz="4" w:space="0"/>
              <w:right w:val="single" w:color="auto" w:sz="4" w:space="0"/>
            </w:tcBorders>
            <w:noWrap w:val="0"/>
            <w:vAlign w:val="center"/>
          </w:tcPr>
          <w:p w14:paraId="53B0ECD8">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highlight w:val="none"/>
                <w:lang w:val="zh-TW"/>
              </w:rPr>
            </w:pPr>
            <w:r>
              <w:rPr>
                <w:rFonts w:hint="eastAsia" w:ascii="宋体" w:hAnsi="宋体" w:eastAsia="宋体" w:cs="宋体"/>
                <w:color w:val="auto"/>
                <w:sz w:val="21"/>
                <w:highlight w:val="none"/>
              </w:rPr>
              <w:t>须按招标公告要求提供资料</w:t>
            </w:r>
          </w:p>
        </w:tc>
      </w:tr>
      <w:tr w14:paraId="160F0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57" w:hRule="atLeast"/>
          <w:jc w:val="center"/>
        </w:trPr>
        <w:tc>
          <w:tcPr>
            <w:tcW w:w="692" w:type="pct"/>
            <w:tcBorders>
              <w:top w:val="single" w:color="auto" w:sz="4" w:space="0"/>
              <w:left w:val="single" w:color="auto" w:sz="4" w:space="0"/>
              <w:bottom w:val="single" w:color="auto" w:sz="4" w:space="0"/>
              <w:right w:val="single" w:color="auto" w:sz="4" w:space="0"/>
            </w:tcBorders>
            <w:noWrap w:val="0"/>
            <w:vAlign w:val="center"/>
          </w:tcPr>
          <w:p w14:paraId="20FD6A59">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highlight w:val="none"/>
                <w:lang w:val="zh-TW"/>
              </w:rPr>
            </w:pPr>
            <w:r>
              <w:rPr>
                <w:rFonts w:hint="eastAsia" w:ascii="宋体" w:hAnsi="宋体" w:eastAsia="宋体" w:cs="宋体"/>
                <w:color w:val="auto"/>
                <w:sz w:val="21"/>
                <w:highlight w:val="none"/>
              </w:rPr>
              <w:t>质量负责人</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6CDFC524">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highlight w:val="none"/>
                <w:lang w:val="zh-TW"/>
              </w:rPr>
            </w:pPr>
            <w:r>
              <w:rPr>
                <w:rFonts w:hint="eastAsia" w:ascii="宋体" w:hAnsi="宋体" w:eastAsia="宋体" w:cs="宋体"/>
                <w:color w:val="auto"/>
                <w:sz w:val="21"/>
                <w:highlight w:val="none"/>
              </w:rPr>
              <w:t>1</w:t>
            </w:r>
          </w:p>
        </w:tc>
        <w:tc>
          <w:tcPr>
            <w:tcW w:w="3028" w:type="pct"/>
            <w:tcBorders>
              <w:top w:val="single" w:color="auto" w:sz="4" w:space="0"/>
              <w:left w:val="single" w:color="auto" w:sz="4" w:space="0"/>
              <w:bottom w:val="single" w:color="auto" w:sz="4" w:space="0"/>
              <w:right w:val="single" w:color="auto" w:sz="4" w:space="0"/>
            </w:tcBorders>
            <w:noWrap w:val="0"/>
            <w:vAlign w:val="center"/>
          </w:tcPr>
          <w:p w14:paraId="535D841A">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highlight w:val="none"/>
                <w:lang w:val="zh-TW"/>
              </w:rPr>
            </w:pPr>
            <w:r>
              <w:rPr>
                <w:rFonts w:hint="eastAsia" w:ascii="宋体" w:hAnsi="宋体" w:eastAsia="宋体" w:cs="宋体"/>
                <w:color w:val="auto"/>
                <w:sz w:val="21"/>
                <w:highlight w:val="none"/>
              </w:rPr>
              <w:t>具有</w:t>
            </w:r>
            <w:r>
              <w:rPr>
                <w:rFonts w:hint="eastAsia" w:ascii="宋体" w:hAnsi="宋体" w:eastAsia="宋体" w:cs="宋体"/>
                <w:color w:val="auto"/>
                <w:sz w:val="21"/>
                <w:highlight w:val="none"/>
                <w:lang w:val="zh-TW"/>
              </w:rPr>
              <w:t>建筑</w:t>
            </w:r>
            <w:r>
              <w:rPr>
                <w:rFonts w:hint="eastAsia" w:ascii="宋体" w:hAnsi="宋体" w:eastAsia="宋体" w:cs="宋体"/>
                <w:color w:val="auto"/>
                <w:sz w:val="21"/>
                <w:highlight w:val="none"/>
              </w:rPr>
              <w:t>工程</w:t>
            </w:r>
            <w:r>
              <w:rPr>
                <w:rFonts w:hint="eastAsia" w:ascii="宋体" w:hAnsi="宋体" w:eastAsia="宋体" w:cs="宋体"/>
                <w:color w:val="auto"/>
                <w:sz w:val="21"/>
                <w:highlight w:val="none"/>
                <w:lang w:val="zh-TW"/>
              </w:rPr>
              <w:t>相关专业</w:t>
            </w:r>
            <w:r>
              <w:rPr>
                <w:rFonts w:hint="eastAsia" w:ascii="宋体" w:hAnsi="宋体" w:eastAsia="宋体" w:cs="宋体"/>
                <w:color w:val="auto"/>
                <w:sz w:val="21"/>
                <w:highlight w:val="none"/>
              </w:rPr>
              <w:t>中</w:t>
            </w:r>
            <w:r>
              <w:rPr>
                <w:rFonts w:hint="eastAsia" w:ascii="宋体" w:hAnsi="宋体" w:eastAsia="宋体" w:cs="宋体"/>
                <w:color w:val="auto"/>
                <w:sz w:val="21"/>
                <w:highlight w:val="none"/>
                <w:lang w:val="zh-TW"/>
              </w:rPr>
              <w:t>级工程师或以上职称证书</w:t>
            </w:r>
          </w:p>
        </w:tc>
        <w:tc>
          <w:tcPr>
            <w:tcW w:w="792" w:type="pct"/>
            <w:tcBorders>
              <w:top w:val="single" w:color="auto" w:sz="4" w:space="0"/>
              <w:left w:val="single" w:color="auto" w:sz="4" w:space="0"/>
              <w:bottom w:val="single" w:color="auto" w:sz="4" w:space="0"/>
              <w:right w:val="single" w:color="auto" w:sz="4" w:space="0"/>
            </w:tcBorders>
            <w:noWrap w:val="0"/>
            <w:vAlign w:val="center"/>
          </w:tcPr>
          <w:p w14:paraId="3D430D6B">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rPr>
              <w:t>提供职称证书</w:t>
            </w:r>
          </w:p>
        </w:tc>
      </w:tr>
      <w:tr w14:paraId="6D1B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57" w:hRule="atLeast"/>
          <w:jc w:val="center"/>
        </w:trPr>
        <w:tc>
          <w:tcPr>
            <w:tcW w:w="692" w:type="pct"/>
            <w:tcBorders>
              <w:top w:val="single" w:color="auto" w:sz="4" w:space="0"/>
              <w:left w:val="single" w:color="auto" w:sz="4" w:space="0"/>
              <w:bottom w:val="single" w:color="auto" w:sz="4" w:space="0"/>
              <w:right w:val="single" w:color="auto" w:sz="4" w:space="0"/>
            </w:tcBorders>
            <w:noWrap w:val="0"/>
            <w:vAlign w:val="center"/>
          </w:tcPr>
          <w:p w14:paraId="0D732142">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highlight w:val="none"/>
                <w:lang w:val="zh-TW"/>
              </w:rPr>
            </w:pPr>
            <w:r>
              <w:rPr>
                <w:rFonts w:hint="eastAsia" w:ascii="宋体" w:hAnsi="宋体" w:eastAsia="宋体" w:cs="宋体"/>
                <w:color w:val="auto"/>
                <w:sz w:val="21"/>
                <w:highlight w:val="none"/>
                <w:lang w:val="zh-TW"/>
              </w:rPr>
              <w:t>安全负责人</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34A90B39">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highlight w:val="none"/>
                <w:lang w:val="zh-TW"/>
              </w:rPr>
            </w:pPr>
            <w:r>
              <w:rPr>
                <w:rFonts w:hint="eastAsia" w:ascii="宋体" w:hAnsi="宋体" w:eastAsia="宋体" w:cs="宋体"/>
                <w:color w:val="auto"/>
                <w:sz w:val="21"/>
                <w:highlight w:val="none"/>
                <w:lang w:val="zh-TW"/>
              </w:rPr>
              <w:t>1</w:t>
            </w:r>
          </w:p>
        </w:tc>
        <w:tc>
          <w:tcPr>
            <w:tcW w:w="3028" w:type="pct"/>
            <w:tcBorders>
              <w:top w:val="single" w:color="auto" w:sz="4" w:space="0"/>
              <w:left w:val="single" w:color="auto" w:sz="4" w:space="0"/>
              <w:bottom w:val="single" w:color="auto" w:sz="4" w:space="0"/>
              <w:right w:val="single" w:color="auto" w:sz="4" w:space="0"/>
            </w:tcBorders>
            <w:noWrap w:val="0"/>
            <w:vAlign w:val="center"/>
          </w:tcPr>
          <w:p w14:paraId="235EB91F">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highlight w:val="none"/>
                <w:lang w:val="zh-TW"/>
              </w:rPr>
            </w:pPr>
            <w:r>
              <w:rPr>
                <w:rFonts w:hint="eastAsia" w:ascii="宋体" w:hAnsi="宋体" w:eastAsia="宋体" w:cs="宋体"/>
                <w:color w:val="auto"/>
                <w:sz w:val="21"/>
                <w:highlight w:val="none"/>
                <w:lang w:val="zh-TW"/>
              </w:rPr>
              <w:t>具有在有效期内的安全生产考核合格证（A类）或建筑施工企业主要负责人安全生产考核合格证书或安全生产考核合格证（B类）或建筑施工企业项目负责人安全生产考核合格证书或安全生产考核合格证（C类）或建筑施工企业专职安全生产管理人员安全生产考核合格证书（C3）</w:t>
            </w:r>
            <w:r>
              <w:rPr>
                <w:rFonts w:hint="eastAsia" w:ascii="宋体" w:hAnsi="宋体" w:cs="宋体"/>
                <w:color w:val="auto"/>
                <w:sz w:val="21"/>
                <w:highlight w:val="none"/>
                <w:lang w:val="zh-TW" w:eastAsia="zh-CN"/>
              </w:rPr>
              <w:t>，</w:t>
            </w:r>
            <w:r>
              <w:rPr>
                <w:rFonts w:hint="eastAsia" w:ascii="宋体" w:hAnsi="宋体" w:eastAsia="宋体" w:cs="宋体"/>
                <w:color w:val="auto"/>
                <w:sz w:val="21"/>
                <w:highlight w:val="none"/>
              </w:rPr>
              <w:t>及</w:t>
            </w:r>
            <w:r>
              <w:rPr>
                <w:rFonts w:hint="eastAsia" w:ascii="宋体" w:hAnsi="宋体" w:eastAsia="宋体" w:cs="宋体"/>
                <w:color w:val="auto"/>
                <w:sz w:val="21"/>
                <w:highlight w:val="none"/>
                <w:lang w:val="zh-TW"/>
              </w:rPr>
              <w:t>建筑</w:t>
            </w:r>
            <w:r>
              <w:rPr>
                <w:rFonts w:hint="eastAsia" w:ascii="宋体" w:hAnsi="宋体" w:eastAsia="宋体" w:cs="宋体"/>
                <w:color w:val="auto"/>
                <w:sz w:val="21"/>
                <w:highlight w:val="none"/>
              </w:rPr>
              <w:t>工程</w:t>
            </w:r>
            <w:r>
              <w:rPr>
                <w:rFonts w:hint="eastAsia" w:ascii="宋体" w:hAnsi="宋体" w:eastAsia="宋体" w:cs="宋体"/>
                <w:color w:val="auto"/>
                <w:sz w:val="21"/>
                <w:highlight w:val="none"/>
                <w:lang w:val="zh-TW"/>
              </w:rPr>
              <w:t>相关专业</w:t>
            </w:r>
            <w:r>
              <w:rPr>
                <w:rFonts w:hint="eastAsia" w:ascii="宋体" w:hAnsi="宋体" w:eastAsia="宋体" w:cs="宋体"/>
                <w:color w:val="auto"/>
                <w:sz w:val="21"/>
                <w:highlight w:val="none"/>
              </w:rPr>
              <w:t>中</w:t>
            </w:r>
            <w:r>
              <w:rPr>
                <w:rFonts w:hint="eastAsia" w:ascii="宋体" w:hAnsi="宋体" w:eastAsia="宋体" w:cs="宋体"/>
                <w:color w:val="auto"/>
                <w:sz w:val="21"/>
                <w:highlight w:val="none"/>
                <w:lang w:val="zh-TW"/>
              </w:rPr>
              <w:t>级工程师或以上职称证书</w:t>
            </w:r>
          </w:p>
        </w:tc>
        <w:tc>
          <w:tcPr>
            <w:tcW w:w="792" w:type="pct"/>
            <w:tcBorders>
              <w:top w:val="single" w:color="auto" w:sz="4" w:space="0"/>
              <w:left w:val="single" w:color="auto" w:sz="4" w:space="0"/>
              <w:bottom w:val="single" w:color="auto" w:sz="4" w:space="0"/>
              <w:right w:val="single" w:color="auto" w:sz="4" w:space="0"/>
            </w:tcBorders>
            <w:noWrap w:val="0"/>
            <w:vAlign w:val="center"/>
          </w:tcPr>
          <w:p w14:paraId="6B060F78">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提供合格证书</w:t>
            </w:r>
            <w:r>
              <w:rPr>
                <w:rFonts w:hint="eastAsia" w:ascii="宋体" w:hAnsi="宋体" w:eastAsia="宋体" w:cs="宋体"/>
                <w:color w:val="auto"/>
                <w:sz w:val="21"/>
                <w:highlight w:val="none"/>
              </w:rPr>
              <w:t>及职称证书</w:t>
            </w:r>
          </w:p>
        </w:tc>
      </w:tr>
      <w:tr w14:paraId="4289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57" w:hRule="atLeast"/>
          <w:jc w:val="center"/>
        </w:trPr>
        <w:tc>
          <w:tcPr>
            <w:tcW w:w="692" w:type="pct"/>
            <w:tcBorders>
              <w:top w:val="single" w:color="auto" w:sz="4" w:space="0"/>
              <w:left w:val="single" w:color="auto" w:sz="4" w:space="0"/>
              <w:bottom w:val="single" w:color="auto" w:sz="4" w:space="0"/>
              <w:right w:val="single" w:color="auto" w:sz="4" w:space="0"/>
            </w:tcBorders>
            <w:noWrap w:val="0"/>
            <w:vAlign w:val="center"/>
          </w:tcPr>
          <w:p w14:paraId="11A8EC8B">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highlight w:val="none"/>
                <w:lang w:val="zh-TW"/>
              </w:rPr>
            </w:pPr>
            <w:r>
              <w:rPr>
                <w:rFonts w:hint="eastAsia" w:ascii="宋体" w:hAnsi="宋体" w:eastAsia="宋体" w:cs="宋体"/>
                <w:color w:val="auto"/>
                <w:sz w:val="21"/>
                <w:highlight w:val="none"/>
                <w:lang w:val="zh-TW"/>
              </w:rPr>
              <w:t>造价负责人</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5B8B464D">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highlight w:val="none"/>
                <w:lang w:val="zh-TW"/>
              </w:rPr>
            </w:pPr>
            <w:r>
              <w:rPr>
                <w:rFonts w:hint="eastAsia" w:ascii="宋体" w:hAnsi="宋体" w:eastAsia="宋体" w:cs="宋体"/>
                <w:color w:val="auto"/>
                <w:sz w:val="21"/>
                <w:highlight w:val="none"/>
                <w:lang w:val="zh-TW"/>
              </w:rPr>
              <w:t>1</w:t>
            </w:r>
          </w:p>
        </w:tc>
        <w:tc>
          <w:tcPr>
            <w:tcW w:w="3028" w:type="pct"/>
            <w:tcBorders>
              <w:top w:val="single" w:color="auto" w:sz="4" w:space="0"/>
              <w:left w:val="single" w:color="auto" w:sz="4" w:space="0"/>
              <w:bottom w:val="single" w:color="auto" w:sz="4" w:space="0"/>
              <w:right w:val="single" w:color="auto" w:sz="4" w:space="0"/>
            </w:tcBorders>
            <w:noWrap w:val="0"/>
            <w:vAlign w:val="center"/>
          </w:tcPr>
          <w:p w14:paraId="306EAF90">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highlight w:val="none"/>
                <w:lang w:val="zh-TW"/>
              </w:rPr>
            </w:pPr>
            <w:r>
              <w:rPr>
                <w:rFonts w:hint="eastAsia" w:ascii="宋体" w:hAnsi="宋体" w:eastAsia="宋体" w:cs="宋体"/>
                <w:color w:val="auto"/>
                <w:sz w:val="21"/>
                <w:highlight w:val="none"/>
              </w:rPr>
              <w:t>具有土建专业一级注册造价工程师</w:t>
            </w:r>
            <w:r>
              <w:rPr>
                <w:rFonts w:hint="eastAsia" w:ascii="宋体" w:hAnsi="宋体" w:cs="宋体"/>
                <w:b/>
                <w:bCs w:val="0"/>
                <w:color w:val="auto"/>
                <w:kern w:val="0"/>
                <w:szCs w:val="21"/>
                <w:highlight w:val="none"/>
                <w:u w:val="single"/>
              </w:rPr>
              <w:t>注册</w:t>
            </w:r>
            <w:r>
              <w:rPr>
                <w:rFonts w:hint="eastAsia" w:ascii="宋体" w:hAnsi="宋体" w:eastAsia="宋体" w:cs="宋体"/>
                <w:color w:val="auto"/>
                <w:sz w:val="21"/>
                <w:highlight w:val="none"/>
              </w:rPr>
              <w:t>证书及</w:t>
            </w:r>
            <w:r>
              <w:rPr>
                <w:rFonts w:hint="eastAsia" w:ascii="宋体" w:hAnsi="宋体" w:eastAsia="宋体" w:cs="宋体"/>
                <w:color w:val="auto"/>
                <w:sz w:val="21"/>
                <w:highlight w:val="none"/>
                <w:lang w:val="zh-TW"/>
              </w:rPr>
              <w:t>建筑</w:t>
            </w:r>
            <w:r>
              <w:rPr>
                <w:rFonts w:hint="eastAsia" w:ascii="宋体" w:hAnsi="宋体" w:eastAsia="宋体" w:cs="宋体"/>
                <w:color w:val="auto"/>
                <w:sz w:val="21"/>
                <w:highlight w:val="none"/>
              </w:rPr>
              <w:t>工程</w:t>
            </w:r>
            <w:r>
              <w:rPr>
                <w:rFonts w:hint="eastAsia" w:ascii="宋体" w:hAnsi="宋体" w:cs="宋体"/>
                <w:color w:val="auto"/>
                <w:sz w:val="21"/>
                <w:highlight w:val="none"/>
                <w:lang w:val="en-US" w:eastAsia="zh-CN"/>
              </w:rPr>
              <w:t>或造价</w:t>
            </w:r>
            <w:r>
              <w:rPr>
                <w:rFonts w:hint="eastAsia" w:ascii="宋体" w:hAnsi="宋体" w:eastAsia="宋体" w:cs="宋体"/>
                <w:color w:val="auto"/>
                <w:sz w:val="21"/>
                <w:highlight w:val="none"/>
                <w:lang w:val="zh-TW"/>
              </w:rPr>
              <w:t>相关专业</w:t>
            </w:r>
            <w:r>
              <w:rPr>
                <w:rFonts w:hint="eastAsia" w:ascii="宋体" w:hAnsi="宋体" w:eastAsia="宋体" w:cs="宋体"/>
                <w:color w:val="auto"/>
                <w:sz w:val="21"/>
                <w:highlight w:val="none"/>
              </w:rPr>
              <w:t>中</w:t>
            </w:r>
            <w:r>
              <w:rPr>
                <w:rFonts w:hint="eastAsia" w:ascii="宋体" w:hAnsi="宋体" w:eastAsia="宋体" w:cs="宋体"/>
                <w:color w:val="auto"/>
                <w:sz w:val="21"/>
                <w:highlight w:val="none"/>
                <w:lang w:val="zh-TW"/>
              </w:rPr>
              <w:t>级工程师或以上职称证书</w:t>
            </w:r>
          </w:p>
        </w:tc>
        <w:tc>
          <w:tcPr>
            <w:tcW w:w="792" w:type="pct"/>
            <w:tcBorders>
              <w:top w:val="single" w:color="auto" w:sz="4" w:space="0"/>
              <w:left w:val="single" w:color="auto" w:sz="4" w:space="0"/>
              <w:bottom w:val="single" w:color="auto" w:sz="4" w:space="0"/>
              <w:right w:val="single" w:color="auto" w:sz="4" w:space="0"/>
            </w:tcBorders>
            <w:noWrap w:val="0"/>
            <w:vAlign w:val="center"/>
          </w:tcPr>
          <w:p w14:paraId="6785EB92">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rPr>
              <w:t>提供注册造价师证书及职称证书</w:t>
            </w:r>
          </w:p>
        </w:tc>
      </w:tr>
      <w:tr w14:paraId="75A8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57" w:hRule="atLeast"/>
          <w:jc w:val="center"/>
        </w:trPr>
        <w:tc>
          <w:tcPr>
            <w:tcW w:w="692" w:type="pct"/>
            <w:tcBorders>
              <w:top w:val="single" w:color="auto" w:sz="4" w:space="0"/>
              <w:left w:val="single" w:color="auto" w:sz="4" w:space="0"/>
              <w:bottom w:val="single" w:color="auto" w:sz="4" w:space="0"/>
              <w:right w:val="single" w:color="auto" w:sz="4" w:space="0"/>
            </w:tcBorders>
            <w:noWrap w:val="0"/>
            <w:vAlign w:val="center"/>
          </w:tcPr>
          <w:p w14:paraId="12F56BB0">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zh-TW"/>
              </w:rPr>
              <w:t>造价</w:t>
            </w:r>
            <w:r>
              <w:rPr>
                <w:rFonts w:hint="eastAsia" w:ascii="宋体" w:hAnsi="宋体" w:cs="宋体"/>
                <w:color w:val="auto"/>
                <w:sz w:val="21"/>
                <w:highlight w:val="none"/>
                <w:lang w:val="en-US" w:eastAsia="zh-CN"/>
              </w:rPr>
              <w:t>工程师</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369D9D50">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zh-TW"/>
              </w:rPr>
              <w:t>1</w:t>
            </w:r>
          </w:p>
        </w:tc>
        <w:tc>
          <w:tcPr>
            <w:tcW w:w="3028" w:type="pct"/>
            <w:tcBorders>
              <w:top w:val="single" w:color="auto" w:sz="4" w:space="0"/>
              <w:left w:val="single" w:color="auto" w:sz="4" w:space="0"/>
              <w:bottom w:val="single" w:color="auto" w:sz="4" w:space="0"/>
              <w:right w:val="single" w:color="auto" w:sz="4" w:space="0"/>
            </w:tcBorders>
            <w:noWrap w:val="0"/>
            <w:vAlign w:val="center"/>
          </w:tcPr>
          <w:p w14:paraId="5716169F">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highlight w:val="none"/>
                <w:lang w:val="zh-TW" w:eastAsia="zh-CN"/>
              </w:rPr>
            </w:pPr>
            <w:r>
              <w:rPr>
                <w:rFonts w:hint="eastAsia" w:ascii="宋体" w:hAnsi="宋体" w:eastAsia="宋体" w:cs="宋体"/>
                <w:color w:val="auto"/>
                <w:sz w:val="21"/>
                <w:highlight w:val="none"/>
              </w:rPr>
              <w:t>具有</w:t>
            </w:r>
            <w:r>
              <w:rPr>
                <w:rFonts w:hint="eastAsia" w:ascii="宋体" w:hAnsi="宋体" w:cs="宋体"/>
                <w:color w:val="auto"/>
                <w:sz w:val="21"/>
                <w:highlight w:val="none"/>
                <w:lang w:val="en-US" w:eastAsia="zh-CN"/>
              </w:rPr>
              <w:t>安装</w:t>
            </w:r>
            <w:r>
              <w:rPr>
                <w:rFonts w:hint="eastAsia" w:ascii="宋体" w:hAnsi="宋体" w:eastAsia="宋体" w:cs="宋体"/>
                <w:color w:val="auto"/>
                <w:sz w:val="21"/>
                <w:highlight w:val="none"/>
              </w:rPr>
              <w:t>专业一级注册造价工程师</w:t>
            </w:r>
            <w:r>
              <w:rPr>
                <w:rFonts w:hint="eastAsia" w:ascii="宋体" w:hAnsi="宋体" w:cs="宋体"/>
                <w:b/>
                <w:bCs w:val="0"/>
                <w:color w:val="auto"/>
                <w:kern w:val="0"/>
                <w:szCs w:val="21"/>
                <w:highlight w:val="none"/>
                <w:u w:val="single"/>
              </w:rPr>
              <w:t>注册</w:t>
            </w:r>
            <w:r>
              <w:rPr>
                <w:rFonts w:hint="eastAsia" w:ascii="宋体" w:hAnsi="宋体" w:eastAsia="宋体" w:cs="宋体"/>
                <w:color w:val="auto"/>
                <w:sz w:val="21"/>
                <w:highlight w:val="none"/>
              </w:rPr>
              <w:t>证书</w:t>
            </w:r>
          </w:p>
        </w:tc>
        <w:tc>
          <w:tcPr>
            <w:tcW w:w="792" w:type="pct"/>
            <w:tcBorders>
              <w:top w:val="single" w:color="auto" w:sz="4" w:space="0"/>
              <w:left w:val="single" w:color="auto" w:sz="4" w:space="0"/>
              <w:bottom w:val="single" w:color="auto" w:sz="4" w:space="0"/>
              <w:right w:val="single" w:color="auto" w:sz="4" w:space="0"/>
            </w:tcBorders>
            <w:noWrap w:val="0"/>
            <w:vAlign w:val="center"/>
          </w:tcPr>
          <w:p w14:paraId="30BB8177">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rPr>
              <w:t>提供注册造价师证书</w:t>
            </w:r>
          </w:p>
        </w:tc>
      </w:tr>
      <w:tr w14:paraId="39F9C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57" w:hRule="atLeast"/>
          <w:jc w:val="center"/>
        </w:trPr>
        <w:tc>
          <w:tcPr>
            <w:tcW w:w="692" w:type="pct"/>
            <w:tcBorders>
              <w:top w:val="single" w:color="auto" w:sz="4" w:space="0"/>
              <w:left w:val="single" w:color="auto" w:sz="4" w:space="0"/>
              <w:bottom w:val="single" w:color="auto" w:sz="4" w:space="0"/>
              <w:right w:val="single" w:color="auto" w:sz="4" w:space="0"/>
            </w:tcBorders>
            <w:noWrap w:val="0"/>
            <w:vAlign w:val="center"/>
          </w:tcPr>
          <w:p w14:paraId="01F6075E">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安全工程师</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79366ECA">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w:t>
            </w:r>
          </w:p>
        </w:tc>
        <w:tc>
          <w:tcPr>
            <w:tcW w:w="3028" w:type="pct"/>
            <w:tcBorders>
              <w:top w:val="single" w:color="auto" w:sz="4" w:space="0"/>
              <w:left w:val="single" w:color="auto" w:sz="4" w:space="0"/>
              <w:bottom w:val="single" w:color="auto" w:sz="4" w:space="0"/>
              <w:right w:val="single" w:color="auto" w:sz="4" w:space="0"/>
            </w:tcBorders>
            <w:noWrap w:val="0"/>
            <w:vAlign w:val="center"/>
          </w:tcPr>
          <w:p w14:paraId="50D7B6E9">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highlight w:val="none"/>
                <w:lang w:val="zh-TW" w:eastAsia="zh-CN"/>
              </w:rPr>
            </w:pPr>
            <w:r>
              <w:rPr>
                <w:rFonts w:hint="eastAsia" w:ascii="宋体" w:hAnsi="宋体" w:eastAsia="宋体" w:cs="宋体"/>
                <w:color w:val="auto"/>
                <w:sz w:val="21"/>
                <w:highlight w:val="none"/>
              </w:rPr>
              <w:t>具有</w:t>
            </w:r>
            <w:r>
              <w:rPr>
                <w:rFonts w:hint="eastAsia" w:ascii="宋体" w:hAnsi="宋体" w:cs="宋体"/>
                <w:color w:val="auto"/>
                <w:sz w:val="21"/>
                <w:highlight w:val="none"/>
                <w:lang w:val="en-US" w:eastAsia="zh-CN"/>
              </w:rPr>
              <w:t>建筑施工安全</w:t>
            </w:r>
            <w:r>
              <w:rPr>
                <w:rFonts w:hint="eastAsia" w:ascii="宋体" w:hAnsi="宋体" w:eastAsia="宋体" w:cs="宋体"/>
                <w:color w:val="auto"/>
                <w:sz w:val="21"/>
                <w:highlight w:val="none"/>
              </w:rPr>
              <w:t>专业</w:t>
            </w:r>
            <w:r>
              <w:rPr>
                <w:rFonts w:hint="eastAsia" w:ascii="宋体" w:hAnsi="宋体" w:cs="宋体"/>
                <w:color w:val="auto"/>
                <w:sz w:val="21"/>
                <w:highlight w:val="none"/>
                <w:lang w:val="en-US" w:eastAsia="zh-CN"/>
              </w:rPr>
              <w:t>注册安全工程师</w:t>
            </w:r>
            <w:r>
              <w:rPr>
                <w:rFonts w:hint="eastAsia" w:ascii="宋体" w:hAnsi="宋体" w:cs="宋体"/>
                <w:b/>
                <w:color w:val="auto"/>
                <w:kern w:val="0"/>
                <w:szCs w:val="21"/>
                <w:highlight w:val="none"/>
                <w:u w:val="single"/>
              </w:rPr>
              <w:t>注册</w:t>
            </w:r>
            <w:r>
              <w:rPr>
                <w:rFonts w:hint="eastAsia" w:ascii="宋体" w:hAnsi="宋体" w:eastAsia="宋体" w:cs="宋体"/>
                <w:color w:val="auto"/>
                <w:sz w:val="21"/>
                <w:highlight w:val="none"/>
              </w:rPr>
              <w:t>证书及</w:t>
            </w:r>
            <w:r>
              <w:rPr>
                <w:rFonts w:hint="eastAsia" w:ascii="宋体" w:hAnsi="宋体" w:eastAsia="宋体" w:cs="宋体"/>
                <w:color w:val="auto"/>
                <w:sz w:val="21"/>
                <w:highlight w:val="none"/>
                <w:lang w:val="zh-TW"/>
              </w:rPr>
              <w:t>建筑</w:t>
            </w:r>
            <w:r>
              <w:rPr>
                <w:rFonts w:hint="eastAsia" w:ascii="宋体" w:hAnsi="宋体" w:eastAsia="宋体" w:cs="宋体"/>
                <w:color w:val="auto"/>
                <w:sz w:val="21"/>
                <w:highlight w:val="none"/>
              </w:rPr>
              <w:t>工程</w:t>
            </w:r>
            <w:r>
              <w:rPr>
                <w:rFonts w:hint="eastAsia" w:ascii="宋体" w:hAnsi="宋体" w:eastAsia="宋体" w:cs="宋体"/>
                <w:color w:val="auto"/>
                <w:sz w:val="21"/>
                <w:highlight w:val="none"/>
                <w:lang w:val="en-US" w:eastAsia="zh-CN"/>
              </w:rPr>
              <w:t>管理</w:t>
            </w:r>
            <w:r>
              <w:rPr>
                <w:rFonts w:hint="eastAsia" w:ascii="宋体" w:hAnsi="宋体" w:eastAsia="宋体" w:cs="宋体"/>
                <w:color w:val="auto"/>
                <w:sz w:val="21"/>
                <w:highlight w:val="none"/>
                <w:lang w:val="zh-TW"/>
              </w:rPr>
              <w:t>相关专业</w:t>
            </w:r>
            <w:r>
              <w:rPr>
                <w:rFonts w:hint="eastAsia" w:ascii="宋体" w:hAnsi="宋体" w:eastAsia="宋体" w:cs="宋体"/>
                <w:color w:val="auto"/>
                <w:sz w:val="21"/>
                <w:highlight w:val="none"/>
              </w:rPr>
              <w:t>中</w:t>
            </w:r>
            <w:r>
              <w:rPr>
                <w:rFonts w:hint="eastAsia" w:ascii="宋体" w:hAnsi="宋体" w:eastAsia="宋体" w:cs="宋体"/>
                <w:color w:val="auto"/>
                <w:sz w:val="21"/>
                <w:highlight w:val="none"/>
                <w:lang w:val="zh-TW"/>
              </w:rPr>
              <w:t>级工程师或以上职称证书</w:t>
            </w:r>
          </w:p>
        </w:tc>
        <w:tc>
          <w:tcPr>
            <w:tcW w:w="792" w:type="pct"/>
            <w:tcBorders>
              <w:top w:val="single" w:color="auto" w:sz="4" w:space="0"/>
              <w:left w:val="single" w:color="auto" w:sz="4" w:space="0"/>
              <w:bottom w:val="single" w:color="auto" w:sz="4" w:space="0"/>
              <w:right w:val="single" w:color="auto" w:sz="4" w:space="0"/>
            </w:tcBorders>
            <w:noWrap w:val="0"/>
            <w:vAlign w:val="center"/>
          </w:tcPr>
          <w:p w14:paraId="7D501623">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rPr>
              <w:t>提供注册</w:t>
            </w:r>
            <w:r>
              <w:rPr>
                <w:rFonts w:hint="eastAsia" w:ascii="宋体" w:hAnsi="宋体" w:cs="宋体"/>
                <w:color w:val="auto"/>
                <w:sz w:val="21"/>
                <w:highlight w:val="none"/>
                <w:lang w:val="en-US" w:eastAsia="zh-CN"/>
              </w:rPr>
              <w:t>安全</w:t>
            </w:r>
            <w:r>
              <w:rPr>
                <w:rFonts w:hint="eastAsia" w:ascii="宋体" w:hAnsi="宋体" w:eastAsia="宋体" w:cs="宋体"/>
                <w:color w:val="auto"/>
                <w:sz w:val="21"/>
                <w:highlight w:val="none"/>
              </w:rPr>
              <w:t>师证书及职称证书</w:t>
            </w:r>
          </w:p>
        </w:tc>
      </w:tr>
      <w:tr w14:paraId="1E21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57" w:hRule="atLeast"/>
          <w:jc w:val="center"/>
        </w:trPr>
        <w:tc>
          <w:tcPr>
            <w:tcW w:w="692" w:type="pct"/>
            <w:tcBorders>
              <w:top w:val="single" w:color="auto" w:sz="4" w:space="0"/>
              <w:left w:val="single" w:color="auto" w:sz="4" w:space="0"/>
              <w:bottom w:val="single" w:color="auto" w:sz="4" w:space="0"/>
              <w:right w:val="single" w:color="auto" w:sz="4" w:space="0"/>
            </w:tcBorders>
            <w:noWrap w:val="0"/>
            <w:vAlign w:val="center"/>
          </w:tcPr>
          <w:p w14:paraId="057377F2">
            <w:pPr>
              <w:keepNext w:val="0"/>
              <w:keepLines w:val="0"/>
              <w:suppressLineNumbers w:val="0"/>
              <w:snapToGrid w:val="0"/>
              <w:spacing w:before="0" w:beforeAutospacing="0" w:after="0" w:afterAutospacing="0"/>
              <w:ind w:left="0" w:right="0" w:firstLine="0" w:firstLineChars="0"/>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给排水工程师</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2915CBB6">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w:t>
            </w:r>
          </w:p>
        </w:tc>
        <w:tc>
          <w:tcPr>
            <w:tcW w:w="3028" w:type="pct"/>
            <w:tcBorders>
              <w:top w:val="single" w:color="auto" w:sz="4" w:space="0"/>
              <w:left w:val="single" w:color="auto" w:sz="4" w:space="0"/>
              <w:bottom w:val="single" w:color="auto" w:sz="4" w:space="0"/>
              <w:right w:val="single" w:color="auto" w:sz="4" w:space="0"/>
            </w:tcBorders>
            <w:noWrap w:val="0"/>
            <w:vAlign w:val="center"/>
          </w:tcPr>
          <w:p w14:paraId="1E6FD8FE">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highlight w:val="none"/>
                <w:lang w:val="zh-TW" w:eastAsia="zh-CN"/>
              </w:rPr>
            </w:pPr>
            <w:r>
              <w:rPr>
                <w:rFonts w:hint="eastAsia" w:ascii="宋体" w:hAnsi="宋体" w:eastAsia="宋体" w:cs="宋体"/>
                <w:color w:val="auto"/>
                <w:sz w:val="21"/>
                <w:highlight w:val="none"/>
                <w:lang w:val="zh-TW" w:eastAsia="zh-CN"/>
              </w:rPr>
              <w:t>具</w:t>
            </w:r>
            <w:r>
              <w:rPr>
                <w:rFonts w:hint="eastAsia" w:ascii="宋体" w:hAnsi="宋体" w:eastAsia="宋体" w:cs="宋体"/>
                <w:color w:val="auto"/>
                <w:sz w:val="21"/>
                <w:highlight w:val="none"/>
                <w:lang w:val="en-US" w:eastAsia="zh-CN"/>
              </w:rPr>
              <w:t>有给排水</w:t>
            </w:r>
            <w:r>
              <w:rPr>
                <w:rFonts w:hint="eastAsia" w:ascii="宋体" w:hAnsi="宋体" w:eastAsia="宋体" w:cs="宋体"/>
                <w:color w:val="auto"/>
                <w:sz w:val="21"/>
                <w:highlight w:val="none"/>
                <w:lang w:val="zh-TW" w:eastAsia="zh-CN"/>
              </w:rPr>
              <w:t>相关专业中级工程师或以上职称证书</w:t>
            </w:r>
          </w:p>
        </w:tc>
        <w:tc>
          <w:tcPr>
            <w:tcW w:w="792" w:type="pct"/>
            <w:tcBorders>
              <w:top w:val="single" w:color="auto" w:sz="4" w:space="0"/>
              <w:left w:val="single" w:color="auto" w:sz="4" w:space="0"/>
              <w:bottom w:val="single" w:color="auto" w:sz="4" w:space="0"/>
              <w:right w:val="single" w:color="auto" w:sz="4" w:space="0"/>
            </w:tcBorders>
            <w:noWrap w:val="0"/>
            <w:vAlign w:val="center"/>
          </w:tcPr>
          <w:p w14:paraId="08FA1704">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提供职称证书扫描件</w:t>
            </w:r>
          </w:p>
        </w:tc>
      </w:tr>
      <w:tr w14:paraId="5D13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90" w:hRule="atLeast"/>
          <w:jc w:val="center"/>
        </w:trPr>
        <w:tc>
          <w:tcPr>
            <w:tcW w:w="692" w:type="pct"/>
            <w:tcBorders>
              <w:top w:val="single" w:color="auto" w:sz="4" w:space="0"/>
              <w:left w:val="single" w:color="auto" w:sz="4" w:space="0"/>
              <w:bottom w:val="single" w:color="auto" w:sz="4" w:space="0"/>
              <w:right w:val="single" w:color="auto" w:sz="4" w:space="0"/>
            </w:tcBorders>
            <w:noWrap w:val="0"/>
            <w:vAlign w:val="center"/>
          </w:tcPr>
          <w:p w14:paraId="3AA501FB">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装修工程师</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4ACA50B4">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 w:val="21"/>
                <w:highlight w:val="none"/>
                <w:lang w:val="en-US" w:eastAsia="zh-CN"/>
              </w:rPr>
            </w:pPr>
            <w:r>
              <w:rPr>
                <w:rFonts w:hint="eastAsia" w:ascii="宋体" w:hAnsi="宋体" w:cs="宋体"/>
                <w:color w:val="auto"/>
                <w:sz w:val="21"/>
                <w:highlight w:val="none"/>
                <w:lang w:val="en-US" w:eastAsia="zh-CN"/>
              </w:rPr>
              <w:t>3</w:t>
            </w:r>
          </w:p>
        </w:tc>
        <w:tc>
          <w:tcPr>
            <w:tcW w:w="3028" w:type="pct"/>
            <w:tcBorders>
              <w:top w:val="single" w:color="auto" w:sz="4" w:space="0"/>
              <w:left w:val="single" w:color="auto" w:sz="4" w:space="0"/>
              <w:bottom w:val="single" w:color="auto" w:sz="4" w:space="0"/>
              <w:right w:val="single" w:color="auto" w:sz="4" w:space="0"/>
            </w:tcBorders>
            <w:noWrap w:val="0"/>
            <w:vAlign w:val="center"/>
          </w:tcPr>
          <w:p w14:paraId="11BE3B4A">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highlight w:val="none"/>
                <w:lang w:val="zh-TW" w:eastAsia="zh-CN"/>
              </w:rPr>
            </w:pPr>
            <w:r>
              <w:rPr>
                <w:rFonts w:hint="eastAsia" w:ascii="宋体" w:hAnsi="宋体" w:eastAsia="宋体" w:cs="宋体"/>
                <w:color w:val="auto"/>
                <w:sz w:val="21"/>
                <w:highlight w:val="none"/>
                <w:lang w:val="zh-TW" w:eastAsia="zh-CN"/>
              </w:rPr>
              <w:t>具有</w:t>
            </w:r>
            <w:r>
              <w:rPr>
                <w:rFonts w:hint="eastAsia" w:ascii="宋体" w:hAnsi="宋体" w:cs="宋体"/>
                <w:color w:val="auto"/>
                <w:sz w:val="21"/>
                <w:highlight w:val="none"/>
                <w:lang w:val="en-US" w:eastAsia="zh-CN"/>
              </w:rPr>
              <w:t>建筑装饰施工或建筑工程施工</w:t>
            </w:r>
            <w:r>
              <w:rPr>
                <w:rFonts w:hint="eastAsia" w:ascii="宋体" w:hAnsi="宋体" w:eastAsia="宋体" w:cs="宋体"/>
                <w:color w:val="auto"/>
                <w:sz w:val="21"/>
                <w:highlight w:val="none"/>
                <w:lang w:val="zh-TW" w:eastAsia="zh-CN"/>
              </w:rPr>
              <w:t>相关专业</w:t>
            </w:r>
            <w:r>
              <w:rPr>
                <w:rFonts w:hint="eastAsia" w:ascii="宋体" w:hAnsi="宋体" w:eastAsia="宋体" w:cs="宋体"/>
                <w:color w:val="auto"/>
                <w:sz w:val="21"/>
                <w:highlight w:val="none"/>
                <w:lang w:val="en-US" w:eastAsia="zh-CN"/>
              </w:rPr>
              <w:t>中</w:t>
            </w:r>
            <w:r>
              <w:rPr>
                <w:rFonts w:hint="eastAsia" w:ascii="宋体" w:hAnsi="宋体" w:eastAsia="宋体" w:cs="宋体"/>
                <w:color w:val="auto"/>
                <w:sz w:val="21"/>
                <w:highlight w:val="none"/>
                <w:lang w:val="zh-TW" w:eastAsia="zh-CN"/>
              </w:rPr>
              <w:t>级工程师或以上职称证书</w:t>
            </w:r>
          </w:p>
        </w:tc>
        <w:tc>
          <w:tcPr>
            <w:tcW w:w="792" w:type="pct"/>
            <w:tcBorders>
              <w:top w:val="single" w:color="auto" w:sz="4" w:space="0"/>
              <w:left w:val="single" w:color="auto" w:sz="4" w:space="0"/>
              <w:bottom w:val="single" w:color="auto" w:sz="4" w:space="0"/>
              <w:right w:val="single" w:color="auto" w:sz="4" w:space="0"/>
            </w:tcBorders>
            <w:noWrap w:val="0"/>
            <w:vAlign w:val="center"/>
          </w:tcPr>
          <w:p w14:paraId="2450C163">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提供职称证书扫描件</w:t>
            </w:r>
          </w:p>
        </w:tc>
      </w:tr>
    </w:tbl>
    <w:p w14:paraId="4F9985FB">
      <w:pPr>
        <w:spacing w:line="240" w:lineRule="auto"/>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注：</w:t>
      </w:r>
    </w:p>
    <w:p w14:paraId="0DDC7B88">
      <w:pPr>
        <w:spacing w:line="240" w:lineRule="auto"/>
        <w:ind w:firstLine="0" w:firstLineChars="0"/>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bidi="ar"/>
        </w:rPr>
        <w:t>1.</w:t>
      </w:r>
      <w:r>
        <w:rPr>
          <w:rFonts w:hint="eastAsia" w:ascii="宋体" w:hAnsi="宋体" w:eastAsia="宋体" w:cs="宋体"/>
          <w:color w:val="auto"/>
          <w:highlight w:val="none"/>
        </w:rPr>
        <w:t>所有人员应提供近1个月（2025年</w:t>
      </w:r>
      <w:r>
        <w:rPr>
          <w:rFonts w:hint="eastAsia" w:ascii="宋体" w:hAnsi="宋体" w:cs="宋体"/>
          <w:color w:val="auto"/>
          <w:highlight w:val="none"/>
          <w:lang w:val="en-US" w:eastAsia="zh-CN"/>
        </w:rPr>
        <w:t>10</w:t>
      </w:r>
      <w:r>
        <w:rPr>
          <w:rFonts w:hint="eastAsia" w:ascii="宋体" w:hAnsi="宋体" w:eastAsia="宋体" w:cs="宋体"/>
          <w:color w:val="auto"/>
          <w:highlight w:val="none"/>
        </w:rPr>
        <w:t>月）</w:t>
      </w:r>
      <w:r>
        <w:rPr>
          <w:rFonts w:hint="eastAsia" w:ascii="宋体" w:hAnsi="宋体" w:eastAsia="宋体" w:cs="宋体"/>
          <w:b w:val="0"/>
          <w:bCs w:val="0"/>
          <w:color w:val="auto"/>
          <w:sz w:val="21"/>
          <w:szCs w:val="21"/>
          <w:highlight w:val="none"/>
        </w:rPr>
        <w:t>在投标单位缴纳社保的证明材料</w:t>
      </w:r>
      <w:r>
        <w:rPr>
          <w:rFonts w:hint="eastAsia" w:ascii="宋体" w:hAnsi="宋体" w:cs="宋体"/>
          <w:b w:val="0"/>
          <w:bCs w:val="0"/>
          <w:color w:val="auto"/>
          <w:highlight w:val="none"/>
          <w:lang w:eastAsia="zh-CN"/>
        </w:rPr>
        <w:t>；</w:t>
      </w:r>
      <w:r>
        <w:rPr>
          <w:rFonts w:hint="eastAsia" w:ascii="宋体" w:hAnsi="宋体" w:eastAsia="宋体" w:cs="宋体"/>
          <w:color w:val="auto"/>
          <w:highlight w:val="none"/>
        </w:rPr>
        <w:t>项目管理机构人员仅指本公司或分公司人员，不含子公司人员。</w:t>
      </w:r>
    </w:p>
    <w:p w14:paraId="551A3760">
      <w:pPr>
        <w:spacing w:line="240" w:lineRule="auto"/>
        <w:ind w:firstLine="0" w:firstLineChars="0"/>
        <w:rPr>
          <w:rFonts w:hint="eastAsia" w:ascii="宋体" w:hAnsi="宋体" w:cs="宋体"/>
          <w:bCs/>
          <w:color w:val="auto"/>
          <w:kern w:val="0"/>
          <w:szCs w:val="21"/>
          <w:highlight w:val="none"/>
          <w:lang w:eastAsia="zh-CN"/>
        </w:rPr>
      </w:pP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bidi="ar"/>
        </w:rPr>
        <w:t>项目管理团队人员各</w:t>
      </w:r>
      <w:r>
        <w:rPr>
          <w:rFonts w:hint="eastAsia" w:ascii="宋体" w:hAnsi="宋体" w:eastAsia="宋体" w:cs="宋体"/>
          <w:color w:val="auto"/>
          <w:szCs w:val="22"/>
          <w:highlight w:val="none"/>
          <w:lang w:val="zh-TW" w:eastAsia="zh-CN"/>
        </w:rPr>
        <w:t>岗位人员不得相互</w:t>
      </w:r>
      <w:r>
        <w:rPr>
          <w:rFonts w:hint="eastAsia" w:ascii="宋体" w:hAnsi="宋体" w:cs="宋体"/>
          <w:color w:val="auto"/>
          <w:szCs w:val="22"/>
          <w:highlight w:val="none"/>
          <w:lang w:val="zh-TW" w:eastAsia="zh-CN"/>
        </w:rPr>
        <w:t>兼任</w:t>
      </w:r>
      <w:r>
        <w:rPr>
          <w:rFonts w:hint="eastAsia" w:ascii="宋体" w:hAnsi="宋体" w:eastAsia="宋体" w:cs="宋体"/>
          <w:color w:val="auto"/>
          <w:szCs w:val="22"/>
          <w:highlight w:val="none"/>
          <w:lang w:val="zh-TW" w:eastAsia="zh-CN"/>
        </w:rPr>
        <w:t>，</w:t>
      </w:r>
      <w:r>
        <w:rPr>
          <w:rFonts w:hint="eastAsia" w:ascii="宋体" w:hAnsi="宋体" w:eastAsia="宋体" w:cs="宋体"/>
          <w:color w:val="auto"/>
          <w:szCs w:val="22"/>
          <w:highlight w:val="none"/>
          <w:lang w:val="en-US" w:eastAsia="zh-CN"/>
        </w:rPr>
        <w:t>不得由</w:t>
      </w:r>
      <w:r>
        <w:rPr>
          <w:rFonts w:hint="eastAsia" w:ascii="宋体" w:hAnsi="宋体" w:eastAsia="宋体" w:cs="宋体"/>
          <w:color w:val="auto"/>
          <w:szCs w:val="22"/>
          <w:highlight w:val="none"/>
          <w:lang w:val="zh-TW" w:eastAsia="zh-CN"/>
        </w:rPr>
        <w:t>退休</w:t>
      </w:r>
      <w:r>
        <w:rPr>
          <w:rFonts w:hint="eastAsia" w:ascii="宋体" w:hAnsi="宋体" w:eastAsia="宋体" w:cs="宋体"/>
          <w:color w:val="auto"/>
          <w:szCs w:val="22"/>
          <w:highlight w:val="none"/>
          <w:lang w:val="en-US" w:eastAsia="zh-CN"/>
        </w:rPr>
        <w:t>返聘</w:t>
      </w:r>
      <w:r>
        <w:rPr>
          <w:rFonts w:hint="eastAsia" w:ascii="宋体" w:hAnsi="宋体" w:eastAsia="宋体" w:cs="宋体"/>
          <w:color w:val="auto"/>
          <w:szCs w:val="22"/>
          <w:highlight w:val="none"/>
          <w:lang w:val="zh-TW" w:eastAsia="zh-CN"/>
        </w:rPr>
        <w:t>人员</w:t>
      </w:r>
      <w:r>
        <w:rPr>
          <w:rFonts w:hint="eastAsia" w:ascii="宋体" w:hAnsi="宋体" w:eastAsia="宋体" w:cs="宋体"/>
          <w:color w:val="auto"/>
          <w:szCs w:val="22"/>
          <w:highlight w:val="none"/>
          <w:lang w:val="en-US" w:eastAsia="zh-CN"/>
        </w:rPr>
        <w:t>担任相关岗位</w:t>
      </w:r>
      <w:r>
        <w:rPr>
          <w:rFonts w:hint="eastAsia" w:ascii="宋体" w:hAnsi="宋体" w:eastAsia="宋体" w:cs="宋体"/>
          <w:color w:val="auto"/>
          <w:szCs w:val="22"/>
          <w:highlight w:val="none"/>
          <w:lang w:val="zh-TW" w:eastAsia="zh-CN"/>
        </w:rPr>
        <w:t>。须提供对应要求的证书扫描件并加盖投标单位公章或电子印章。</w:t>
      </w:r>
    </w:p>
    <w:p w14:paraId="44BA4396">
      <w:pPr>
        <w:spacing w:line="240" w:lineRule="auto"/>
        <w:ind w:firstLine="0" w:firstLineChars="0"/>
        <w:rPr>
          <w:rFonts w:hint="eastAsia" w:ascii="宋体" w:hAnsi="宋体" w:cs="宋体"/>
          <w:bCs/>
          <w:color w:val="auto"/>
          <w:kern w:val="0"/>
          <w:szCs w:val="21"/>
          <w:highlight w:val="none"/>
        </w:rPr>
      </w:pPr>
      <w:r>
        <w:rPr>
          <w:rFonts w:hint="eastAsia" w:ascii="宋体" w:hAnsi="宋体" w:cs="宋体"/>
          <w:color w:val="auto"/>
          <w:szCs w:val="22"/>
          <w:highlight w:val="none"/>
          <w:lang w:val="en-US" w:eastAsia="zh-CN"/>
        </w:rPr>
        <w:t>3.</w:t>
      </w:r>
      <w:r>
        <w:rPr>
          <w:rFonts w:hint="eastAsia" w:ascii="宋体" w:hAnsi="宋体" w:cs="宋体"/>
          <w:bCs/>
          <w:color w:val="auto"/>
          <w:kern w:val="0"/>
          <w:szCs w:val="21"/>
          <w:highlight w:val="none"/>
        </w:rPr>
        <w:t>职称专业以职称证书上注明的专业为准，</w:t>
      </w:r>
      <w:r>
        <w:rPr>
          <w:rFonts w:hint="eastAsia" w:ascii="宋体" w:hAnsi="宋体" w:eastAsia="宋体" w:cs="宋体"/>
          <w:color w:val="auto"/>
          <w:szCs w:val="22"/>
          <w:highlight w:val="none"/>
          <w:lang w:val="zh-TW" w:eastAsia="zh-CN"/>
        </w:rPr>
        <w:t>不同专业职称证书只计算一次且按最高级别的职称进行计分；</w:t>
      </w:r>
      <w:r>
        <w:rPr>
          <w:rFonts w:hint="eastAsia" w:ascii="宋体" w:hAnsi="宋体" w:cs="宋体"/>
          <w:bCs/>
          <w:color w:val="auto"/>
          <w:kern w:val="0"/>
          <w:szCs w:val="21"/>
          <w:highlight w:val="none"/>
        </w:rPr>
        <w:t>建筑工程相关专业包括但不限于结构、建筑、土建、工民建、建筑工程、建筑施工、建筑工程管理、房建工程、土木工程、土木建筑、施工管理、建筑设计、建筑装饰施工、建筑装饰设计、建筑装饰装修、建筑学、给排水、暖通、电气、土建施工、土建管理、建筑施工管理、工业与民用建筑、工民建施工管理、建筑施工技术管理</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安全管理工程及与建筑工程相关的其他专业等。职称证书以地市级(或以上)人社部门核发为准，若非人社部门核发的职称证书，投标人须同时提供地市级(或以上)人社部门委托核发机构开展职称评审工作的证明文件或其他可由该机构核发的政策文件依据，否则对该职称证书不予认可。</w:t>
      </w:r>
    </w:p>
    <w:p w14:paraId="3395A02E">
      <w:pPr>
        <w:spacing w:line="240" w:lineRule="auto"/>
        <w:ind w:firstLine="0" w:firstLineChars="0"/>
        <w:rPr>
          <w:rFonts w:hint="eastAsia" w:ascii="宋体" w:hAnsi="宋体" w:cs="宋体"/>
          <w:b w:val="0"/>
          <w:bCs/>
          <w:color w:val="auto"/>
          <w:kern w:val="0"/>
          <w:sz w:val="20"/>
          <w:szCs w:val="20"/>
          <w:highlight w:val="none"/>
        </w:rPr>
      </w:pPr>
      <w:r>
        <w:rPr>
          <w:rFonts w:hint="eastAsia" w:ascii="宋体" w:hAnsi="宋体" w:cs="宋体"/>
          <w:b w:val="0"/>
          <w:bCs/>
          <w:color w:val="auto"/>
          <w:kern w:val="0"/>
          <w:sz w:val="20"/>
          <w:szCs w:val="20"/>
          <w:highlight w:val="none"/>
          <w:lang w:val="en-US" w:eastAsia="zh-CN"/>
        </w:rPr>
        <w:t>4.</w:t>
      </w:r>
      <w:r>
        <w:rPr>
          <w:rFonts w:hint="eastAsia" w:ascii="宋体" w:hAnsi="宋体" w:cs="宋体"/>
          <w:b w:val="0"/>
          <w:bCs/>
          <w:color w:val="auto"/>
          <w:kern w:val="0"/>
          <w:sz w:val="20"/>
          <w:szCs w:val="20"/>
          <w:highlight w:val="none"/>
        </w:rPr>
        <w:t>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的，等同于一级注册造价工程师 。</w:t>
      </w:r>
    </w:p>
    <w:p w14:paraId="1C36D84C">
      <w:pPr>
        <w:spacing w:line="360" w:lineRule="auto"/>
        <w:rPr>
          <w:rFonts w:ascii="宋体" w:hAnsi="宋体" w:eastAsia="宋体" w:cs="Times New Roman"/>
          <w:b/>
          <w:color w:val="auto"/>
          <w:sz w:val="28"/>
          <w:szCs w:val="28"/>
          <w:highlight w:val="none"/>
          <w:lang w:bidi="ar"/>
        </w:rPr>
        <w:sectPr>
          <w:endnotePr>
            <w:numFmt w:val="decimal"/>
          </w:endnotePr>
          <w:pgSz w:w="11905" w:h="16838"/>
          <w:pgMar w:top="1417" w:right="1417" w:bottom="1417" w:left="1417" w:header="851" w:footer="907" w:gutter="0"/>
          <w:pgNumType w:fmt="decimal"/>
          <w:cols w:space="0" w:num="1"/>
          <w:titlePg/>
          <w:rtlGutter w:val="0"/>
          <w:docGrid w:type="linesAndChars" w:linePitch="312" w:charSpace="1223"/>
        </w:sectPr>
      </w:pPr>
    </w:p>
    <w:p w14:paraId="04FDD598">
      <w:pPr>
        <w:widowControl/>
        <w:jc w:val="left"/>
        <w:rPr>
          <w:rFonts w:ascii="宋体" w:hAnsi="宋体" w:eastAsia="宋体" w:cs="宋体"/>
          <w:color w:val="auto"/>
          <w:szCs w:val="21"/>
          <w:highlight w:val="none"/>
          <w:lang w:bidi="ar"/>
        </w:rPr>
      </w:pPr>
      <w:bookmarkStart w:id="30" w:name="_Toc80952382"/>
      <w:bookmarkStart w:id="31" w:name="_Toc83906637"/>
      <w:bookmarkStart w:id="32" w:name="_Toc78987466"/>
      <w:bookmarkStart w:id="33" w:name="_Toc78987537"/>
      <w:r>
        <w:rPr>
          <w:rFonts w:hint="eastAsia" w:ascii="宋体" w:hAnsi="宋体" w:eastAsia="宋体" w:cs="宋体"/>
          <w:color w:val="auto"/>
          <w:szCs w:val="21"/>
          <w:highlight w:val="none"/>
          <w:lang w:bidi="ar"/>
        </w:rPr>
        <w:t>附表四（</w:t>
      </w:r>
      <w:r>
        <w:rPr>
          <w:rFonts w:ascii="宋体" w:hAnsi="宋体" w:eastAsia="宋体" w:cs="宋体"/>
          <w:color w:val="auto"/>
          <w:szCs w:val="21"/>
          <w:highlight w:val="none"/>
          <w:lang w:bidi="ar"/>
        </w:rPr>
        <w:t>A）</w:t>
      </w:r>
      <w:bookmarkEnd w:id="30"/>
      <w:bookmarkEnd w:id="31"/>
      <w:bookmarkEnd w:id="32"/>
      <w:bookmarkEnd w:id="33"/>
    </w:p>
    <w:p w14:paraId="35D96698">
      <w:pPr>
        <w:jc w:val="center"/>
        <w:rPr>
          <w:rFonts w:ascii="宋体" w:hAnsi="Calibri" w:eastAsia="宋体" w:cs="宋体"/>
          <w:b/>
          <w:color w:val="auto"/>
          <w:sz w:val="36"/>
          <w:szCs w:val="36"/>
          <w:highlight w:val="none"/>
          <w:u w:val="single"/>
        </w:rPr>
      </w:pPr>
      <w:r>
        <w:rPr>
          <w:rFonts w:hint="eastAsia" w:ascii="宋体" w:hAnsi="宋体" w:eastAsia="宋体" w:cs="宋体"/>
          <w:b/>
          <w:color w:val="auto"/>
          <w:sz w:val="36"/>
          <w:szCs w:val="36"/>
          <w:highlight w:val="none"/>
          <w:lang w:bidi="ar"/>
        </w:rPr>
        <w:t>第二阶段详细审查评分表（企业资信）</w:t>
      </w:r>
    </w:p>
    <w:p w14:paraId="764B2A19">
      <w:pPr>
        <w:rPr>
          <w:rFonts w:ascii="宋体" w:hAnsi="宋体" w:eastAsia="宋体" w:cs="宋体"/>
          <w:color w:val="auto"/>
          <w:szCs w:val="21"/>
          <w:highlight w:val="none"/>
          <w:shd w:val="clear" w:color="auto" w:fill="FFFFFF"/>
          <w:lang w:bidi="ar"/>
        </w:rPr>
      </w:pPr>
      <w:r>
        <w:rPr>
          <w:rFonts w:hint="eastAsia" w:ascii="宋体" w:hAnsi="宋体" w:eastAsia="宋体" w:cs="宋体"/>
          <w:color w:val="auto"/>
          <w:szCs w:val="21"/>
          <w:highlight w:val="none"/>
          <w:shd w:val="clear" w:color="auto" w:fill="FFFFFF"/>
          <w:lang w:bidi="ar"/>
        </w:rPr>
        <w:t>工程名称：</w:t>
      </w:r>
    </w:p>
    <w:tbl>
      <w:tblPr>
        <w:tblStyle w:val="27"/>
        <w:tblW w:w="14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3"/>
        <w:gridCol w:w="1322"/>
        <w:gridCol w:w="715"/>
        <w:gridCol w:w="11663"/>
      </w:tblGrid>
      <w:tr w14:paraId="237F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tcMar>
              <w:left w:w="10" w:type="dxa"/>
              <w:right w:w="10" w:type="dxa"/>
            </w:tcMar>
            <w:vAlign w:val="center"/>
          </w:tcPr>
          <w:p w14:paraId="6FCF1948">
            <w:pPr>
              <w:widowControl/>
              <w:jc w:val="center"/>
              <w:rPr>
                <w:rFonts w:ascii="宋体" w:hAnsi="Calibri" w:eastAsia="宋体" w:cs="宋体"/>
                <w:color w:val="auto"/>
                <w:kern w:val="0"/>
                <w:szCs w:val="21"/>
                <w:highlight w:val="none"/>
              </w:rPr>
            </w:pPr>
            <w:r>
              <w:rPr>
                <w:rFonts w:hint="eastAsia" w:ascii="宋体" w:hAnsi="宋体" w:eastAsia="宋体" w:cs="宋体"/>
                <w:b/>
                <w:color w:val="auto"/>
                <w:kern w:val="0"/>
                <w:szCs w:val="21"/>
                <w:highlight w:val="none"/>
                <w:lang w:bidi="ar"/>
              </w:rPr>
              <w:t>评分项目</w:t>
            </w:r>
          </w:p>
        </w:tc>
        <w:tc>
          <w:tcPr>
            <w:tcW w:w="1322"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3A78A540">
            <w:pPr>
              <w:widowControl/>
              <w:jc w:val="center"/>
              <w:rPr>
                <w:rFonts w:ascii="宋体" w:hAnsi="Calibri" w:eastAsia="宋体" w:cs="宋体"/>
                <w:color w:val="auto"/>
                <w:kern w:val="0"/>
                <w:szCs w:val="21"/>
                <w:highlight w:val="none"/>
              </w:rPr>
            </w:pPr>
            <w:r>
              <w:rPr>
                <w:rFonts w:hint="eastAsia" w:ascii="宋体" w:hAnsi="宋体" w:eastAsia="宋体" w:cs="宋体"/>
                <w:b/>
                <w:color w:val="auto"/>
                <w:kern w:val="0"/>
                <w:szCs w:val="21"/>
                <w:highlight w:val="none"/>
                <w:lang w:bidi="ar"/>
              </w:rPr>
              <w:t>评分内容</w:t>
            </w:r>
          </w:p>
        </w:tc>
        <w:tc>
          <w:tcPr>
            <w:tcW w:w="715"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555426D0">
            <w:pPr>
              <w:widowControl/>
              <w:jc w:val="center"/>
              <w:rPr>
                <w:rFonts w:ascii="宋体" w:hAnsi="Calibri" w:eastAsia="宋体" w:cs="宋体"/>
                <w:color w:val="auto"/>
                <w:kern w:val="0"/>
                <w:szCs w:val="21"/>
                <w:highlight w:val="none"/>
              </w:rPr>
            </w:pPr>
            <w:r>
              <w:rPr>
                <w:rFonts w:hint="eastAsia" w:ascii="宋体" w:hAnsi="宋体" w:eastAsia="宋体" w:cs="宋体"/>
                <w:b/>
                <w:color w:val="auto"/>
                <w:kern w:val="0"/>
                <w:szCs w:val="21"/>
                <w:highlight w:val="none"/>
                <w:lang w:bidi="ar"/>
              </w:rPr>
              <w:t>分值</w:t>
            </w:r>
          </w:p>
        </w:tc>
        <w:tc>
          <w:tcPr>
            <w:tcW w:w="11663"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12D946D6">
            <w:pPr>
              <w:widowControl/>
              <w:jc w:val="center"/>
              <w:rPr>
                <w:rFonts w:ascii="宋体" w:hAnsi="Calibri" w:eastAsia="宋体" w:cs="宋体"/>
                <w:color w:val="auto"/>
                <w:kern w:val="0"/>
                <w:szCs w:val="21"/>
                <w:highlight w:val="none"/>
              </w:rPr>
            </w:pPr>
            <w:r>
              <w:rPr>
                <w:rFonts w:hint="eastAsia" w:ascii="宋体" w:hAnsi="宋体" w:eastAsia="宋体" w:cs="宋体"/>
                <w:b/>
                <w:color w:val="auto"/>
                <w:kern w:val="0"/>
                <w:szCs w:val="21"/>
                <w:highlight w:val="none"/>
                <w:lang w:bidi="ar"/>
              </w:rPr>
              <w:t>评审标准</w:t>
            </w:r>
          </w:p>
        </w:tc>
      </w:tr>
      <w:tr w14:paraId="72273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923" w:type="dxa"/>
            <w:vMerge w:val="restart"/>
            <w:tcBorders>
              <w:top w:val="nil"/>
              <w:left w:val="single" w:color="auto" w:sz="4" w:space="0"/>
              <w:bottom w:val="single" w:color="auto" w:sz="4" w:space="0"/>
              <w:right w:val="single" w:color="auto" w:sz="4" w:space="0"/>
            </w:tcBorders>
            <w:shd w:val="clear" w:color="auto" w:fill="FFFFFF"/>
            <w:noWrap w:val="0"/>
            <w:tcMar>
              <w:left w:w="10" w:type="dxa"/>
              <w:right w:w="10" w:type="dxa"/>
            </w:tcMar>
            <w:vAlign w:val="center"/>
          </w:tcPr>
          <w:p w14:paraId="40F1ADF8">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企业资信</w:t>
            </w:r>
          </w:p>
        </w:tc>
        <w:tc>
          <w:tcPr>
            <w:tcW w:w="1322"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319D1202">
            <w:pPr>
              <w:widowControl/>
              <w:jc w:val="center"/>
              <w:rPr>
                <w:rFonts w:ascii="宋体" w:hAnsi="Calibri" w:eastAsia="宋体" w:cs="宋体"/>
                <w:b w:val="0"/>
                <w:bCs/>
                <w:color w:val="auto"/>
                <w:kern w:val="0"/>
                <w:szCs w:val="21"/>
                <w:highlight w:val="none"/>
              </w:rPr>
            </w:pPr>
            <w:r>
              <w:rPr>
                <w:rFonts w:hint="eastAsia" w:ascii="宋体" w:hAnsi="宋体" w:eastAsia="宋体" w:cs="宋体"/>
                <w:b w:val="0"/>
                <w:bCs/>
                <w:color w:val="auto"/>
                <w:kern w:val="0"/>
                <w:szCs w:val="21"/>
                <w:highlight w:val="none"/>
                <w:lang w:bidi="ar"/>
              </w:rPr>
              <w:t>类似工程业绩</w:t>
            </w:r>
          </w:p>
        </w:tc>
        <w:tc>
          <w:tcPr>
            <w:tcW w:w="715"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6BC49491">
            <w:pPr>
              <w:widowControl/>
              <w:jc w:val="center"/>
              <w:rPr>
                <w:rFonts w:hint="default" w:ascii="宋体" w:hAnsi="Calibri" w:eastAsia="宋体" w:cs="宋体"/>
                <w:color w:val="auto"/>
                <w:kern w:val="0"/>
                <w:szCs w:val="21"/>
                <w:highlight w:val="none"/>
                <w:lang w:val="en-US" w:eastAsia="zh-CN"/>
              </w:rPr>
            </w:pPr>
            <w:r>
              <w:rPr>
                <w:rFonts w:hint="eastAsia" w:ascii="宋体" w:cs="宋体"/>
                <w:color w:val="auto"/>
                <w:kern w:val="0"/>
                <w:szCs w:val="21"/>
                <w:highlight w:val="none"/>
                <w:lang w:val="en-US" w:eastAsia="zh-CN" w:bidi="ar"/>
              </w:rPr>
              <w:t>30</w:t>
            </w:r>
          </w:p>
        </w:tc>
        <w:tc>
          <w:tcPr>
            <w:tcW w:w="11663"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601FF6B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投标人自202</w:t>
            </w:r>
            <w:r>
              <w:rPr>
                <w:rFonts w:hint="eastAsia" w:ascii="宋体" w:hAnsi="宋体" w:eastAsia="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年1月1日至投标截止时间止，完成过质量合格的类似工程业绩：</w:t>
            </w:r>
          </w:p>
          <w:p w14:paraId="4F9A2A67">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1、完成业绩的数量为</w:t>
            </w:r>
            <w:r>
              <w:rPr>
                <w:rFonts w:hint="eastAsia" w:ascii="宋体" w:hAnsi="宋体" w:eastAsia="宋体" w:cs="宋体"/>
                <w:color w:val="auto"/>
                <w:kern w:val="0"/>
                <w:szCs w:val="21"/>
                <w:highlight w:val="none"/>
                <w:lang w:val="en-US" w:eastAsia="zh-CN" w:bidi="ar"/>
              </w:rPr>
              <w:t>20</w:t>
            </w:r>
            <w:r>
              <w:rPr>
                <w:rFonts w:hint="eastAsia" w:ascii="宋体" w:hAnsi="宋体" w:eastAsia="宋体" w:cs="宋体"/>
                <w:color w:val="auto"/>
                <w:kern w:val="0"/>
                <w:szCs w:val="21"/>
                <w:highlight w:val="none"/>
                <w:lang w:bidi="ar"/>
              </w:rPr>
              <w:t>项以上（不含</w:t>
            </w:r>
            <w:r>
              <w:rPr>
                <w:rFonts w:hint="eastAsia" w:ascii="宋体" w:hAnsi="宋体" w:eastAsia="宋体" w:cs="宋体"/>
                <w:color w:val="auto"/>
                <w:kern w:val="0"/>
                <w:szCs w:val="21"/>
                <w:highlight w:val="none"/>
                <w:lang w:val="en-US" w:eastAsia="zh-CN" w:bidi="ar"/>
              </w:rPr>
              <w:t>20</w:t>
            </w:r>
            <w:r>
              <w:rPr>
                <w:rFonts w:hint="eastAsia" w:ascii="宋体" w:hAnsi="宋体" w:eastAsia="宋体" w:cs="宋体"/>
                <w:color w:val="auto"/>
                <w:kern w:val="0"/>
                <w:szCs w:val="21"/>
                <w:highlight w:val="none"/>
                <w:lang w:bidi="ar"/>
              </w:rPr>
              <w:t>项），得</w:t>
            </w:r>
            <w:r>
              <w:rPr>
                <w:rFonts w:hint="eastAsia" w:ascii="宋体" w:hAnsi="宋体" w:eastAsia="宋体" w:cs="宋体"/>
                <w:color w:val="auto"/>
                <w:kern w:val="0"/>
                <w:szCs w:val="21"/>
                <w:highlight w:val="none"/>
                <w:lang w:val="en-US" w:eastAsia="zh-CN" w:bidi="ar"/>
              </w:rPr>
              <w:t>30</w:t>
            </w:r>
            <w:r>
              <w:rPr>
                <w:rFonts w:hint="eastAsia" w:ascii="宋体" w:hAnsi="宋体" w:eastAsia="宋体" w:cs="宋体"/>
                <w:color w:val="auto"/>
                <w:kern w:val="0"/>
                <w:szCs w:val="21"/>
                <w:highlight w:val="none"/>
                <w:lang w:bidi="ar"/>
              </w:rPr>
              <w:t>分；</w:t>
            </w:r>
          </w:p>
          <w:p w14:paraId="1E7A898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2、完成业绩的数量为</w:t>
            </w:r>
            <w:r>
              <w:rPr>
                <w:rFonts w:hint="eastAsia" w:ascii="宋体" w:hAnsi="宋体" w:eastAsia="宋体" w:cs="宋体"/>
                <w:color w:val="auto"/>
                <w:kern w:val="0"/>
                <w:szCs w:val="21"/>
                <w:highlight w:val="none"/>
                <w:lang w:val="en-US" w:eastAsia="zh-CN" w:bidi="ar"/>
              </w:rPr>
              <w:t>11</w:t>
            </w:r>
            <w:r>
              <w:rPr>
                <w:rFonts w:hint="eastAsia" w:ascii="宋体" w:hAnsi="宋体" w:eastAsia="宋体" w:cs="宋体"/>
                <w:color w:val="auto"/>
                <w:kern w:val="0"/>
                <w:szCs w:val="21"/>
                <w:highlight w:val="none"/>
                <w:lang w:bidi="ar"/>
              </w:rPr>
              <w:t>至</w:t>
            </w:r>
            <w:r>
              <w:rPr>
                <w:rFonts w:hint="eastAsia" w:ascii="宋体" w:hAnsi="宋体" w:eastAsia="宋体" w:cs="宋体"/>
                <w:color w:val="auto"/>
                <w:kern w:val="0"/>
                <w:szCs w:val="21"/>
                <w:highlight w:val="none"/>
                <w:lang w:val="en-US" w:eastAsia="zh-CN" w:bidi="ar"/>
              </w:rPr>
              <w:t>20</w:t>
            </w:r>
            <w:r>
              <w:rPr>
                <w:rFonts w:hint="eastAsia" w:ascii="宋体" w:hAnsi="宋体" w:eastAsia="宋体" w:cs="宋体"/>
                <w:color w:val="auto"/>
                <w:kern w:val="0"/>
                <w:szCs w:val="21"/>
                <w:highlight w:val="none"/>
                <w:lang w:bidi="ar"/>
              </w:rPr>
              <w:t>项的，得</w:t>
            </w:r>
            <w:r>
              <w:rPr>
                <w:rFonts w:hint="eastAsia" w:ascii="宋体" w:hAnsi="宋体" w:eastAsia="宋体" w:cs="宋体"/>
                <w:color w:val="auto"/>
                <w:kern w:val="0"/>
                <w:szCs w:val="21"/>
                <w:highlight w:val="none"/>
                <w:lang w:val="en-US" w:eastAsia="zh-CN" w:bidi="ar"/>
              </w:rPr>
              <w:t>20</w:t>
            </w:r>
            <w:r>
              <w:rPr>
                <w:rFonts w:hint="eastAsia" w:ascii="宋体" w:hAnsi="宋体" w:eastAsia="宋体" w:cs="宋体"/>
                <w:color w:val="auto"/>
                <w:kern w:val="0"/>
                <w:szCs w:val="21"/>
                <w:highlight w:val="none"/>
                <w:lang w:bidi="ar"/>
              </w:rPr>
              <w:t>分；</w:t>
            </w:r>
          </w:p>
          <w:p w14:paraId="438603EF">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3、完成业绩的数量为6至</w:t>
            </w:r>
            <w:r>
              <w:rPr>
                <w:rFonts w:hint="eastAsia" w:ascii="宋体" w:hAnsi="宋体" w:eastAsia="宋体" w:cs="宋体"/>
                <w:color w:val="auto"/>
                <w:kern w:val="0"/>
                <w:szCs w:val="21"/>
                <w:highlight w:val="none"/>
                <w:lang w:val="en-US" w:eastAsia="zh-CN" w:bidi="ar"/>
              </w:rPr>
              <w:t>10</w:t>
            </w:r>
            <w:r>
              <w:rPr>
                <w:rFonts w:hint="eastAsia" w:ascii="宋体" w:hAnsi="宋体" w:eastAsia="宋体" w:cs="宋体"/>
                <w:color w:val="auto"/>
                <w:kern w:val="0"/>
                <w:szCs w:val="21"/>
                <w:highlight w:val="none"/>
                <w:lang w:bidi="ar"/>
              </w:rPr>
              <w:t>项的，得</w:t>
            </w:r>
            <w:r>
              <w:rPr>
                <w:rFonts w:hint="eastAsia" w:ascii="宋体" w:hAnsi="宋体" w:eastAsia="宋体" w:cs="宋体"/>
                <w:color w:val="auto"/>
                <w:kern w:val="0"/>
                <w:szCs w:val="21"/>
                <w:highlight w:val="none"/>
                <w:lang w:val="en-US" w:eastAsia="zh-CN" w:bidi="ar"/>
              </w:rPr>
              <w:t>10</w:t>
            </w:r>
            <w:r>
              <w:rPr>
                <w:rFonts w:hint="eastAsia" w:ascii="宋体" w:hAnsi="宋体" w:eastAsia="宋体" w:cs="宋体"/>
                <w:color w:val="auto"/>
                <w:kern w:val="0"/>
                <w:szCs w:val="21"/>
                <w:highlight w:val="none"/>
                <w:lang w:bidi="ar"/>
              </w:rPr>
              <w:t>分；</w:t>
            </w:r>
          </w:p>
          <w:p w14:paraId="022D586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4、完成业绩的数量为1至5项的，得</w:t>
            </w:r>
            <w:r>
              <w:rPr>
                <w:rFonts w:hint="eastAsia" w:ascii="宋体" w:hAnsi="宋体" w:eastAsia="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分；</w:t>
            </w:r>
          </w:p>
          <w:p w14:paraId="19E0927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不符合上述条件的不得分，本项最高得</w:t>
            </w:r>
            <w:r>
              <w:rPr>
                <w:rFonts w:hint="eastAsia" w:ascii="宋体" w:hAnsi="宋体" w:eastAsia="宋体" w:cs="宋体"/>
                <w:color w:val="auto"/>
                <w:kern w:val="0"/>
                <w:szCs w:val="21"/>
                <w:highlight w:val="none"/>
                <w:lang w:val="en-US" w:eastAsia="zh-CN" w:bidi="ar"/>
              </w:rPr>
              <w:t>30</w:t>
            </w:r>
            <w:r>
              <w:rPr>
                <w:rFonts w:hint="eastAsia" w:ascii="宋体" w:hAnsi="宋体" w:eastAsia="宋体" w:cs="宋体"/>
                <w:color w:val="auto"/>
                <w:kern w:val="0"/>
                <w:szCs w:val="21"/>
                <w:highlight w:val="none"/>
                <w:lang w:bidi="ar"/>
              </w:rPr>
              <w:t>分。</w:t>
            </w:r>
          </w:p>
        </w:tc>
      </w:tr>
      <w:tr w14:paraId="470B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923" w:type="dxa"/>
            <w:vMerge w:val="continue"/>
            <w:tcBorders>
              <w:top w:val="nil"/>
              <w:left w:val="single" w:color="auto" w:sz="4" w:space="0"/>
              <w:bottom w:val="single" w:color="auto" w:sz="4" w:space="0"/>
              <w:right w:val="single" w:color="auto" w:sz="4" w:space="0"/>
            </w:tcBorders>
            <w:shd w:val="clear" w:color="auto" w:fill="FFFFFF"/>
            <w:noWrap w:val="0"/>
            <w:tcMar>
              <w:left w:w="10" w:type="dxa"/>
              <w:right w:w="10" w:type="dxa"/>
            </w:tcMar>
            <w:vAlign w:val="center"/>
          </w:tcPr>
          <w:p w14:paraId="0F187938">
            <w:pPr>
              <w:rPr>
                <w:rFonts w:ascii="Times New Roman" w:hAnsi="Times New Roman" w:eastAsia="宋体" w:cs="Times New Roman"/>
                <w:color w:val="auto"/>
                <w:sz w:val="20"/>
                <w:szCs w:val="20"/>
                <w:highlight w:val="none"/>
              </w:rPr>
            </w:pPr>
          </w:p>
        </w:tc>
        <w:tc>
          <w:tcPr>
            <w:tcW w:w="1322"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1BC726FD">
            <w:pPr>
              <w:widowControl/>
              <w:jc w:val="center"/>
              <w:rPr>
                <w:rFonts w:ascii="宋体" w:hAnsi="Calibri" w:eastAsia="宋体" w:cs="宋体"/>
                <w:b w:val="0"/>
                <w:bCs/>
                <w:color w:val="auto"/>
                <w:kern w:val="0"/>
                <w:szCs w:val="21"/>
                <w:highlight w:val="none"/>
              </w:rPr>
            </w:pPr>
            <w:r>
              <w:rPr>
                <w:rFonts w:hint="eastAsia" w:ascii="宋体" w:hAnsi="宋体" w:eastAsia="宋体" w:cs="宋体"/>
                <w:b w:val="0"/>
                <w:bCs/>
                <w:color w:val="auto"/>
                <w:kern w:val="0"/>
                <w:szCs w:val="21"/>
                <w:highlight w:val="none"/>
                <w:lang w:bidi="ar"/>
              </w:rPr>
              <w:t>工程获奖</w:t>
            </w:r>
          </w:p>
        </w:tc>
        <w:tc>
          <w:tcPr>
            <w:tcW w:w="715"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35F878BB">
            <w:pPr>
              <w:widowControl/>
              <w:jc w:val="center"/>
              <w:rPr>
                <w:rFonts w:hint="default" w:ascii="宋体" w:hAnsi="Calibri" w:eastAsia="宋体" w:cs="宋体"/>
                <w:color w:val="auto"/>
                <w:kern w:val="0"/>
                <w:szCs w:val="21"/>
                <w:highlight w:val="none"/>
                <w:lang w:val="en-US" w:eastAsia="zh-CN"/>
              </w:rPr>
            </w:pPr>
            <w:r>
              <w:rPr>
                <w:rFonts w:hint="eastAsia" w:ascii="宋体" w:cs="宋体"/>
                <w:color w:val="auto"/>
                <w:kern w:val="0"/>
                <w:szCs w:val="21"/>
                <w:highlight w:val="none"/>
                <w:lang w:val="en-US" w:eastAsia="zh-CN" w:bidi="ar"/>
              </w:rPr>
              <w:t>25</w:t>
            </w:r>
          </w:p>
        </w:tc>
        <w:tc>
          <w:tcPr>
            <w:tcW w:w="11663"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46050A50">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投标人自202</w:t>
            </w:r>
            <w:r>
              <w:rPr>
                <w:rFonts w:hint="eastAsia" w:ascii="宋体" w:hAnsi="宋体" w:eastAsia="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年1月1日至投标截止时间止，获得过市级或以上的房建类</w:t>
            </w:r>
            <w:r>
              <w:rPr>
                <w:rFonts w:hint="eastAsia" w:ascii="宋体" w:hAnsi="宋体" w:eastAsia="宋体" w:cs="宋体"/>
                <w:bCs/>
                <w:color w:val="auto"/>
                <w:kern w:val="0"/>
                <w:szCs w:val="21"/>
                <w:highlight w:val="none"/>
                <w:lang w:bidi="ar"/>
              </w:rPr>
              <w:t>工程质量奖项</w:t>
            </w:r>
            <w:r>
              <w:rPr>
                <w:rFonts w:hint="eastAsia" w:ascii="宋体" w:hAnsi="宋体" w:eastAsia="宋体" w:cs="宋体"/>
                <w:color w:val="auto"/>
                <w:kern w:val="0"/>
                <w:szCs w:val="21"/>
                <w:highlight w:val="none"/>
                <w:lang w:bidi="ar"/>
              </w:rPr>
              <w:t>：</w:t>
            </w:r>
          </w:p>
          <w:p w14:paraId="4D0F3746">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1、获得过</w:t>
            </w:r>
            <w:r>
              <w:rPr>
                <w:rFonts w:hint="eastAsia" w:ascii="宋体" w:hAnsi="宋体" w:eastAsia="宋体" w:cs="宋体"/>
                <w:color w:val="auto"/>
                <w:kern w:val="0"/>
                <w:szCs w:val="21"/>
                <w:highlight w:val="none"/>
                <w:lang w:val="en-US" w:eastAsia="zh-CN" w:bidi="ar"/>
              </w:rPr>
              <w:t>15</w:t>
            </w:r>
            <w:r>
              <w:rPr>
                <w:rFonts w:hint="eastAsia" w:ascii="宋体" w:hAnsi="宋体" w:eastAsia="宋体" w:cs="宋体"/>
                <w:color w:val="auto"/>
                <w:kern w:val="0"/>
                <w:szCs w:val="21"/>
                <w:highlight w:val="none"/>
                <w:lang w:bidi="ar"/>
              </w:rPr>
              <w:t>项或以上的，得</w:t>
            </w:r>
            <w:r>
              <w:rPr>
                <w:rFonts w:hint="eastAsia" w:ascii="宋体" w:hAnsi="宋体" w:eastAsia="宋体" w:cs="宋体"/>
                <w:color w:val="auto"/>
                <w:kern w:val="0"/>
                <w:szCs w:val="21"/>
                <w:highlight w:val="none"/>
                <w:lang w:val="en-US" w:eastAsia="zh-CN" w:bidi="ar"/>
              </w:rPr>
              <w:t>25</w:t>
            </w:r>
            <w:r>
              <w:rPr>
                <w:rFonts w:hint="eastAsia" w:ascii="宋体" w:hAnsi="宋体" w:eastAsia="宋体" w:cs="宋体"/>
                <w:color w:val="auto"/>
                <w:kern w:val="0"/>
                <w:szCs w:val="21"/>
                <w:highlight w:val="none"/>
                <w:lang w:bidi="ar"/>
              </w:rPr>
              <w:t>分；</w:t>
            </w:r>
          </w:p>
          <w:p w14:paraId="6920EEA2">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2、获得过10至</w:t>
            </w:r>
            <w:r>
              <w:rPr>
                <w:rFonts w:hint="eastAsia" w:ascii="宋体" w:hAnsi="宋体" w:eastAsia="宋体" w:cs="宋体"/>
                <w:color w:val="auto"/>
                <w:kern w:val="0"/>
                <w:szCs w:val="21"/>
                <w:highlight w:val="none"/>
                <w:lang w:val="en-US" w:eastAsia="zh-CN" w:bidi="ar"/>
              </w:rPr>
              <w:t>14</w:t>
            </w:r>
            <w:r>
              <w:rPr>
                <w:rFonts w:hint="eastAsia" w:ascii="宋体" w:hAnsi="宋体" w:eastAsia="宋体" w:cs="宋体"/>
                <w:color w:val="auto"/>
                <w:kern w:val="0"/>
                <w:szCs w:val="21"/>
                <w:highlight w:val="none"/>
                <w:lang w:bidi="ar"/>
              </w:rPr>
              <w:t>项的，得</w:t>
            </w:r>
            <w:r>
              <w:rPr>
                <w:rFonts w:hint="eastAsia" w:ascii="宋体" w:hAnsi="宋体" w:eastAsia="宋体" w:cs="宋体"/>
                <w:color w:val="auto"/>
                <w:kern w:val="0"/>
                <w:szCs w:val="21"/>
                <w:highlight w:val="none"/>
                <w:lang w:val="en-US" w:eastAsia="zh-CN" w:bidi="ar"/>
              </w:rPr>
              <w:t>15</w:t>
            </w:r>
            <w:r>
              <w:rPr>
                <w:rFonts w:hint="eastAsia" w:ascii="宋体" w:hAnsi="宋体" w:eastAsia="宋体" w:cs="宋体"/>
                <w:color w:val="auto"/>
                <w:kern w:val="0"/>
                <w:szCs w:val="21"/>
                <w:highlight w:val="none"/>
                <w:lang w:bidi="ar"/>
              </w:rPr>
              <w:t>分；</w:t>
            </w:r>
          </w:p>
          <w:p w14:paraId="42AF060C">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3、获得过1至9项的，得</w:t>
            </w:r>
            <w:r>
              <w:rPr>
                <w:rFonts w:hint="eastAsia" w:ascii="宋体" w:hAnsi="宋体" w:eastAsia="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分；</w:t>
            </w:r>
          </w:p>
          <w:p w14:paraId="1D817E0D">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不符合上述条件的不得分，本项最高得</w:t>
            </w:r>
            <w:r>
              <w:rPr>
                <w:rFonts w:hint="eastAsia" w:ascii="宋体" w:hAnsi="宋体" w:eastAsia="宋体" w:cs="宋体"/>
                <w:color w:val="auto"/>
                <w:kern w:val="0"/>
                <w:szCs w:val="21"/>
                <w:highlight w:val="none"/>
                <w:lang w:val="en-US" w:eastAsia="zh-CN" w:bidi="ar"/>
              </w:rPr>
              <w:t>25</w:t>
            </w:r>
            <w:r>
              <w:rPr>
                <w:rFonts w:hint="eastAsia" w:ascii="宋体" w:hAnsi="宋体" w:eastAsia="宋体" w:cs="宋体"/>
                <w:color w:val="auto"/>
                <w:kern w:val="0"/>
                <w:szCs w:val="21"/>
                <w:highlight w:val="none"/>
                <w:lang w:bidi="ar"/>
              </w:rPr>
              <w:t>分。</w:t>
            </w:r>
          </w:p>
        </w:tc>
      </w:tr>
      <w:tr w14:paraId="6D5C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923" w:type="dxa"/>
            <w:vMerge w:val="continue"/>
            <w:tcBorders>
              <w:top w:val="nil"/>
              <w:left w:val="single" w:color="auto" w:sz="4" w:space="0"/>
              <w:bottom w:val="single" w:color="auto" w:sz="4" w:space="0"/>
              <w:right w:val="single" w:color="auto" w:sz="4" w:space="0"/>
            </w:tcBorders>
            <w:shd w:val="clear" w:color="auto" w:fill="FFFFFF"/>
            <w:noWrap w:val="0"/>
            <w:tcMar>
              <w:left w:w="10" w:type="dxa"/>
              <w:right w:w="10" w:type="dxa"/>
            </w:tcMar>
            <w:vAlign w:val="center"/>
          </w:tcPr>
          <w:p w14:paraId="61AB6593">
            <w:pPr>
              <w:rPr>
                <w:rFonts w:ascii="Times New Roman" w:hAnsi="Times New Roman" w:eastAsia="宋体" w:cs="Times New Roman"/>
                <w:color w:val="auto"/>
                <w:sz w:val="20"/>
                <w:szCs w:val="20"/>
                <w:highlight w:val="none"/>
              </w:rPr>
            </w:pPr>
          </w:p>
        </w:tc>
        <w:tc>
          <w:tcPr>
            <w:tcW w:w="1322" w:type="dxa"/>
            <w:tcBorders>
              <w:top w:val="nil"/>
              <w:left w:val="nil"/>
              <w:bottom w:val="single" w:color="auto" w:sz="4" w:space="0"/>
              <w:right w:val="single" w:color="auto" w:sz="4" w:space="0"/>
            </w:tcBorders>
            <w:shd w:val="clear" w:color="auto" w:fill="FFFFFF"/>
            <w:noWrap w:val="0"/>
            <w:tcMar>
              <w:left w:w="10" w:type="dxa"/>
              <w:right w:w="10" w:type="dxa"/>
            </w:tcMar>
            <w:vAlign w:val="center"/>
          </w:tcPr>
          <w:p w14:paraId="2D6BBFE1">
            <w:pPr>
              <w:widowControl/>
              <w:jc w:val="center"/>
              <w:rPr>
                <w:rFonts w:ascii="宋体" w:hAnsi="Calibri" w:eastAsia="宋体" w:cs="宋体"/>
                <w:b w:val="0"/>
                <w:bCs/>
                <w:color w:val="auto"/>
                <w:kern w:val="0"/>
                <w:szCs w:val="21"/>
                <w:highlight w:val="none"/>
              </w:rPr>
            </w:pPr>
            <w:r>
              <w:rPr>
                <w:rFonts w:hint="eastAsia" w:ascii="宋体" w:hAnsi="宋体" w:eastAsia="宋体" w:cs="宋体"/>
                <w:b w:val="0"/>
                <w:bCs/>
                <w:color w:val="auto"/>
                <w:kern w:val="0"/>
                <w:szCs w:val="21"/>
                <w:highlight w:val="none"/>
                <w:lang w:bidi="ar"/>
              </w:rPr>
              <w:t>工程研发能力</w:t>
            </w:r>
          </w:p>
        </w:tc>
        <w:tc>
          <w:tcPr>
            <w:tcW w:w="715" w:type="dxa"/>
            <w:tcBorders>
              <w:top w:val="nil"/>
              <w:left w:val="nil"/>
              <w:bottom w:val="single" w:color="auto" w:sz="4" w:space="0"/>
              <w:right w:val="single" w:color="auto" w:sz="4" w:space="0"/>
            </w:tcBorders>
            <w:shd w:val="clear" w:color="auto" w:fill="FFFFFF"/>
            <w:noWrap w:val="0"/>
            <w:tcMar>
              <w:left w:w="10" w:type="dxa"/>
              <w:right w:w="10" w:type="dxa"/>
            </w:tcMar>
            <w:vAlign w:val="center"/>
          </w:tcPr>
          <w:p w14:paraId="33E2F7E1">
            <w:pPr>
              <w:widowControl/>
              <w:jc w:val="center"/>
              <w:rPr>
                <w:rFonts w:hint="default" w:ascii="宋体" w:hAnsi="Calibri" w:eastAsia="宋体" w:cs="宋体"/>
                <w:color w:val="auto"/>
                <w:kern w:val="0"/>
                <w:szCs w:val="21"/>
                <w:highlight w:val="none"/>
                <w:lang w:val="en-US" w:eastAsia="zh-CN"/>
              </w:rPr>
            </w:pPr>
            <w:r>
              <w:rPr>
                <w:rFonts w:hint="eastAsia" w:ascii="宋体" w:cs="宋体"/>
                <w:color w:val="auto"/>
                <w:kern w:val="0"/>
                <w:szCs w:val="21"/>
                <w:highlight w:val="none"/>
                <w:lang w:val="en-US" w:eastAsia="zh-CN" w:bidi="ar"/>
              </w:rPr>
              <w:t>25</w:t>
            </w:r>
          </w:p>
        </w:tc>
        <w:tc>
          <w:tcPr>
            <w:tcW w:w="11663" w:type="dxa"/>
            <w:tcBorders>
              <w:top w:val="single" w:color="auto" w:sz="4" w:space="0"/>
              <w:left w:val="nil"/>
              <w:right w:val="single" w:color="auto" w:sz="4" w:space="0"/>
            </w:tcBorders>
            <w:shd w:val="clear" w:color="auto" w:fill="FFFFFF"/>
            <w:noWrap w:val="0"/>
            <w:tcMar>
              <w:left w:w="10" w:type="dxa"/>
              <w:right w:w="10" w:type="dxa"/>
            </w:tcMar>
            <w:vAlign w:val="center"/>
          </w:tcPr>
          <w:p w14:paraId="53A7C75D">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投标人自202</w:t>
            </w:r>
            <w:r>
              <w:rPr>
                <w:rFonts w:hint="eastAsia" w:ascii="宋体" w:hAnsi="宋体" w:eastAsia="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年1月1日至投标截止时间止，</w:t>
            </w:r>
            <w:r>
              <w:rPr>
                <w:rFonts w:hint="eastAsia" w:ascii="宋体" w:hAnsi="宋体" w:eastAsia="宋体" w:cs="宋体"/>
                <w:color w:val="auto"/>
                <w:kern w:val="0"/>
                <w:szCs w:val="21"/>
                <w:highlight w:val="none"/>
                <w:lang w:val="en-US" w:eastAsia="zh-CN" w:bidi="ar"/>
              </w:rPr>
              <w:t>获得过</w:t>
            </w:r>
            <w:r>
              <w:rPr>
                <w:rFonts w:hint="eastAsia" w:ascii="宋体" w:hAnsi="宋体" w:eastAsia="宋体" w:cs="宋体"/>
                <w:color w:val="auto"/>
                <w:kern w:val="0"/>
                <w:szCs w:val="21"/>
                <w:highlight w:val="none"/>
                <w:lang w:bidi="ar"/>
              </w:rPr>
              <w:t>房建类</w:t>
            </w:r>
            <w:r>
              <w:rPr>
                <w:rFonts w:hint="eastAsia" w:ascii="宋体" w:hAnsi="宋体" w:eastAsia="宋体" w:cs="宋体"/>
                <w:color w:val="auto"/>
                <w:kern w:val="0"/>
                <w:szCs w:val="21"/>
                <w:highlight w:val="none"/>
                <w:lang w:val="en-US" w:eastAsia="zh-CN" w:bidi="ar"/>
              </w:rPr>
              <w:t>省级（或以上）科学技术进步奖或科技进步奖或科学技术奖项</w:t>
            </w:r>
            <w:r>
              <w:rPr>
                <w:rFonts w:hint="eastAsia" w:ascii="宋体" w:hAnsi="宋体" w:eastAsia="宋体" w:cs="宋体"/>
                <w:color w:val="auto"/>
                <w:kern w:val="0"/>
                <w:szCs w:val="21"/>
                <w:highlight w:val="none"/>
                <w:lang w:bidi="ar"/>
              </w:rPr>
              <w:t>：</w:t>
            </w:r>
          </w:p>
          <w:p w14:paraId="02A4786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1、获得过</w:t>
            </w:r>
            <w:r>
              <w:rPr>
                <w:rFonts w:hint="eastAsia" w:ascii="宋体" w:hAnsi="宋体" w:eastAsia="宋体" w:cs="宋体"/>
                <w:color w:val="auto"/>
                <w:kern w:val="0"/>
                <w:szCs w:val="21"/>
                <w:highlight w:val="none"/>
                <w:lang w:val="en-US" w:eastAsia="zh-CN" w:bidi="ar"/>
              </w:rPr>
              <w:t>15</w:t>
            </w:r>
            <w:r>
              <w:rPr>
                <w:rFonts w:hint="eastAsia" w:ascii="宋体" w:hAnsi="宋体" w:eastAsia="宋体" w:cs="宋体"/>
                <w:color w:val="auto"/>
                <w:kern w:val="0"/>
                <w:szCs w:val="21"/>
                <w:highlight w:val="none"/>
                <w:lang w:bidi="ar"/>
              </w:rPr>
              <w:t>个以上（不含</w:t>
            </w:r>
            <w:r>
              <w:rPr>
                <w:rFonts w:hint="eastAsia" w:ascii="宋体" w:hAnsi="宋体" w:eastAsia="宋体" w:cs="宋体"/>
                <w:color w:val="auto"/>
                <w:kern w:val="0"/>
                <w:szCs w:val="21"/>
                <w:highlight w:val="none"/>
                <w:lang w:val="en-US" w:eastAsia="zh-CN" w:bidi="ar"/>
              </w:rPr>
              <w:t>15</w:t>
            </w:r>
            <w:r>
              <w:rPr>
                <w:rFonts w:hint="eastAsia" w:ascii="宋体" w:hAnsi="宋体" w:eastAsia="宋体" w:cs="宋体"/>
                <w:color w:val="auto"/>
                <w:kern w:val="0"/>
                <w:szCs w:val="21"/>
                <w:highlight w:val="none"/>
                <w:lang w:bidi="ar"/>
              </w:rPr>
              <w:t>个）的，得</w:t>
            </w:r>
            <w:r>
              <w:rPr>
                <w:rFonts w:hint="eastAsia" w:ascii="宋体" w:hAnsi="宋体" w:eastAsia="宋体" w:cs="宋体"/>
                <w:color w:val="auto"/>
                <w:kern w:val="0"/>
                <w:szCs w:val="21"/>
                <w:highlight w:val="none"/>
                <w:lang w:val="en-US" w:eastAsia="zh-CN" w:bidi="ar"/>
              </w:rPr>
              <w:t>25</w:t>
            </w:r>
            <w:r>
              <w:rPr>
                <w:rFonts w:hint="eastAsia" w:ascii="宋体" w:hAnsi="宋体" w:eastAsia="宋体" w:cs="宋体"/>
                <w:color w:val="auto"/>
                <w:kern w:val="0"/>
                <w:szCs w:val="21"/>
                <w:highlight w:val="none"/>
                <w:lang w:bidi="ar"/>
              </w:rPr>
              <w:t>分；</w:t>
            </w:r>
          </w:p>
          <w:p w14:paraId="224C5085">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2、获得过</w:t>
            </w:r>
            <w:r>
              <w:rPr>
                <w:rFonts w:hint="eastAsia" w:ascii="宋体" w:hAnsi="宋体" w:eastAsia="宋体" w:cs="宋体"/>
                <w:color w:val="auto"/>
                <w:kern w:val="0"/>
                <w:szCs w:val="21"/>
                <w:highlight w:val="none"/>
                <w:lang w:val="en-US" w:eastAsia="zh-CN" w:bidi="ar"/>
              </w:rPr>
              <w:t>10</w:t>
            </w:r>
            <w:r>
              <w:rPr>
                <w:rFonts w:hint="eastAsia" w:ascii="宋体" w:hAnsi="宋体" w:eastAsia="宋体" w:cs="宋体"/>
                <w:color w:val="auto"/>
                <w:kern w:val="0"/>
                <w:szCs w:val="21"/>
                <w:highlight w:val="none"/>
                <w:lang w:bidi="ar"/>
              </w:rPr>
              <w:t>至</w:t>
            </w:r>
            <w:r>
              <w:rPr>
                <w:rFonts w:hint="eastAsia" w:ascii="宋体" w:hAnsi="宋体" w:eastAsia="宋体" w:cs="宋体"/>
                <w:color w:val="auto"/>
                <w:kern w:val="0"/>
                <w:szCs w:val="21"/>
                <w:highlight w:val="none"/>
                <w:lang w:val="en-US" w:eastAsia="zh-CN" w:bidi="ar"/>
              </w:rPr>
              <w:t>15</w:t>
            </w:r>
            <w:r>
              <w:rPr>
                <w:rFonts w:hint="eastAsia" w:ascii="宋体" w:hAnsi="宋体" w:eastAsia="宋体" w:cs="宋体"/>
                <w:color w:val="auto"/>
                <w:kern w:val="0"/>
                <w:szCs w:val="21"/>
                <w:highlight w:val="none"/>
                <w:lang w:bidi="ar"/>
              </w:rPr>
              <w:t>个的，得</w:t>
            </w:r>
            <w:r>
              <w:rPr>
                <w:rFonts w:hint="eastAsia" w:ascii="宋体" w:hAnsi="宋体" w:eastAsia="宋体" w:cs="宋体"/>
                <w:color w:val="auto"/>
                <w:kern w:val="0"/>
                <w:szCs w:val="21"/>
                <w:highlight w:val="none"/>
                <w:lang w:val="en-US" w:eastAsia="zh-CN" w:bidi="ar"/>
              </w:rPr>
              <w:t>15</w:t>
            </w:r>
            <w:r>
              <w:rPr>
                <w:rFonts w:hint="eastAsia" w:ascii="宋体" w:hAnsi="宋体" w:eastAsia="宋体" w:cs="宋体"/>
                <w:color w:val="auto"/>
                <w:kern w:val="0"/>
                <w:szCs w:val="21"/>
                <w:highlight w:val="none"/>
                <w:lang w:bidi="ar"/>
              </w:rPr>
              <w:t>分；</w:t>
            </w:r>
          </w:p>
          <w:p w14:paraId="0110E4FF">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3、获得过1至</w:t>
            </w:r>
            <w:r>
              <w:rPr>
                <w:rFonts w:hint="eastAsia" w:ascii="宋体" w:hAnsi="宋体" w:eastAsia="宋体" w:cs="宋体"/>
                <w:color w:val="auto"/>
                <w:kern w:val="0"/>
                <w:szCs w:val="21"/>
                <w:highlight w:val="none"/>
                <w:lang w:val="en-US" w:eastAsia="zh-CN" w:bidi="ar"/>
              </w:rPr>
              <w:t>9</w:t>
            </w:r>
            <w:r>
              <w:rPr>
                <w:rFonts w:hint="eastAsia" w:ascii="宋体" w:hAnsi="宋体" w:eastAsia="宋体" w:cs="宋体"/>
                <w:color w:val="auto"/>
                <w:kern w:val="0"/>
                <w:szCs w:val="21"/>
                <w:highlight w:val="none"/>
                <w:lang w:bidi="ar"/>
              </w:rPr>
              <w:t>个的，得</w:t>
            </w:r>
            <w:r>
              <w:rPr>
                <w:rFonts w:hint="eastAsia" w:ascii="宋体" w:hAnsi="宋体" w:eastAsia="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分；</w:t>
            </w:r>
          </w:p>
          <w:p w14:paraId="0C87D05E">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不符合上述条件的不得分，本项最高得</w:t>
            </w:r>
            <w:r>
              <w:rPr>
                <w:rFonts w:hint="eastAsia" w:ascii="宋体" w:hAnsi="宋体" w:eastAsia="宋体" w:cs="宋体"/>
                <w:color w:val="auto"/>
                <w:kern w:val="0"/>
                <w:szCs w:val="21"/>
                <w:highlight w:val="none"/>
                <w:lang w:val="en-US" w:eastAsia="zh-CN" w:bidi="ar"/>
              </w:rPr>
              <w:t>25</w:t>
            </w:r>
            <w:r>
              <w:rPr>
                <w:rFonts w:hint="eastAsia" w:ascii="宋体" w:hAnsi="宋体" w:eastAsia="宋体" w:cs="宋体"/>
                <w:color w:val="auto"/>
                <w:kern w:val="0"/>
                <w:szCs w:val="21"/>
                <w:highlight w:val="none"/>
                <w:lang w:bidi="ar"/>
              </w:rPr>
              <w:t>分。</w:t>
            </w:r>
          </w:p>
        </w:tc>
      </w:tr>
      <w:tr w14:paraId="5492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923" w:type="dxa"/>
            <w:vMerge w:val="continue"/>
            <w:tcBorders>
              <w:top w:val="nil"/>
              <w:left w:val="single" w:color="auto" w:sz="4" w:space="0"/>
              <w:bottom w:val="single" w:color="auto" w:sz="4" w:space="0"/>
              <w:right w:val="single" w:color="auto" w:sz="4" w:space="0"/>
            </w:tcBorders>
            <w:shd w:val="clear" w:color="auto" w:fill="FFFFFF"/>
            <w:noWrap w:val="0"/>
            <w:tcMar>
              <w:left w:w="10" w:type="dxa"/>
              <w:right w:w="10" w:type="dxa"/>
            </w:tcMar>
            <w:vAlign w:val="center"/>
          </w:tcPr>
          <w:p w14:paraId="5ED31706">
            <w:pPr>
              <w:rPr>
                <w:rFonts w:ascii="Times New Roman" w:hAnsi="Times New Roman" w:eastAsia="宋体" w:cs="Times New Roman"/>
                <w:color w:val="auto"/>
                <w:sz w:val="20"/>
                <w:szCs w:val="20"/>
                <w:highlight w:val="none"/>
              </w:rPr>
            </w:pPr>
          </w:p>
        </w:tc>
        <w:tc>
          <w:tcPr>
            <w:tcW w:w="1322" w:type="dxa"/>
            <w:vMerge w:val="restart"/>
            <w:tcBorders>
              <w:top w:val="nil"/>
              <w:left w:val="nil"/>
              <w:bottom w:val="single" w:color="auto" w:sz="4" w:space="0"/>
              <w:right w:val="single" w:color="auto" w:sz="4" w:space="0"/>
            </w:tcBorders>
            <w:shd w:val="clear" w:color="auto" w:fill="FFFFFF"/>
            <w:noWrap w:val="0"/>
            <w:tcMar>
              <w:left w:w="10" w:type="dxa"/>
              <w:right w:w="10" w:type="dxa"/>
            </w:tcMar>
            <w:vAlign w:val="center"/>
          </w:tcPr>
          <w:p w14:paraId="45185CF7">
            <w:pPr>
              <w:widowControl/>
              <w:jc w:val="center"/>
              <w:rPr>
                <w:rFonts w:ascii="宋体" w:hAnsi="Calibri" w:eastAsia="宋体" w:cs="宋体"/>
                <w:b w:val="0"/>
                <w:bCs/>
                <w:color w:val="auto"/>
                <w:kern w:val="0"/>
                <w:szCs w:val="21"/>
                <w:highlight w:val="none"/>
              </w:rPr>
            </w:pPr>
            <w:r>
              <w:rPr>
                <w:rFonts w:hint="eastAsia" w:ascii="宋体" w:hAnsi="宋体" w:eastAsia="宋体" w:cs="宋体"/>
                <w:b w:val="0"/>
                <w:bCs/>
                <w:color w:val="auto"/>
                <w:kern w:val="0"/>
                <w:szCs w:val="21"/>
                <w:highlight w:val="none"/>
                <w:lang w:bidi="ar"/>
              </w:rPr>
              <w:t>第三方评价</w:t>
            </w:r>
          </w:p>
        </w:tc>
        <w:tc>
          <w:tcPr>
            <w:tcW w:w="715" w:type="dxa"/>
            <w:vMerge w:val="restart"/>
            <w:tcBorders>
              <w:top w:val="nil"/>
              <w:left w:val="nil"/>
              <w:bottom w:val="single" w:color="auto" w:sz="4" w:space="0"/>
              <w:right w:val="single" w:color="auto" w:sz="4" w:space="0"/>
            </w:tcBorders>
            <w:shd w:val="clear" w:color="auto" w:fill="FFFFFF"/>
            <w:noWrap w:val="0"/>
            <w:tcMar>
              <w:left w:w="10" w:type="dxa"/>
              <w:right w:w="10" w:type="dxa"/>
            </w:tcMar>
            <w:vAlign w:val="center"/>
          </w:tcPr>
          <w:p w14:paraId="5B3AB660">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bidi="ar"/>
              </w:rPr>
              <w:t>20</w:t>
            </w:r>
          </w:p>
        </w:tc>
        <w:tc>
          <w:tcPr>
            <w:tcW w:w="11663"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03A69752">
            <w:pP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投标人具有有效期内的质量管理体系认证证书、环境管理体系认证证书、职业健康安全管理体系认证证书、</w:t>
            </w:r>
            <w:r>
              <w:rPr>
                <w:rFonts w:hint="eastAsia" w:ascii="宋体" w:hAnsi="宋体" w:eastAsia="宋体" w:cs="宋体"/>
                <w:color w:val="auto"/>
                <w:kern w:val="0"/>
                <w:sz w:val="21"/>
                <w:szCs w:val="21"/>
                <w:highlight w:val="none"/>
                <w:lang w:val="en-US" w:eastAsia="zh-CN" w:bidi="ar"/>
              </w:rPr>
              <w:t>工程绿色施工企业评价体系认证证书、工程施工安全标准化体系认证证书</w:t>
            </w:r>
            <w:r>
              <w:rPr>
                <w:rFonts w:hint="eastAsia" w:ascii="宋体" w:hAnsi="宋体" w:eastAsia="宋体" w:cs="宋体"/>
                <w:color w:val="auto"/>
                <w:kern w:val="0"/>
                <w:szCs w:val="21"/>
                <w:highlight w:val="none"/>
                <w:lang w:bidi="ar"/>
              </w:rPr>
              <w:t>的：具有以上</w:t>
            </w:r>
            <w:r>
              <w:rPr>
                <w:rFonts w:hint="eastAsia" w:ascii="宋体" w:hAnsi="宋体" w:eastAsia="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项认证证书，得</w:t>
            </w:r>
            <w:r>
              <w:rPr>
                <w:rFonts w:hint="eastAsia" w:ascii="宋体" w:hAnsi="宋体" w:eastAsia="宋体" w:cs="宋体"/>
                <w:color w:val="auto"/>
                <w:kern w:val="0"/>
                <w:szCs w:val="21"/>
                <w:highlight w:val="none"/>
                <w:lang w:val="en-US" w:eastAsia="zh-CN" w:bidi="ar"/>
              </w:rPr>
              <w:t>8</w:t>
            </w:r>
            <w:r>
              <w:rPr>
                <w:rFonts w:hint="eastAsia" w:ascii="宋体" w:hAnsi="宋体" w:eastAsia="宋体" w:cs="宋体"/>
                <w:color w:val="auto"/>
                <w:kern w:val="0"/>
                <w:szCs w:val="21"/>
                <w:highlight w:val="none"/>
                <w:lang w:bidi="ar"/>
              </w:rPr>
              <w:t>分；具有以上任意</w:t>
            </w:r>
            <w:r>
              <w:rPr>
                <w:rFonts w:hint="eastAsia" w:ascii="宋体" w:hAnsi="宋体" w:eastAsia="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项认证证书，得</w:t>
            </w:r>
            <w:r>
              <w:rPr>
                <w:rFonts w:hint="eastAsia" w:ascii="宋体" w:hAnsi="宋体" w:eastAsia="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分；具有以上任意1-</w:t>
            </w:r>
            <w:r>
              <w:rPr>
                <w:rFonts w:hint="eastAsia" w:ascii="宋体" w:hAnsi="宋体" w:eastAsia="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项认证证书，得</w:t>
            </w:r>
            <w:r>
              <w:rPr>
                <w:rFonts w:hint="eastAsia" w:ascii="宋体" w:hAnsi="宋体" w:eastAsia="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分。</w:t>
            </w:r>
          </w:p>
          <w:p w14:paraId="1C688FCD">
            <w:pP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不符合上述条件的不得分，本小项最高得</w:t>
            </w:r>
            <w:r>
              <w:rPr>
                <w:rFonts w:hint="eastAsia" w:ascii="宋体" w:hAnsi="宋体" w:eastAsia="宋体" w:cs="宋体"/>
                <w:color w:val="auto"/>
                <w:kern w:val="0"/>
                <w:szCs w:val="21"/>
                <w:highlight w:val="none"/>
                <w:lang w:val="en-US" w:eastAsia="zh-CN" w:bidi="ar"/>
              </w:rPr>
              <w:t>8</w:t>
            </w:r>
            <w:r>
              <w:rPr>
                <w:rFonts w:hint="eastAsia" w:ascii="宋体" w:hAnsi="宋体" w:eastAsia="宋体" w:cs="宋体"/>
                <w:color w:val="auto"/>
                <w:kern w:val="0"/>
                <w:szCs w:val="21"/>
                <w:highlight w:val="none"/>
                <w:lang w:bidi="ar"/>
              </w:rPr>
              <w:t>分。</w:t>
            </w:r>
          </w:p>
        </w:tc>
      </w:tr>
      <w:tr w14:paraId="02FC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jc w:val="center"/>
        </w:trPr>
        <w:tc>
          <w:tcPr>
            <w:tcW w:w="923" w:type="dxa"/>
            <w:vMerge w:val="continue"/>
            <w:tcBorders>
              <w:top w:val="nil"/>
              <w:left w:val="single" w:color="auto" w:sz="4" w:space="0"/>
              <w:bottom w:val="single" w:color="auto" w:sz="4" w:space="0"/>
              <w:right w:val="single" w:color="auto" w:sz="4" w:space="0"/>
            </w:tcBorders>
            <w:shd w:val="clear" w:color="auto" w:fill="FFFFFF"/>
            <w:noWrap w:val="0"/>
            <w:tcMar>
              <w:left w:w="10" w:type="dxa"/>
              <w:right w:w="10" w:type="dxa"/>
            </w:tcMar>
            <w:vAlign w:val="center"/>
          </w:tcPr>
          <w:p w14:paraId="4293A365">
            <w:pPr>
              <w:rPr>
                <w:rFonts w:ascii="Times New Roman" w:hAnsi="Times New Roman" w:eastAsia="宋体" w:cs="Times New Roman"/>
                <w:color w:val="auto"/>
                <w:sz w:val="20"/>
                <w:szCs w:val="20"/>
                <w:highlight w:val="none"/>
              </w:rPr>
            </w:pPr>
          </w:p>
        </w:tc>
        <w:tc>
          <w:tcPr>
            <w:tcW w:w="1322" w:type="dxa"/>
            <w:vMerge w:val="continue"/>
            <w:tcBorders>
              <w:top w:val="nil"/>
              <w:left w:val="nil"/>
              <w:bottom w:val="single" w:color="auto" w:sz="4" w:space="0"/>
              <w:right w:val="single" w:color="auto" w:sz="4" w:space="0"/>
            </w:tcBorders>
            <w:shd w:val="clear" w:color="auto" w:fill="FFFFFF"/>
            <w:noWrap w:val="0"/>
            <w:tcMar>
              <w:left w:w="10" w:type="dxa"/>
              <w:right w:w="10" w:type="dxa"/>
            </w:tcMar>
            <w:vAlign w:val="center"/>
          </w:tcPr>
          <w:p w14:paraId="32F87630">
            <w:pPr>
              <w:rPr>
                <w:rFonts w:ascii="Times New Roman" w:hAnsi="Times New Roman" w:eastAsia="宋体" w:cs="Times New Roman"/>
                <w:color w:val="auto"/>
                <w:sz w:val="20"/>
                <w:szCs w:val="20"/>
                <w:highlight w:val="none"/>
              </w:rPr>
            </w:pPr>
          </w:p>
        </w:tc>
        <w:tc>
          <w:tcPr>
            <w:tcW w:w="715" w:type="dxa"/>
            <w:vMerge w:val="continue"/>
            <w:tcBorders>
              <w:top w:val="nil"/>
              <w:left w:val="nil"/>
              <w:bottom w:val="single" w:color="auto" w:sz="4" w:space="0"/>
              <w:right w:val="single" w:color="auto" w:sz="4" w:space="0"/>
            </w:tcBorders>
            <w:shd w:val="clear" w:color="auto" w:fill="FFFFFF"/>
            <w:noWrap w:val="0"/>
            <w:tcMar>
              <w:left w:w="10" w:type="dxa"/>
              <w:right w:w="10" w:type="dxa"/>
            </w:tcMar>
            <w:vAlign w:val="center"/>
          </w:tcPr>
          <w:p w14:paraId="28AC1868">
            <w:pPr>
              <w:rPr>
                <w:rFonts w:ascii="Times New Roman" w:hAnsi="Times New Roman" w:eastAsia="宋体" w:cs="Times New Roman"/>
                <w:color w:val="auto"/>
                <w:sz w:val="20"/>
                <w:szCs w:val="20"/>
                <w:highlight w:val="none"/>
              </w:rPr>
            </w:pPr>
          </w:p>
        </w:tc>
        <w:tc>
          <w:tcPr>
            <w:tcW w:w="11663"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21DC25BD">
            <w:pPr>
              <w:numPr>
                <w:ilvl w:val="0"/>
                <w:numId w:val="4"/>
              </w:numPr>
              <w:ind w:firstLine="0" w:firstLineChars="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投标人自2022年1月1日至投标被止时间止，曾获得过省级或以上建筑工程类科技创新企业类证书的，得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eastAsia="宋体" w:cs="宋体"/>
                <w:color w:val="auto"/>
                <w:kern w:val="0"/>
                <w:szCs w:val="21"/>
                <w:highlight w:val="none"/>
                <w:lang w:bidi="ar"/>
              </w:rPr>
              <w:t>不符合上述条件的不得分，本小项最高得</w:t>
            </w:r>
            <w:r>
              <w:rPr>
                <w:rFonts w:hint="eastAsia" w:ascii="宋体" w:hAnsi="宋体" w:eastAsia="宋体" w:cs="宋体"/>
                <w:color w:val="auto"/>
                <w:kern w:val="0"/>
                <w:szCs w:val="21"/>
                <w:highlight w:val="none"/>
                <w:lang w:val="en-US" w:eastAsia="zh-CN" w:bidi="ar"/>
              </w:rPr>
              <w:t>12</w:t>
            </w:r>
            <w:r>
              <w:rPr>
                <w:rFonts w:ascii="宋体" w:hAnsi="宋体" w:eastAsia="宋体" w:cs="宋体"/>
                <w:color w:val="auto"/>
                <w:kern w:val="0"/>
                <w:szCs w:val="21"/>
                <w:highlight w:val="none"/>
                <w:lang w:bidi="ar"/>
              </w:rPr>
              <w:t>分。</w:t>
            </w:r>
          </w:p>
        </w:tc>
      </w:tr>
      <w:tr w14:paraId="313C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2245" w:type="dxa"/>
            <w:gridSpan w:val="2"/>
            <w:tcBorders>
              <w:top w:val="single" w:color="auto" w:sz="4" w:space="0"/>
              <w:left w:val="single" w:color="auto" w:sz="4" w:space="0"/>
              <w:bottom w:val="single" w:color="auto" w:sz="4" w:space="0"/>
              <w:right w:val="single" w:color="auto" w:sz="4" w:space="0"/>
            </w:tcBorders>
            <w:shd w:val="clear" w:color="auto" w:fill="FFFFFF"/>
            <w:noWrap w:val="0"/>
            <w:tcMar>
              <w:left w:w="10" w:type="dxa"/>
              <w:right w:w="10" w:type="dxa"/>
            </w:tcMar>
            <w:vAlign w:val="center"/>
          </w:tcPr>
          <w:p w14:paraId="371C26FC">
            <w:pPr>
              <w:widowControl/>
              <w:jc w:val="center"/>
              <w:rPr>
                <w:rFonts w:ascii="宋体" w:hAnsi="Calibri" w:eastAsia="宋体" w:cs="宋体"/>
                <w:color w:val="auto"/>
                <w:kern w:val="0"/>
                <w:szCs w:val="21"/>
                <w:highlight w:val="none"/>
              </w:rPr>
            </w:pPr>
            <w:r>
              <w:rPr>
                <w:rFonts w:hint="eastAsia" w:ascii="宋体" w:hAnsi="宋体" w:eastAsia="宋体" w:cs="宋体"/>
                <w:color w:val="auto"/>
                <w:kern w:val="0"/>
                <w:szCs w:val="21"/>
                <w:highlight w:val="none"/>
                <w:lang w:bidi="ar"/>
              </w:rPr>
              <w:t>合计</w:t>
            </w:r>
          </w:p>
        </w:tc>
        <w:tc>
          <w:tcPr>
            <w:tcW w:w="715"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67977066">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bidi="ar"/>
              </w:rPr>
              <w:t>100</w:t>
            </w:r>
          </w:p>
        </w:tc>
        <w:tc>
          <w:tcPr>
            <w:tcW w:w="11663"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2E0447F7">
            <w:pPr>
              <w:widowControl/>
              <w:jc w:val="left"/>
              <w:rPr>
                <w:rFonts w:ascii="宋体" w:hAnsi="Calibri" w:eastAsia="宋体" w:cs="宋体"/>
                <w:color w:val="auto"/>
                <w:kern w:val="0"/>
                <w:szCs w:val="21"/>
                <w:highlight w:val="none"/>
              </w:rPr>
            </w:pPr>
            <w:r>
              <w:rPr>
                <w:rFonts w:ascii="Calibri" w:hAnsi="Calibri" w:eastAsia="宋体" w:cs="Calibri"/>
                <w:color w:val="auto"/>
                <w:kern w:val="0"/>
                <w:szCs w:val="21"/>
                <w:highlight w:val="none"/>
                <w:lang w:bidi="ar"/>
              </w:rPr>
              <w:t> </w:t>
            </w:r>
          </w:p>
        </w:tc>
      </w:tr>
    </w:tbl>
    <w:p w14:paraId="569276F7">
      <w:pPr>
        <w:widowControl/>
        <w:shd w:val="clear" w:color="auto" w:fill="FFFFFF"/>
        <w:rPr>
          <w:rFonts w:ascii="微软雅黑" w:hAnsi="微软雅黑" w:eastAsia="微软雅黑"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lang w:bidi="ar"/>
        </w:rPr>
        <w:t>注：</w:t>
      </w:r>
    </w:p>
    <w:p w14:paraId="0046559C">
      <w:pPr>
        <w:widowControl/>
        <w:numPr>
          <w:ilvl w:val="0"/>
          <w:numId w:val="5"/>
        </w:numPr>
        <w:shd w:val="clear" w:color="auto" w:fill="FFFFFF"/>
        <w:rPr>
          <w:rFonts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lang w:bidi="ar"/>
        </w:rPr>
        <w:t>【</w:t>
      </w:r>
      <w:r>
        <w:rPr>
          <w:rFonts w:hint="eastAsia" w:ascii="宋体" w:hAnsi="宋体" w:eastAsia="宋体" w:cs="宋体"/>
          <w:b/>
          <w:color w:val="auto"/>
          <w:kern w:val="0"/>
          <w:szCs w:val="21"/>
          <w:highlight w:val="none"/>
          <w:shd w:val="clear" w:color="auto" w:fill="FFFFFF"/>
          <w:lang w:bidi="ar"/>
        </w:rPr>
        <w:t>类似工程业绩】</w:t>
      </w:r>
      <w:r>
        <w:rPr>
          <w:rFonts w:hint="eastAsia" w:ascii="宋体" w:hAnsi="宋体" w:eastAsia="宋体" w:cs="宋体"/>
          <w:color w:val="auto"/>
          <w:kern w:val="0"/>
          <w:szCs w:val="21"/>
          <w:highlight w:val="none"/>
          <w:shd w:val="clear" w:color="auto" w:fill="FFFFFF"/>
          <w:lang w:bidi="ar"/>
        </w:rPr>
        <w:t>：</w:t>
      </w:r>
    </w:p>
    <w:p w14:paraId="4F2CDF2E">
      <w:pPr>
        <w:widowControl/>
        <w:shd w:val="clear" w:color="auto" w:fill="FFFFFF"/>
        <w:autoSpaceDE w:val="0"/>
        <w:ind w:firstLine="420" w:firstLineChars="200"/>
        <w:rPr>
          <w:rFonts w:ascii="微软雅黑" w:hAnsi="微软雅黑" w:eastAsia="微软雅黑"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lang w:bidi="ar"/>
        </w:rPr>
        <w:t>类似工程业绩指单项工程造价为</w:t>
      </w:r>
      <w:r>
        <w:rPr>
          <w:rFonts w:hint="eastAsia" w:ascii="宋体" w:hAnsi="宋体" w:cs="宋体"/>
          <w:color w:val="auto"/>
          <w:kern w:val="0"/>
          <w:szCs w:val="21"/>
          <w:highlight w:val="none"/>
          <w:shd w:val="clear" w:color="auto" w:fill="FFFFFF"/>
          <w:lang w:val="en-US" w:eastAsia="zh-CN" w:bidi="ar"/>
        </w:rPr>
        <w:t>3000</w:t>
      </w:r>
      <w:r>
        <w:rPr>
          <w:rFonts w:ascii="宋体" w:hAnsi="宋体" w:eastAsia="宋体" w:cs="宋体"/>
          <w:color w:val="auto"/>
          <w:kern w:val="0"/>
          <w:szCs w:val="21"/>
          <w:highlight w:val="none"/>
          <w:shd w:val="clear" w:color="auto" w:fill="FFFFFF"/>
          <w:lang w:bidi="ar"/>
        </w:rPr>
        <w:t>万元或以上的建筑工程施工总承包项目</w:t>
      </w:r>
      <w:r>
        <w:rPr>
          <w:rFonts w:hint="eastAsia" w:ascii="宋体" w:hAnsi="宋体" w:cs="宋体"/>
          <w:color w:val="auto"/>
          <w:kern w:val="0"/>
          <w:szCs w:val="21"/>
          <w:highlight w:val="none"/>
          <w:shd w:val="clear" w:color="auto" w:fill="FFFFFF"/>
          <w:lang w:val="en-US" w:eastAsia="zh-CN" w:bidi="ar"/>
        </w:rPr>
        <w:t>业绩或</w:t>
      </w:r>
      <w:r>
        <w:rPr>
          <w:rFonts w:hint="eastAsia"/>
          <w:color w:val="auto"/>
          <w:highlight w:val="none"/>
          <w:lang w:val="en-US" w:eastAsia="zh-CN"/>
        </w:rPr>
        <w:t>建筑工程工程总承包项目（包括勘察设计施工总承包或设计施工总承包或设计采购施工总承包或勘察设计采购施工总承包）中的施工部分业绩</w:t>
      </w:r>
      <w:r>
        <w:rPr>
          <w:rFonts w:ascii="宋体" w:hAnsi="宋体" w:eastAsia="宋体" w:cs="宋体"/>
          <w:color w:val="auto"/>
          <w:kern w:val="0"/>
          <w:szCs w:val="21"/>
          <w:highlight w:val="none"/>
          <w:shd w:val="clear" w:color="auto" w:fill="FFFFFF"/>
          <w:lang w:bidi="ar"/>
        </w:rPr>
        <w:t>。</w:t>
      </w:r>
    </w:p>
    <w:p w14:paraId="60586A7C">
      <w:pPr>
        <w:widowControl/>
        <w:shd w:val="clear" w:color="auto" w:fill="FFFFFF"/>
        <w:ind w:firstLine="420"/>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业绩取自广州市住建行业信用管理平台。投标人须提供类似工程业绩的项目名称及业绩在广州市住建行业信用管理平台中项目编号、相应业绩在广州市住建行业信用管理平台的网页信息截图（网页信息截图须能清晰显示带有“住建行业信用管理平台”名称，并至少包含“项目基本信息”等信息，投标文件中可不需重复提交相关业绩上传件）。用于本项目投标的类似业绩，在平台中“工程对应的企业资质”栏中须登记有与本项目要求相对应的资质（具体资质要求：建筑工程施工总承包（原房屋建筑工程施工总承包）资质）。不提供项目名称及项目编号、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14:paraId="12B97934">
      <w:pPr>
        <w:widowControl/>
        <w:shd w:val="clear" w:color="auto" w:fill="FFFFFF"/>
        <w:ind w:firstLine="420"/>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（1）金额以中标通知书载明的施工费用为准，中标通知书上没有金额或免招标的，以施工合同（不含补充合同）为准。</w:t>
      </w:r>
    </w:p>
    <w:p w14:paraId="196D45B5">
      <w:pPr>
        <w:widowControl/>
        <w:shd w:val="clear" w:color="auto" w:fill="FFFFFF"/>
        <w:ind w:firstLine="420"/>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（2）完成时间以竣工验收文件为准。验收文件至少具有建设单位、设计、施工和监理单位盖章。</w:t>
      </w:r>
    </w:p>
    <w:p w14:paraId="58AE019F">
      <w:pPr>
        <w:widowControl/>
        <w:shd w:val="clear" w:color="auto" w:fill="FFFFFF"/>
        <w:ind w:firstLine="420"/>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 xml:space="preserve">（3）平台内业绩上传件不符合上述要求的或登记的工程资质内容与施工合同等业绩证明资料不相符的，该项业绩不予认定。 </w:t>
      </w:r>
    </w:p>
    <w:p w14:paraId="07BF5BC9">
      <w:pPr>
        <w:widowControl/>
        <w:shd w:val="clear" w:color="auto" w:fill="FFFFFF"/>
        <w:rPr>
          <w:rFonts w:ascii="微软雅黑" w:hAnsi="微软雅黑" w:eastAsia="微软雅黑" w:cs="宋体"/>
          <w:color w:val="auto"/>
          <w:kern w:val="0"/>
          <w:szCs w:val="21"/>
          <w:highlight w:val="none"/>
          <w:shd w:val="clear" w:color="auto" w:fill="FFFFFF"/>
        </w:rPr>
      </w:pPr>
      <w:r>
        <w:rPr>
          <w:rFonts w:ascii="宋体" w:hAnsi="宋体" w:eastAsia="宋体" w:cs="宋体"/>
          <w:color w:val="auto"/>
          <w:kern w:val="0"/>
          <w:szCs w:val="21"/>
          <w:highlight w:val="none"/>
          <w:shd w:val="clear" w:color="auto" w:fill="FFFFFF"/>
          <w:lang w:bidi="ar"/>
        </w:rPr>
        <w:t>2、【</w:t>
      </w:r>
      <w:r>
        <w:rPr>
          <w:rFonts w:hint="eastAsia" w:ascii="宋体" w:hAnsi="宋体" w:eastAsia="宋体" w:cs="宋体"/>
          <w:b/>
          <w:color w:val="auto"/>
          <w:kern w:val="0"/>
          <w:szCs w:val="21"/>
          <w:highlight w:val="none"/>
          <w:shd w:val="clear" w:color="auto" w:fill="FFFFFF"/>
          <w:lang w:bidi="ar"/>
        </w:rPr>
        <w:t>工程获奖</w:t>
      </w:r>
      <w:r>
        <w:rPr>
          <w:rFonts w:hint="eastAsia" w:ascii="宋体" w:hAnsi="宋体" w:eastAsia="宋体" w:cs="宋体"/>
          <w:color w:val="auto"/>
          <w:kern w:val="0"/>
          <w:szCs w:val="21"/>
          <w:highlight w:val="none"/>
          <w:shd w:val="clear" w:color="auto" w:fill="FFFFFF"/>
          <w:lang w:bidi="ar"/>
        </w:rPr>
        <w:t>】：</w:t>
      </w:r>
      <w:r>
        <w:rPr>
          <w:rFonts w:ascii="微软雅黑" w:hAnsi="微软雅黑" w:eastAsia="微软雅黑" w:cs="宋体"/>
          <w:color w:val="auto"/>
          <w:kern w:val="0"/>
          <w:szCs w:val="21"/>
          <w:highlight w:val="none"/>
          <w:shd w:val="clear" w:color="auto" w:fill="FFFFFF"/>
          <w:lang w:bidi="ar"/>
        </w:rPr>
        <w:t xml:space="preserve"> </w:t>
      </w:r>
    </w:p>
    <w:p w14:paraId="5B756991">
      <w:pPr>
        <w:widowControl/>
        <w:shd w:val="clear" w:color="auto" w:fill="FFFFFF"/>
        <w:autoSpaceDE w:val="0"/>
        <w:ind w:firstLine="420" w:firstLineChars="200"/>
        <w:rPr>
          <w:rFonts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lang w:bidi="ar"/>
        </w:rPr>
        <w:t>（</w:t>
      </w:r>
      <w:r>
        <w:rPr>
          <w:rFonts w:ascii="宋体" w:hAnsi="宋体" w:eastAsia="宋体" w:cs="宋体"/>
          <w:color w:val="auto"/>
          <w:kern w:val="0"/>
          <w:szCs w:val="21"/>
          <w:highlight w:val="none"/>
          <w:shd w:val="clear" w:color="auto" w:fill="FFFFFF"/>
          <w:lang w:bidi="ar"/>
        </w:rPr>
        <w:t>1）工程获奖可取自广州市住建行业信用管理平台或提供获奖证书扫描件。①国家级工程质量奖项指的是中国建设工程鲁班奖、国家优质工程金奖、国家优质工程奖、中国土木工程詹天佑奖</w:t>
      </w:r>
      <w:r>
        <w:rPr>
          <w:rFonts w:hint="eastAsia" w:ascii="宋体" w:hAnsi="宋体" w:cs="宋体"/>
          <w:color w:val="auto"/>
          <w:kern w:val="0"/>
          <w:szCs w:val="21"/>
          <w:highlight w:val="none"/>
          <w:shd w:val="clear" w:color="auto" w:fill="FFFFFF"/>
          <w:lang w:eastAsia="zh-CN" w:bidi="ar"/>
        </w:rPr>
        <w:t>、中国建筑工程装饰奖</w:t>
      </w:r>
      <w:r>
        <w:rPr>
          <w:rFonts w:ascii="宋体" w:hAnsi="宋体" w:eastAsia="宋体" w:cs="宋体"/>
          <w:color w:val="auto"/>
          <w:kern w:val="0"/>
          <w:szCs w:val="21"/>
          <w:highlight w:val="none"/>
          <w:shd w:val="clear" w:color="auto" w:fill="FFFFFF"/>
          <w:lang w:bidi="ar"/>
        </w:rPr>
        <w:t>；省或市级奖项包括：由省、市级建设行政主管部门或</w:t>
      </w:r>
      <w:r>
        <w:rPr>
          <w:rFonts w:hint="eastAsia" w:ascii="宋体" w:hAnsi="宋体" w:cs="宋体"/>
          <w:color w:val="auto"/>
          <w:kern w:val="0"/>
          <w:szCs w:val="21"/>
          <w:highlight w:val="none"/>
          <w:shd w:val="clear" w:color="auto" w:fill="FFFFFF"/>
          <w:lang w:val="en-US" w:eastAsia="zh-CN" w:bidi="ar"/>
        </w:rPr>
        <w:t>建筑相关</w:t>
      </w:r>
      <w:r>
        <w:rPr>
          <w:rFonts w:ascii="宋体" w:hAnsi="宋体" w:eastAsia="宋体" w:cs="宋体"/>
          <w:color w:val="auto"/>
          <w:kern w:val="0"/>
          <w:szCs w:val="21"/>
          <w:highlight w:val="none"/>
          <w:shd w:val="clear" w:color="auto" w:fill="FFFFFF"/>
          <w:lang w:bidi="ar"/>
        </w:rPr>
        <w:t>行业协会（行业协会须在民政部门取得成立登记批准）颁发的质量类工程奖项，其它如安全文明、绿色施工、技术创新、QC成果、钢结构、机电安装、科技进步及技术应用类奖项不参与计分；②只计算房建类工程质量奖项，其他非房建项目，如：路桥、铁路、水利、电力、化工、冶金、市政</w:t>
      </w:r>
      <w:r>
        <w:rPr>
          <w:rFonts w:hint="eastAsia" w:ascii="宋体" w:hAnsi="宋体" w:cs="宋体"/>
          <w:color w:val="auto"/>
          <w:kern w:val="0"/>
          <w:szCs w:val="21"/>
          <w:highlight w:val="none"/>
          <w:shd w:val="clear" w:color="auto" w:fill="FFFFFF"/>
          <w:lang w:eastAsia="zh-CN" w:bidi="ar"/>
        </w:rPr>
        <w:t>、</w:t>
      </w:r>
      <w:r>
        <w:rPr>
          <w:rFonts w:hint="eastAsia" w:ascii="宋体" w:hAnsi="宋体" w:cs="宋体"/>
          <w:color w:val="auto"/>
          <w:kern w:val="0"/>
          <w:szCs w:val="21"/>
          <w:highlight w:val="none"/>
          <w:shd w:val="clear" w:color="auto" w:fill="FFFFFF"/>
          <w:lang w:val="en-US" w:eastAsia="zh-CN" w:bidi="ar"/>
        </w:rPr>
        <w:t>港口航道</w:t>
      </w:r>
      <w:r>
        <w:rPr>
          <w:rFonts w:ascii="宋体" w:hAnsi="宋体" w:eastAsia="宋体" w:cs="宋体"/>
          <w:color w:val="auto"/>
          <w:kern w:val="0"/>
          <w:szCs w:val="21"/>
          <w:highlight w:val="none"/>
          <w:shd w:val="clear" w:color="auto" w:fill="FFFFFF"/>
          <w:lang w:bidi="ar"/>
        </w:rPr>
        <w:t>等获奖不参与计分。同一项目获得多个奖项的，该项目获奖只按其中一个奖项所在最高级别计算一次分数，不得重复计算。</w:t>
      </w:r>
      <w:r>
        <w:rPr>
          <w:rFonts w:hint="eastAsia" w:ascii="宋体" w:hAnsi="宋体" w:eastAsia="宋体" w:cs="宋体"/>
          <w:color w:val="auto"/>
          <w:kern w:val="0"/>
          <w:szCs w:val="21"/>
          <w:highlight w:val="none"/>
          <w:shd w:val="clear" w:color="auto" w:fill="FFFFFF"/>
          <w:lang w:bidi="ar"/>
        </w:rPr>
        <w:t>如发证单位为协会(或学会)的，还须提供该协会(或学会)在“全国社会组织信用信息公示平台（试运行）”己登记备案的查询信息截图页（网址：https://xxgs.chinanpo.mca.gov.cn/gsxt/newList）。</w:t>
      </w:r>
    </w:p>
    <w:p w14:paraId="42DF336A">
      <w:pPr>
        <w:widowControl/>
        <w:shd w:val="clear" w:color="auto" w:fill="FFFFFF"/>
        <w:autoSpaceDE w:val="0"/>
        <w:ind w:firstLine="420" w:firstLineChars="200"/>
        <w:rPr>
          <w:rFonts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lang w:bidi="ar"/>
        </w:rPr>
        <w:t>（</w:t>
      </w:r>
      <w:r>
        <w:rPr>
          <w:rFonts w:ascii="宋体" w:hAnsi="宋体" w:eastAsia="宋体" w:cs="宋体"/>
          <w:color w:val="auto"/>
          <w:kern w:val="0"/>
          <w:szCs w:val="21"/>
          <w:highlight w:val="none"/>
          <w:shd w:val="clear" w:color="auto" w:fill="FFFFFF"/>
          <w:lang w:bidi="ar"/>
        </w:rPr>
        <w:t>2）投标人须提交获奖证书扫描件或广州市住建行业信用管理平台的网页信息截图（网页信息</w:t>
      </w:r>
      <w:r>
        <w:rPr>
          <w:rFonts w:hint="eastAsia" w:ascii="宋体" w:hAnsi="宋体" w:eastAsia="宋体" w:cs="宋体"/>
          <w:color w:val="auto"/>
          <w:kern w:val="0"/>
          <w:szCs w:val="21"/>
          <w:highlight w:val="none"/>
          <w:shd w:val="clear" w:color="auto" w:fill="FFFFFF"/>
          <w:lang w:bidi="ar"/>
        </w:rPr>
        <w:t>截图须能清晰显示带有“住建行业信用管理平台”名称，并至少包含“项目基本信息”、“奖项信息”等信息），时间以获奖证书颁发时间为准，并加盖投标人</w:t>
      </w:r>
      <w:r>
        <w:rPr>
          <w:rFonts w:hint="eastAsia" w:ascii="宋体" w:hAnsi="宋体" w:eastAsia="宋体" w:cs="宋体"/>
          <w:color w:val="auto"/>
          <w:kern w:val="0"/>
          <w:szCs w:val="21"/>
          <w:highlight w:val="none"/>
          <w:shd w:val="clear" w:color="auto" w:fill="FFFFFF"/>
          <w:lang w:val="en-US" w:eastAsia="zh-CN" w:bidi="ar"/>
        </w:rPr>
        <w:t>公章或</w:t>
      </w:r>
      <w:r>
        <w:rPr>
          <w:rFonts w:hint="eastAsia" w:ascii="宋体" w:hAnsi="宋体" w:eastAsia="宋体" w:cs="宋体"/>
          <w:color w:val="auto"/>
          <w:kern w:val="0"/>
          <w:szCs w:val="21"/>
          <w:highlight w:val="none"/>
          <w:shd w:val="clear" w:color="auto" w:fill="FFFFFF"/>
          <w:lang w:bidi="ar"/>
        </w:rPr>
        <w:t>电子印章，不符合上述条件不予评审。</w:t>
      </w:r>
    </w:p>
    <w:p w14:paraId="2A10282D">
      <w:pPr>
        <w:widowControl/>
        <w:shd w:val="clear" w:color="auto" w:fill="FFFFFF"/>
        <w:autoSpaceDE w:val="0"/>
        <w:ind w:firstLine="420" w:firstLineChars="200"/>
        <w:rPr>
          <w:rFonts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lang w:bidi="ar"/>
        </w:rPr>
        <w:t>（</w:t>
      </w:r>
      <w:r>
        <w:rPr>
          <w:rFonts w:ascii="宋体" w:hAnsi="宋体" w:eastAsia="宋体" w:cs="宋体"/>
          <w:color w:val="auto"/>
          <w:kern w:val="0"/>
          <w:szCs w:val="21"/>
          <w:highlight w:val="none"/>
          <w:shd w:val="clear" w:color="auto" w:fill="FFFFFF"/>
          <w:lang w:bidi="ar"/>
        </w:rPr>
        <w:t>3）投标人须为该获奖项目的施工</w:t>
      </w:r>
      <w:r>
        <w:rPr>
          <w:rFonts w:hint="eastAsia" w:ascii="宋体" w:hAnsi="宋体" w:cs="宋体"/>
          <w:color w:val="auto"/>
          <w:kern w:val="0"/>
          <w:szCs w:val="21"/>
          <w:highlight w:val="none"/>
          <w:shd w:val="clear" w:color="auto" w:fill="FFFFFF"/>
          <w:lang w:val="en-US" w:eastAsia="zh-CN" w:bidi="ar"/>
        </w:rPr>
        <w:t>总</w:t>
      </w:r>
      <w:r>
        <w:rPr>
          <w:rFonts w:ascii="宋体" w:hAnsi="宋体" w:eastAsia="宋体" w:cs="宋体"/>
          <w:color w:val="auto"/>
          <w:kern w:val="0"/>
          <w:szCs w:val="21"/>
          <w:highlight w:val="none"/>
          <w:shd w:val="clear" w:color="auto" w:fill="FFFFFF"/>
          <w:lang w:bidi="ar"/>
        </w:rPr>
        <w:t>承包单位，须提供相关证明材料（如施工合同、业主证明、评审申请材料、批复文件、竣工验收文件等）体现其为施工总承包单位身份，否则不予计分。</w:t>
      </w:r>
    </w:p>
    <w:p w14:paraId="607BD292">
      <w:pPr>
        <w:widowControl/>
        <w:shd w:val="clear" w:color="auto" w:fill="FFFFFF"/>
        <w:autoSpaceDE w:val="0"/>
        <w:ind w:firstLine="420" w:firstLineChars="200"/>
        <w:rPr>
          <w:rFonts w:ascii="宋体" w:hAnsi="宋体" w:eastAsia="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eastAsia="zh-CN" w:bidi="ar"/>
        </w:rPr>
        <w:t>（</w:t>
      </w:r>
      <w:r>
        <w:rPr>
          <w:rFonts w:hint="eastAsia" w:ascii="宋体" w:hAnsi="宋体" w:cs="宋体"/>
          <w:color w:val="auto"/>
          <w:kern w:val="0"/>
          <w:szCs w:val="21"/>
          <w:highlight w:val="none"/>
          <w:shd w:val="clear" w:color="auto" w:fill="FFFFFF"/>
          <w:lang w:val="en-US" w:eastAsia="zh-CN" w:bidi="ar"/>
        </w:rPr>
        <w:t>4</w:t>
      </w:r>
      <w:r>
        <w:rPr>
          <w:rFonts w:hint="eastAsia" w:ascii="宋体" w:hAnsi="宋体" w:cs="宋体"/>
          <w:color w:val="auto"/>
          <w:kern w:val="0"/>
          <w:szCs w:val="21"/>
          <w:highlight w:val="none"/>
          <w:shd w:val="clear" w:color="auto" w:fill="FFFFFF"/>
          <w:lang w:eastAsia="zh-CN" w:bidi="ar"/>
        </w:rPr>
        <w:t>）</w:t>
      </w:r>
      <w:r>
        <w:rPr>
          <w:rFonts w:hint="eastAsia" w:ascii="宋体" w:hAnsi="宋体" w:eastAsia="宋体" w:cs="宋体"/>
          <w:color w:val="auto"/>
          <w:kern w:val="0"/>
          <w:szCs w:val="21"/>
          <w:highlight w:val="none"/>
          <w:shd w:val="clear" w:color="auto" w:fill="FFFFFF"/>
          <w:lang w:bidi="ar"/>
        </w:rPr>
        <w:t>不符合上述要求的不计分。</w:t>
      </w:r>
    </w:p>
    <w:p w14:paraId="0B2C2CF9">
      <w:pPr>
        <w:widowControl/>
        <w:shd w:val="clear" w:color="auto" w:fill="FFFFFF"/>
        <w:rPr>
          <w:rFonts w:ascii="微软雅黑" w:hAnsi="微软雅黑" w:eastAsia="微软雅黑" w:cs="宋体"/>
          <w:color w:val="auto"/>
          <w:kern w:val="0"/>
          <w:szCs w:val="21"/>
          <w:highlight w:val="none"/>
          <w:shd w:val="clear" w:color="auto" w:fill="FFFFFF"/>
        </w:rPr>
      </w:pPr>
      <w:r>
        <w:rPr>
          <w:rFonts w:ascii="宋体" w:hAnsi="宋体" w:eastAsia="宋体" w:cs="宋体"/>
          <w:color w:val="auto"/>
          <w:kern w:val="0"/>
          <w:szCs w:val="21"/>
          <w:highlight w:val="none"/>
          <w:shd w:val="clear" w:color="auto" w:fill="FFFFFF"/>
          <w:lang w:bidi="ar"/>
        </w:rPr>
        <w:t>3、【</w:t>
      </w:r>
      <w:r>
        <w:rPr>
          <w:rFonts w:hint="eastAsia" w:ascii="宋体" w:hAnsi="宋体" w:eastAsia="宋体" w:cs="宋体"/>
          <w:b/>
          <w:color w:val="auto"/>
          <w:kern w:val="0"/>
          <w:szCs w:val="21"/>
          <w:highlight w:val="none"/>
          <w:shd w:val="clear" w:color="auto" w:fill="FFFFFF"/>
          <w:lang w:bidi="ar"/>
        </w:rPr>
        <w:t>工程研发能力</w:t>
      </w:r>
      <w:r>
        <w:rPr>
          <w:rFonts w:hint="eastAsia" w:ascii="宋体" w:hAnsi="宋体" w:eastAsia="宋体" w:cs="宋体"/>
          <w:color w:val="auto"/>
          <w:kern w:val="0"/>
          <w:szCs w:val="21"/>
          <w:highlight w:val="none"/>
          <w:shd w:val="clear" w:color="auto" w:fill="FFFFFF"/>
          <w:lang w:bidi="ar"/>
        </w:rPr>
        <w:t>】：</w:t>
      </w:r>
    </w:p>
    <w:p w14:paraId="586F6C75">
      <w:pPr>
        <w:widowControl/>
        <w:shd w:val="clear" w:color="auto" w:fill="FFFFFF"/>
        <w:autoSpaceDE w:val="0"/>
        <w:ind w:firstLine="420" w:firstLineChars="200"/>
        <w:rPr>
          <w:rFonts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lang w:bidi="ar"/>
        </w:rPr>
        <w:t>省级或以上科学技术进步奖或科技进步奖或科学技术奖：指省级或以上政府部门或中国社会组织依法依规设立的“科学技术进步奖”或“科技进步奖”或“科学技术奖”：须提供奖项证书扫描件，时间以证书中载明的发证时间为准。①科学技术奖励发证机构须为省级或以上政府部门或在国家科学技术奖励工作办公室相关网站(https://www.nosta.gov.cn/pc/zh/shkjjl/jlmu/page_1.html）或省级或以上科技行政部门相关网站可查询到的社会组织或按照《国家科学技术奖励条例》及《科技部关于进一步鼓励和规范社会力量设立科学技术奖的指导意见》的相关规定设立“科学技术奖”的中国社会组织 ；②中国社会组织（如协会、学会等）需提供其在国家或省级科技行政部门网页查询信息页截图及查询路径或提供发证机构符合科技行政部门要求具有设奖资格等相关证明材料，同时须提供其在“全国社会组织信用信息公示平台”网站（https://xxgs.chinanpo.mca.gov.cn/gsxt/newList）查询结果的网页截图；③仅计算建筑工程获得的科学技术奖，证书上需明确其为建筑工程获得的科学技术奖励，若无法明确，需提供当地行政主管部门或科技行政部门认可的组织出具的科学技术成果鉴定证书或第三方技术评价证明材料扫描件，并且在科学技术成果鉴定证书或第三方评价证明材料中需明确该科学技术奖励的研究背景项目为房建类工程项目</w:t>
      </w:r>
      <w:r>
        <w:rPr>
          <w:rFonts w:hint="eastAsia" w:ascii="宋体" w:hAnsi="宋体" w:eastAsia="宋体" w:cs="宋体"/>
          <w:color w:val="auto"/>
          <w:kern w:val="0"/>
          <w:szCs w:val="21"/>
          <w:highlight w:val="none"/>
          <w:shd w:val="clear" w:color="auto" w:fill="FFFFFF"/>
          <w:lang w:eastAsia="zh-CN" w:bidi="ar"/>
        </w:rPr>
        <w:t>（</w:t>
      </w:r>
      <w:r>
        <w:rPr>
          <w:rFonts w:ascii="宋体" w:hAnsi="宋体" w:eastAsia="宋体" w:cs="宋体"/>
          <w:color w:val="auto"/>
          <w:kern w:val="0"/>
          <w:szCs w:val="21"/>
          <w:highlight w:val="none"/>
          <w:shd w:val="clear" w:color="auto" w:fill="FFFFFF"/>
          <w:lang w:bidi="ar"/>
        </w:rPr>
        <w:t>其他非房建项目，如：路桥、铁路、水利、电力、化工、冶金、市政等获奖不参与计分</w:t>
      </w:r>
      <w:r>
        <w:rPr>
          <w:rFonts w:hint="eastAsia" w:ascii="宋体" w:hAnsi="宋体" w:eastAsia="宋体" w:cs="宋体"/>
          <w:color w:val="auto"/>
          <w:kern w:val="0"/>
          <w:szCs w:val="21"/>
          <w:highlight w:val="none"/>
          <w:shd w:val="clear" w:color="auto" w:fill="FFFFFF"/>
          <w:lang w:eastAsia="zh-CN" w:bidi="ar"/>
        </w:rPr>
        <w:t>）</w:t>
      </w:r>
      <w:r>
        <w:rPr>
          <w:rFonts w:hint="eastAsia" w:ascii="宋体" w:hAnsi="宋体" w:eastAsia="宋体" w:cs="宋体"/>
          <w:color w:val="auto"/>
          <w:kern w:val="0"/>
          <w:szCs w:val="21"/>
          <w:highlight w:val="none"/>
          <w:shd w:val="clear" w:color="auto" w:fill="FFFFFF"/>
          <w:lang w:bidi="ar"/>
        </w:rPr>
        <w:t>，无法提供证书清晰扫描件和科学技术成果鉴定证书或第三方评价证明材料扫描件的且无法证明该科学技术奖励为建筑工程项目获得的科学技术奖励不得分。社会组织颁发的科技奖项无法提供发证单位在上述相关网页查询信息页截图及查询路径或提供其设奖资格证明材料的不得分。同一科学技术进步奖或科技进步奖或科学技术奖获得不同级别奖项的按最高级别只计一次得分。</w:t>
      </w:r>
    </w:p>
    <w:p w14:paraId="281F6AD7">
      <w:pPr>
        <w:widowControl/>
        <w:shd w:val="clear" w:color="auto" w:fill="FFFFFF"/>
        <w:autoSpaceDE w:val="0"/>
        <w:rPr>
          <w:rFonts w:ascii="宋体" w:hAnsi="宋体" w:eastAsia="宋体" w:cs="宋体"/>
          <w:color w:val="auto"/>
          <w:kern w:val="0"/>
          <w:szCs w:val="21"/>
          <w:highlight w:val="none"/>
          <w:shd w:val="clear" w:color="auto" w:fill="FFFFFF"/>
        </w:rPr>
      </w:pPr>
      <w:r>
        <w:rPr>
          <w:rFonts w:ascii="宋体" w:hAnsi="宋体" w:eastAsia="宋体" w:cs="宋体"/>
          <w:color w:val="auto"/>
          <w:kern w:val="0"/>
          <w:szCs w:val="21"/>
          <w:highlight w:val="none"/>
          <w:shd w:val="clear" w:color="auto" w:fill="FFFFFF"/>
          <w:lang w:bidi="ar"/>
        </w:rPr>
        <w:t>4、【</w:t>
      </w:r>
      <w:r>
        <w:rPr>
          <w:rFonts w:hint="eastAsia" w:ascii="宋体" w:hAnsi="宋体" w:eastAsia="宋体" w:cs="宋体"/>
          <w:b/>
          <w:color w:val="auto"/>
          <w:kern w:val="0"/>
          <w:szCs w:val="21"/>
          <w:highlight w:val="none"/>
          <w:shd w:val="clear" w:color="auto" w:fill="FFFFFF"/>
          <w:lang w:bidi="ar"/>
        </w:rPr>
        <w:t>第三方评价</w:t>
      </w:r>
      <w:r>
        <w:rPr>
          <w:rFonts w:hint="eastAsia" w:ascii="宋体" w:hAnsi="宋体" w:eastAsia="宋体" w:cs="宋体"/>
          <w:color w:val="auto"/>
          <w:kern w:val="0"/>
          <w:szCs w:val="21"/>
          <w:highlight w:val="none"/>
          <w:shd w:val="clear" w:color="auto" w:fill="FFFFFF"/>
          <w:lang w:bidi="ar"/>
        </w:rPr>
        <w:t>】：</w:t>
      </w:r>
    </w:p>
    <w:p w14:paraId="17D5D1CD">
      <w:pPr>
        <w:widowControl/>
        <w:shd w:val="clear" w:color="auto" w:fill="FFFFFF"/>
        <w:autoSpaceDE w:val="0"/>
        <w:ind w:firstLine="420" w:firstLineChars="200"/>
        <w:rPr>
          <w:rFonts w:ascii="宋体" w:hAnsi="宋体" w:eastAsia="宋体" w:cs="宋体"/>
          <w:color w:val="auto"/>
          <w:kern w:val="0"/>
          <w:szCs w:val="21"/>
          <w:highlight w:val="none"/>
          <w:shd w:val="clear" w:color="auto" w:fill="FFFFFF"/>
          <w:lang w:bidi="ar"/>
        </w:rPr>
      </w:pPr>
      <w:r>
        <w:rPr>
          <w:rFonts w:hint="eastAsia" w:ascii="宋体" w:hAnsi="宋体" w:eastAsia="宋体" w:cs="宋体"/>
          <w:color w:val="auto"/>
          <w:kern w:val="0"/>
          <w:szCs w:val="21"/>
          <w:highlight w:val="none"/>
          <w:shd w:val="clear" w:color="auto" w:fill="FFFFFF"/>
          <w:lang w:bidi="ar"/>
        </w:rPr>
        <w:t>（</w:t>
      </w:r>
      <w:r>
        <w:rPr>
          <w:rFonts w:ascii="宋体" w:hAnsi="宋体" w:eastAsia="宋体" w:cs="宋体"/>
          <w:color w:val="auto"/>
          <w:kern w:val="0"/>
          <w:szCs w:val="21"/>
          <w:highlight w:val="none"/>
          <w:shd w:val="clear" w:color="auto" w:fill="FFFFFF"/>
          <w:lang w:bidi="ar"/>
        </w:rPr>
        <w:t>1）管理体系认证：只计算投标人自身（不含投标人的子、分公司或区域公司）。需同时提供体系证书原件扫描件及在全国认证认可信息公共服务平台（网址：http://cx.cnca.cn/CertECloud/result/skipResultList）网站查询结果截图并加盖投标单位</w:t>
      </w:r>
      <w:r>
        <w:rPr>
          <w:rFonts w:hint="eastAsia" w:ascii="宋体" w:hAnsi="宋体" w:cs="宋体"/>
          <w:color w:val="auto"/>
          <w:kern w:val="0"/>
          <w:szCs w:val="21"/>
          <w:highlight w:val="none"/>
          <w:shd w:val="clear" w:color="auto" w:fill="FFFFFF"/>
          <w:lang w:val="en-US" w:eastAsia="zh-CN" w:bidi="ar"/>
        </w:rPr>
        <w:t>公章或</w:t>
      </w:r>
      <w:r>
        <w:rPr>
          <w:rFonts w:ascii="宋体" w:hAnsi="宋体" w:eastAsia="宋体" w:cs="宋体"/>
          <w:color w:val="auto"/>
          <w:kern w:val="0"/>
          <w:szCs w:val="21"/>
          <w:highlight w:val="none"/>
          <w:shd w:val="clear" w:color="auto" w:fill="FFFFFF"/>
          <w:lang w:bidi="ar"/>
        </w:rPr>
        <w:t>电子印章，证书显示的管理体系认证项目须与网页信息一致，查询结果页面</w:t>
      </w:r>
      <w:r>
        <w:rPr>
          <w:rFonts w:hint="eastAsia" w:ascii="宋体" w:hAnsi="宋体" w:eastAsia="宋体" w:cs="宋体"/>
          <w:color w:val="auto"/>
          <w:kern w:val="0"/>
          <w:szCs w:val="21"/>
          <w:highlight w:val="none"/>
          <w:shd w:val="clear" w:color="auto" w:fill="FFFFFF"/>
          <w:lang w:bidi="ar"/>
        </w:rPr>
        <w:t>须显示证书的状态为“有效”，否则不得分。</w:t>
      </w:r>
    </w:p>
    <w:p w14:paraId="57F6BF89">
      <w:pPr>
        <w:widowControl/>
        <w:shd w:val="clear" w:color="auto" w:fill="FFFFFF"/>
        <w:ind w:firstLine="420" w:firstLineChars="200"/>
        <w:rPr>
          <w:rFonts w:ascii="宋体" w:hAnsi="宋体" w:eastAsia="宋体" w:cs="宋体"/>
          <w:color w:val="auto"/>
          <w:kern w:val="0"/>
          <w:szCs w:val="21"/>
          <w:highlight w:val="none"/>
          <w:shd w:val="clear" w:color="auto" w:fill="FFFFFF"/>
          <w:lang w:bidi="ar"/>
        </w:rPr>
      </w:pPr>
      <w:r>
        <w:rPr>
          <w:rFonts w:hint="eastAsia" w:ascii="宋体" w:hAnsi="宋体" w:eastAsia="宋体" w:cs="宋体"/>
          <w:color w:val="auto"/>
          <w:kern w:val="0"/>
          <w:szCs w:val="21"/>
          <w:highlight w:val="none"/>
          <w:shd w:val="clear" w:color="auto" w:fill="FFFFFF"/>
          <w:lang w:bidi="ar"/>
        </w:rPr>
        <w:t>（</w:t>
      </w:r>
      <w:r>
        <w:rPr>
          <w:rFonts w:ascii="宋体" w:hAnsi="宋体" w:eastAsia="宋体" w:cs="宋体"/>
          <w:color w:val="auto"/>
          <w:kern w:val="0"/>
          <w:szCs w:val="21"/>
          <w:highlight w:val="none"/>
          <w:shd w:val="clear" w:color="auto" w:fill="FFFFFF"/>
          <w:lang w:bidi="ar"/>
        </w:rPr>
        <w:t>2）科技创新企业类证书：须提供网上查询获奖名单公示或公布截图（须由建设行政主管部门或</w:t>
      </w:r>
      <w:r>
        <w:rPr>
          <w:rFonts w:hint="eastAsia" w:ascii="宋体" w:hAnsi="宋体" w:cs="宋体"/>
          <w:color w:val="auto"/>
          <w:kern w:val="0"/>
          <w:szCs w:val="21"/>
          <w:highlight w:val="none"/>
          <w:shd w:val="clear" w:color="auto" w:fill="FFFFFF"/>
          <w:lang w:val="en-US" w:eastAsia="zh-CN" w:bidi="ar"/>
        </w:rPr>
        <w:t>建筑相关</w:t>
      </w:r>
      <w:r>
        <w:rPr>
          <w:rFonts w:ascii="宋体" w:hAnsi="宋体" w:eastAsia="宋体" w:cs="宋体"/>
          <w:color w:val="auto"/>
          <w:kern w:val="0"/>
          <w:szCs w:val="21"/>
          <w:highlight w:val="none"/>
          <w:shd w:val="clear" w:color="auto" w:fill="FFFFFF"/>
          <w:lang w:bidi="ar"/>
        </w:rPr>
        <w:t>行业协会或</w:t>
      </w:r>
      <w:r>
        <w:rPr>
          <w:rFonts w:hint="eastAsia" w:ascii="宋体" w:hAnsi="宋体" w:cs="宋体"/>
          <w:color w:val="auto"/>
          <w:kern w:val="0"/>
          <w:szCs w:val="21"/>
          <w:highlight w:val="none"/>
          <w:shd w:val="clear" w:color="auto" w:fill="FFFFFF"/>
          <w:lang w:val="en-US" w:eastAsia="zh-CN" w:bidi="ar"/>
        </w:rPr>
        <w:t>建筑相关</w:t>
      </w:r>
      <w:r>
        <w:rPr>
          <w:rFonts w:ascii="宋体" w:hAnsi="宋体" w:eastAsia="宋体" w:cs="宋体"/>
          <w:color w:val="auto"/>
          <w:kern w:val="0"/>
          <w:szCs w:val="21"/>
          <w:highlight w:val="none"/>
          <w:shd w:val="clear" w:color="auto" w:fill="FFFFFF"/>
          <w:lang w:bidi="ar"/>
        </w:rPr>
        <w:t>学会颁发）以及获奖证书的扫描件（证书获奖单位必须与投标单位名称一致，不包含上级公司、子分公司及区域公司），时间以网上查询结果截图或证书载明的年度为准。若颁发单位是</w:t>
      </w:r>
      <w:r>
        <w:rPr>
          <w:rFonts w:hint="eastAsia" w:ascii="宋体" w:hAnsi="宋体" w:cs="宋体"/>
          <w:color w:val="auto"/>
          <w:kern w:val="0"/>
          <w:szCs w:val="21"/>
          <w:highlight w:val="none"/>
          <w:shd w:val="clear" w:color="auto" w:fill="FFFFFF"/>
          <w:lang w:val="en-US" w:eastAsia="zh-CN" w:bidi="ar"/>
        </w:rPr>
        <w:t>建筑相关</w:t>
      </w:r>
      <w:r>
        <w:rPr>
          <w:rFonts w:ascii="宋体" w:hAnsi="宋体" w:eastAsia="宋体" w:cs="宋体"/>
          <w:color w:val="auto"/>
          <w:kern w:val="0"/>
          <w:szCs w:val="21"/>
          <w:highlight w:val="none"/>
          <w:shd w:val="clear" w:color="auto" w:fill="FFFFFF"/>
          <w:lang w:bidi="ar"/>
        </w:rPr>
        <w:t>行业协会或</w:t>
      </w:r>
      <w:r>
        <w:rPr>
          <w:rFonts w:hint="eastAsia" w:ascii="宋体" w:hAnsi="宋体" w:cs="宋体"/>
          <w:color w:val="auto"/>
          <w:kern w:val="0"/>
          <w:szCs w:val="21"/>
          <w:highlight w:val="none"/>
          <w:shd w:val="clear" w:color="auto" w:fill="FFFFFF"/>
          <w:lang w:val="en-US" w:eastAsia="zh-CN" w:bidi="ar"/>
        </w:rPr>
        <w:t>建筑相关</w:t>
      </w:r>
      <w:r>
        <w:rPr>
          <w:rFonts w:ascii="宋体" w:hAnsi="宋体" w:eastAsia="宋体" w:cs="宋体"/>
          <w:color w:val="auto"/>
          <w:kern w:val="0"/>
          <w:szCs w:val="21"/>
          <w:highlight w:val="none"/>
          <w:shd w:val="clear" w:color="auto" w:fill="FFFFFF"/>
          <w:lang w:bidi="ar"/>
        </w:rPr>
        <w:t>学会，须同时提供该颁发单位在“中国社会组织政务服务平台”网站(https://chinanpo.mca.gov.cn)登记的查询结果截图，否则该获奖证书不予认定。不满足上述要求的或未提供相关证明材料的不计分。</w:t>
      </w:r>
    </w:p>
    <w:p w14:paraId="638C01F4">
      <w:pPr>
        <w:widowControl/>
        <w:shd w:val="clear" w:color="auto" w:fill="FFFFFF"/>
        <w:rPr>
          <w:rFonts w:hint="eastAsia" w:ascii="宋体" w:hAnsi="宋体" w:eastAsia="宋体" w:cs="宋体"/>
          <w:color w:val="auto"/>
          <w:kern w:val="0"/>
          <w:szCs w:val="21"/>
          <w:highlight w:val="none"/>
          <w:shd w:val="clear" w:color="auto" w:fill="FFFFFF"/>
          <w:lang w:eastAsia="zh-CN" w:bidi="ar"/>
        </w:rPr>
      </w:pPr>
      <w:r>
        <w:rPr>
          <w:rFonts w:ascii="宋体" w:hAnsi="宋体" w:eastAsia="宋体" w:cs="宋体"/>
          <w:color w:val="auto"/>
          <w:kern w:val="0"/>
          <w:szCs w:val="21"/>
          <w:highlight w:val="none"/>
          <w:shd w:val="clear" w:color="auto" w:fill="FFFFFF"/>
          <w:lang w:bidi="ar"/>
        </w:rPr>
        <w:t>5</w:t>
      </w:r>
      <w:r>
        <w:rPr>
          <w:rFonts w:hint="eastAsia" w:ascii="宋体" w:hAnsi="宋体" w:eastAsia="宋体" w:cs="宋体"/>
          <w:color w:val="auto"/>
          <w:kern w:val="0"/>
          <w:szCs w:val="21"/>
          <w:highlight w:val="none"/>
          <w:shd w:val="clear" w:color="auto" w:fill="FFFFFF"/>
          <w:lang w:bidi="ar"/>
        </w:rPr>
        <w:t>、所有评委的评分分数的算术平均值为投标人的最终得分，分数出现小数点，保留小数点后二位小数，第三位小数四舍五入</w:t>
      </w:r>
      <w:r>
        <w:rPr>
          <w:rFonts w:hint="eastAsia" w:ascii="宋体" w:hAnsi="宋体" w:eastAsia="宋体" w:cs="宋体"/>
          <w:color w:val="auto"/>
          <w:kern w:val="0"/>
          <w:szCs w:val="21"/>
          <w:highlight w:val="none"/>
          <w:shd w:val="clear" w:color="auto" w:fill="FFFFFF"/>
          <w:lang w:eastAsia="zh-CN" w:bidi="ar"/>
        </w:rPr>
        <w:t>。</w:t>
      </w:r>
    </w:p>
    <w:p w14:paraId="5A645E87">
      <w:pPr>
        <w:rPr>
          <w:rFonts w:ascii="Calibri" w:hAnsi="Calibri" w:eastAsia="宋体" w:cs="Times New Roman"/>
          <w:color w:val="auto"/>
          <w:szCs w:val="21"/>
          <w:highlight w:val="none"/>
          <w:lang w:bidi="ar"/>
        </w:rPr>
      </w:pPr>
    </w:p>
    <w:p w14:paraId="5D78A9E0">
      <w:pPr>
        <w:rPr>
          <w:rFonts w:ascii="宋体" w:hAnsi="宋体" w:eastAsia="宋体" w:cs="Times New Roman"/>
          <w:b/>
          <w:color w:val="auto"/>
          <w:sz w:val="28"/>
          <w:szCs w:val="28"/>
          <w:highlight w:val="none"/>
          <w:lang w:bidi="ar"/>
        </w:rPr>
      </w:pPr>
      <w:r>
        <w:rPr>
          <w:rFonts w:hint="eastAsia" w:ascii="宋体" w:hAnsi="宋体" w:eastAsia="宋体" w:cs="宋体"/>
          <w:color w:val="auto"/>
          <w:kern w:val="0"/>
          <w:szCs w:val="21"/>
          <w:highlight w:val="none"/>
          <w:shd w:val="clear" w:color="auto" w:fill="FFFFFF"/>
          <w:lang w:bidi="ar"/>
        </w:rPr>
        <w:t>评委签名：</w:t>
      </w:r>
      <w:r>
        <w:rPr>
          <w:rFonts w:ascii="宋体" w:hAnsi="Calibri" w:eastAsia="宋体" w:cs="宋体"/>
          <w:color w:val="auto"/>
          <w:kern w:val="0"/>
          <w:szCs w:val="21"/>
          <w:highlight w:val="none"/>
          <w:shd w:val="clear" w:color="auto" w:fill="FFFFFF"/>
          <w:lang w:bidi="ar"/>
        </w:rPr>
        <w:t xml:space="preserve">                                                                              </w:t>
      </w:r>
      <w:r>
        <w:rPr>
          <w:rFonts w:hint="eastAsia" w:ascii="宋体" w:hAnsi="宋体" w:eastAsia="宋体" w:cs="宋体"/>
          <w:color w:val="auto"/>
          <w:kern w:val="0"/>
          <w:szCs w:val="21"/>
          <w:highlight w:val="none"/>
          <w:shd w:val="clear" w:color="auto" w:fill="FFFFFF"/>
          <w:lang w:bidi="ar"/>
        </w:rPr>
        <w:t>日期：</w:t>
      </w:r>
      <w:r>
        <w:rPr>
          <w:rFonts w:ascii="宋体" w:hAnsi="宋体" w:eastAsia="宋体" w:cs="Times New Roman"/>
          <w:b/>
          <w:color w:val="auto"/>
          <w:sz w:val="28"/>
          <w:szCs w:val="28"/>
          <w:highlight w:val="none"/>
          <w:lang w:bidi="ar"/>
        </w:rPr>
        <w:t xml:space="preserve"> </w:t>
      </w:r>
    </w:p>
    <w:p w14:paraId="7487D1A1">
      <w:pPr>
        <w:rPr>
          <w:rFonts w:ascii="Calibri" w:hAnsi="Calibri" w:eastAsia="宋体" w:cs="Times New Roman"/>
          <w:color w:val="auto"/>
          <w:szCs w:val="21"/>
          <w:highlight w:val="none"/>
          <w:lang w:bidi="ar"/>
        </w:rPr>
      </w:pPr>
    </w:p>
    <w:p w14:paraId="34FD3095">
      <w:pPr>
        <w:pStyle w:val="16"/>
        <w:rPr>
          <w:color w:val="auto"/>
          <w:sz w:val="36"/>
          <w:szCs w:val="36"/>
          <w:highlight w:val="none"/>
        </w:rPr>
      </w:pPr>
      <w:r>
        <w:rPr>
          <w:color w:val="auto"/>
          <w:highlight w:val="none"/>
          <w:shd w:val="clear" w:color="auto" w:fill="FFFFFF"/>
          <w:lang w:bidi="ar"/>
        </w:rPr>
        <w:br w:type="page"/>
      </w:r>
    </w:p>
    <w:p w14:paraId="5B9E26E0">
      <w:pPr>
        <w:spacing w:line="360" w:lineRule="auto"/>
        <w:rPr>
          <w:rFonts w:hint="eastAsia"/>
          <w:b/>
          <w:bCs/>
          <w:color w:val="auto"/>
          <w:highlight w:val="none"/>
        </w:rPr>
      </w:pPr>
      <w:r>
        <w:rPr>
          <w:b/>
          <w:bCs/>
          <w:color w:val="auto"/>
          <w:highlight w:val="none"/>
        </w:rPr>
        <w:t>附表</w:t>
      </w:r>
      <w:r>
        <w:rPr>
          <w:rFonts w:hint="eastAsia"/>
          <w:b/>
          <w:bCs/>
          <w:color w:val="auto"/>
          <w:highlight w:val="none"/>
        </w:rPr>
        <w:t>五</w:t>
      </w:r>
    </w:p>
    <w:p w14:paraId="7B25AF1F">
      <w:pPr>
        <w:widowControl w:val="0"/>
        <w:ind w:firstLine="723"/>
        <w:jc w:val="center"/>
        <w:textAlignment w:val="auto"/>
        <w:rPr>
          <w:rFonts w:hint="eastAsia" w:ascii="宋体" w:hAnsi="宋体" w:cs="宋体"/>
          <w:b/>
          <w:color w:val="auto"/>
          <w:sz w:val="36"/>
          <w:szCs w:val="36"/>
          <w:highlight w:val="none"/>
        </w:rPr>
      </w:pPr>
      <w:r>
        <w:rPr>
          <w:rFonts w:hint="eastAsia" w:ascii="宋体" w:hAnsi="宋体" w:cs="宋体"/>
          <w:b/>
          <w:color w:val="auto"/>
          <w:sz w:val="36"/>
          <w:szCs w:val="36"/>
          <w:highlight w:val="none"/>
        </w:rPr>
        <w:t>经济标评分表</w:t>
      </w:r>
    </w:p>
    <w:p w14:paraId="2F686B6D">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工程名称：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21"/>
        <w:gridCol w:w="1034"/>
        <w:gridCol w:w="1033"/>
        <w:gridCol w:w="1033"/>
        <w:gridCol w:w="1033"/>
        <w:gridCol w:w="1033"/>
        <w:gridCol w:w="1033"/>
        <w:gridCol w:w="1033"/>
        <w:gridCol w:w="1033"/>
        <w:gridCol w:w="1033"/>
        <w:gridCol w:w="1033"/>
        <w:gridCol w:w="1032"/>
      </w:tblGrid>
      <w:tr w14:paraId="5899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063" w:type="dxa"/>
            <w:tcBorders>
              <w:top w:val="single" w:color="auto" w:sz="4" w:space="0"/>
              <w:left w:val="single" w:color="auto" w:sz="4" w:space="0"/>
              <w:bottom w:val="single" w:color="auto" w:sz="4" w:space="0"/>
              <w:right w:val="single" w:color="auto" w:sz="4" w:space="0"/>
            </w:tcBorders>
            <w:noWrap w:val="0"/>
            <w:vAlign w:val="center"/>
          </w:tcPr>
          <w:p w14:paraId="5B1342F7">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0FA8CC3">
            <w:pPr>
              <w:widowControl w:val="0"/>
              <w:textAlignment w:val="auto"/>
              <w:rPr>
                <w:rFonts w:hint="eastAsia" w:ascii="宋体" w:hAnsi="宋体" w:cs="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7C5ED38">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246DE89B">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339A7CD2">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3DCB9F27">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12678704">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514191AF">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200B0042">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5C69255C">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627F02E5">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0E600E56">
            <w:pPr>
              <w:widowControl w:val="0"/>
              <w:textAlignment w:val="auto"/>
              <w:rPr>
                <w:rFonts w:hint="eastAsia"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2A925D00">
            <w:pPr>
              <w:widowControl w:val="0"/>
              <w:textAlignment w:val="auto"/>
              <w:rPr>
                <w:rFonts w:hint="eastAsia" w:ascii="宋体" w:hAnsi="宋体" w:cs="宋体"/>
                <w:color w:val="auto"/>
                <w:szCs w:val="21"/>
                <w:highlight w:val="none"/>
              </w:rPr>
            </w:pPr>
          </w:p>
        </w:tc>
      </w:tr>
      <w:tr w14:paraId="49B4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063" w:type="dxa"/>
            <w:tcBorders>
              <w:top w:val="single" w:color="auto" w:sz="4" w:space="0"/>
              <w:left w:val="single" w:color="auto" w:sz="4" w:space="0"/>
              <w:bottom w:val="single" w:color="auto" w:sz="4" w:space="0"/>
              <w:right w:val="single" w:color="auto" w:sz="4" w:space="0"/>
            </w:tcBorders>
            <w:noWrap w:val="0"/>
            <w:vAlign w:val="center"/>
          </w:tcPr>
          <w:p w14:paraId="191C1F49">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投标报价PT（元）</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9634EEF">
            <w:pPr>
              <w:widowControl w:val="0"/>
              <w:textAlignment w:val="auto"/>
              <w:rPr>
                <w:rFonts w:hint="eastAsia" w:ascii="宋体" w:hAnsi="宋体" w:cs="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69F9043">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298C48EE">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430CFEB8">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1C6BB0BB">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558899D3">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69EFAFB1">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09C488D5">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3E64AA2A">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3601E48C">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56B2A1D8">
            <w:pPr>
              <w:widowControl w:val="0"/>
              <w:textAlignment w:val="auto"/>
              <w:rPr>
                <w:rFonts w:hint="eastAsia"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533E12A6">
            <w:pPr>
              <w:widowControl w:val="0"/>
              <w:textAlignment w:val="auto"/>
              <w:rPr>
                <w:rFonts w:hint="eastAsia" w:ascii="宋体" w:hAnsi="宋体" w:cs="宋体"/>
                <w:color w:val="auto"/>
                <w:szCs w:val="21"/>
                <w:highlight w:val="none"/>
              </w:rPr>
            </w:pPr>
          </w:p>
        </w:tc>
      </w:tr>
      <w:tr w14:paraId="433D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063" w:type="dxa"/>
            <w:tcBorders>
              <w:top w:val="single" w:color="auto" w:sz="4" w:space="0"/>
              <w:left w:val="single" w:color="auto" w:sz="4" w:space="0"/>
              <w:bottom w:val="single" w:color="auto" w:sz="4" w:space="0"/>
              <w:right w:val="single" w:color="auto" w:sz="4" w:space="0"/>
            </w:tcBorders>
            <w:noWrap w:val="0"/>
            <w:vAlign w:val="center"/>
          </w:tcPr>
          <w:p w14:paraId="2C50D95C">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计算评标参考价的</w:t>
            </w:r>
          </w:p>
          <w:p w14:paraId="03436FEF">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等分点值 X</w:t>
            </w:r>
          </w:p>
        </w:tc>
        <w:tc>
          <w:tcPr>
            <w:tcW w:w="12384" w:type="dxa"/>
            <w:gridSpan w:val="12"/>
            <w:tcBorders>
              <w:top w:val="single" w:color="auto" w:sz="4" w:space="0"/>
              <w:left w:val="single" w:color="auto" w:sz="4" w:space="0"/>
              <w:bottom w:val="single" w:color="auto" w:sz="4" w:space="0"/>
              <w:right w:val="single" w:color="auto" w:sz="4" w:space="0"/>
            </w:tcBorders>
            <w:noWrap w:val="0"/>
            <w:vAlign w:val="center"/>
          </w:tcPr>
          <w:p w14:paraId="1858006F">
            <w:pPr>
              <w:widowControl w:val="0"/>
              <w:textAlignment w:val="auto"/>
              <w:rPr>
                <w:rFonts w:hint="eastAsia" w:ascii="宋体" w:hAnsi="宋体" w:cs="宋体"/>
                <w:color w:val="auto"/>
                <w:szCs w:val="21"/>
                <w:highlight w:val="none"/>
              </w:rPr>
            </w:pPr>
          </w:p>
        </w:tc>
      </w:tr>
      <w:tr w14:paraId="712A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063" w:type="dxa"/>
            <w:tcBorders>
              <w:top w:val="single" w:color="auto" w:sz="4" w:space="0"/>
              <w:left w:val="single" w:color="auto" w:sz="4" w:space="0"/>
              <w:bottom w:val="single" w:color="auto" w:sz="4" w:space="0"/>
              <w:right w:val="single" w:color="auto" w:sz="4" w:space="0"/>
            </w:tcBorders>
            <w:noWrap w:val="0"/>
            <w:vAlign w:val="center"/>
          </w:tcPr>
          <w:p w14:paraId="22708CB6">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评标参考价PC（元）</w:t>
            </w:r>
          </w:p>
        </w:tc>
        <w:tc>
          <w:tcPr>
            <w:tcW w:w="12384" w:type="dxa"/>
            <w:gridSpan w:val="12"/>
            <w:tcBorders>
              <w:top w:val="single" w:color="auto" w:sz="4" w:space="0"/>
              <w:left w:val="single" w:color="auto" w:sz="4" w:space="0"/>
              <w:bottom w:val="single" w:color="auto" w:sz="4" w:space="0"/>
              <w:right w:val="single" w:color="auto" w:sz="4" w:space="0"/>
            </w:tcBorders>
            <w:noWrap w:val="0"/>
            <w:vAlign w:val="center"/>
          </w:tcPr>
          <w:p w14:paraId="571AF6B0">
            <w:pPr>
              <w:widowControl w:val="0"/>
              <w:textAlignment w:val="auto"/>
              <w:rPr>
                <w:rFonts w:hint="eastAsia" w:ascii="宋体" w:hAnsi="宋体" w:cs="宋体"/>
                <w:color w:val="auto"/>
                <w:szCs w:val="21"/>
                <w:highlight w:val="none"/>
              </w:rPr>
            </w:pPr>
          </w:p>
        </w:tc>
      </w:tr>
      <w:tr w14:paraId="36BB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063" w:type="dxa"/>
            <w:tcBorders>
              <w:top w:val="single" w:color="auto" w:sz="4" w:space="0"/>
              <w:left w:val="single" w:color="auto" w:sz="4" w:space="0"/>
              <w:bottom w:val="single" w:color="auto" w:sz="4" w:space="0"/>
              <w:right w:val="single" w:color="auto" w:sz="4" w:space="0"/>
            </w:tcBorders>
            <w:noWrap w:val="0"/>
            <w:vAlign w:val="center"/>
          </w:tcPr>
          <w:p w14:paraId="2E8C35F1">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偏差（（PT-PC）/PC）（%）</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A2FA1C2">
            <w:pPr>
              <w:widowControl w:val="0"/>
              <w:textAlignment w:val="auto"/>
              <w:rPr>
                <w:rFonts w:hint="eastAsia" w:ascii="宋体" w:hAnsi="宋体" w:cs="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7DC9A60">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1EC9F5FA">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6C0488BF">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34C1768C">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7D30C04C">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77344D92">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4DCA6A90">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28CFFB80">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2948C29A">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103C4F9F">
            <w:pPr>
              <w:widowControl w:val="0"/>
              <w:textAlignment w:val="auto"/>
              <w:rPr>
                <w:rFonts w:hint="eastAsia"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2A777662">
            <w:pPr>
              <w:widowControl w:val="0"/>
              <w:textAlignment w:val="auto"/>
              <w:rPr>
                <w:rFonts w:hint="eastAsia" w:ascii="宋体" w:hAnsi="宋体" w:cs="宋体"/>
                <w:color w:val="auto"/>
                <w:szCs w:val="21"/>
                <w:highlight w:val="none"/>
              </w:rPr>
            </w:pPr>
          </w:p>
        </w:tc>
      </w:tr>
      <w:tr w14:paraId="29E6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063" w:type="dxa"/>
            <w:tcBorders>
              <w:top w:val="single" w:color="auto" w:sz="4" w:space="0"/>
              <w:left w:val="single" w:color="auto" w:sz="4" w:space="0"/>
              <w:bottom w:val="single" w:color="auto" w:sz="4" w:space="0"/>
              <w:right w:val="single" w:color="auto" w:sz="4" w:space="0"/>
            </w:tcBorders>
            <w:noWrap w:val="0"/>
            <w:vAlign w:val="center"/>
          </w:tcPr>
          <w:p w14:paraId="2295BF78">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减分（A）</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A1381FC">
            <w:pPr>
              <w:widowControl w:val="0"/>
              <w:textAlignment w:val="auto"/>
              <w:rPr>
                <w:rFonts w:hint="eastAsia" w:ascii="宋体" w:hAnsi="宋体" w:cs="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C2F4EB6">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21AA9C8D">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5F37E49F">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65BD5A94">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6D2699DE">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028A26D6">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4947DB03">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3C7ACEE2">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757AECBC">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36495FD5">
            <w:pPr>
              <w:widowControl w:val="0"/>
              <w:textAlignment w:val="auto"/>
              <w:rPr>
                <w:rFonts w:hint="eastAsia"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4020BBD4">
            <w:pPr>
              <w:widowControl w:val="0"/>
              <w:textAlignment w:val="auto"/>
              <w:rPr>
                <w:rFonts w:hint="eastAsia" w:ascii="宋体" w:hAnsi="宋体" w:cs="宋体"/>
                <w:color w:val="auto"/>
                <w:szCs w:val="21"/>
                <w:highlight w:val="none"/>
              </w:rPr>
            </w:pPr>
          </w:p>
        </w:tc>
      </w:tr>
      <w:tr w14:paraId="7604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063" w:type="dxa"/>
            <w:tcBorders>
              <w:top w:val="single" w:color="auto" w:sz="4" w:space="0"/>
              <w:left w:val="single" w:color="auto" w:sz="4" w:space="0"/>
              <w:bottom w:val="single" w:color="auto" w:sz="4" w:space="0"/>
              <w:right w:val="single" w:color="auto" w:sz="4" w:space="0"/>
            </w:tcBorders>
            <w:noWrap w:val="0"/>
            <w:vAlign w:val="center"/>
          </w:tcPr>
          <w:p w14:paraId="184BE38C">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得分(I=100-A)</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78726B0C">
            <w:pPr>
              <w:widowControl w:val="0"/>
              <w:textAlignment w:val="auto"/>
              <w:rPr>
                <w:rFonts w:hint="eastAsia" w:ascii="宋体" w:hAnsi="宋体" w:cs="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BE3CAB4">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5AE6B94E">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7E821A15">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5A8034B8">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6B54D225">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02A1D7AB">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114D6789">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32A2E60D">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37F5B446">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6E831D7E">
            <w:pPr>
              <w:widowControl w:val="0"/>
              <w:textAlignment w:val="auto"/>
              <w:rPr>
                <w:rFonts w:hint="eastAsia"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08E13271">
            <w:pPr>
              <w:widowControl w:val="0"/>
              <w:textAlignment w:val="auto"/>
              <w:rPr>
                <w:rFonts w:hint="eastAsia" w:ascii="宋体" w:hAnsi="宋体" w:cs="宋体"/>
                <w:color w:val="auto"/>
                <w:szCs w:val="21"/>
                <w:highlight w:val="none"/>
              </w:rPr>
            </w:pPr>
          </w:p>
        </w:tc>
      </w:tr>
      <w:tr w14:paraId="4163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063" w:type="dxa"/>
            <w:tcBorders>
              <w:top w:val="single" w:color="auto" w:sz="4" w:space="0"/>
              <w:left w:val="single" w:color="auto" w:sz="4" w:space="0"/>
              <w:bottom w:val="single" w:color="auto" w:sz="4" w:space="0"/>
              <w:right w:val="single" w:color="auto" w:sz="4" w:space="0"/>
            </w:tcBorders>
            <w:noWrap w:val="0"/>
            <w:vAlign w:val="center"/>
          </w:tcPr>
          <w:p w14:paraId="4D46F83C">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得分排名次序</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74BA2B02">
            <w:pPr>
              <w:widowControl w:val="0"/>
              <w:textAlignment w:val="auto"/>
              <w:rPr>
                <w:rFonts w:hint="eastAsia" w:ascii="宋体" w:hAnsi="宋体" w:cs="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EC00DD4">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4A8398A4">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7BD9DD9B">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028765AA">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3A6D637D">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0BE61E36">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5078A8A6">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7CA61F43">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559B8910">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65DA52A1">
            <w:pPr>
              <w:widowControl w:val="0"/>
              <w:textAlignment w:val="auto"/>
              <w:rPr>
                <w:rFonts w:hint="eastAsia"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0A8A1D89">
            <w:pPr>
              <w:widowControl w:val="0"/>
              <w:textAlignment w:val="auto"/>
              <w:rPr>
                <w:rFonts w:hint="eastAsia" w:ascii="宋体" w:hAnsi="宋体" w:cs="宋体"/>
                <w:color w:val="auto"/>
                <w:szCs w:val="21"/>
                <w:highlight w:val="none"/>
              </w:rPr>
            </w:pPr>
          </w:p>
        </w:tc>
      </w:tr>
    </w:tbl>
    <w:p w14:paraId="3F98760D">
      <w:pPr>
        <w:rPr>
          <w:rStyle w:val="127"/>
          <w:rFonts w:ascii="宋体" w:hAnsi="宋体"/>
          <w:color w:val="auto"/>
          <w:highlight w:val="none"/>
        </w:rPr>
      </w:pPr>
      <w:r>
        <w:rPr>
          <w:rFonts w:hint="eastAsia" w:ascii="宋体" w:hAnsi="宋体" w:cs="宋体"/>
          <w:color w:val="auto"/>
          <w:szCs w:val="21"/>
          <w:highlight w:val="none"/>
        </w:rPr>
        <w:t>评委签名：</w:t>
      </w:r>
    </w:p>
    <w:p w14:paraId="27137E21">
      <w:pPr>
        <w:spacing w:line="360" w:lineRule="auto"/>
        <w:rPr>
          <w:rFonts w:hint="eastAsia"/>
          <w:b/>
          <w:bCs/>
          <w:color w:val="auto"/>
          <w:highlight w:val="none"/>
        </w:rPr>
      </w:pPr>
      <w:r>
        <w:rPr>
          <w:rStyle w:val="127"/>
          <w:rFonts w:ascii="宋体" w:hAnsi="宋体"/>
          <w:color w:val="auto"/>
          <w:highlight w:val="none"/>
        </w:rPr>
        <w:br w:type="page"/>
      </w:r>
      <w:r>
        <w:rPr>
          <w:b/>
          <w:bCs/>
          <w:color w:val="auto"/>
          <w:highlight w:val="none"/>
        </w:rPr>
        <w:t>附表</w:t>
      </w:r>
      <w:r>
        <w:rPr>
          <w:rFonts w:hint="eastAsia"/>
          <w:b/>
          <w:bCs/>
          <w:color w:val="auto"/>
          <w:highlight w:val="none"/>
        </w:rPr>
        <w:t>六</w:t>
      </w:r>
    </w:p>
    <w:p w14:paraId="4C09EDCC">
      <w:pPr>
        <w:spacing w:line="360" w:lineRule="auto"/>
        <w:jc w:val="center"/>
        <w:rPr>
          <w:rStyle w:val="127"/>
          <w:rFonts w:ascii="宋体" w:hAnsi="宋体"/>
          <w:b/>
          <w:color w:val="auto"/>
          <w:sz w:val="36"/>
          <w:szCs w:val="36"/>
          <w:highlight w:val="none"/>
        </w:rPr>
      </w:pPr>
      <w:r>
        <w:rPr>
          <w:rStyle w:val="127"/>
          <w:rFonts w:ascii="宋体" w:hAnsi="宋体"/>
          <w:b/>
          <w:color w:val="auto"/>
          <w:sz w:val="36"/>
          <w:szCs w:val="36"/>
          <w:highlight w:val="none"/>
        </w:rPr>
        <w:t>算术复核表</w:t>
      </w:r>
    </w:p>
    <w:p w14:paraId="377EEB27">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工程名称：                                           投标人:                                                  单位：元</w:t>
      </w:r>
    </w:p>
    <w:tbl>
      <w:tblPr>
        <w:tblStyle w:val="27"/>
        <w:tblW w:w="0" w:type="auto"/>
        <w:tblInd w:w="0" w:type="dxa"/>
        <w:tblLayout w:type="fixed"/>
        <w:tblCellMar>
          <w:top w:w="0" w:type="dxa"/>
          <w:left w:w="0" w:type="dxa"/>
          <w:bottom w:w="0" w:type="dxa"/>
          <w:right w:w="0" w:type="dxa"/>
        </w:tblCellMar>
      </w:tblPr>
      <w:tblGrid>
        <w:gridCol w:w="586"/>
        <w:gridCol w:w="2678"/>
        <w:gridCol w:w="1702"/>
        <w:gridCol w:w="1985"/>
        <w:gridCol w:w="1842"/>
        <w:gridCol w:w="1509"/>
        <w:gridCol w:w="3144"/>
      </w:tblGrid>
      <w:tr w14:paraId="1EBD3AD8">
        <w:tblPrEx>
          <w:tblCellMar>
            <w:top w:w="0" w:type="dxa"/>
            <w:left w:w="0" w:type="dxa"/>
            <w:bottom w:w="0" w:type="dxa"/>
            <w:right w:w="0" w:type="dxa"/>
          </w:tblCellMar>
        </w:tblPrEx>
        <w:trPr>
          <w:trHeight w:val="222"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14:paraId="02FDD9BD">
            <w:pPr>
              <w:spacing w:line="360" w:lineRule="auto"/>
              <w:jc w:val="center"/>
              <w:rPr>
                <w:rStyle w:val="127"/>
                <w:rFonts w:ascii="宋体" w:hAnsi="宋体"/>
                <w:color w:val="auto"/>
                <w:kern w:val="0"/>
                <w:szCs w:val="21"/>
                <w:highlight w:val="none"/>
              </w:rPr>
            </w:pPr>
            <w:r>
              <w:rPr>
                <w:rStyle w:val="127"/>
                <w:rFonts w:ascii="宋体" w:hAnsi="宋体"/>
                <w:color w:val="auto"/>
                <w:kern w:val="0"/>
                <w:szCs w:val="21"/>
                <w:highlight w:val="none"/>
              </w:rPr>
              <w:t>编号</w:t>
            </w:r>
          </w:p>
        </w:tc>
        <w:tc>
          <w:tcPr>
            <w:tcW w:w="2678" w:type="dxa"/>
            <w:tcBorders>
              <w:top w:val="single" w:color="000000" w:sz="4" w:space="0"/>
              <w:left w:val="nil"/>
              <w:bottom w:val="single" w:color="000000" w:sz="4" w:space="0"/>
              <w:right w:val="single" w:color="000000" w:sz="4" w:space="0"/>
            </w:tcBorders>
            <w:noWrap w:val="0"/>
            <w:vAlign w:val="center"/>
          </w:tcPr>
          <w:p w14:paraId="25E6E17A">
            <w:pPr>
              <w:spacing w:line="360" w:lineRule="auto"/>
              <w:jc w:val="center"/>
              <w:rPr>
                <w:rStyle w:val="127"/>
                <w:rFonts w:ascii="宋体" w:hAnsi="宋体"/>
                <w:color w:val="auto"/>
                <w:kern w:val="0"/>
                <w:szCs w:val="21"/>
                <w:highlight w:val="none"/>
              </w:rPr>
            </w:pPr>
            <w:r>
              <w:rPr>
                <w:rStyle w:val="127"/>
                <w:rFonts w:ascii="宋体" w:hAnsi="宋体"/>
                <w:color w:val="auto"/>
                <w:kern w:val="0"/>
                <w:szCs w:val="21"/>
                <w:highlight w:val="none"/>
              </w:rPr>
              <w:t>算术校核项目</w:t>
            </w:r>
          </w:p>
        </w:tc>
        <w:tc>
          <w:tcPr>
            <w:tcW w:w="1702" w:type="dxa"/>
            <w:tcBorders>
              <w:top w:val="single" w:color="000000" w:sz="4" w:space="0"/>
              <w:left w:val="nil"/>
              <w:bottom w:val="single" w:color="000000" w:sz="4" w:space="0"/>
              <w:right w:val="single" w:color="000000" w:sz="4" w:space="0"/>
            </w:tcBorders>
            <w:noWrap w:val="0"/>
            <w:vAlign w:val="center"/>
          </w:tcPr>
          <w:p w14:paraId="54474268">
            <w:pPr>
              <w:spacing w:line="360" w:lineRule="auto"/>
              <w:jc w:val="center"/>
              <w:rPr>
                <w:rStyle w:val="127"/>
                <w:rFonts w:ascii="宋体" w:hAnsi="宋体"/>
                <w:color w:val="auto"/>
                <w:kern w:val="0"/>
                <w:szCs w:val="21"/>
                <w:highlight w:val="none"/>
              </w:rPr>
            </w:pPr>
            <w:r>
              <w:rPr>
                <w:rStyle w:val="127"/>
                <w:rFonts w:ascii="宋体" w:hAnsi="宋体"/>
                <w:color w:val="auto"/>
                <w:kern w:val="0"/>
                <w:szCs w:val="21"/>
                <w:highlight w:val="none"/>
              </w:rPr>
              <w:t>修正前投标</w:t>
            </w:r>
          </w:p>
          <w:p w14:paraId="52132CA5">
            <w:pPr>
              <w:spacing w:line="360" w:lineRule="auto"/>
              <w:jc w:val="center"/>
              <w:rPr>
                <w:rStyle w:val="127"/>
                <w:rFonts w:ascii="宋体" w:hAnsi="宋体"/>
                <w:color w:val="auto"/>
                <w:kern w:val="0"/>
                <w:szCs w:val="21"/>
                <w:highlight w:val="none"/>
              </w:rPr>
            </w:pPr>
            <w:r>
              <w:rPr>
                <w:rStyle w:val="127"/>
                <w:rFonts w:ascii="宋体" w:hAnsi="宋体"/>
                <w:color w:val="auto"/>
                <w:kern w:val="0"/>
                <w:szCs w:val="21"/>
                <w:highlight w:val="none"/>
              </w:rPr>
              <w:t>报价A</w:t>
            </w:r>
          </w:p>
        </w:tc>
        <w:tc>
          <w:tcPr>
            <w:tcW w:w="1985" w:type="dxa"/>
            <w:tcBorders>
              <w:top w:val="single" w:color="000000" w:sz="4" w:space="0"/>
              <w:left w:val="nil"/>
              <w:bottom w:val="single" w:color="000000" w:sz="4" w:space="0"/>
              <w:right w:val="single" w:color="000000" w:sz="4" w:space="0"/>
            </w:tcBorders>
            <w:noWrap w:val="0"/>
            <w:vAlign w:val="center"/>
          </w:tcPr>
          <w:p w14:paraId="0B0BDCD8">
            <w:pPr>
              <w:spacing w:line="360" w:lineRule="auto"/>
              <w:jc w:val="center"/>
              <w:rPr>
                <w:rStyle w:val="127"/>
                <w:rFonts w:ascii="宋体" w:hAnsi="宋体"/>
                <w:color w:val="auto"/>
                <w:kern w:val="0"/>
                <w:szCs w:val="21"/>
                <w:highlight w:val="none"/>
              </w:rPr>
            </w:pPr>
            <w:r>
              <w:rPr>
                <w:rStyle w:val="127"/>
                <w:rFonts w:ascii="宋体" w:hAnsi="宋体"/>
                <w:color w:val="auto"/>
                <w:kern w:val="0"/>
                <w:szCs w:val="21"/>
                <w:highlight w:val="none"/>
              </w:rPr>
              <w:t>修正后投标</w:t>
            </w:r>
          </w:p>
          <w:p w14:paraId="6CD28C3E">
            <w:pPr>
              <w:spacing w:line="360" w:lineRule="auto"/>
              <w:jc w:val="center"/>
              <w:rPr>
                <w:rStyle w:val="127"/>
                <w:rFonts w:ascii="宋体" w:hAnsi="宋体"/>
                <w:color w:val="auto"/>
                <w:kern w:val="0"/>
                <w:szCs w:val="21"/>
                <w:highlight w:val="none"/>
              </w:rPr>
            </w:pPr>
            <w:r>
              <w:rPr>
                <w:rStyle w:val="127"/>
                <w:rFonts w:ascii="宋体" w:hAnsi="宋体"/>
                <w:color w:val="auto"/>
                <w:kern w:val="0"/>
                <w:szCs w:val="21"/>
                <w:highlight w:val="none"/>
              </w:rPr>
              <w:t>报价B</w:t>
            </w:r>
          </w:p>
        </w:tc>
        <w:tc>
          <w:tcPr>
            <w:tcW w:w="1842" w:type="dxa"/>
            <w:tcBorders>
              <w:top w:val="single" w:color="000000" w:sz="4" w:space="0"/>
              <w:left w:val="nil"/>
              <w:bottom w:val="single" w:color="000000" w:sz="4" w:space="0"/>
              <w:right w:val="single" w:color="000000" w:sz="4" w:space="0"/>
            </w:tcBorders>
            <w:noWrap w:val="0"/>
            <w:vAlign w:val="center"/>
          </w:tcPr>
          <w:p w14:paraId="7D174C5E">
            <w:pPr>
              <w:spacing w:line="360" w:lineRule="auto"/>
              <w:jc w:val="center"/>
              <w:rPr>
                <w:rStyle w:val="127"/>
                <w:rFonts w:ascii="宋体" w:hAnsi="宋体"/>
                <w:color w:val="auto"/>
                <w:kern w:val="0"/>
                <w:szCs w:val="21"/>
                <w:highlight w:val="none"/>
              </w:rPr>
            </w:pPr>
            <w:r>
              <w:rPr>
                <w:rStyle w:val="127"/>
                <w:rFonts w:ascii="宋体" w:hAnsi="宋体"/>
                <w:color w:val="auto"/>
                <w:kern w:val="0"/>
                <w:szCs w:val="21"/>
                <w:highlight w:val="none"/>
              </w:rPr>
              <w:t>修正率</w:t>
            </w:r>
            <w:r>
              <w:rPr>
                <w:rStyle w:val="127"/>
                <w:rFonts w:ascii="宋体" w:hAnsi="宋体"/>
                <w:color w:val="auto"/>
                <w:kern w:val="0"/>
                <w:szCs w:val="21"/>
                <w:highlight w:val="none"/>
              </w:rPr>
              <w:br w:type="textWrapping" w:clear="all"/>
            </w:r>
            <w:r>
              <w:rPr>
                <w:rStyle w:val="127"/>
                <w:rFonts w:ascii="宋体" w:hAnsi="宋体"/>
                <w:color w:val="auto"/>
                <w:kern w:val="0"/>
                <w:szCs w:val="21"/>
                <w:highlight w:val="none"/>
              </w:rPr>
              <w:t>r=|A-B|/A*100%</w:t>
            </w:r>
          </w:p>
        </w:tc>
        <w:tc>
          <w:tcPr>
            <w:tcW w:w="1509" w:type="dxa"/>
            <w:tcBorders>
              <w:top w:val="single" w:color="000000" w:sz="4" w:space="0"/>
              <w:left w:val="nil"/>
              <w:bottom w:val="single" w:color="000000" w:sz="4" w:space="0"/>
              <w:right w:val="single" w:color="000000" w:sz="4" w:space="0"/>
            </w:tcBorders>
            <w:noWrap w:val="0"/>
            <w:vAlign w:val="center"/>
          </w:tcPr>
          <w:p w14:paraId="1BF6A1B4">
            <w:pPr>
              <w:spacing w:line="360" w:lineRule="auto"/>
              <w:jc w:val="center"/>
              <w:rPr>
                <w:rStyle w:val="127"/>
                <w:rFonts w:ascii="宋体" w:hAnsi="宋体"/>
                <w:color w:val="auto"/>
                <w:kern w:val="0"/>
                <w:szCs w:val="21"/>
                <w:highlight w:val="none"/>
              </w:rPr>
            </w:pPr>
            <w:r>
              <w:rPr>
                <w:rStyle w:val="127"/>
                <w:rFonts w:ascii="宋体" w:hAnsi="宋体"/>
                <w:color w:val="auto"/>
                <w:kern w:val="0"/>
                <w:szCs w:val="21"/>
                <w:highlight w:val="none"/>
              </w:rPr>
              <w:t>经评审的最终投标报价</w:t>
            </w:r>
          </w:p>
        </w:tc>
        <w:tc>
          <w:tcPr>
            <w:tcW w:w="3144" w:type="dxa"/>
            <w:tcBorders>
              <w:top w:val="single" w:color="000000" w:sz="4" w:space="0"/>
              <w:left w:val="nil"/>
              <w:bottom w:val="single" w:color="000000" w:sz="4" w:space="0"/>
              <w:right w:val="single" w:color="000000" w:sz="4" w:space="0"/>
            </w:tcBorders>
            <w:noWrap w:val="0"/>
            <w:vAlign w:val="center"/>
          </w:tcPr>
          <w:p w14:paraId="1B7477A5">
            <w:pPr>
              <w:spacing w:line="360" w:lineRule="auto"/>
              <w:jc w:val="center"/>
              <w:rPr>
                <w:rStyle w:val="127"/>
                <w:rFonts w:ascii="宋体" w:hAnsi="宋体"/>
                <w:color w:val="auto"/>
                <w:kern w:val="0"/>
                <w:szCs w:val="21"/>
                <w:highlight w:val="none"/>
              </w:rPr>
            </w:pPr>
            <w:r>
              <w:rPr>
                <w:rStyle w:val="127"/>
                <w:rFonts w:ascii="宋体" w:hAnsi="宋体"/>
                <w:color w:val="auto"/>
                <w:kern w:val="0"/>
                <w:szCs w:val="21"/>
                <w:highlight w:val="none"/>
              </w:rPr>
              <w:t>当B&gt;A时，修正后报价与原报价的差额；当B≤A时,R=0</w:t>
            </w:r>
          </w:p>
        </w:tc>
      </w:tr>
      <w:tr w14:paraId="31791E93">
        <w:tblPrEx>
          <w:tblCellMar>
            <w:top w:w="0" w:type="dxa"/>
            <w:left w:w="0" w:type="dxa"/>
            <w:bottom w:w="0" w:type="dxa"/>
            <w:right w:w="0" w:type="dxa"/>
          </w:tblCellMar>
        </w:tblPrEx>
        <w:trPr>
          <w:trHeight w:val="77" w:hRule="atLeast"/>
        </w:trPr>
        <w:tc>
          <w:tcPr>
            <w:tcW w:w="586" w:type="dxa"/>
            <w:tcBorders>
              <w:top w:val="nil"/>
              <w:left w:val="single" w:color="000000" w:sz="4" w:space="0"/>
              <w:bottom w:val="single" w:color="000000" w:sz="4" w:space="0"/>
              <w:right w:val="single" w:color="000000" w:sz="4" w:space="0"/>
            </w:tcBorders>
            <w:noWrap w:val="0"/>
            <w:vAlign w:val="center"/>
          </w:tcPr>
          <w:p w14:paraId="3B607FF9">
            <w:pPr>
              <w:spacing w:line="360" w:lineRule="auto"/>
              <w:jc w:val="center"/>
              <w:rPr>
                <w:rStyle w:val="127"/>
                <w:rFonts w:ascii="宋体" w:hAnsi="宋体"/>
                <w:color w:val="auto"/>
                <w:kern w:val="0"/>
                <w:szCs w:val="21"/>
                <w:highlight w:val="none"/>
              </w:rPr>
            </w:pPr>
            <w:r>
              <w:rPr>
                <w:rStyle w:val="127"/>
                <w:rFonts w:ascii="宋体" w:hAnsi="宋体"/>
                <w:color w:val="auto"/>
                <w:kern w:val="0"/>
                <w:szCs w:val="21"/>
                <w:highlight w:val="none"/>
              </w:rPr>
              <w:t>1</w:t>
            </w:r>
          </w:p>
        </w:tc>
        <w:tc>
          <w:tcPr>
            <w:tcW w:w="2678" w:type="dxa"/>
            <w:tcBorders>
              <w:top w:val="nil"/>
              <w:left w:val="nil"/>
              <w:bottom w:val="single" w:color="000000" w:sz="4" w:space="0"/>
              <w:right w:val="single" w:color="000000" w:sz="4" w:space="0"/>
            </w:tcBorders>
            <w:noWrap w:val="0"/>
            <w:vAlign w:val="center"/>
          </w:tcPr>
          <w:p w14:paraId="7FFE9928">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[单位工程1]</w:t>
            </w:r>
          </w:p>
        </w:tc>
        <w:tc>
          <w:tcPr>
            <w:tcW w:w="1702" w:type="dxa"/>
            <w:tcBorders>
              <w:top w:val="nil"/>
              <w:left w:val="nil"/>
              <w:bottom w:val="single" w:color="000000" w:sz="4" w:space="0"/>
              <w:right w:val="single" w:color="000000" w:sz="4" w:space="0"/>
            </w:tcBorders>
            <w:noWrap w:val="0"/>
            <w:vAlign w:val="center"/>
          </w:tcPr>
          <w:p w14:paraId="427DFF82">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　</w:t>
            </w:r>
          </w:p>
        </w:tc>
        <w:tc>
          <w:tcPr>
            <w:tcW w:w="1985" w:type="dxa"/>
            <w:tcBorders>
              <w:top w:val="nil"/>
              <w:left w:val="nil"/>
              <w:bottom w:val="single" w:color="000000" w:sz="4" w:space="0"/>
              <w:right w:val="single" w:color="000000" w:sz="4" w:space="0"/>
            </w:tcBorders>
            <w:noWrap w:val="0"/>
            <w:vAlign w:val="center"/>
          </w:tcPr>
          <w:p w14:paraId="12FDF187">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　</w:t>
            </w:r>
          </w:p>
        </w:tc>
        <w:tc>
          <w:tcPr>
            <w:tcW w:w="1842" w:type="dxa"/>
            <w:tcBorders>
              <w:top w:val="nil"/>
              <w:left w:val="nil"/>
              <w:bottom w:val="single" w:color="000000" w:sz="4" w:space="0"/>
              <w:right w:val="single" w:color="000000" w:sz="4" w:space="0"/>
            </w:tcBorders>
            <w:noWrap w:val="0"/>
            <w:vAlign w:val="center"/>
          </w:tcPr>
          <w:p w14:paraId="5A034A40">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　</w:t>
            </w:r>
          </w:p>
        </w:tc>
        <w:tc>
          <w:tcPr>
            <w:tcW w:w="1509" w:type="dxa"/>
            <w:tcBorders>
              <w:top w:val="nil"/>
              <w:left w:val="nil"/>
              <w:bottom w:val="single" w:color="000000" w:sz="4" w:space="0"/>
              <w:right w:val="single" w:color="000000" w:sz="4" w:space="0"/>
            </w:tcBorders>
            <w:noWrap w:val="0"/>
            <w:vAlign w:val="center"/>
          </w:tcPr>
          <w:p w14:paraId="115B444C">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noWrap w:val="0"/>
            <w:vAlign w:val="center"/>
          </w:tcPr>
          <w:p w14:paraId="2A0EB8E0">
            <w:pPr>
              <w:spacing w:line="360" w:lineRule="auto"/>
              <w:rPr>
                <w:rStyle w:val="127"/>
                <w:rFonts w:ascii="宋体" w:hAnsi="宋体"/>
                <w:color w:val="auto"/>
                <w:kern w:val="0"/>
                <w:szCs w:val="21"/>
                <w:highlight w:val="none"/>
              </w:rPr>
            </w:pPr>
          </w:p>
        </w:tc>
      </w:tr>
      <w:tr w14:paraId="46A96E41">
        <w:tblPrEx>
          <w:tblCellMar>
            <w:top w:w="0" w:type="dxa"/>
            <w:left w:w="0" w:type="dxa"/>
            <w:bottom w:w="0" w:type="dxa"/>
            <w:right w:w="0" w:type="dxa"/>
          </w:tblCellMar>
        </w:tblPrEx>
        <w:trPr>
          <w:trHeight w:val="122" w:hRule="atLeast"/>
        </w:trPr>
        <w:tc>
          <w:tcPr>
            <w:tcW w:w="586" w:type="dxa"/>
            <w:tcBorders>
              <w:top w:val="nil"/>
              <w:left w:val="single" w:color="000000" w:sz="4" w:space="0"/>
              <w:bottom w:val="single" w:color="000000" w:sz="4" w:space="0"/>
              <w:right w:val="single" w:color="000000" w:sz="4" w:space="0"/>
            </w:tcBorders>
            <w:noWrap w:val="0"/>
            <w:vAlign w:val="center"/>
          </w:tcPr>
          <w:p w14:paraId="1EE753A5">
            <w:pPr>
              <w:spacing w:line="360" w:lineRule="auto"/>
              <w:jc w:val="center"/>
              <w:rPr>
                <w:rStyle w:val="127"/>
                <w:rFonts w:ascii="宋体" w:hAnsi="宋体"/>
                <w:color w:val="auto"/>
                <w:kern w:val="0"/>
                <w:szCs w:val="21"/>
                <w:highlight w:val="none"/>
              </w:rPr>
            </w:pPr>
            <w:r>
              <w:rPr>
                <w:rStyle w:val="127"/>
                <w:rFonts w:ascii="宋体" w:hAnsi="宋体"/>
                <w:color w:val="auto"/>
                <w:kern w:val="0"/>
                <w:szCs w:val="21"/>
                <w:highlight w:val="none"/>
              </w:rPr>
              <w:t>2</w:t>
            </w:r>
          </w:p>
        </w:tc>
        <w:tc>
          <w:tcPr>
            <w:tcW w:w="2678" w:type="dxa"/>
            <w:tcBorders>
              <w:top w:val="nil"/>
              <w:left w:val="nil"/>
              <w:bottom w:val="single" w:color="000000" w:sz="4" w:space="0"/>
              <w:right w:val="single" w:color="000000" w:sz="4" w:space="0"/>
            </w:tcBorders>
            <w:noWrap w:val="0"/>
            <w:vAlign w:val="center"/>
          </w:tcPr>
          <w:p w14:paraId="3807C60D">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[单位工程2]</w:t>
            </w:r>
          </w:p>
        </w:tc>
        <w:tc>
          <w:tcPr>
            <w:tcW w:w="1702" w:type="dxa"/>
            <w:tcBorders>
              <w:top w:val="nil"/>
              <w:left w:val="nil"/>
              <w:bottom w:val="single" w:color="000000" w:sz="4" w:space="0"/>
              <w:right w:val="single" w:color="000000" w:sz="4" w:space="0"/>
            </w:tcBorders>
            <w:noWrap w:val="0"/>
            <w:vAlign w:val="center"/>
          </w:tcPr>
          <w:p w14:paraId="5D53FDA2">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　</w:t>
            </w:r>
          </w:p>
        </w:tc>
        <w:tc>
          <w:tcPr>
            <w:tcW w:w="1985" w:type="dxa"/>
            <w:tcBorders>
              <w:top w:val="nil"/>
              <w:left w:val="nil"/>
              <w:bottom w:val="single" w:color="000000" w:sz="4" w:space="0"/>
              <w:right w:val="single" w:color="000000" w:sz="4" w:space="0"/>
            </w:tcBorders>
            <w:noWrap w:val="0"/>
            <w:vAlign w:val="center"/>
          </w:tcPr>
          <w:p w14:paraId="131EA8FA">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　</w:t>
            </w:r>
          </w:p>
        </w:tc>
        <w:tc>
          <w:tcPr>
            <w:tcW w:w="1842" w:type="dxa"/>
            <w:tcBorders>
              <w:top w:val="nil"/>
              <w:left w:val="nil"/>
              <w:bottom w:val="single" w:color="000000" w:sz="4" w:space="0"/>
              <w:right w:val="single" w:color="000000" w:sz="4" w:space="0"/>
            </w:tcBorders>
            <w:noWrap w:val="0"/>
            <w:vAlign w:val="center"/>
          </w:tcPr>
          <w:p w14:paraId="0FCD1AD2">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　</w:t>
            </w:r>
          </w:p>
        </w:tc>
        <w:tc>
          <w:tcPr>
            <w:tcW w:w="1509" w:type="dxa"/>
            <w:tcBorders>
              <w:top w:val="nil"/>
              <w:left w:val="nil"/>
              <w:bottom w:val="single" w:color="000000" w:sz="4" w:space="0"/>
              <w:right w:val="single" w:color="000000" w:sz="4" w:space="0"/>
            </w:tcBorders>
            <w:noWrap w:val="0"/>
            <w:vAlign w:val="center"/>
          </w:tcPr>
          <w:p w14:paraId="05372B26">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noWrap w:val="0"/>
            <w:vAlign w:val="center"/>
          </w:tcPr>
          <w:p w14:paraId="534F1D10">
            <w:pPr>
              <w:spacing w:line="360" w:lineRule="auto"/>
              <w:rPr>
                <w:rStyle w:val="127"/>
                <w:rFonts w:ascii="宋体" w:hAnsi="宋体"/>
                <w:color w:val="auto"/>
                <w:kern w:val="0"/>
                <w:szCs w:val="21"/>
                <w:highlight w:val="none"/>
              </w:rPr>
            </w:pPr>
          </w:p>
        </w:tc>
      </w:tr>
      <w:tr w14:paraId="1FE1C037">
        <w:tblPrEx>
          <w:tblCellMar>
            <w:top w:w="0" w:type="dxa"/>
            <w:left w:w="0" w:type="dxa"/>
            <w:bottom w:w="0" w:type="dxa"/>
            <w:right w:w="0" w:type="dxa"/>
          </w:tblCellMar>
        </w:tblPrEx>
        <w:trPr>
          <w:trHeight w:val="77" w:hRule="atLeast"/>
        </w:trPr>
        <w:tc>
          <w:tcPr>
            <w:tcW w:w="586" w:type="dxa"/>
            <w:tcBorders>
              <w:top w:val="nil"/>
              <w:left w:val="single" w:color="000000" w:sz="4" w:space="0"/>
              <w:bottom w:val="single" w:color="000000" w:sz="4" w:space="0"/>
              <w:right w:val="single" w:color="000000" w:sz="4" w:space="0"/>
            </w:tcBorders>
            <w:noWrap w:val="0"/>
            <w:vAlign w:val="center"/>
          </w:tcPr>
          <w:p w14:paraId="681C0B2E">
            <w:pPr>
              <w:spacing w:line="360" w:lineRule="auto"/>
              <w:jc w:val="center"/>
              <w:rPr>
                <w:rStyle w:val="127"/>
                <w:rFonts w:ascii="宋体" w:hAnsi="宋体"/>
                <w:color w:val="auto"/>
                <w:kern w:val="0"/>
                <w:szCs w:val="21"/>
                <w:highlight w:val="none"/>
              </w:rPr>
            </w:pPr>
            <w:r>
              <w:rPr>
                <w:rStyle w:val="127"/>
                <w:rFonts w:ascii="宋体" w:hAnsi="宋体"/>
                <w:color w:val="auto"/>
                <w:kern w:val="0"/>
                <w:szCs w:val="21"/>
                <w:highlight w:val="none"/>
              </w:rPr>
              <w:t>…</w:t>
            </w:r>
          </w:p>
        </w:tc>
        <w:tc>
          <w:tcPr>
            <w:tcW w:w="2678" w:type="dxa"/>
            <w:tcBorders>
              <w:top w:val="nil"/>
              <w:left w:val="nil"/>
              <w:bottom w:val="single" w:color="000000" w:sz="4" w:space="0"/>
              <w:right w:val="single" w:color="000000" w:sz="4" w:space="0"/>
            </w:tcBorders>
            <w:noWrap w:val="0"/>
            <w:vAlign w:val="center"/>
          </w:tcPr>
          <w:p w14:paraId="4BB2C0E2">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w:t>
            </w:r>
          </w:p>
        </w:tc>
        <w:tc>
          <w:tcPr>
            <w:tcW w:w="1702" w:type="dxa"/>
            <w:tcBorders>
              <w:top w:val="nil"/>
              <w:left w:val="nil"/>
              <w:bottom w:val="single" w:color="000000" w:sz="4" w:space="0"/>
              <w:right w:val="single" w:color="000000" w:sz="4" w:space="0"/>
            </w:tcBorders>
            <w:noWrap w:val="0"/>
            <w:vAlign w:val="center"/>
          </w:tcPr>
          <w:p w14:paraId="4DC0D3DE">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　</w:t>
            </w:r>
          </w:p>
        </w:tc>
        <w:tc>
          <w:tcPr>
            <w:tcW w:w="1985" w:type="dxa"/>
            <w:tcBorders>
              <w:top w:val="nil"/>
              <w:left w:val="nil"/>
              <w:bottom w:val="single" w:color="000000" w:sz="4" w:space="0"/>
              <w:right w:val="single" w:color="000000" w:sz="4" w:space="0"/>
            </w:tcBorders>
            <w:noWrap w:val="0"/>
            <w:vAlign w:val="center"/>
          </w:tcPr>
          <w:p w14:paraId="3D7437CE">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　</w:t>
            </w:r>
          </w:p>
        </w:tc>
        <w:tc>
          <w:tcPr>
            <w:tcW w:w="1842" w:type="dxa"/>
            <w:tcBorders>
              <w:top w:val="nil"/>
              <w:left w:val="nil"/>
              <w:bottom w:val="single" w:color="000000" w:sz="4" w:space="0"/>
              <w:right w:val="single" w:color="000000" w:sz="4" w:space="0"/>
            </w:tcBorders>
            <w:noWrap w:val="0"/>
            <w:vAlign w:val="center"/>
          </w:tcPr>
          <w:p w14:paraId="113A3000">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　</w:t>
            </w:r>
          </w:p>
        </w:tc>
        <w:tc>
          <w:tcPr>
            <w:tcW w:w="1509" w:type="dxa"/>
            <w:tcBorders>
              <w:top w:val="nil"/>
              <w:left w:val="nil"/>
              <w:bottom w:val="single" w:color="000000" w:sz="4" w:space="0"/>
              <w:right w:val="single" w:color="000000" w:sz="4" w:space="0"/>
            </w:tcBorders>
            <w:noWrap w:val="0"/>
            <w:vAlign w:val="center"/>
          </w:tcPr>
          <w:p w14:paraId="693F838D">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noWrap w:val="0"/>
            <w:vAlign w:val="center"/>
          </w:tcPr>
          <w:p w14:paraId="45056F31">
            <w:pPr>
              <w:spacing w:line="360" w:lineRule="auto"/>
              <w:rPr>
                <w:rStyle w:val="127"/>
                <w:rFonts w:ascii="宋体" w:hAnsi="宋体"/>
                <w:color w:val="auto"/>
                <w:kern w:val="0"/>
                <w:szCs w:val="21"/>
                <w:highlight w:val="none"/>
              </w:rPr>
            </w:pPr>
          </w:p>
        </w:tc>
      </w:tr>
      <w:tr w14:paraId="3CA5EBB1">
        <w:tblPrEx>
          <w:tblCellMar>
            <w:top w:w="0" w:type="dxa"/>
            <w:left w:w="0" w:type="dxa"/>
            <w:bottom w:w="0" w:type="dxa"/>
            <w:right w:w="0" w:type="dxa"/>
          </w:tblCellMar>
        </w:tblPrEx>
        <w:trPr>
          <w:trHeight w:val="77" w:hRule="atLeast"/>
        </w:trPr>
        <w:tc>
          <w:tcPr>
            <w:tcW w:w="586" w:type="dxa"/>
            <w:tcBorders>
              <w:top w:val="nil"/>
              <w:left w:val="single" w:color="000000" w:sz="4" w:space="0"/>
              <w:bottom w:val="single" w:color="000000" w:sz="4" w:space="0"/>
              <w:right w:val="single" w:color="000000" w:sz="4" w:space="0"/>
            </w:tcBorders>
            <w:noWrap w:val="0"/>
            <w:vAlign w:val="center"/>
          </w:tcPr>
          <w:p w14:paraId="6E390C4A">
            <w:pPr>
              <w:spacing w:line="360" w:lineRule="auto"/>
              <w:jc w:val="center"/>
              <w:rPr>
                <w:rStyle w:val="127"/>
                <w:rFonts w:ascii="宋体" w:hAnsi="宋体"/>
                <w:color w:val="auto"/>
                <w:kern w:val="0"/>
                <w:szCs w:val="21"/>
                <w:highlight w:val="none"/>
              </w:rPr>
            </w:pPr>
            <w:r>
              <w:rPr>
                <w:rStyle w:val="127"/>
                <w:rFonts w:ascii="宋体" w:hAnsi="宋体"/>
                <w:color w:val="auto"/>
                <w:kern w:val="0"/>
                <w:szCs w:val="21"/>
                <w:highlight w:val="none"/>
              </w:rPr>
              <w:t>…</w:t>
            </w:r>
          </w:p>
        </w:tc>
        <w:tc>
          <w:tcPr>
            <w:tcW w:w="2678" w:type="dxa"/>
            <w:tcBorders>
              <w:top w:val="nil"/>
              <w:left w:val="nil"/>
              <w:bottom w:val="single" w:color="000000" w:sz="4" w:space="0"/>
              <w:right w:val="single" w:color="000000" w:sz="4" w:space="0"/>
            </w:tcBorders>
            <w:noWrap w:val="0"/>
            <w:vAlign w:val="center"/>
          </w:tcPr>
          <w:p w14:paraId="355B13D0">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w:t>
            </w:r>
          </w:p>
        </w:tc>
        <w:tc>
          <w:tcPr>
            <w:tcW w:w="1702" w:type="dxa"/>
            <w:tcBorders>
              <w:top w:val="nil"/>
              <w:left w:val="nil"/>
              <w:bottom w:val="single" w:color="000000" w:sz="4" w:space="0"/>
              <w:right w:val="single" w:color="000000" w:sz="4" w:space="0"/>
            </w:tcBorders>
            <w:noWrap w:val="0"/>
            <w:vAlign w:val="center"/>
          </w:tcPr>
          <w:p w14:paraId="58576060">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　</w:t>
            </w:r>
          </w:p>
        </w:tc>
        <w:tc>
          <w:tcPr>
            <w:tcW w:w="1985" w:type="dxa"/>
            <w:tcBorders>
              <w:top w:val="nil"/>
              <w:left w:val="nil"/>
              <w:bottom w:val="single" w:color="000000" w:sz="4" w:space="0"/>
              <w:right w:val="single" w:color="000000" w:sz="4" w:space="0"/>
            </w:tcBorders>
            <w:noWrap w:val="0"/>
            <w:vAlign w:val="center"/>
          </w:tcPr>
          <w:p w14:paraId="5EE6C17E">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　</w:t>
            </w:r>
          </w:p>
        </w:tc>
        <w:tc>
          <w:tcPr>
            <w:tcW w:w="1842" w:type="dxa"/>
            <w:tcBorders>
              <w:top w:val="nil"/>
              <w:left w:val="nil"/>
              <w:bottom w:val="single" w:color="000000" w:sz="4" w:space="0"/>
              <w:right w:val="single" w:color="000000" w:sz="4" w:space="0"/>
            </w:tcBorders>
            <w:noWrap w:val="0"/>
            <w:vAlign w:val="center"/>
          </w:tcPr>
          <w:p w14:paraId="58C3E3A3">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　</w:t>
            </w:r>
          </w:p>
        </w:tc>
        <w:tc>
          <w:tcPr>
            <w:tcW w:w="1509" w:type="dxa"/>
            <w:tcBorders>
              <w:top w:val="nil"/>
              <w:left w:val="nil"/>
              <w:bottom w:val="single" w:color="000000" w:sz="4" w:space="0"/>
              <w:right w:val="single" w:color="000000" w:sz="4" w:space="0"/>
            </w:tcBorders>
            <w:noWrap w:val="0"/>
            <w:vAlign w:val="center"/>
          </w:tcPr>
          <w:p w14:paraId="004D9EFE">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noWrap w:val="0"/>
            <w:vAlign w:val="center"/>
          </w:tcPr>
          <w:p w14:paraId="3E99DF5B">
            <w:pPr>
              <w:spacing w:line="360" w:lineRule="auto"/>
              <w:rPr>
                <w:rStyle w:val="127"/>
                <w:rFonts w:ascii="宋体" w:hAnsi="宋体"/>
                <w:color w:val="auto"/>
                <w:kern w:val="0"/>
                <w:szCs w:val="21"/>
                <w:highlight w:val="none"/>
              </w:rPr>
            </w:pPr>
          </w:p>
        </w:tc>
      </w:tr>
      <w:tr w14:paraId="6A09B42E">
        <w:tblPrEx>
          <w:tblCellMar>
            <w:top w:w="0" w:type="dxa"/>
            <w:left w:w="0" w:type="dxa"/>
            <w:bottom w:w="0" w:type="dxa"/>
            <w:right w:w="0" w:type="dxa"/>
          </w:tblCellMar>
        </w:tblPrEx>
        <w:trPr>
          <w:trHeight w:val="77" w:hRule="atLeast"/>
        </w:trPr>
        <w:tc>
          <w:tcPr>
            <w:tcW w:w="586" w:type="dxa"/>
            <w:tcBorders>
              <w:top w:val="nil"/>
              <w:left w:val="single" w:color="000000" w:sz="4" w:space="0"/>
              <w:bottom w:val="single" w:color="000000" w:sz="4" w:space="0"/>
              <w:right w:val="single" w:color="000000" w:sz="4" w:space="0"/>
            </w:tcBorders>
            <w:noWrap w:val="0"/>
            <w:vAlign w:val="center"/>
          </w:tcPr>
          <w:p w14:paraId="7DC3A64B">
            <w:pPr>
              <w:spacing w:line="360" w:lineRule="auto"/>
              <w:jc w:val="center"/>
              <w:rPr>
                <w:rStyle w:val="127"/>
                <w:rFonts w:ascii="宋体" w:hAnsi="宋体"/>
                <w:color w:val="auto"/>
                <w:kern w:val="0"/>
                <w:szCs w:val="21"/>
                <w:highlight w:val="none"/>
              </w:rPr>
            </w:pPr>
            <w:r>
              <w:rPr>
                <w:rStyle w:val="127"/>
                <w:rFonts w:ascii="宋体" w:hAnsi="宋体"/>
                <w:color w:val="auto"/>
                <w:kern w:val="0"/>
                <w:szCs w:val="21"/>
                <w:highlight w:val="none"/>
              </w:rPr>
              <w:t>…</w:t>
            </w:r>
          </w:p>
        </w:tc>
        <w:tc>
          <w:tcPr>
            <w:tcW w:w="2678" w:type="dxa"/>
            <w:tcBorders>
              <w:top w:val="nil"/>
              <w:left w:val="nil"/>
              <w:bottom w:val="single" w:color="000000" w:sz="4" w:space="0"/>
              <w:right w:val="single" w:color="000000" w:sz="4" w:space="0"/>
            </w:tcBorders>
            <w:noWrap w:val="0"/>
            <w:vAlign w:val="center"/>
          </w:tcPr>
          <w:p w14:paraId="64A29627">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w:t>
            </w:r>
          </w:p>
        </w:tc>
        <w:tc>
          <w:tcPr>
            <w:tcW w:w="1702" w:type="dxa"/>
            <w:tcBorders>
              <w:top w:val="nil"/>
              <w:left w:val="nil"/>
              <w:bottom w:val="single" w:color="000000" w:sz="4" w:space="0"/>
              <w:right w:val="single" w:color="000000" w:sz="4" w:space="0"/>
            </w:tcBorders>
            <w:noWrap w:val="0"/>
            <w:vAlign w:val="center"/>
          </w:tcPr>
          <w:p w14:paraId="3096851F">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　</w:t>
            </w:r>
          </w:p>
        </w:tc>
        <w:tc>
          <w:tcPr>
            <w:tcW w:w="1985" w:type="dxa"/>
            <w:tcBorders>
              <w:top w:val="nil"/>
              <w:left w:val="nil"/>
              <w:bottom w:val="single" w:color="000000" w:sz="4" w:space="0"/>
              <w:right w:val="single" w:color="000000" w:sz="4" w:space="0"/>
            </w:tcBorders>
            <w:noWrap w:val="0"/>
            <w:vAlign w:val="center"/>
          </w:tcPr>
          <w:p w14:paraId="76DD18F2">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　</w:t>
            </w:r>
          </w:p>
        </w:tc>
        <w:tc>
          <w:tcPr>
            <w:tcW w:w="1842" w:type="dxa"/>
            <w:tcBorders>
              <w:top w:val="nil"/>
              <w:left w:val="nil"/>
              <w:bottom w:val="single" w:color="000000" w:sz="4" w:space="0"/>
              <w:right w:val="single" w:color="000000" w:sz="4" w:space="0"/>
            </w:tcBorders>
            <w:noWrap w:val="0"/>
            <w:vAlign w:val="center"/>
          </w:tcPr>
          <w:p w14:paraId="25FDFB1C">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　</w:t>
            </w:r>
          </w:p>
        </w:tc>
        <w:tc>
          <w:tcPr>
            <w:tcW w:w="1509" w:type="dxa"/>
            <w:tcBorders>
              <w:top w:val="nil"/>
              <w:left w:val="nil"/>
              <w:bottom w:val="single" w:color="000000" w:sz="4" w:space="0"/>
              <w:right w:val="single" w:color="000000" w:sz="4" w:space="0"/>
            </w:tcBorders>
            <w:noWrap w:val="0"/>
            <w:vAlign w:val="center"/>
          </w:tcPr>
          <w:p w14:paraId="430CB6AB">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noWrap w:val="0"/>
            <w:vAlign w:val="center"/>
          </w:tcPr>
          <w:p w14:paraId="589E168D">
            <w:pPr>
              <w:spacing w:line="360" w:lineRule="auto"/>
              <w:rPr>
                <w:rStyle w:val="127"/>
                <w:rFonts w:ascii="宋体" w:hAnsi="宋体"/>
                <w:color w:val="auto"/>
                <w:kern w:val="0"/>
                <w:szCs w:val="21"/>
                <w:highlight w:val="none"/>
              </w:rPr>
            </w:pPr>
          </w:p>
        </w:tc>
      </w:tr>
      <w:tr w14:paraId="7917077C">
        <w:tblPrEx>
          <w:tblCellMar>
            <w:top w:w="0" w:type="dxa"/>
            <w:left w:w="0" w:type="dxa"/>
            <w:bottom w:w="0" w:type="dxa"/>
            <w:right w:w="0" w:type="dxa"/>
          </w:tblCellMar>
        </w:tblPrEx>
        <w:trPr>
          <w:trHeight w:val="77" w:hRule="atLeast"/>
        </w:trPr>
        <w:tc>
          <w:tcPr>
            <w:tcW w:w="586" w:type="dxa"/>
            <w:tcBorders>
              <w:top w:val="nil"/>
              <w:left w:val="single" w:color="000000" w:sz="4" w:space="0"/>
              <w:bottom w:val="single" w:color="000000" w:sz="4" w:space="0"/>
              <w:right w:val="single" w:color="000000" w:sz="4" w:space="0"/>
            </w:tcBorders>
            <w:noWrap w:val="0"/>
            <w:vAlign w:val="center"/>
          </w:tcPr>
          <w:p w14:paraId="1F8F4086">
            <w:pPr>
              <w:spacing w:line="360" w:lineRule="auto"/>
              <w:jc w:val="center"/>
              <w:rPr>
                <w:rStyle w:val="127"/>
                <w:rFonts w:ascii="宋体" w:hAnsi="宋体"/>
                <w:color w:val="auto"/>
                <w:kern w:val="0"/>
                <w:szCs w:val="21"/>
                <w:highlight w:val="none"/>
              </w:rPr>
            </w:pPr>
            <w:r>
              <w:rPr>
                <w:rStyle w:val="127"/>
                <w:rFonts w:ascii="宋体" w:hAnsi="宋体"/>
                <w:color w:val="auto"/>
                <w:kern w:val="0"/>
                <w:szCs w:val="21"/>
                <w:highlight w:val="none"/>
              </w:rPr>
              <w:t>n</w:t>
            </w:r>
          </w:p>
        </w:tc>
        <w:tc>
          <w:tcPr>
            <w:tcW w:w="2678" w:type="dxa"/>
            <w:tcBorders>
              <w:top w:val="nil"/>
              <w:left w:val="nil"/>
              <w:bottom w:val="single" w:color="000000" w:sz="4" w:space="0"/>
              <w:right w:val="single" w:color="000000" w:sz="4" w:space="0"/>
            </w:tcBorders>
            <w:noWrap w:val="0"/>
            <w:vAlign w:val="center"/>
          </w:tcPr>
          <w:p w14:paraId="3319A45D">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[单位工程n]</w:t>
            </w:r>
          </w:p>
        </w:tc>
        <w:tc>
          <w:tcPr>
            <w:tcW w:w="1702" w:type="dxa"/>
            <w:tcBorders>
              <w:top w:val="nil"/>
              <w:left w:val="nil"/>
              <w:bottom w:val="single" w:color="000000" w:sz="4" w:space="0"/>
              <w:right w:val="single" w:color="000000" w:sz="4" w:space="0"/>
            </w:tcBorders>
            <w:noWrap w:val="0"/>
            <w:vAlign w:val="center"/>
          </w:tcPr>
          <w:p w14:paraId="2692D0A2">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　</w:t>
            </w:r>
          </w:p>
        </w:tc>
        <w:tc>
          <w:tcPr>
            <w:tcW w:w="1985" w:type="dxa"/>
            <w:tcBorders>
              <w:top w:val="nil"/>
              <w:left w:val="nil"/>
              <w:bottom w:val="single" w:color="000000" w:sz="4" w:space="0"/>
              <w:right w:val="single" w:color="000000" w:sz="4" w:space="0"/>
            </w:tcBorders>
            <w:noWrap w:val="0"/>
            <w:vAlign w:val="center"/>
          </w:tcPr>
          <w:p w14:paraId="4810476E">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　</w:t>
            </w:r>
          </w:p>
        </w:tc>
        <w:tc>
          <w:tcPr>
            <w:tcW w:w="1842" w:type="dxa"/>
            <w:tcBorders>
              <w:top w:val="nil"/>
              <w:left w:val="nil"/>
              <w:bottom w:val="single" w:color="000000" w:sz="4" w:space="0"/>
              <w:right w:val="single" w:color="000000" w:sz="4" w:space="0"/>
            </w:tcBorders>
            <w:noWrap w:val="0"/>
            <w:vAlign w:val="center"/>
          </w:tcPr>
          <w:p w14:paraId="411D44A2">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　</w:t>
            </w:r>
          </w:p>
        </w:tc>
        <w:tc>
          <w:tcPr>
            <w:tcW w:w="1509" w:type="dxa"/>
            <w:tcBorders>
              <w:top w:val="nil"/>
              <w:left w:val="nil"/>
              <w:bottom w:val="single" w:color="000000" w:sz="4" w:space="0"/>
              <w:right w:val="single" w:color="000000" w:sz="4" w:space="0"/>
            </w:tcBorders>
            <w:noWrap w:val="0"/>
            <w:vAlign w:val="center"/>
          </w:tcPr>
          <w:p w14:paraId="3ADC98EC">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noWrap w:val="0"/>
            <w:vAlign w:val="center"/>
          </w:tcPr>
          <w:p w14:paraId="38B5E74D">
            <w:pPr>
              <w:spacing w:line="360" w:lineRule="auto"/>
              <w:rPr>
                <w:rStyle w:val="127"/>
                <w:rFonts w:ascii="宋体" w:hAnsi="宋体"/>
                <w:color w:val="auto"/>
                <w:kern w:val="0"/>
                <w:szCs w:val="21"/>
                <w:highlight w:val="none"/>
              </w:rPr>
            </w:pPr>
          </w:p>
        </w:tc>
      </w:tr>
      <w:tr w14:paraId="0843ED26">
        <w:tblPrEx>
          <w:tblCellMar>
            <w:top w:w="0" w:type="dxa"/>
            <w:left w:w="0" w:type="dxa"/>
            <w:bottom w:w="0" w:type="dxa"/>
            <w:right w:w="0" w:type="dxa"/>
          </w:tblCellMar>
        </w:tblPrEx>
        <w:trPr>
          <w:trHeight w:val="77" w:hRule="atLeast"/>
        </w:trPr>
        <w:tc>
          <w:tcPr>
            <w:tcW w:w="586" w:type="dxa"/>
            <w:tcBorders>
              <w:top w:val="nil"/>
              <w:left w:val="single" w:color="000000" w:sz="4" w:space="0"/>
              <w:bottom w:val="single" w:color="000000" w:sz="4" w:space="0"/>
              <w:right w:val="single" w:color="000000" w:sz="4" w:space="0"/>
            </w:tcBorders>
            <w:noWrap w:val="0"/>
            <w:vAlign w:val="center"/>
          </w:tcPr>
          <w:p w14:paraId="0B1CDF29">
            <w:pPr>
              <w:spacing w:line="360" w:lineRule="auto"/>
              <w:jc w:val="center"/>
              <w:rPr>
                <w:rStyle w:val="127"/>
                <w:rFonts w:ascii="宋体" w:hAnsi="宋体"/>
                <w:color w:val="auto"/>
                <w:kern w:val="0"/>
                <w:szCs w:val="21"/>
                <w:highlight w:val="none"/>
              </w:rPr>
            </w:pPr>
            <w:r>
              <w:rPr>
                <w:rStyle w:val="127"/>
                <w:rFonts w:ascii="宋体" w:hAnsi="宋体"/>
                <w:color w:val="auto"/>
                <w:kern w:val="0"/>
                <w:szCs w:val="21"/>
                <w:highlight w:val="none"/>
              </w:rPr>
              <w:t>∑</w:t>
            </w:r>
          </w:p>
        </w:tc>
        <w:tc>
          <w:tcPr>
            <w:tcW w:w="2678" w:type="dxa"/>
            <w:tcBorders>
              <w:top w:val="nil"/>
              <w:left w:val="nil"/>
              <w:bottom w:val="single" w:color="000000" w:sz="4" w:space="0"/>
              <w:right w:val="single" w:color="000000" w:sz="4" w:space="0"/>
            </w:tcBorders>
            <w:noWrap w:val="0"/>
            <w:vAlign w:val="center"/>
          </w:tcPr>
          <w:p w14:paraId="21BD136B">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投标总报价</w:t>
            </w:r>
          </w:p>
        </w:tc>
        <w:tc>
          <w:tcPr>
            <w:tcW w:w="1702" w:type="dxa"/>
            <w:tcBorders>
              <w:top w:val="nil"/>
              <w:left w:val="nil"/>
              <w:bottom w:val="single" w:color="000000" w:sz="4" w:space="0"/>
              <w:right w:val="single" w:color="000000" w:sz="4" w:space="0"/>
            </w:tcBorders>
            <w:noWrap w:val="0"/>
            <w:vAlign w:val="center"/>
          </w:tcPr>
          <w:p w14:paraId="4148EEEC">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　</w:t>
            </w:r>
          </w:p>
        </w:tc>
        <w:tc>
          <w:tcPr>
            <w:tcW w:w="1985" w:type="dxa"/>
            <w:tcBorders>
              <w:top w:val="nil"/>
              <w:left w:val="nil"/>
              <w:bottom w:val="single" w:color="000000" w:sz="4" w:space="0"/>
              <w:right w:val="single" w:color="000000" w:sz="4" w:space="0"/>
            </w:tcBorders>
            <w:noWrap w:val="0"/>
            <w:vAlign w:val="center"/>
          </w:tcPr>
          <w:p w14:paraId="6D896579">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　</w:t>
            </w:r>
          </w:p>
        </w:tc>
        <w:tc>
          <w:tcPr>
            <w:tcW w:w="1842" w:type="dxa"/>
            <w:tcBorders>
              <w:top w:val="nil"/>
              <w:left w:val="nil"/>
              <w:bottom w:val="single" w:color="000000" w:sz="4" w:space="0"/>
              <w:right w:val="single" w:color="000000" w:sz="4" w:space="0"/>
            </w:tcBorders>
            <w:noWrap w:val="0"/>
            <w:vAlign w:val="center"/>
          </w:tcPr>
          <w:p w14:paraId="4F5BDC62">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　</w:t>
            </w:r>
          </w:p>
        </w:tc>
        <w:tc>
          <w:tcPr>
            <w:tcW w:w="1509" w:type="dxa"/>
            <w:tcBorders>
              <w:top w:val="nil"/>
              <w:left w:val="nil"/>
              <w:bottom w:val="single" w:color="000000" w:sz="4" w:space="0"/>
              <w:right w:val="single" w:color="000000" w:sz="4" w:space="0"/>
            </w:tcBorders>
            <w:noWrap w:val="0"/>
            <w:vAlign w:val="center"/>
          </w:tcPr>
          <w:p w14:paraId="2CCCD8DA">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noWrap w:val="0"/>
            <w:vAlign w:val="center"/>
          </w:tcPr>
          <w:p w14:paraId="4764B247">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∑A=A</w:t>
            </w:r>
            <w:r>
              <w:rPr>
                <w:rStyle w:val="127"/>
                <w:rFonts w:ascii="宋体" w:hAnsi="宋体"/>
                <w:color w:val="auto"/>
                <w:kern w:val="0"/>
                <w:szCs w:val="21"/>
                <w:highlight w:val="none"/>
                <w:vertAlign w:val="subscript"/>
              </w:rPr>
              <w:t>1</w:t>
            </w:r>
            <w:r>
              <w:rPr>
                <w:rStyle w:val="127"/>
                <w:rFonts w:ascii="宋体" w:hAnsi="宋体"/>
                <w:color w:val="auto"/>
                <w:kern w:val="0"/>
                <w:szCs w:val="21"/>
                <w:highlight w:val="none"/>
              </w:rPr>
              <w:t>+A</w:t>
            </w:r>
            <w:r>
              <w:rPr>
                <w:rStyle w:val="127"/>
                <w:rFonts w:ascii="宋体" w:hAnsi="宋体"/>
                <w:color w:val="auto"/>
                <w:kern w:val="0"/>
                <w:szCs w:val="21"/>
                <w:highlight w:val="none"/>
                <w:vertAlign w:val="subscript"/>
              </w:rPr>
              <w:t>2</w:t>
            </w:r>
            <w:r>
              <w:rPr>
                <w:rStyle w:val="127"/>
                <w:rFonts w:ascii="宋体" w:hAnsi="宋体"/>
                <w:color w:val="auto"/>
                <w:kern w:val="0"/>
                <w:szCs w:val="21"/>
                <w:highlight w:val="none"/>
              </w:rPr>
              <w:t>+…An；∑B=B</w:t>
            </w:r>
            <w:r>
              <w:rPr>
                <w:rStyle w:val="127"/>
                <w:rFonts w:ascii="宋体" w:hAnsi="宋体"/>
                <w:color w:val="auto"/>
                <w:kern w:val="0"/>
                <w:szCs w:val="21"/>
                <w:highlight w:val="none"/>
                <w:vertAlign w:val="subscript"/>
              </w:rPr>
              <w:t>1</w:t>
            </w:r>
            <w:r>
              <w:rPr>
                <w:rStyle w:val="127"/>
                <w:rFonts w:ascii="宋体" w:hAnsi="宋体"/>
                <w:color w:val="auto"/>
                <w:kern w:val="0"/>
                <w:szCs w:val="21"/>
                <w:highlight w:val="none"/>
              </w:rPr>
              <w:t>+B</w:t>
            </w:r>
            <w:r>
              <w:rPr>
                <w:rStyle w:val="127"/>
                <w:rFonts w:ascii="宋体" w:hAnsi="宋体"/>
                <w:color w:val="auto"/>
                <w:kern w:val="0"/>
                <w:szCs w:val="21"/>
                <w:highlight w:val="none"/>
                <w:vertAlign w:val="subscript"/>
              </w:rPr>
              <w:t>2</w:t>
            </w:r>
            <w:r>
              <w:rPr>
                <w:rStyle w:val="127"/>
                <w:rFonts w:ascii="宋体" w:hAnsi="宋体"/>
                <w:color w:val="auto"/>
                <w:kern w:val="0"/>
                <w:szCs w:val="21"/>
                <w:highlight w:val="none"/>
              </w:rPr>
              <w:t>+…Bn</w:t>
            </w:r>
          </w:p>
        </w:tc>
      </w:tr>
    </w:tbl>
    <w:p w14:paraId="6D321585">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修正原则：</w:t>
      </w:r>
      <w:r>
        <w:rPr>
          <w:rStyle w:val="127"/>
          <w:rFonts w:ascii="宋体" w:hAnsi="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Style w:val="127"/>
          <w:rFonts w:ascii="宋体" w:hAnsi="宋体"/>
          <w:color w:val="auto"/>
          <w:kern w:val="0"/>
          <w:szCs w:val="21"/>
          <w:highlight w:val="none"/>
        </w:rPr>
        <w:tab/>
      </w:r>
    </w:p>
    <w:p w14:paraId="0B0F49EA">
      <w:pPr>
        <w:spacing w:line="360" w:lineRule="auto"/>
        <w:rPr>
          <w:rStyle w:val="127"/>
          <w:rFonts w:ascii="宋体" w:hAnsi="宋体"/>
          <w:color w:val="auto"/>
          <w:kern w:val="0"/>
          <w:szCs w:val="21"/>
          <w:highlight w:val="none"/>
        </w:rPr>
      </w:pPr>
      <w:r>
        <w:rPr>
          <w:rStyle w:val="127"/>
          <w:rFonts w:ascii="宋体" w:hAnsi="宋体"/>
          <w:color w:val="auto"/>
          <w:kern w:val="0"/>
          <w:szCs w:val="21"/>
          <w:highlight w:val="none"/>
        </w:rPr>
        <w:t>评委签名：</w:t>
      </w:r>
      <w:r>
        <w:rPr>
          <w:rStyle w:val="127"/>
          <w:rFonts w:ascii="宋体" w:hAnsi="宋体"/>
          <w:color w:val="auto"/>
          <w:kern w:val="0"/>
          <w:szCs w:val="21"/>
          <w:highlight w:val="none"/>
        </w:rPr>
        <w:tab/>
      </w:r>
      <w:r>
        <w:rPr>
          <w:rStyle w:val="127"/>
          <w:rFonts w:ascii="宋体" w:hAnsi="宋体"/>
          <w:color w:val="auto"/>
          <w:kern w:val="0"/>
          <w:szCs w:val="21"/>
          <w:highlight w:val="none"/>
        </w:rPr>
        <w:tab/>
      </w:r>
      <w:r>
        <w:rPr>
          <w:rStyle w:val="127"/>
          <w:rFonts w:ascii="宋体" w:hAnsi="宋体"/>
          <w:color w:val="auto"/>
          <w:kern w:val="0"/>
          <w:szCs w:val="21"/>
          <w:highlight w:val="none"/>
        </w:rPr>
        <w:tab/>
      </w:r>
      <w:r>
        <w:rPr>
          <w:rStyle w:val="127"/>
          <w:rFonts w:ascii="宋体" w:hAnsi="宋体"/>
          <w:color w:val="auto"/>
          <w:kern w:val="0"/>
          <w:szCs w:val="21"/>
          <w:highlight w:val="none"/>
        </w:rPr>
        <w:tab/>
      </w:r>
      <w:r>
        <w:rPr>
          <w:rStyle w:val="127"/>
          <w:rFonts w:ascii="宋体" w:hAnsi="宋体"/>
          <w:color w:val="auto"/>
          <w:kern w:val="0"/>
          <w:szCs w:val="21"/>
          <w:highlight w:val="none"/>
        </w:rPr>
        <w:tab/>
      </w:r>
      <w:r>
        <w:rPr>
          <w:rStyle w:val="127"/>
          <w:rFonts w:ascii="宋体" w:hAnsi="宋体"/>
          <w:color w:val="auto"/>
          <w:kern w:val="0"/>
          <w:szCs w:val="21"/>
          <w:highlight w:val="none"/>
        </w:rPr>
        <w:t>日期：</w:t>
      </w:r>
    </w:p>
    <w:p w14:paraId="1891547E">
      <w:pPr>
        <w:spacing w:line="360" w:lineRule="auto"/>
        <w:jc w:val="center"/>
        <w:rPr>
          <w:rStyle w:val="127"/>
          <w:rFonts w:ascii="宋体" w:hAnsi="宋体"/>
          <w:b/>
          <w:color w:val="auto"/>
          <w:sz w:val="36"/>
          <w:szCs w:val="36"/>
          <w:highlight w:val="none"/>
        </w:rPr>
      </w:pPr>
    </w:p>
    <w:p w14:paraId="57E4CF9D">
      <w:pPr>
        <w:spacing w:line="360" w:lineRule="auto"/>
        <w:jc w:val="center"/>
        <w:rPr>
          <w:rStyle w:val="127"/>
          <w:rFonts w:ascii="宋体" w:hAnsi="宋体"/>
          <w:b/>
          <w:color w:val="auto"/>
          <w:sz w:val="36"/>
          <w:szCs w:val="36"/>
          <w:highlight w:val="none"/>
        </w:rPr>
      </w:pPr>
      <w:r>
        <w:rPr>
          <w:rStyle w:val="127"/>
          <w:rFonts w:hint="eastAsia" w:ascii="宋体" w:hAnsi="宋体"/>
          <w:b/>
          <w:color w:val="auto"/>
          <w:sz w:val="36"/>
          <w:szCs w:val="36"/>
          <w:highlight w:val="none"/>
        </w:rPr>
        <w:br w:type="column"/>
      </w:r>
      <w:r>
        <w:rPr>
          <w:rStyle w:val="127"/>
          <w:rFonts w:ascii="宋体" w:hAnsi="宋体"/>
          <w:b/>
          <w:color w:val="auto"/>
          <w:sz w:val="36"/>
          <w:szCs w:val="36"/>
          <w:highlight w:val="none"/>
        </w:rPr>
        <w:t>算术复核表</w:t>
      </w:r>
    </w:p>
    <w:p w14:paraId="4A4720B1">
      <w:pPr>
        <w:spacing w:line="360" w:lineRule="auto"/>
        <w:rPr>
          <w:rStyle w:val="127"/>
          <w:rFonts w:ascii="宋体" w:hAnsi="宋体"/>
          <w:color w:val="auto"/>
          <w:szCs w:val="21"/>
          <w:highlight w:val="none"/>
        </w:rPr>
      </w:pPr>
      <w:r>
        <w:rPr>
          <w:rStyle w:val="127"/>
          <w:rFonts w:ascii="宋体" w:hAnsi="宋体"/>
          <w:color w:val="auto"/>
          <w:szCs w:val="21"/>
          <w:highlight w:val="none"/>
        </w:rPr>
        <w:t>工程名称：</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0"/>
        <w:gridCol w:w="4077"/>
        <w:gridCol w:w="2211"/>
        <w:gridCol w:w="2942"/>
        <w:gridCol w:w="3246"/>
      </w:tblGrid>
      <w:tr w14:paraId="48D4C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noWrap w:val="0"/>
            <w:vAlign w:val="center"/>
          </w:tcPr>
          <w:p w14:paraId="2EA1236D">
            <w:pPr>
              <w:spacing w:line="360" w:lineRule="auto"/>
              <w:jc w:val="center"/>
              <w:rPr>
                <w:rStyle w:val="127"/>
                <w:rFonts w:ascii="宋体" w:hAnsi="宋体"/>
                <w:b/>
                <w:color w:val="auto"/>
                <w:sz w:val="24"/>
                <w:szCs w:val="24"/>
                <w:highlight w:val="none"/>
              </w:rPr>
            </w:pPr>
            <w:r>
              <w:rPr>
                <w:rStyle w:val="127"/>
                <w:rFonts w:ascii="宋体" w:hAnsi="宋体"/>
                <w:b/>
                <w:color w:val="auto"/>
                <w:sz w:val="24"/>
                <w:szCs w:val="24"/>
                <w:highlight w:val="none"/>
              </w:rPr>
              <w:t>编号</w:t>
            </w:r>
          </w:p>
        </w:tc>
        <w:tc>
          <w:tcPr>
            <w:tcW w:w="4077" w:type="dxa"/>
            <w:tcBorders>
              <w:top w:val="single" w:color="000000" w:sz="4" w:space="0"/>
              <w:left w:val="single" w:color="000000" w:sz="4" w:space="0"/>
              <w:bottom w:val="single" w:color="000000" w:sz="4" w:space="0"/>
              <w:right w:val="single" w:color="000000" w:sz="4" w:space="0"/>
            </w:tcBorders>
            <w:noWrap w:val="0"/>
            <w:vAlign w:val="center"/>
          </w:tcPr>
          <w:p w14:paraId="0A8DDC75">
            <w:pPr>
              <w:spacing w:line="360" w:lineRule="auto"/>
              <w:jc w:val="center"/>
              <w:rPr>
                <w:rStyle w:val="127"/>
                <w:rFonts w:ascii="宋体" w:hAnsi="宋体"/>
                <w:b/>
                <w:color w:val="auto"/>
                <w:sz w:val="24"/>
                <w:szCs w:val="24"/>
                <w:highlight w:val="none"/>
              </w:rPr>
            </w:pPr>
            <w:r>
              <w:rPr>
                <w:rStyle w:val="127"/>
                <w:rFonts w:ascii="宋体" w:hAnsi="宋体"/>
                <w:b/>
                <w:color w:val="auto"/>
                <w:sz w:val="24"/>
                <w:szCs w:val="24"/>
                <w:highlight w:val="none"/>
              </w:rPr>
              <w:t>投标人名称</w:t>
            </w:r>
          </w:p>
        </w:tc>
        <w:tc>
          <w:tcPr>
            <w:tcW w:w="2211" w:type="dxa"/>
            <w:tcBorders>
              <w:top w:val="single" w:color="000000" w:sz="4" w:space="0"/>
              <w:left w:val="single" w:color="000000" w:sz="4" w:space="0"/>
              <w:bottom w:val="single" w:color="000000" w:sz="4" w:space="0"/>
              <w:right w:val="single" w:color="000000" w:sz="4" w:space="0"/>
            </w:tcBorders>
            <w:noWrap w:val="0"/>
            <w:vAlign w:val="center"/>
          </w:tcPr>
          <w:p w14:paraId="14FD439A">
            <w:pPr>
              <w:spacing w:line="360" w:lineRule="auto"/>
              <w:jc w:val="center"/>
              <w:rPr>
                <w:rStyle w:val="127"/>
                <w:rFonts w:ascii="宋体" w:hAnsi="宋体"/>
                <w:b/>
                <w:color w:val="auto"/>
                <w:sz w:val="24"/>
                <w:szCs w:val="24"/>
                <w:highlight w:val="none"/>
              </w:rPr>
            </w:pPr>
            <w:r>
              <w:rPr>
                <w:rStyle w:val="127"/>
                <w:rFonts w:ascii="宋体" w:hAnsi="宋体"/>
                <w:b/>
                <w:color w:val="auto"/>
                <w:sz w:val="24"/>
                <w:szCs w:val="24"/>
                <w:highlight w:val="none"/>
              </w:rPr>
              <w:t>原投标报价（A）</w:t>
            </w:r>
          </w:p>
        </w:tc>
        <w:tc>
          <w:tcPr>
            <w:tcW w:w="2942" w:type="dxa"/>
            <w:tcBorders>
              <w:top w:val="single" w:color="000000" w:sz="4" w:space="0"/>
              <w:left w:val="single" w:color="000000" w:sz="4" w:space="0"/>
              <w:bottom w:val="single" w:color="000000" w:sz="4" w:space="0"/>
              <w:right w:val="single" w:color="000000" w:sz="4" w:space="0"/>
            </w:tcBorders>
            <w:noWrap w:val="0"/>
            <w:vAlign w:val="center"/>
          </w:tcPr>
          <w:p w14:paraId="56D3619B">
            <w:pPr>
              <w:spacing w:line="360" w:lineRule="auto"/>
              <w:jc w:val="center"/>
              <w:rPr>
                <w:rStyle w:val="127"/>
                <w:rFonts w:ascii="宋体" w:hAnsi="宋体"/>
                <w:b/>
                <w:color w:val="auto"/>
                <w:sz w:val="24"/>
                <w:szCs w:val="24"/>
                <w:highlight w:val="none"/>
              </w:rPr>
            </w:pPr>
            <w:r>
              <w:rPr>
                <w:rStyle w:val="127"/>
                <w:rFonts w:ascii="宋体" w:hAnsi="宋体"/>
                <w:b/>
                <w:color w:val="auto"/>
                <w:sz w:val="24"/>
                <w:szCs w:val="24"/>
                <w:highlight w:val="none"/>
              </w:rPr>
              <w:t>算数复核后投标报价（B）</w:t>
            </w:r>
          </w:p>
        </w:tc>
        <w:tc>
          <w:tcPr>
            <w:tcW w:w="3246" w:type="dxa"/>
            <w:tcBorders>
              <w:top w:val="single" w:color="000000" w:sz="4" w:space="0"/>
              <w:left w:val="single" w:color="000000" w:sz="4" w:space="0"/>
              <w:bottom w:val="single" w:color="000000" w:sz="4" w:space="0"/>
              <w:right w:val="single" w:color="000000" w:sz="4" w:space="0"/>
            </w:tcBorders>
            <w:noWrap w:val="0"/>
            <w:vAlign w:val="center"/>
          </w:tcPr>
          <w:p w14:paraId="3EFA13E0">
            <w:pPr>
              <w:spacing w:line="360" w:lineRule="auto"/>
              <w:jc w:val="center"/>
              <w:rPr>
                <w:rStyle w:val="127"/>
                <w:rFonts w:ascii="宋体" w:hAnsi="宋体"/>
                <w:b/>
                <w:color w:val="auto"/>
                <w:sz w:val="24"/>
                <w:szCs w:val="24"/>
                <w:highlight w:val="none"/>
              </w:rPr>
            </w:pPr>
            <w:r>
              <w:rPr>
                <w:rStyle w:val="127"/>
                <w:rFonts w:ascii="宋体" w:hAnsi="宋体"/>
                <w:b/>
                <w:color w:val="auto"/>
                <w:sz w:val="24"/>
                <w:szCs w:val="24"/>
                <w:highlight w:val="none"/>
              </w:rPr>
              <w:t>误差率（r=|A-B|/A*100%）</w:t>
            </w:r>
          </w:p>
        </w:tc>
      </w:tr>
      <w:tr w14:paraId="49E8D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noWrap w:val="0"/>
            <w:vAlign w:val="top"/>
          </w:tcPr>
          <w:p w14:paraId="69BF0913">
            <w:pPr>
              <w:spacing w:line="360" w:lineRule="auto"/>
              <w:jc w:val="center"/>
              <w:rPr>
                <w:rStyle w:val="127"/>
                <w:rFonts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noWrap w:val="0"/>
            <w:vAlign w:val="top"/>
          </w:tcPr>
          <w:p w14:paraId="7A7A8EE0">
            <w:pPr>
              <w:spacing w:line="360" w:lineRule="auto"/>
              <w:jc w:val="center"/>
              <w:rPr>
                <w:rStyle w:val="127"/>
                <w:rFonts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noWrap w:val="0"/>
            <w:vAlign w:val="top"/>
          </w:tcPr>
          <w:p w14:paraId="73103D00">
            <w:pPr>
              <w:spacing w:line="360" w:lineRule="auto"/>
              <w:jc w:val="center"/>
              <w:rPr>
                <w:rStyle w:val="127"/>
                <w:rFonts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noWrap w:val="0"/>
            <w:vAlign w:val="top"/>
          </w:tcPr>
          <w:p w14:paraId="4023EDFD">
            <w:pPr>
              <w:spacing w:line="360" w:lineRule="auto"/>
              <w:jc w:val="center"/>
              <w:rPr>
                <w:rStyle w:val="127"/>
                <w:rFonts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noWrap w:val="0"/>
            <w:vAlign w:val="top"/>
          </w:tcPr>
          <w:p w14:paraId="1956E6B9">
            <w:pPr>
              <w:spacing w:line="360" w:lineRule="auto"/>
              <w:jc w:val="center"/>
              <w:rPr>
                <w:rStyle w:val="127"/>
                <w:rFonts w:ascii="宋体" w:hAnsi="宋体"/>
                <w:color w:val="auto"/>
                <w:sz w:val="24"/>
                <w:szCs w:val="24"/>
                <w:highlight w:val="none"/>
              </w:rPr>
            </w:pPr>
          </w:p>
        </w:tc>
      </w:tr>
      <w:tr w14:paraId="23EDF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noWrap w:val="0"/>
            <w:vAlign w:val="top"/>
          </w:tcPr>
          <w:p w14:paraId="31CE50D8">
            <w:pPr>
              <w:spacing w:line="360" w:lineRule="auto"/>
              <w:jc w:val="center"/>
              <w:rPr>
                <w:rStyle w:val="127"/>
                <w:rFonts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noWrap w:val="0"/>
            <w:vAlign w:val="top"/>
          </w:tcPr>
          <w:p w14:paraId="401A9F12">
            <w:pPr>
              <w:spacing w:line="360" w:lineRule="auto"/>
              <w:jc w:val="center"/>
              <w:rPr>
                <w:rStyle w:val="127"/>
                <w:rFonts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noWrap w:val="0"/>
            <w:vAlign w:val="top"/>
          </w:tcPr>
          <w:p w14:paraId="569663FA">
            <w:pPr>
              <w:spacing w:line="360" w:lineRule="auto"/>
              <w:jc w:val="center"/>
              <w:rPr>
                <w:rStyle w:val="127"/>
                <w:rFonts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noWrap w:val="0"/>
            <w:vAlign w:val="top"/>
          </w:tcPr>
          <w:p w14:paraId="12543E99">
            <w:pPr>
              <w:spacing w:line="360" w:lineRule="auto"/>
              <w:jc w:val="center"/>
              <w:rPr>
                <w:rStyle w:val="127"/>
                <w:rFonts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noWrap w:val="0"/>
            <w:vAlign w:val="top"/>
          </w:tcPr>
          <w:p w14:paraId="2068A230">
            <w:pPr>
              <w:spacing w:line="360" w:lineRule="auto"/>
              <w:jc w:val="center"/>
              <w:rPr>
                <w:rStyle w:val="127"/>
                <w:rFonts w:ascii="宋体" w:hAnsi="宋体"/>
                <w:color w:val="auto"/>
                <w:sz w:val="24"/>
                <w:szCs w:val="24"/>
                <w:highlight w:val="none"/>
              </w:rPr>
            </w:pPr>
          </w:p>
        </w:tc>
      </w:tr>
      <w:tr w14:paraId="7CABC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noWrap w:val="0"/>
            <w:vAlign w:val="top"/>
          </w:tcPr>
          <w:p w14:paraId="6580D399">
            <w:pPr>
              <w:spacing w:line="360" w:lineRule="auto"/>
              <w:jc w:val="center"/>
              <w:rPr>
                <w:rStyle w:val="127"/>
                <w:rFonts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noWrap w:val="0"/>
            <w:vAlign w:val="top"/>
          </w:tcPr>
          <w:p w14:paraId="4A6D97C9">
            <w:pPr>
              <w:spacing w:line="360" w:lineRule="auto"/>
              <w:jc w:val="center"/>
              <w:rPr>
                <w:rStyle w:val="127"/>
                <w:rFonts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noWrap w:val="0"/>
            <w:vAlign w:val="top"/>
          </w:tcPr>
          <w:p w14:paraId="6ABB66DD">
            <w:pPr>
              <w:spacing w:line="360" w:lineRule="auto"/>
              <w:jc w:val="center"/>
              <w:rPr>
                <w:rStyle w:val="127"/>
                <w:rFonts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noWrap w:val="0"/>
            <w:vAlign w:val="top"/>
          </w:tcPr>
          <w:p w14:paraId="16CAD56F">
            <w:pPr>
              <w:spacing w:line="360" w:lineRule="auto"/>
              <w:jc w:val="center"/>
              <w:rPr>
                <w:rStyle w:val="127"/>
                <w:rFonts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noWrap w:val="0"/>
            <w:vAlign w:val="top"/>
          </w:tcPr>
          <w:p w14:paraId="4E77EAF6">
            <w:pPr>
              <w:spacing w:line="360" w:lineRule="auto"/>
              <w:jc w:val="center"/>
              <w:rPr>
                <w:rStyle w:val="127"/>
                <w:rFonts w:ascii="宋体" w:hAnsi="宋体"/>
                <w:color w:val="auto"/>
                <w:sz w:val="24"/>
                <w:szCs w:val="24"/>
                <w:highlight w:val="none"/>
              </w:rPr>
            </w:pPr>
          </w:p>
        </w:tc>
      </w:tr>
      <w:tr w14:paraId="1CDEB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noWrap w:val="0"/>
            <w:vAlign w:val="top"/>
          </w:tcPr>
          <w:p w14:paraId="65F1C907">
            <w:pPr>
              <w:spacing w:line="360" w:lineRule="auto"/>
              <w:jc w:val="center"/>
              <w:rPr>
                <w:rStyle w:val="127"/>
                <w:rFonts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noWrap w:val="0"/>
            <w:vAlign w:val="top"/>
          </w:tcPr>
          <w:p w14:paraId="4A6787F8">
            <w:pPr>
              <w:spacing w:line="360" w:lineRule="auto"/>
              <w:jc w:val="center"/>
              <w:rPr>
                <w:rStyle w:val="127"/>
                <w:rFonts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noWrap w:val="0"/>
            <w:vAlign w:val="top"/>
          </w:tcPr>
          <w:p w14:paraId="19029C1C">
            <w:pPr>
              <w:spacing w:line="360" w:lineRule="auto"/>
              <w:jc w:val="center"/>
              <w:rPr>
                <w:rStyle w:val="127"/>
                <w:rFonts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noWrap w:val="0"/>
            <w:vAlign w:val="top"/>
          </w:tcPr>
          <w:p w14:paraId="258AA9AD">
            <w:pPr>
              <w:spacing w:line="360" w:lineRule="auto"/>
              <w:jc w:val="center"/>
              <w:rPr>
                <w:rStyle w:val="127"/>
                <w:rFonts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noWrap w:val="0"/>
            <w:vAlign w:val="top"/>
          </w:tcPr>
          <w:p w14:paraId="789EA40B">
            <w:pPr>
              <w:spacing w:line="360" w:lineRule="auto"/>
              <w:jc w:val="center"/>
              <w:rPr>
                <w:rStyle w:val="127"/>
                <w:rFonts w:ascii="宋体" w:hAnsi="宋体"/>
                <w:color w:val="auto"/>
                <w:sz w:val="24"/>
                <w:szCs w:val="24"/>
                <w:highlight w:val="none"/>
              </w:rPr>
            </w:pPr>
          </w:p>
        </w:tc>
      </w:tr>
      <w:tr w14:paraId="7D4A1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noWrap w:val="0"/>
            <w:vAlign w:val="top"/>
          </w:tcPr>
          <w:p w14:paraId="4BF081BB">
            <w:pPr>
              <w:spacing w:line="360" w:lineRule="auto"/>
              <w:jc w:val="center"/>
              <w:rPr>
                <w:rStyle w:val="127"/>
                <w:rFonts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noWrap w:val="0"/>
            <w:vAlign w:val="top"/>
          </w:tcPr>
          <w:p w14:paraId="1B6EF11A">
            <w:pPr>
              <w:spacing w:line="360" w:lineRule="auto"/>
              <w:jc w:val="center"/>
              <w:rPr>
                <w:rStyle w:val="127"/>
                <w:rFonts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noWrap w:val="0"/>
            <w:vAlign w:val="top"/>
          </w:tcPr>
          <w:p w14:paraId="23FF629D">
            <w:pPr>
              <w:spacing w:line="360" w:lineRule="auto"/>
              <w:jc w:val="center"/>
              <w:rPr>
                <w:rStyle w:val="127"/>
                <w:rFonts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noWrap w:val="0"/>
            <w:vAlign w:val="top"/>
          </w:tcPr>
          <w:p w14:paraId="0DA1E8EE">
            <w:pPr>
              <w:spacing w:line="360" w:lineRule="auto"/>
              <w:jc w:val="center"/>
              <w:rPr>
                <w:rStyle w:val="127"/>
                <w:rFonts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noWrap w:val="0"/>
            <w:vAlign w:val="top"/>
          </w:tcPr>
          <w:p w14:paraId="691EF208">
            <w:pPr>
              <w:spacing w:line="360" w:lineRule="auto"/>
              <w:jc w:val="center"/>
              <w:rPr>
                <w:rStyle w:val="127"/>
                <w:rFonts w:ascii="宋体" w:hAnsi="宋体"/>
                <w:color w:val="auto"/>
                <w:sz w:val="24"/>
                <w:szCs w:val="24"/>
                <w:highlight w:val="none"/>
              </w:rPr>
            </w:pPr>
          </w:p>
        </w:tc>
      </w:tr>
      <w:tr w14:paraId="3C822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noWrap w:val="0"/>
            <w:vAlign w:val="top"/>
          </w:tcPr>
          <w:p w14:paraId="4FBA8387">
            <w:pPr>
              <w:spacing w:line="360" w:lineRule="auto"/>
              <w:jc w:val="center"/>
              <w:rPr>
                <w:rStyle w:val="127"/>
                <w:rFonts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noWrap w:val="0"/>
            <w:vAlign w:val="top"/>
          </w:tcPr>
          <w:p w14:paraId="097FE005">
            <w:pPr>
              <w:spacing w:line="360" w:lineRule="auto"/>
              <w:jc w:val="center"/>
              <w:rPr>
                <w:rStyle w:val="127"/>
                <w:rFonts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noWrap w:val="0"/>
            <w:vAlign w:val="top"/>
          </w:tcPr>
          <w:p w14:paraId="7747F1D1">
            <w:pPr>
              <w:spacing w:line="360" w:lineRule="auto"/>
              <w:jc w:val="center"/>
              <w:rPr>
                <w:rStyle w:val="127"/>
                <w:rFonts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noWrap w:val="0"/>
            <w:vAlign w:val="top"/>
          </w:tcPr>
          <w:p w14:paraId="0586A908">
            <w:pPr>
              <w:spacing w:line="360" w:lineRule="auto"/>
              <w:jc w:val="center"/>
              <w:rPr>
                <w:rStyle w:val="127"/>
                <w:rFonts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noWrap w:val="0"/>
            <w:vAlign w:val="top"/>
          </w:tcPr>
          <w:p w14:paraId="7906349F">
            <w:pPr>
              <w:spacing w:line="360" w:lineRule="auto"/>
              <w:jc w:val="center"/>
              <w:rPr>
                <w:rStyle w:val="127"/>
                <w:rFonts w:ascii="宋体" w:hAnsi="宋体"/>
                <w:color w:val="auto"/>
                <w:sz w:val="24"/>
                <w:szCs w:val="24"/>
                <w:highlight w:val="none"/>
              </w:rPr>
            </w:pPr>
          </w:p>
        </w:tc>
      </w:tr>
      <w:tr w14:paraId="56B37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noWrap w:val="0"/>
            <w:vAlign w:val="top"/>
          </w:tcPr>
          <w:p w14:paraId="283FD4C1">
            <w:pPr>
              <w:spacing w:line="360" w:lineRule="auto"/>
              <w:jc w:val="center"/>
              <w:rPr>
                <w:rStyle w:val="127"/>
                <w:rFonts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noWrap w:val="0"/>
            <w:vAlign w:val="top"/>
          </w:tcPr>
          <w:p w14:paraId="6AEAC462">
            <w:pPr>
              <w:spacing w:line="360" w:lineRule="auto"/>
              <w:jc w:val="center"/>
              <w:rPr>
                <w:rStyle w:val="127"/>
                <w:rFonts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noWrap w:val="0"/>
            <w:vAlign w:val="top"/>
          </w:tcPr>
          <w:p w14:paraId="1910F965">
            <w:pPr>
              <w:spacing w:line="360" w:lineRule="auto"/>
              <w:jc w:val="center"/>
              <w:rPr>
                <w:rStyle w:val="127"/>
                <w:rFonts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noWrap w:val="0"/>
            <w:vAlign w:val="top"/>
          </w:tcPr>
          <w:p w14:paraId="491E3A44">
            <w:pPr>
              <w:spacing w:line="360" w:lineRule="auto"/>
              <w:jc w:val="center"/>
              <w:rPr>
                <w:rStyle w:val="127"/>
                <w:rFonts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noWrap w:val="0"/>
            <w:vAlign w:val="top"/>
          </w:tcPr>
          <w:p w14:paraId="21D52F52">
            <w:pPr>
              <w:spacing w:line="360" w:lineRule="auto"/>
              <w:jc w:val="center"/>
              <w:rPr>
                <w:rStyle w:val="127"/>
                <w:rFonts w:ascii="宋体" w:hAnsi="宋体"/>
                <w:color w:val="auto"/>
                <w:sz w:val="24"/>
                <w:szCs w:val="24"/>
                <w:highlight w:val="none"/>
              </w:rPr>
            </w:pPr>
          </w:p>
        </w:tc>
      </w:tr>
      <w:tr w14:paraId="67418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noWrap w:val="0"/>
            <w:vAlign w:val="top"/>
          </w:tcPr>
          <w:p w14:paraId="0CBE6C0F">
            <w:pPr>
              <w:spacing w:line="360" w:lineRule="auto"/>
              <w:jc w:val="center"/>
              <w:rPr>
                <w:rStyle w:val="127"/>
                <w:rFonts w:ascii="宋体" w:hAnsi="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noWrap w:val="0"/>
            <w:vAlign w:val="top"/>
          </w:tcPr>
          <w:p w14:paraId="60B319E2">
            <w:pPr>
              <w:spacing w:line="360" w:lineRule="auto"/>
              <w:jc w:val="center"/>
              <w:rPr>
                <w:rStyle w:val="127"/>
                <w:rFonts w:ascii="宋体" w:hAnsi="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noWrap w:val="0"/>
            <w:vAlign w:val="top"/>
          </w:tcPr>
          <w:p w14:paraId="2B06578F">
            <w:pPr>
              <w:spacing w:line="360" w:lineRule="auto"/>
              <w:jc w:val="center"/>
              <w:rPr>
                <w:rStyle w:val="127"/>
                <w:rFonts w:ascii="宋体" w:hAnsi="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noWrap w:val="0"/>
            <w:vAlign w:val="top"/>
          </w:tcPr>
          <w:p w14:paraId="2BEEC41D">
            <w:pPr>
              <w:spacing w:line="360" w:lineRule="auto"/>
              <w:jc w:val="center"/>
              <w:rPr>
                <w:rStyle w:val="127"/>
                <w:rFonts w:ascii="宋体" w:hAnsi="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noWrap w:val="0"/>
            <w:vAlign w:val="top"/>
          </w:tcPr>
          <w:p w14:paraId="75541D6B">
            <w:pPr>
              <w:spacing w:line="360" w:lineRule="auto"/>
              <w:jc w:val="center"/>
              <w:rPr>
                <w:rStyle w:val="127"/>
                <w:rFonts w:ascii="宋体" w:hAnsi="宋体"/>
                <w:color w:val="auto"/>
                <w:sz w:val="24"/>
                <w:szCs w:val="24"/>
                <w:highlight w:val="none"/>
              </w:rPr>
            </w:pPr>
          </w:p>
        </w:tc>
      </w:tr>
    </w:tbl>
    <w:p w14:paraId="20F3D125">
      <w:pPr>
        <w:spacing w:line="360" w:lineRule="auto"/>
        <w:rPr>
          <w:rStyle w:val="127"/>
          <w:rFonts w:ascii="宋体" w:hAnsi="宋体"/>
          <w:color w:val="auto"/>
          <w:szCs w:val="21"/>
          <w:highlight w:val="none"/>
        </w:rPr>
      </w:pPr>
      <w:r>
        <w:rPr>
          <w:rStyle w:val="127"/>
          <w:rFonts w:ascii="宋体" w:hAnsi="宋体"/>
          <w:color w:val="auto"/>
          <w:szCs w:val="21"/>
          <w:highlight w:val="none"/>
        </w:rPr>
        <w:t>评委签名：</w:t>
      </w:r>
    </w:p>
    <w:p w14:paraId="73D91F4A">
      <w:pPr>
        <w:spacing w:line="360" w:lineRule="auto"/>
        <w:jc w:val="center"/>
        <w:rPr>
          <w:rStyle w:val="127"/>
          <w:rFonts w:ascii="宋体" w:hAnsi="宋体"/>
          <w:color w:val="auto"/>
          <w:szCs w:val="21"/>
          <w:highlight w:val="none"/>
        </w:rPr>
        <w:sectPr>
          <w:headerReference r:id="rId19" w:type="first"/>
          <w:footerReference r:id="rId22" w:type="first"/>
          <w:headerReference r:id="rId17" w:type="default"/>
          <w:footerReference r:id="rId20" w:type="default"/>
          <w:headerReference r:id="rId18" w:type="even"/>
          <w:footerReference r:id="rId21" w:type="even"/>
          <w:endnotePr>
            <w:numFmt w:val="decimal"/>
          </w:endnotePr>
          <w:pgSz w:w="16838" w:h="11906"/>
          <w:pgMar w:top="1418" w:right="1418" w:bottom="1418" w:left="1418" w:header="851" w:footer="907" w:gutter="0"/>
          <w:pgNumType w:fmt="decimal"/>
          <w:cols w:space="720" w:num="1"/>
          <w:titlePg/>
          <w:docGrid w:type="linesAndChars" w:linePitch="312" w:charSpace="0"/>
        </w:sectPr>
      </w:pPr>
    </w:p>
    <w:p w14:paraId="42B4928A">
      <w:pPr>
        <w:pStyle w:val="134"/>
        <w:outlineLvl w:val="0"/>
        <w:rPr>
          <w:rStyle w:val="127"/>
          <w:rFonts w:ascii="宋体" w:hAnsi="宋体"/>
          <w:bCs/>
          <w:color w:val="auto"/>
          <w:sz w:val="36"/>
          <w:szCs w:val="36"/>
          <w:highlight w:val="none"/>
        </w:rPr>
      </w:pPr>
      <w:bookmarkStart w:id="34" w:name="_Toc185324327"/>
      <w:bookmarkStart w:id="35" w:name="_Toc23027"/>
      <w:r>
        <w:rPr>
          <w:rStyle w:val="127"/>
          <w:rFonts w:ascii="宋体" w:hAnsi="宋体"/>
          <w:bCs/>
          <w:color w:val="auto"/>
          <w:sz w:val="36"/>
          <w:szCs w:val="36"/>
          <w:highlight w:val="none"/>
        </w:rPr>
        <w:t>第三章  合同条款</w:t>
      </w:r>
      <w:bookmarkEnd w:id="34"/>
      <w:bookmarkEnd w:id="35"/>
    </w:p>
    <w:p w14:paraId="1DB4D8B8">
      <w:pPr>
        <w:jc w:val="center"/>
        <w:rPr>
          <w:rStyle w:val="127"/>
          <w:rFonts w:ascii="宋体" w:hAnsi="宋体"/>
          <w:b/>
          <w:color w:val="auto"/>
          <w:sz w:val="32"/>
          <w:szCs w:val="32"/>
          <w:highlight w:val="none"/>
        </w:rPr>
      </w:pPr>
      <w:r>
        <w:rPr>
          <w:rStyle w:val="127"/>
          <w:rFonts w:ascii="宋体" w:hAnsi="宋体"/>
          <w:color w:val="auto"/>
          <w:sz w:val="32"/>
          <w:szCs w:val="32"/>
          <w:highlight w:val="none"/>
        </w:rPr>
        <w:t>另册。</w:t>
      </w:r>
    </w:p>
    <w:p w14:paraId="2F7F27CA">
      <w:pPr>
        <w:rPr>
          <w:rStyle w:val="127"/>
          <w:rFonts w:ascii="宋体" w:hAnsi="宋体"/>
          <w:color w:val="auto"/>
          <w:sz w:val="32"/>
          <w:szCs w:val="32"/>
          <w:highlight w:val="none"/>
        </w:rPr>
      </w:pPr>
    </w:p>
    <w:p w14:paraId="38EBAB43">
      <w:pPr>
        <w:pStyle w:val="120"/>
        <w:spacing w:line="360" w:lineRule="auto"/>
        <w:ind w:firstLine="0"/>
        <w:rPr>
          <w:rStyle w:val="127"/>
          <w:rFonts w:ascii="宋体" w:hAnsi="宋体"/>
          <w:color w:val="auto"/>
          <w:sz w:val="32"/>
          <w:szCs w:val="32"/>
          <w:highlight w:val="none"/>
        </w:rPr>
      </w:pPr>
    </w:p>
    <w:p w14:paraId="2E212755">
      <w:pPr>
        <w:pStyle w:val="49"/>
        <w:spacing w:line="360" w:lineRule="auto"/>
        <w:rPr>
          <w:rStyle w:val="127"/>
          <w:rFonts w:hAnsi="宋体"/>
          <w:color w:val="auto"/>
          <w:sz w:val="24"/>
          <w:szCs w:val="24"/>
          <w:highlight w:val="none"/>
        </w:rPr>
      </w:pPr>
    </w:p>
    <w:p w14:paraId="4D99E74E">
      <w:pPr>
        <w:pStyle w:val="2"/>
        <w:jc w:val="center"/>
        <w:rPr>
          <w:rFonts w:ascii="宋体" w:hAnsi="宋体" w:cs="宋体"/>
          <w:color w:val="auto"/>
          <w:sz w:val="32"/>
          <w:szCs w:val="32"/>
          <w:highlight w:val="none"/>
        </w:rPr>
      </w:pPr>
      <w:r>
        <w:rPr>
          <w:rStyle w:val="127"/>
          <w:rFonts w:ascii="宋体" w:hAnsi="宋体"/>
          <w:b w:val="0"/>
          <w:color w:val="auto"/>
          <w:highlight w:val="none"/>
        </w:rPr>
        <w:br w:type="page"/>
      </w:r>
      <w:bookmarkStart w:id="36" w:name="_Toc16855"/>
      <w:bookmarkStart w:id="37" w:name="_Toc28378"/>
      <w:bookmarkStart w:id="38" w:name="_Toc185324329"/>
      <w:r>
        <w:rPr>
          <w:rFonts w:hint="eastAsia" w:ascii="宋体" w:hAnsi="宋体" w:cs="宋体"/>
          <w:color w:val="auto"/>
          <w:sz w:val="32"/>
          <w:szCs w:val="32"/>
          <w:highlight w:val="none"/>
        </w:rPr>
        <w:t>第四章  投标文件格式</w:t>
      </w:r>
      <w:bookmarkEnd w:id="36"/>
      <w:bookmarkEnd w:id="37"/>
    </w:p>
    <w:p w14:paraId="0836203A">
      <w:pPr>
        <w:rPr>
          <w:rFonts w:ascii="宋体" w:hAnsi="宋体" w:cs="宋体"/>
          <w:bCs/>
          <w:color w:val="auto"/>
          <w:szCs w:val="21"/>
          <w:highlight w:val="none"/>
        </w:rPr>
      </w:pPr>
    </w:p>
    <w:p w14:paraId="3368724A">
      <w:pPr>
        <w:autoSpaceDE w:val="0"/>
        <w:autoSpaceDN w:val="0"/>
        <w:adjustRightIn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【本章格式除招标文件中带★号的格式必须按招标文件规定的格式进行编制外，其余格式仅供参考。】</w:t>
      </w:r>
    </w:p>
    <w:p w14:paraId="03333D39">
      <w:pPr>
        <w:autoSpaceDE w:val="0"/>
        <w:autoSpaceDN w:val="0"/>
        <w:adjustRightInd w:val="0"/>
        <w:rPr>
          <w:rFonts w:ascii="宋体" w:hAnsi="宋体" w:cs="宋体"/>
          <w:color w:val="auto"/>
          <w:sz w:val="24"/>
          <w:szCs w:val="24"/>
          <w:highlight w:val="none"/>
        </w:rPr>
      </w:pPr>
    </w:p>
    <w:p w14:paraId="7FB91698">
      <w:pPr>
        <w:autoSpaceDE w:val="0"/>
        <w:autoSpaceDN w:val="0"/>
        <w:adjustRightInd w:val="0"/>
        <w:rPr>
          <w:rFonts w:ascii="宋体" w:hAnsi="宋体" w:cs="宋体"/>
          <w:color w:val="auto"/>
          <w:sz w:val="24"/>
          <w:szCs w:val="24"/>
          <w:highlight w:val="none"/>
        </w:rPr>
      </w:pPr>
    </w:p>
    <w:p w14:paraId="480A2976">
      <w:pPr>
        <w:autoSpaceDE w:val="0"/>
        <w:autoSpaceDN w:val="0"/>
        <w:adjustRightInd w:val="0"/>
        <w:rPr>
          <w:rFonts w:ascii="宋体" w:hAnsi="宋体" w:cs="宋体"/>
          <w:color w:val="auto"/>
          <w:sz w:val="24"/>
          <w:szCs w:val="24"/>
          <w:highlight w:val="none"/>
        </w:rPr>
      </w:pPr>
    </w:p>
    <w:p w14:paraId="0F7CB6AB">
      <w:pPr>
        <w:autoSpaceDE w:val="0"/>
        <w:autoSpaceDN w:val="0"/>
        <w:adjustRightInd w:val="0"/>
        <w:rPr>
          <w:rFonts w:ascii="宋体" w:hAnsi="宋体" w:cs="宋体"/>
          <w:color w:val="auto"/>
          <w:sz w:val="24"/>
          <w:szCs w:val="24"/>
          <w:highlight w:val="none"/>
        </w:rPr>
      </w:pPr>
    </w:p>
    <w:p w14:paraId="045249C1">
      <w:pPr>
        <w:autoSpaceDE w:val="0"/>
        <w:autoSpaceDN w:val="0"/>
        <w:adjustRightInd w:val="0"/>
        <w:rPr>
          <w:rFonts w:ascii="宋体" w:hAnsi="宋体" w:cs="宋体"/>
          <w:color w:val="auto"/>
          <w:sz w:val="24"/>
          <w:szCs w:val="24"/>
          <w:highlight w:val="none"/>
        </w:rPr>
      </w:pPr>
    </w:p>
    <w:p w14:paraId="1543463E">
      <w:pPr>
        <w:autoSpaceDE w:val="0"/>
        <w:autoSpaceDN w:val="0"/>
        <w:adjustRightInd w:val="0"/>
        <w:rPr>
          <w:rFonts w:ascii="宋体" w:hAnsi="宋体" w:cs="宋体"/>
          <w:color w:val="auto"/>
          <w:sz w:val="24"/>
          <w:szCs w:val="24"/>
          <w:highlight w:val="none"/>
        </w:rPr>
      </w:pPr>
    </w:p>
    <w:p w14:paraId="58F16D3A">
      <w:pPr>
        <w:autoSpaceDE w:val="0"/>
        <w:autoSpaceDN w:val="0"/>
        <w:adjustRightInd w:val="0"/>
        <w:rPr>
          <w:rFonts w:ascii="宋体" w:hAnsi="宋体" w:cs="宋体"/>
          <w:color w:val="auto"/>
          <w:sz w:val="24"/>
          <w:szCs w:val="24"/>
          <w:highlight w:val="none"/>
        </w:rPr>
      </w:pPr>
    </w:p>
    <w:p w14:paraId="4C38DA0F">
      <w:pPr>
        <w:autoSpaceDE w:val="0"/>
        <w:autoSpaceDN w:val="0"/>
        <w:adjustRightInd w:val="0"/>
        <w:jc w:val="center"/>
        <w:rPr>
          <w:rFonts w:ascii="宋体" w:hAnsi="宋体" w:cs="宋体"/>
          <w:b/>
          <w:color w:val="auto"/>
          <w:sz w:val="32"/>
          <w:szCs w:val="32"/>
          <w:highlight w:val="none"/>
        </w:rPr>
      </w:pPr>
      <w:r>
        <w:rPr>
          <w:rFonts w:hint="eastAsia" w:ascii="宋体" w:hAnsi="宋体" w:cs="宋体"/>
          <w:b/>
          <w:color w:val="auto"/>
          <w:sz w:val="32"/>
          <w:szCs w:val="32"/>
          <w:highlight w:val="none"/>
        </w:rPr>
        <w:t>第一部分  投标文件技术标部分（部分格式）</w:t>
      </w:r>
    </w:p>
    <w:p w14:paraId="118272E2">
      <w:pPr>
        <w:rPr>
          <w:rFonts w:ascii="宋体" w:hAnsi="宋体" w:cs="宋体"/>
          <w:bCs/>
          <w:color w:val="auto"/>
          <w:szCs w:val="21"/>
          <w:highlight w:val="none"/>
        </w:rPr>
      </w:pPr>
    </w:p>
    <w:p w14:paraId="33C7DDF0">
      <w:pPr>
        <w:pStyle w:val="9"/>
        <w:ind w:firstLine="0"/>
        <w:rPr>
          <w:rFonts w:ascii="宋体" w:hAnsi="宋体" w:cs="宋体"/>
          <w:color w:val="auto"/>
          <w:highlight w:val="none"/>
        </w:rPr>
      </w:pPr>
    </w:p>
    <w:p w14:paraId="10B0F683">
      <w:pPr>
        <w:pStyle w:val="9"/>
        <w:ind w:firstLine="0"/>
        <w:rPr>
          <w:rFonts w:ascii="宋体" w:hAnsi="宋体" w:cs="宋体"/>
          <w:color w:val="auto"/>
          <w:highlight w:val="none"/>
        </w:rPr>
      </w:pPr>
    </w:p>
    <w:p w14:paraId="6FA64004">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r>
        <w:rPr>
          <w:rFonts w:hint="eastAsia" w:ascii="宋体" w:hAnsi="宋体" w:cs="宋体"/>
          <w:b/>
          <w:color w:val="auto"/>
          <w:sz w:val="24"/>
          <w:szCs w:val="24"/>
          <w:highlight w:val="none"/>
        </w:rPr>
        <w:t>技术部分格式1：技术标封面</w:t>
      </w:r>
    </w:p>
    <w:p w14:paraId="4B8B02E3">
      <w:pPr>
        <w:pStyle w:val="124"/>
        <w:ind w:firstLine="496"/>
        <w:rPr>
          <w:rFonts w:ascii="宋体" w:hAnsi="宋体" w:cs="宋体"/>
          <w:color w:val="auto"/>
          <w:highlight w:val="none"/>
        </w:rPr>
      </w:pPr>
    </w:p>
    <w:p w14:paraId="39E4F1A0">
      <w:pPr>
        <w:pStyle w:val="124"/>
        <w:ind w:firstLine="496"/>
        <w:rPr>
          <w:rFonts w:ascii="宋体" w:hAnsi="宋体" w:cs="宋体"/>
          <w:color w:val="auto"/>
          <w:highlight w:val="none"/>
        </w:rPr>
      </w:pPr>
    </w:p>
    <w:p w14:paraId="3BEF4AE7">
      <w:pPr>
        <w:pStyle w:val="124"/>
        <w:ind w:firstLine="496"/>
        <w:rPr>
          <w:rFonts w:ascii="宋体" w:hAnsi="宋体" w:cs="宋体"/>
          <w:color w:val="auto"/>
          <w:highlight w:val="none"/>
        </w:rPr>
      </w:pPr>
    </w:p>
    <w:p w14:paraId="18A06099">
      <w:pPr>
        <w:pStyle w:val="172"/>
        <w:rPr>
          <w:rFonts w:ascii="宋体" w:hAnsi="宋体" w:eastAsia="宋体" w:cs="宋体"/>
          <w:b w:val="0"/>
          <w:color w:val="auto"/>
          <w:highlight w:val="none"/>
          <w:u w:val="single"/>
        </w:rPr>
      </w:pPr>
      <w:r>
        <w:rPr>
          <w:rFonts w:hint="eastAsia" w:ascii="宋体" w:hAnsi="宋体" w:eastAsia="宋体" w:cs="宋体"/>
          <w:b w:val="0"/>
          <w:color w:val="auto"/>
          <w:highlight w:val="none"/>
          <w:u w:val="single"/>
        </w:rPr>
        <w:t xml:space="preserve">[工程名称] </w:t>
      </w:r>
    </w:p>
    <w:p w14:paraId="0FF4A183">
      <w:pPr>
        <w:pStyle w:val="124"/>
        <w:ind w:firstLine="496"/>
        <w:rPr>
          <w:rFonts w:ascii="宋体" w:hAnsi="宋体" w:cs="宋体"/>
          <w:color w:val="auto"/>
          <w:highlight w:val="none"/>
        </w:rPr>
      </w:pPr>
    </w:p>
    <w:p w14:paraId="76B5C4E8">
      <w:pPr>
        <w:pStyle w:val="124"/>
        <w:ind w:firstLine="496"/>
        <w:rPr>
          <w:rFonts w:ascii="宋体" w:hAnsi="宋体" w:cs="宋体"/>
          <w:color w:val="auto"/>
          <w:highlight w:val="none"/>
        </w:rPr>
      </w:pPr>
    </w:p>
    <w:p w14:paraId="7B5A35D2">
      <w:pPr>
        <w:pStyle w:val="124"/>
        <w:ind w:firstLine="496"/>
        <w:rPr>
          <w:rFonts w:ascii="宋体" w:hAnsi="宋体" w:cs="宋体"/>
          <w:color w:val="auto"/>
          <w:highlight w:val="none"/>
        </w:rPr>
      </w:pPr>
    </w:p>
    <w:p w14:paraId="4C77744B">
      <w:pPr>
        <w:pStyle w:val="124"/>
        <w:ind w:firstLine="496"/>
        <w:rPr>
          <w:rFonts w:ascii="宋体" w:hAnsi="宋体" w:cs="宋体"/>
          <w:color w:val="auto"/>
          <w:highlight w:val="none"/>
        </w:rPr>
      </w:pPr>
    </w:p>
    <w:p w14:paraId="4E2BD422">
      <w:pPr>
        <w:pStyle w:val="132"/>
        <w:rPr>
          <w:rFonts w:ascii="宋体" w:hAnsi="宋体" w:eastAsia="宋体" w:cs="宋体"/>
          <w:b w:val="0"/>
          <w:color w:val="auto"/>
          <w:highlight w:val="none"/>
        </w:rPr>
      </w:pPr>
      <w:r>
        <w:rPr>
          <w:rFonts w:hint="eastAsia" w:ascii="宋体" w:hAnsi="宋体" w:eastAsia="宋体" w:cs="宋体"/>
          <w:b w:val="0"/>
          <w:color w:val="auto"/>
          <w:highlight w:val="none"/>
        </w:rPr>
        <w:t>投标文件</w:t>
      </w:r>
    </w:p>
    <w:p w14:paraId="6ED09777">
      <w:pPr>
        <w:pStyle w:val="172"/>
        <w:rPr>
          <w:rFonts w:ascii="宋体" w:hAnsi="宋体" w:eastAsia="宋体" w:cs="宋体"/>
          <w:b w:val="0"/>
          <w:color w:val="auto"/>
          <w:highlight w:val="none"/>
        </w:rPr>
      </w:pPr>
      <w:r>
        <w:rPr>
          <w:rFonts w:hint="eastAsia" w:ascii="宋体" w:hAnsi="宋体" w:eastAsia="宋体" w:cs="宋体"/>
          <w:b w:val="0"/>
          <w:color w:val="auto"/>
          <w:highlight w:val="none"/>
        </w:rPr>
        <w:t>第一册  技术标书（含资格审查文件）</w:t>
      </w:r>
    </w:p>
    <w:p w14:paraId="561EB1CB">
      <w:pPr>
        <w:pStyle w:val="124"/>
        <w:ind w:firstLine="496"/>
        <w:rPr>
          <w:rFonts w:ascii="宋体" w:hAnsi="宋体" w:cs="宋体"/>
          <w:color w:val="auto"/>
          <w:highlight w:val="none"/>
        </w:rPr>
      </w:pPr>
    </w:p>
    <w:p w14:paraId="05BB817F">
      <w:pPr>
        <w:pStyle w:val="124"/>
        <w:ind w:firstLine="496"/>
        <w:rPr>
          <w:rFonts w:ascii="宋体" w:hAnsi="宋体" w:cs="宋体"/>
          <w:color w:val="auto"/>
          <w:highlight w:val="none"/>
        </w:rPr>
      </w:pPr>
    </w:p>
    <w:p w14:paraId="02108560">
      <w:pPr>
        <w:pStyle w:val="124"/>
        <w:ind w:firstLine="496"/>
        <w:rPr>
          <w:rFonts w:ascii="宋体" w:hAnsi="宋体" w:cs="宋体"/>
          <w:color w:val="auto"/>
          <w:highlight w:val="none"/>
        </w:rPr>
      </w:pPr>
    </w:p>
    <w:p w14:paraId="102B2227">
      <w:pPr>
        <w:pStyle w:val="124"/>
        <w:ind w:firstLine="496"/>
        <w:rPr>
          <w:rFonts w:ascii="宋体" w:hAnsi="宋体" w:cs="宋体"/>
          <w:color w:val="auto"/>
          <w:highlight w:val="none"/>
        </w:rPr>
      </w:pPr>
    </w:p>
    <w:p w14:paraId="1B6FB212">
      <w:pPr>
        <w:pStyle w:val="124"/>
        <w:ind w:firstLine="496"/>
        <w:rPr>
          <w:rFonts w:ascii="宋体" w:hAnsi="宋体" w:cs="宋体"/>
          <w:color w:val="auto"/>
          <w:highlight w:val="none"/>
        </w:rPr>
      </w:pPr>
    </w:p>
    <w:p w14:paraId="5350B340">
      <w:pPr>
        <w:pStyle w:val="124"/>
        <w:ind w:firstLine="496"/>
        <w:rPr>
          <w:rFonts w:ascii="宋体" w:hAnsi="宋体" w:cs="宋体"/>
          <w:color w:val="auto"/>
          <w:highlight w:val="none"/>
        </w:rPr>
      </w:pPr>
    </w:p>
    <w:p w14:paraId="3595B744">
      <w:pPr>
        <w:pStyle w:val="158"/>
        <w:ind w:firstLine="616"/>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 xml:space="preserve">      （填写投标人单位名称）    （盖章）</w:t>
      </w:r>
    </w:p>
    <w:p w14:paraId="7F6B5DA1">
      <w:pPr>
        <w:pStyle w:val="158"/>
        <w:ind w:firstLine="616"/>
        <w:rPr>
          <w:rFonts w:ascii="宋体" w:hAnsi="宋体" w:cs="宋体"/>
          <w:color w:val="auto"/>
          <w:sz w:val="24"/>
          <w:szCs w:val="24"/>
          <w:highlight w:val="none"/>
        </w:rPr>
      </w:pPr>
      <w:r>
        <w:rPr>
          <w:rFonts w:hint="eastAsia" w:ascii="宋体" w:hAnsi="宋体" w:cs="宋体"/>
          <w:color w:val="auto"/>
          <w:highlight w:val="none"/>
        </w:rPr>
        <w:t>日  期：</w:t>
      </w:r>
    </w:p>
    <w:p w14:paraId="69D26C15">
      <w:pPr>
        <w:rPr>
          <w:rFonts w:ascii="宋体" w:hAnsi="宋体" w:cs="宋体"/>
          <w:bCs/>
          <w:color w:val="auto"/>
          <w:szCs w:val="21"/>
          <w:highlight w:val="none"/>
        </w:rPr>
      </w:pPr>
    </w:p>
    <w:p w14:paraId="2A2A767B">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129841A0">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目  录</w:t>
      </w:r>
    </w:p>
    <w:p w14:paraId="10897F7F">
      <w:pPr>
        <w:tabs>
          <w:tab w:val="left" w:pos="72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一、资格审查资料</w:t>
      </w:r>
    </w:p>
    <w:p w14:paraId="02785AE4">
      <w:pPr>
        <w:tabs>
          <w:tab w:val="left" w:pos="72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二、广州建设工程施工技术标招标投标书</w:t>
      </w:r>
    </w:p>
    <w:p w14:paraId="33CC0FEB">
      <w:pPr>
        <w:tabs>
          <w:tab w:val="left" w:pos="72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三、投标人廉洁承诺书</w:t>
      </w:r>
    </w:p>
    <w:p w14:paraId="5A22E29D">
      <w:pPr>
        <w:tabs>
          <w:tab w:val="left" w:pos="72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四、企业资信等相关资料</w:t>
      </w:r>
    </w:p>
    <w:p w14:paraId="251CE8CE">
      <w:pPr>
        <w:tabs>
          <w:tab w:val="left" w:pos="72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五、响应招标文件所附施工组织设计要点的承诺书</w:t>
      </w:r>
    </w:p>
    <w:p w14:paraId="49EED592">
      <w:pPr>
        <w:tabs>
          <w:tab w:val="left" w:pos="72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六、参与编制技术标投标文件人员名单</w:t>
      </w:r>
    </w:p>
    <w:p w14:paraId="51862C03">
      <w:pPr>
        <w:tabs>
          <w:tab w:val="left" w:pos="72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七、施工项目管理团队人员信息表</w:t>
      </w:r>
    </w:p>
    <w:p w14:paraId="6DFCDB4C">
      <w:pPr>
        <w:tabs>
          <w:tab w:val="left" w:pos="72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八、技术负责人（或其他项目管理机构人员）基本情况表</w:t>
      </w:r>
    </w:p>
    <w:p w14:paraId="5B7D579B">
      <w:pPr>
        <w:tabs>
          <w:tab w:val="left" w:pos="72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九、危险性较大的分部分项工程清单及超过一定规模的危险性较大的分部分项工程清单</w:t>
      </w:r>
    </w:p>
    <w:p w14:paraId="021AFD7C">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十、分包方案情况一览表</w:t>
      </w:r>
    </w:p>
    <w:p w14:paraId="134737E3">
      <w:pPr>
        <w:tabs>
          <w:tab w:val="left" w:pos="720"/>
        </w:tabs>
        <w:snapToGrid w:val="0"/>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十一、主要设备、材料拟选用品牌/厂家表</w:t>
      </w:r>
    </w:p>
    <w:p w14:paraId="1F7BF01B">
      <w:pPr>
        <w:tabs>
          <w:tab w:val="left" w:pos="72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十二、</w:t>
      </w:r>
      <w:r>
        <w:rPr>
          <w:rFonts w:hint="eastAsia" w:ascii="宋体" w:hAnsi="宋体" w:cs="宋体"/>
          <w:color w:val="auto"/>
          <w:sz w:val="24"/>
          <w:szCs w:val="24"/>
          <w:highlight w:val="none"/>
        </w:rPr>
        <w:t>其他投标人认为须提交的资料</w:t>
      </w:r>
    </w:p>
    <w:p w14:paraId="53E7DB1C">
      <w:pPr>
        <w:pStyle w:val="16"/>
        <w:rPr>
          <w:rFonts w:hAnsi="宋体" w:cs="宋体"/>
          <w:color w:val="auto"/>
          <w:sz w:val="24"/>
          <w:highlight w:val="none"/>
        </w:rPr>
      </w:pPr>
    </w:p>
    <w:p w14:paraId="61401FF6">
      <w:pPr>
        <w:rPr>
          <w:rFonts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技术部分格式2：</w:t>
      </w:r>
    </w:p>
    <w:p w14:paraId="65BF9A89">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资格审查资料（格式自拟）</w:t>
      </w:r>
    </w:p>
    <w:p w14:paraId="43A73ABA">
      <w:pPr>
        <w:rPr>
          <w:color w:val="auto"/>
          <w:highlight w:val="none"/>
        </w:rPr>
      </w:pPr>
    </w:p>
    <w:p w14:paraId="2AC00553">
      <w:pPr>
        <w:pStyle w:val="16"/>
        <w:rPr>
          <w:color w:val="auto"/>
          <w:highlight w:val="none"/>
        </w:rPr>
      </w:pPr>
    </w:p>
    <w:p w14:paraId="09310635">
      <w:pPr>
        <w:rPr>
          <w:color w:val="auto"/>
          <w:highlight w:val="none"/>
        </w:rPr>
      </w:pPr>
    </w:p>
    <w:p w14:paraId="6A197981">
      <w:pPr>
        <w:pStyle w:val="16"/>
        <w:rPr>
          <w:color w:val="auto"/>
          <w:highlight w:val="none"/>
        </w:rPr>
      </w:pPr>
    </w:p>
    <w:p w14:paraId="30917CEF">
      <w:pPr>
        <w:rPr>
          <w:color w:val="auto"/>
          <w:highlight w:val="none"/>
        </w:rPr>
      </w:pPr>
    </w:p>
    <w:p w14:paraId="67296493">
      <w:pPr>
        <w:pStyle w:val="16"/>
        <w:rPr>
          <w:color w:val="auto"/>
          <w:highlight w:val="none"/>
        </w:rPr>
      </w:pPr>
    </w:p>
    <w:p w14:paraId="5FFCC410">
      <w:pPr>
        <w:rPr>
          <w:color w:val="auto"/>
          <w:highlight w:val="none"/>
        </w:rPr>
      </w:pPr>
    </w:p>
    <w:p w14:paraId="63886BC7">
      <w:pPr>
        <w:pStyle w:val="16"/>
        <w:rPr>
          <w:color w:val="auto"/>
          <w:highlight w:val="none"/>
        </w:rPr>
      </w:pPr>
    </w:p>
    <w:p w14:paraId="77C0657F">
      <w:pPr>
        <w:rPr>
          <w:color w:val="auto"/>
          <w:highlight w:val="none"/>
        </w:rPr>
      </w:pPr>
    </w:p>
    <w:p w14:paraId="34E6D5E9">
      <w:pPr>
        <w:pStyle w:val="16"/>
        <w:rPr>
          <w:color w:val="auto"/>
          <w:highlight w:val="none"/>
        </w:rPr>
      </w:pPr>
    </w:p>
    <w:p w14:paraId="7FAD345A">
      <w:pPr>
        <w:rPr>
          <w:color w:val="auto"/>
          <w:highlight w:val="none"/>
        </w:rPr>
      </w:pPr>
    </w:p>
    <w:p w14:paraId="633ADD7A">
      <w:pPr>
        <w:pStyle w:val="16"/>
        <w:rPr>
          <w:color w:val="auto"/>
          <w:highlight w:val="none"/>
        </w:rPr>
      </w:pPr>
    </w:p>
    <w:p w14:paraId="3D6DFD93">
      <w:pPr>
        <w:rPr>
          <w:color w:val="auto"/>
          <w:highlight w:val="none"/>
        </w:rPr>
      </w:pPr>
    </w:p>
    <w:p w14:paraId="78F57ABC">
      <w:pPr>
        <w:pStyle w:val="16"/>
        <w:rPr>
          <w:color w:val="auto"/>
          <w:highlight w:val="none"/>
        </w:rPr>
      </w:pPr>
    </w:p>
    <w:p w14:paraId="19718404">
      <w:pPr>
        <w:rPr>
          <w:rFonts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★技术部分格式3：</w:t>
      </w:r>
    </w:p>
    <w:p w14:paraId="07F5F333">
      <w:pPr>
        <w:spacing w:line="360" w:lineRule="auto"/>
        <w:rPr>
          <w:rFonts w:ascii="宋体" w:hAnsi="宋体" w:cs="宋体"/>
          <w:color w:val="auto"/>
          <w:sz w:val="24"/>
          <w:highlight w:val="none"/>
        </w:rPr>
      </w:pPr>
    </w:p>
    <w:p w14:paraId="51BD8B69">
      <w:pPr>
        <w:autoSpaceDE w:val="0"/>
        <w:autoSpaceDN w:val="0"/>
        <w:adjustRightInd w:val="0"/>
        <w:ind w:left="-178" w:leftChars="-85"/>
        <w:jc w:val="center"/>
        <w:rPr>
          <w:rFonts w:ascii="宋体" w:hAnsi="宋体" w:cs="宋体"/>
          <w:b/>
          <w:bCs/>
          <w:color w:val="auto"/>
          <w:sz w:val="52"/>
          <w:szCs w:val="52"/>
          <w:highlight w:val="none"/>
        </w:rPr>
      </w:pPr>
      <w:r>
        <w:rPr>
          <w:rFonts w:hint="eastAsia" w:ascii="宋体" w:hAnsi="宋体" w:cs="宋体"/>
          <w:b/>
          <w:bCs/>
          <w:color w:val="auto"/>
          <w:sz w:val="44"/>
          <w:szCs w:val="44"/>
          <w:highlight w:val="none"/>
          <w:lang w:val="zh-CN"/>
        </w:rPr>
        <w:t>广州建设工程施工技术标招标投标书</w:t>
      </w:r>
    </w:p>
    <w:tbl>
      <w:tblPr>
        <w:tblStyle w:val="27"/>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2"/>
        <w:gridCol w:w="5563"/>
      </w:tblGrid>
      <w:tr w14:paraId="70E4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noWrap w:val="0"/>
            <w:vAlign w:val="center"/>
          </w:tcPr>
          <w:p w14:paraId="72757508">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工程名称</w:t>
            </w:r>
          </w:p>
        </w:tc>
        <w:tc>
          <w:tcPr>
            <w:tcW w:w="5563" w:type="dxa"/>
            <w:tcBorders>
              <w:top w:val="single" w:color="auto" w:sz="4" w:space="0"/>
              <w:left w:val="single" w:color="auto" w:sz="4" w:space="0"/>
              <w:bottom w:val="single" w:color="auto" w:sz="4" w:space="0"/>
              <w:right w:val="single" w:color="auto" w:sz="4" w:space="0"/>
            </w:tcBorders>
            <w:noWrap w:val="0"/>
            <w:vAlign w:val="center"/>
          </w:tcPr>
          <w:p w14:paraId="72145754">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中山大学附属第一医院病房改造建设及能力提升项目1号楼门诊区域改造项目施工总承包</w:t>
            </w:r>
          </w:p>
        </w:tc>
      </w:tr>
      <w:tr w14:paraId="20BC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noWrap w:val="0"/>
            <w:vAlign w:val="center"/>
          </w:tcPr>
          <w:p w14:paraId="60778AFC">
            <w:pPr>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投标总工期</w:t>
            </w:r>
          </w:p>
        </w:tc>
        <w:tc>
          <w:tcPr>
            <w:tcW w:w="5563" w:type="dxa"/>
            <w:tcBorders>
              <w:top w:val="single" w:color="auto" w:sz="4" w:space="0"/>
              <w:left w:val="single" w:color="auto" w:sz="4" w:space="0"/>
              <w:bottom w:val="single" w:color="auto" w:sz="4" w:space="0"/>
              <w:right w:val="single" w:color="auto" w:sz="4" w:space="0"/>
            </w:tcBorders>
            <w:noWrap w:val="0"/>
            <w:vAlign w:val="top"/>
          </w:tcPr>
          <w:p w14:paraId="20271077">
            <w:pPr>
              <w:autoSpaceDE w:val="0"/>
              <w:autoSpaceDN w:val="0"/>
              <w:adjustRightInd w:val="0"/>
              <w:rPr>
                <w:rFonts w:ascii="宋体" w:hAnsi="宋体" w:cs="宋体"/>
                <w:bCs/>
                <w:color w:val="auto"/>
                <w:sz w:val="24"/>
                <w:szCs w:val="24"/>
                <w:highlight w:val="none"/>
                <w:lang w:val="zh-CN"/>
              </w:rPr>
            </w:pPr>
          </w:p>
        </w:tc>
      </w:tr>
      <w:tr w14:paraId="5398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noWrap w:val="0"/>
            <w:vAlign w:val="center"/>
          </w:tcPr>
          <w:p w14:paraId="120CDEEE">
            <w:pPr>
              <w:jc w:val="center"/>
              <w:rPr>
                <w:rFonts w:ascii="宋体" w:hAnsi="宋体" w:cs="宋体"/>
                <w:color w:val="auto"/>
                <w:sz w:val="24"/>
                <w:szCs w:val="24"/>
                <w:highlight w:val="none"/>
              </w:rPr>
            </w:pPr>
            <w:r>
              <w:rPr>
                <w:rFonts w:hint="eastAsia" w:ascii="宋体" w:hAnsi="宋体" w:cs="宋体"/>
                <w:color w:val="auto"/>
                <w:sz w:val="24"/>
                <w:szCs w:val="24"/>
                <w:highlight w:val="none"/>
                <w:lang w:val="zh-CN"/>
              </w:rPr>
              <w:t>工程质量标准</w:t>
            </w:r>
          </w:p>
        </w:tc>
        <w:tc>
          <w:tcPr>
            <w:tcW w:w="5563" w:type="dxa"/>
            <w:tcBorders>
              <w:top w:val="single" w:color="auto" w:sz="4" w:space="0"/>
              <w:left w:val="single" w:color="auto" w:sz="4" w:space="0"/>
              <w:bottom w:val="single" w:color="auto" w:sz="4" w:space="0"/>
              <w:right w:val="single" w:color="auto" w:sz="4" w:space="0"/>
            </w:tcBorders>
            <w:noWrap w:val="0"/>
            <w:vAlign w:val="top"/>
          </w:tcPr>
          <w:p w14:paraId="0AF85E00">
            <w:pPr>
              <w:autoSpaceDE w:val="0"/>
              <w:autoSpaceDN w:val="0"/>
              <w:adjustRightInd w:val="0"/>
              <w:rPr>
                <w:rFonts w:ascii="宋体" w:hAnsi="宋体" w:cs="宋体"/>
                <w:bCs/>
                <w:color w:val="auto"/>
                <w:sz w:val="24"/>
                <w:szCs w:val="24"/>
                <w:highlight w:val="none"/>
                <w:lang w:val="zh-CN"/>
              </w:rPr>
            </w:pPr>
          </w:p>
        </w:tc>
      </w:tr>
      <w:tr w14:paraId="7C5E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noWrap w:val="0"/>
            <w:vAlign w:val="center"/>
          </w:tcPr>
          <w:p w14:paraId="5A93F42B">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保修期限</w:t>
            </w:r>
          </w:p>
        </w:tc>
        <w:tc>
          <w:tcPr>
            <w:tcW w:w="5563" w:type="dxa"/>
            <w:tcBorders>
              <w:top w:val="single" w:color="auto" w:sz="4" w:space="0"/>
              <w:left w:val="single" w:color="auto" w:sz="4" w:space="0"/>
              <w:bottom w:val="single" w:color="auto" w:sz="4" w:space="0"/>
              <w:right w:val="single" w:color="auto" w:sz="4" w:space="0"/>
            </w:tcBorders>
            <w:noWrap w:val="0"/>
            <w:vAlign w:val="top"/>
          </w:tcPr>
          <w:p w14:paraId="4C754A74">
            <w:pPr>
              <w:autoSpaceDE w:val="0"/>
              <w:autoSpaceDN w:val="0"/>
              <w:adjustRightInd w:val="0"/>
              <w:rPr>
                <w:rFonts w:ascii="宋体" w:hAnsi="宋体" w:cs="宋体"/>
                <w:bCs/>
                <w:color w:val="auto"/>
                <w:sz w:val="24"/>
                <w:szCs w:val="24"/>
                <w:highlight w:val="none"/>
                <w:lang w:val="zh-CN"/>
              </w:rPr>
            </w:pPr>
          </w:p>
        </w:tc>
      </w:tr>
      <w:tr w14:paraId="6407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noWrap w:val="0"/>
            <w:vAlign w:val="center"/>
          </w:tcPr>
          <w:p w14:paraId="474F5253">
            <w:pPr>
              <w:autoSpaceDE w:val="0"/>
              <w:autoSpaceDN w:val="0"/>
              <w:adjustRightInd w:val="0"/>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项目负责人</w:t>
            </w:r>
          </w:p>
        </w:tc>
        <w:tc>
          <w:tcPr>
            <w:tcW w:w="5563" w:type="dxa"/>
            <w:tcBorders>
              <w:top w:val="single" w:color="auto" w:sz="4" w:space="0"/>
              <w:left w:val="single" w:color="auto" w:sz="4" w:space="0"/>
              <w:bottom w:val="single" w:color="auto" w:sz="4" w:space="0"/>
              <w:right w:val="single" w:color="auto" w:sz="4" w:space="0"/>
            </w:tcBorders>
            <w:noWrap w:val="0"/>
            <w:vAlign w:val="top"/>
          </w:tcPr>
          <w:p w14:paraId="187D8303">
            <w:pPr>
              <w:autoSpaceDE w:val="0"/>
              <w:autoSpaceDN w:val="0"/>
              <w:adjustRightInd w:val="0"/>
              <w:rPr>
                <w:rFonts w:ascii="宋体" w:hAnsi="宋体" w:cs="宋体"/>
                <w:bCs/>
                <w:color w:val="auto"/>
                <w:sz w:val="24"/>
                <w:szCs w:val="24"/>
                <w:highlight w:val="none"/>
                <w:lang w:val="zh-CN"/>
              </w:rPr>
            </w:pPr>
          </w:p>
        </w:tc>
      </w:tr>
      <w:tr w14:paraId="4973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noWrap w:val="0"/>
            <w:vAlign w:val="center"/>
          </w:tcPr>
          <w:p w14:paraId="5BE41D21">
            <w:pPr>
              <w:autoSpaceDE w:val="0"/>
              <w:autoSpaceDN w:val="0"/>
              <w:adjustRightInd w:val="0"/>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专职安全员</w:t>
            </w:r>
          </w:p>
        </w:tc>
        <w:tc>
          <w:tcPr>
            <w:tcW w:w="5563" w:type="dxa"/>
            <w:tcBorders>
              <w:top w:val="single" w:color="auto" w:sz="4" w:space="0"/>
              <w:left w:val="single" w:color="auto" w:sz="4" w:space="0"/>
              <w:bottom w:val="single" w:color="auto" w:sz="4" w:space="0"/>
              <w:right w:val="single" w:color="auto" w:sz="4" w:space="0"/>
            </w:tcBorders>
            <w:noWrap w:val="0"/>
            <w:vAlign w:val="top"/>
          </w:tcPr>
          <w:p w14:paraId="1FDE2DDB">
            <w:pPr>
              <w:autoSpaceDE w:val="0"/>
              <w:autoSpaceDN w:val="0"/>
              <w:adjustRightInd w:val="0"/>
              <w:rPr>
                <w:rFonts w:ascii="宋体" w:hAnsi="宋体" w:cs="宋体"/>
                <w:bCs/>
                <w:color w:val="auto"/>
                <w:sz w:val="24"/>
                <w:szCs w:val="24"/>
                <w:highlight w:val="none"/>
                <w:lang w:val="zh-CN"/>
              </w:rPr>
            </w:pPr>
          </w:p>
        </w:tc>
      </w:tr>
    </w:tbl>
    <w:p w14:paraId="2652FB8C">
      <w:pPr>
        <w:rPr>
          <w:color w:val="auto"/>
          <w:highlight w:val="none"/>
        </w:rPr>
      </w:pPr>
    </w:p>
    <w:p w14:paraId="305558E9">
      <w:pPr>
        <w:pStyle w:val="16"/>
        <w:rPr>
          <w:color w:val="auto"/>
          <w:highlight w:val="none"/>
        </w:rPr>
      </w:pPr>
    </w:p>
    <w:p w14:paraId="2BA893B9">
      <w:pPr>
        <w:rPr>
          <w:color w:val="auto"/>
          <w:highlight w:val="none"/>
        </w:rPr>
      </w:pPr>
    </w:p>
    <w:p w14:paraId="605617F7">
      <w:pPr>
        <w:pStyle w:val="16"/>
        <w:rPr>
          <w:color w:val="auto"/>
          <w:highlight w:val="none"/>
        </w:rPr>
      </w:pPr>
    </w:p>
    <w:p w14:paraId="189DB287">
      <w:pPr>
        <w:rPr>
          <w:color w:val="auto"/>
          <w:highlight w:val="none"/>
        </w:rPr>
      </w:pPr>
    </w:p>
    <w:p w14:paraId="18FE9CA7">
      <w:pPr>
        <w:pStyle w:val="16"/>
        <w:rPr>
          <w:color w:val="auto"/>
          <w:highlight w:val="none"/>
        </w:rPr>
      </w:pPr>
    </w:p>
    <w:p w14:paraId="62BF92FC">
      <w:pPr>
        <w:rPr>
          <w:color w:val="auto"/>
          <w:highlight w:val="none"/>
        </w:rPr>
      </w:pPr>
    </w:p>
    <w:p w14:paraId="17A59B2D">
      <w:pPr>
        <w:pStyle w:val="16"/>
        <w:rPr>
          <w:color w:val="auto"/>
          <w:highlight w:val="none"/>
        </w:rPr>
      </w:pPr>
    </w:p>
    <w:p w14:paraId="628C8BCD">
      <w:pPr>
        <w:rPr>
          <w:color w:val="auto"/>
          <w:highlight w:val="none"/>
        </w:rPr>
      </w:pPr>
    </w:p>
    <w:p w14:paraId="33056254">
      <w:pPr>
        <w:rPr>
          <w:rFonts w:hint="eastAsia" w:ascii="宋体" w:hAnsi="宋体" w:cs="宋体"/>
          <w:color w:val="auto"/>
          <w:sz w:val="24"/>
          <w:highlight w:val="none"/>
        </w:rPr>
      </w:pPr>
    </w:p>
    <w:p w14:paraId="236F67E1">
      <w:pPr>
        <w:rPr>
          <w:rFonts w:hint="eastAsia" w:ascii="宋体" w:hAnsi="宋体" w:cs="宋体"/>
          <w:color w:val="auto"/>
          <w:sz w:val="24"/>
          <w:highlight w:val="none"/>
        </w:rPr>
      </w:pPr>
    </w:p>
    <w:p w14:paraId="4E098C19">
      <w:pPr>
        <w:rPr>
          <w:rFonts w:hint="eastAsia" w:ascii="宋体" w:hAnsi="宋体" w:cs="宋体"/>
          <w:color w:val="auto"/>
          <w:sz w:val="24"/>
          <w:highlight w:val="none"/>
        </w:rPr>
      </w:pPr>
    </w:p>
    <w:p w14:paraId="3A4A100E">
      <w:pPr>
        <w:rPr>
          <w:rFonts w:hint="eastAsia" w:ascii="宋体" w:hAnsi="宋体" w:cs="宋体"/>
          <w:color w:val="auto"/>
          <w:sz w:val="24"/>
          <w:highlight w:val="none"/>
        </w:rPr>
      </w:pPr>
    </w:p>
    <w:p w14:paraId="792A578F">
      <w:pPr>
        <w:rPr>
          <w:rFonts w:hint="eastAsia" w:ascii="宋体" w:hAnsi="宋体" w:cs="宋体"/>
          <w:color w:val="auto"/>
          <w:sz w:val="24"/>
          <w:highlight w:val="none"/>
        </w:rPr>
      </w:pPr>
    </w:p>
    <w:p w14:paraId="14EF5AB1">
      <w:pPr>
        <w:rPr>
          <w:rFonts w:hint="eastAsia" w:ascii="宋体" w:hAnsi="宋体" w:cs="宋体"/>
          <w:color w:val="auto"/>
          <w:sz w:val="24"/>
          <w:highlight w:val="none"/>
        </w:rPr>
      </w:pPr>
    </w:p>
    <w:p w14:paraId="273288EF">
      <w:pPr>
        <w:rPr>
          <w:rFonts w:hint="eastAsia" w:ascii="宋体" w:hAnsi="宋体" w:cs="宋体"/>
          <w:color w:val="auto"/>
          <w:sz w:val="24"/>
          <w:highlight w:val="none"/>
        </w:rPr>
      </w:pPr>
    </w:p>
    <w:p w14:paraId="6219FD8A">
      <w:pPr>
        <w:rPr>
          <w:rFonts w:hint="eastAsia" w:ascii="宋体" w:hAnsi="宋体" w:cs="宋体"/>
          <w:color w:val="auto"/>
          <w:sz w:val="24"/>
          <w:highlight w:val="none"/>
        </w:rPr>
      </w:pPr>
    </w:p>
    <w:p w14:paraId="63913866">
      <w:pPr>
        <w:rPr>
          <w:rFonts w:hint="eastAsia" w:ascii="宋体" w:hAnsi="宋体" w:cs="宋体"/>
          <w:color w:val="auto"/>
          <w:sz w:val="24"/>
          <w:highlight w:val="none"/>
        </w:rPr>
      </w:pPr>
    </w:p>
    <w:p w14:paraId="1368C6BD">
      <w:pPr>
        <w:rPr>
          <w:rFonts w:hint="eastAsia" w:ascii="宋体" w:hAnsi="宋体" w:cs="宋体"/>
          <w:color w:val="auto"/>
          <w:sz w:val="24"/>
          <w:highlight w:val="none"/>
        </w:rPr>
      </w:pPr>
    </w:p>
    <w:p w14:paraId="1672329D">
      <w:pPr>
        <w:rPr>
          <w:rFonts w:hint="eastAsia" w:ascii="宋体" w:hAnsi="宋体" w:cs="宋体"/>
          <w:color w:val="auto"/>
          <w:sz w:val="24"/>
          <w:highlight w:val="none"/>
        </w:rPr>
      </w:pPr>
    </w:p>
    <w:p w14:paraId="49E8A2CB">
      <w:pPr>
        <w:rPr>
          <w:rFonts w:hint="eastAsia" w:ascii="宋体" w:hAnsi="宋体" w:cs="宋体"/>
          <w:color w:val="auto"/>
          <w:sz w:val="24"/>
          <w:highlight w:val="none"/>
        </w:rPr>
      </w:pPr>
    </w:p>
    <w:p w14:paraId="5CF8DE52">
      <w:pPr>
        <w:rPr>
          <w:rFonts w:hint="eastAsia" w:ascii="宋体" w:hAnsi="宋体" w:cs="宋体"/>
          <w:color w:val="auto"/>
          <w:sz w:val="24"/>
          <w:highlight w:val="none"/>
        </w:rPr>
      </w:pPr>
    </w:p>
    <w:p w14:paraId="042E06BF">
      <w:pPr>
        <w:rPr>
          <w:rFonts w:hint="eastAsia" w:ascii="宋体" w:hAnsi="宋体" w:cs="宋体"/>
          <w:color w:val="auto"/>
          <w:sz w:val="24"/>
          <w:highlight w:val="none"/>
        </w:rPr>
      </w:pPr>
    </w:p>
    <w:p w14:paraId="121574F3">
      <w:pPr>
        <w:rPr>
          <w:rFonts w:hint="eastAsia" w:ascii="宋体" w:hAnsi="宋体" w:cs="宋体"/>
          <w:color w:val="auto"/>
          <w:sz w:val="24"/>
          <w:highlight w:val="none"/>
        </w:rPr>
      </w:pPr>
    </w:p>
    <w:p w14:paraId="3C4655D0">
      <w:pPr>
        <w:rPr>
          <w:rFonts w:hint="eastAsia" w:ascii="宋体" w:hAnsi="宋体" w:cs="宋体"/>
          <w:color w:val="auto"/>
          <w:sz w:val="24"/>
          <w:highlight w:val="none"/>
        </w:rPr>
      </w:pPr>
    </w:p>
    <w:p w14:paraId="0BC486B5">
      <w:pPr>
        <w:rPr>
          <w:rFonts w:hint="eastAsia" w:ascii="宋体" w:hAnsi="宋体" w:cs="宋体"/>
          <w:color w:val="auto"/>
          <w:sz w:val="24"/>
          <w:highlight w:val="none"/>
        </w:rPr>
      </w:pPr>
    </w:p>
    <w:p w14:paraId="44B087AB">
      <w:pPr>
        <w:rPr>
          <w:rFonts w:hint="eastAsia" w:ascii="宋体" w:hAnsi="宋体" w:cs="宋体"/>
          <w:color w:val="auto"/>
          <w:sz w:val="24"/>
          <w:highlight w:val="none"/>
        </w:rPr>
      </w:pPr>
    </w:p>
    <w:p w14:paraId="53B82F77">
      <w:pPr>
        <w:rPr>
          <w:rFonts w:hint="eastAsia" w:ascii="宋体" w:hAnsi="宋体" w:cs="宋体"/>
          <w:color w:val="auto"/>
          <w:sz w:val="24"/>
          <w:highlight w:val="none"/>
        </w:rPr>
      </w:pPr>
    </w:p>
    <w:p w14:paraId="73B12C2C">
      <w:pPr>
        <w:rPr>
          <w:rFonts w:hint="eastAsia" w:ascii="宋体" w:hAnsi="宋体" w:cs="宋体"/>
          <w:color w:val="auto"/>
          <w:sz w:val="24"/>
          <w:highlight w:val="none"/>
        </w:rPr>
      </w:pPr>
    </w:p>
    <w:p w14:paraId="25FA5561">
      <w:pPr>
        <w:rPr>
          <w:rFonts w:ascii="宋体" w:hAnsi="宋体" w:cs="宋体"/>
          <w:color w:val="auto"/>
          <w:sz w:val="24"/>
          <w:highlight w:val="none"/>
        </w:rPr>
      </w:pPr>
      <w:r>
        <w:rPr>
          <w:rFonts w:hint="eastAsia" w:ascii="宋体" w:hAnsi="宋体" w:cs="宋体"/>
          <w:color w:val="auto"/>
          <w:sz w:val="24"/>
          <w:highlight w:val="none"/>
        </w:rPr>
        <w:t>★技术部分格式4：</w:t>
      </w:r>
    </w:p>
    <w:p w14:paraId="128F405F">
      <w:pPr>
        <w:spacing w:line="360" w:lineRule="auto"/>
        <w:jc w:val="center"/>
        <w:rPr>
          <w:rFonts w:ascii="宋体" w:hAnsi="宋体" w:cs="宋体"/>
          <w:color w:val="auto"/>
          <w:sz w:val="24"/>
          <w:highlight w:val="none"/>
        </w:rPr>
      </w:pPr>
      <w:r>
        <w:rPr>
          <w:rFonts w:hint="eastAsia" w:ascii="宋体" w:hAnsi="宋体" w:cs="宋体"/>
          <w:b/>
          <w:color w:val="auto"/>
          <w:sz w:val="32"/>
          <w:szCs w:val="32"/>
          <w:highlight w:val="none"/>
        </w:rPr>
        <w:t>投标人廉洁承诺书</w:t>
      </w:r>
    </w:p>
    <w:p w14:paraId="76B3EE62">
      <w:pPr>
        <w:shd w:val="clear" w:color="auto" w:fill="FFFFFF"/>
        <w:spacing w:after="135" w:line="5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广州市住房和城乡建设局、本招标项目招标人及招标监管机构：</w:t>
      </w:r>
    </w:p>
    <w:p w14:paraId="755F16BA">
      <w:pPr>
        <w:spacing w:line="500" w:lineRule="exact"/>
        <w:ind w:right="9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本公司参加了</w:t>
      </w:r>
      <w:r>
        <w:rPr>
          <w:rFonts w:hint="eastAsia" w:ascii="宋体" w:hAnsi="宋体" w:cs="宋体"/>
          <w:color w:val="auto"/>
          <w:sz w:val="24"/>
          <w:szCs w:val="24"/>
          <w:highlight w:val="none"/>
          <w:u w:val="single"/>
        </w:rPr>
        <w:t xml:space="preserve"> （项目名称/标段名称） </w:t>
      </w:r>
      <w:r>
        <w:rPr>
          <w:rFonts w:hint="eastAsia" w:ascii="宋体" w:hAnsi="宋体" w:cs="宋体"/>
          <w:color w:val="auto"/>
          <w:sz w:val="24"/>
          <w:szCs w:val="24"/>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6B9053D4">
      <w:pPr>
        <w:spacing w:line="500" w:lineRule="exact"/>
        <w:ind w:right="42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一、自觉遵守国家有关法律法规及廉洁规定。</w:t>
      </w:r>
    </w:p>
    <w:p w14:paraId="67BC5BD4">
      <w:pPr>
        <w:spacing w:line="500" w:lineRule="exact"/>
        <w:ind w:right="9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二、不与招标单位工作人员串通投标，损害国家利益、企业利益以及他人的合法利益；</w:t>
      </w:r>
    </w:p>
    <w:p w14:paraId="48623717">
      <w:pPr>
        <w:spacing w:line="500" w:lineRule="exact"/>
        <w:ind w:right="9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三、不与其他单位围标、串标，不出让投标资格，不向招标人或评标委员会成员行贿。</w:t>
      </w:r>
    </w:p>
    <w:p w14:paraId="5ED0E0AE">
      <w:pPr>
        <w:spacing w:line="500" w:lineRule="exact"/>
        <w:ind w:right="9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四、不以任何名义向参与招标、评标工作的有关人员提供高消费宴请及娱乐活动和赠送回扣、红包、礼金、购物卡、有价证券、贵重物品和好处费、感谢费等； </w:t>
      </w:r>
    </w:p>
    <w:p w14:paraId="55531367">
      <w:pPr>
        <w:spacing w:line="500" w:lineRule="exact"/>
        <w:ind w:right="90"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五、不以任何名义为参与招标、评标工作的有关人员装修住房、婚丧嫁取、配偶子女的工作安排以及境内外旅游等提供方便；</w:t>
      </w:r>
    </w:p>
    <w:p w14:paraId="015114D7">
      <w:pPr>
        <w:spacing w:line="500" w:lineRule="exact"/>
        <w:ind w:right="-52"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六、不以谋取非正当利益为目的，擅自与参与招标、评标工作的有关人员就业务问题进行私下商谈或者达成利益默契；</w:t>
      </w:r>
    </w:p>
    <w:p w14:paraId="7EACE144">
      <w:pPr>
        <w:spacing w:line="500" w:lineRule="exact"/>
        <w:ind w:right="-52"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七、按法律规定及合同约定保修合同工程，履行本合同所约定的全部义务。</w:t>
      </w:r>
    </w:p>
    <w:p w14:paraId="74EEDBDC">
      <w:pPr>
        <w:spacing w:line="500" w:lineRule="exact"/>
        <w:ind w:right="-52"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八、坚决杜绝转包、违法分包、挂靠等违法违规行为，保证发包人免于承担因本公司违反法律或相关规定而引起的任何责任。未经发包人同意，不将工程的任何部分或任何工作分包给第三方；依法分包工程的承包人应具有相应承包资质。</w:t>
      </w:r>
    </w:p>
    <w:p w14:paraId="79ABC5F8">
      <w:pPr>
        <w:spacing w:line="500" w:lineRule="exact"/>
        <w:ind w:right="-52"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九、自觉接受政府有关部门、发包人或其上级主管部门和监理单位等对本工程的监督，并无条件配合政府有关部门、发包人或其上级主管部门指定审计机构开展审计工作。</w:t>
      </w:r>
    </w:p>
    <w:p w14:paraId="6FB8F2A7">
      <w:pPr>
        <w:spacing w:line="500" w:lineRule="exact"/>
        <w:ind w:right="-52"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十、本公司理解并接受工程实施过程即可同步进行审计或监督工作，接受对工程实施全过程审计，包括且不限于工程计量、设计变更、资金支付、分包管理、结算等。若政府有关部门、发包人或其上级主管部门、监理单位经核查或审计认定本公司有挂靠或转包或违法分包行为之一的，发包人有权单方解除部分合同或解除合同，由此造成的经济损失由本公司承担。本公司自觉接受行政监督部门的行政处罚。</w:t>
      </w:r>
    </w:p>
    <w:p w14:paraId="4420D152">
      <w:pPr>
        <w:spacing w:line="500" w:lineRule="exact"/>
        <w:ind w:right="-52"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十一、如因转包、违法分包（含现场施工作业或管理人员被发现不属于总承包单位或已经备案的依法分包单位人员的情形）、挂靠、项目管理不到位、民工工资纠纷等违反合同的行为，发包人或其上级主管部门有权立即开展调查，本公司无条件配合，相关费用由本公司负责。经核查属实，本公司自觉接受相应处罚。</w:t>
      </w:r>
    </w:p>
    <w:p w14:paraId="148A5477">
      <w:pPr>
        <w:shd w:val="clear" w:color="auto" w:fill="FFFFFF"/>
        <w:spacing w:after="135" w:line="500" w:lineRule="exact"/>
        <w:ind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本公司违反上述承诺，或本承诺陈述与事实不符，经查实，本公司愿意接受公开通报，承担由此带来的法律后果，并自愿停止参加广州市行政辖区内的招标投标活动三个月。</w:t>
      </w:r>
    </w:p>
    <w:p w14:paraId="5D7AC963">
      <w:pPr>
        <w:shd w:val="clear" w:color="auto" w:fill="FFFFFF"/>
        <w:spacing w:after="135" w:line="500" w:lineRule="exact"/>
        <w:ind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特此承诺</w:t>
      </w:r>
    </w:p>
    <w:p w14:paraId="6961F6C0">
      <w:pPr>
        <w:shd w:val="clear" w:color="auto" w:fill="FFFFFF"/>
        <w:spacing w:line="500" w:lineRule="exact"/>
        <w:ind w:right="-58" w:firstLine="4080" w:firstLineChars="1700"/>
        <w:rPr>
          <w:rFonts w:ascii="宋体" w:hAnsi="宋体" w:cs="宋体"/>
          <w:color w:val="auto"/>
          <w:sz w:val="24"/>
          <w:szCs w:val="24"/>
          <w:highlight w:val="none"/>
        </w:rPr>
      </w:pPr>
      <w:r>
        <w:rPr>
          <w:rFonts w:hint="eastAsia" w:ascii="宋体" w:hAnsi="宋体" w:cs="宋体"/>
          <w:color w:val="auto"/>
          <w:sz w:val="24"/>
          <w:szCs w:val="24"/>
          <w:highlight w:val="none"/>
        </w:rPr>
        <w:t xml:space="preserve">承诺企业：              </w:t>
      </w:r>
    </w:p>
    <w:p w14:paraId="022BCEAB">
      <w:pPr>
        <w:shd w:val="clear" w:color="auto" w:fill="FFFFFF"/>
        <w:spacing w:after="135" w:line="500" w:lineRule="exact"/>
        <w:ind w:firstLine="645"/>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15E17064">
      <w:pPr>
        <w:spacing w:line="360" w:lineRule="auto"/>
        <w:rPr>
          <w:rFonts w:ascii="宋体" w:hAnsi="宋体" w:cs="宋体"/>
          <w:color w:val="auto"/>
          <w:sz w:val="24"/>
          <w:highlight w:val="none"/>
        </w:rPr>
      </w:pPr>
      <w:r>
        <w:rPr>
          <w:rFonts w:hint="eastAsia" w:ascii="宋体" w:hAnsi="宋体" w:cs="宋体"/>
          <w:b/>
          <w:color w:val="auto"/>
          <w:sz w:val="30"/>
          <w:szCs w:val="30"/>
          <w:highlight w:val="none"/>
        </w:rPr>
        <w:br w:type="page"/>
      </w:r>
      <w:r>
        <w:rPr>
          <w:rFonts w:hint="eastAsia" w:ascii="宋体" w:hAnsi="宋体" w:cs="宋体"/>
          <w:b/>
          <w:bCs/>
          <w:color w:val="auto"/>
          <w:sz w:val="24"/>
          <w:highlight w:val="none"/>
        </w:rPr>
        <w:t xml:space="preserve"> 技术部分格式5：</w:t>
      </w:r>
    </w:p>
    <w:p w14:paraId="2CD7A713">
      <w:pPr>
        <w:topLinePunct/>
        <w:adjustRightInd w:val="0"/>
        <w:snapToGrid w:val="0"/>
        <w:spacing w:line="360" w:lineRule="auto"/>
        <w:ind w:firstLine="498"/>
        <w:jc w:val="center"/>
        <w:rPr>
          <w:rFonts w:ascii="宋体" w:hAnsi="宋体" w:cs="宋体"/>
          <w:b/>
          <w:snapToGrid w:val="0"/>
          <w:color w:val="auto"/>
          <w:spacing w:val="4"/>
          <w:kern w:val="0"/>
          <w:sz w:val="32"/>
          <w:szCs w:val="32"/>
          <w:highlight w:val="none"/>
        </w:rPr>
      </w:pPr>
    </w:p>
    <w:p w14:paraId="4115695E">
      <w:pPr>
        <w:topLinePunct/>
        <w:adjustRightInd w:val="0"/>
        <w:snapToGrid w:val="0"/>
        <w:spacing w:line="360" w:lineRule="auto"/>
        <w:ind w:firstLine="498"/>
        <w:jc w:val="center"/>
        <w:rPr>
          <w:rFonts w:ascii="宋体" w:hAnsi="宋体" w:cs="宋体"/>
          <w:b/>
          <w:snapToGrid w:val="0"/>
          <w:color w:val="auto"/>
          <w:spacing w:val="4"/>
          <w:kern w:val="0"/>
          <w:sz w:val="32"/>
          <w:szCs w:val="32"/>
          <w:highlight w:val="none"/>
        </w:rPr>
      </w:pPr>
      <w:r>
        <w:rPr>
          <w:rFonts w:hint="eastAsia" w:ascii="宋体" w:hAnsi="宋体" w:cs="宋体"/>
          <w:b/>
          <w:snapToGrid w:val="0"/>
          <w:color w:val="auto"/>
          <w:spacing w:val="4"/>
          <w:kern w:val="0"/>
          <w:sz w:val="32"/>
          <w:szCs w:val="32"/>
          <w:highlight w:val="none"/>
        </w:rPr>
        <w:t>企业资信等相关资料</w:t>
      </w:r>
    </w:p>
    <w:p w14:paraId="6C096182">
      <w:pPr>
        <w:topLinePunct/>
        <w:adjustRightInd w:val="0"/>
        <w:snapToGrid w:val="0"/>
        <w:spacing w:line="360" w:lineRule="auto"/>
        <w:ind w:firstLine="496" w:firstLineChars="200"/>
        <w:rPr>
          <w:rFonts w:ascii="宋体" w:hAnsi="宋体" w:cs="宋体"/>
          <w:snapToGrid w:val="0"/>
          <w:color w:val="auto"/>
          <w:spacing w:val="4"/>
          <w:kern w:val="0"/>
          <w:sz w:val="24"/>
          <w:szCs w:val="20"/>
          <w:highlight w:val="none"/>
        </w:rPr>
      </w:pPr>
    </w:p>
    <w:p w14:paraId="1B6FAF27">
      <w:pPr>
        <w:topLinePunct/>
        <w:adjustRightInd w:val="0"/>
        <w:snapToGrid w:val="0"/>
        <w:spacing w:line="360" w:lineRule="auto"/>
        <w:jc w:val="center"/>
        <w:rPr>
          <w:rFonts w:ascii="宋体" w:hAnsi="宋体" w:cs="宋体"/>
          <w:snapToGrid w:val="0"/>
          <w:color w:val="auto"/>
          <w:spacing w:val="4"/>
          <w:kern w:val="0"/>
          <w:sz w:val="24"/>
          <w:szCs w:val="20"/>
          <w:highlight w:val="none"/>
        </w:rPr>
      </w:pPr>
      <w:r>
        <w:rPr>
          <w:rFonts w:hint="eastAsia" w:ascii="宋体" w:hAnsi="宋体" w:cs="宋体"/>
          <w:snapToGrid w:val="0"/>
          <w:color w:val="auto"/>
          <w:spacing w:val="4"/>
          <w:kern w:val="0"/>
          <w:sz w:val="24"/>
          <w:szCs w:val="20"/>
          <w:highlight w:val="none"/>
        </w:rPr>
        <w:t>注：按《技术标详细审查评分表》要求提交</w:t>
      </w:r>
    </w:p>
    <w:p w14:paraId="7456AB85">
      <w:pPr>
        <w:spacing w:line="360" w:lineRule="auto"/>
        <w:rPr>
          <w:rFonts w:ascii="宋体" w:hAnsi="宋体" w:cs="宋体"/>
          <w:color w:val="auto"/>
          <w:sz w:val="24"/>
          <w:highlight w:val="none"/>
        </w:rPr>
      </w:pPr>
      <w:r>
        <w:rPr>
          <w:rFonts w:ascii="宋体" w:hAnsi="宋体" w:cs="宋体"/>
          <w:snapToGrid w:val="0"/>
          <w:color w:val="auto"/>
          <w:spacing w:val="4"/>
          <w:kern w:val="0"/>
          <w:sz w:val="24"/>
          <w:szCs w:val="20"/>
          <w:highlight w:val="none"/>
        </w:rPr>
        <w:br w:type="page"/>
      </w:r>
      <w:r>
        <w:rPr>
          <w:rFonts w:hint="eastAsia" w:ascii="宋体" w:hAnsi="宋体" w:cs="宋体"/>
          <w:snapToGrid w:val="0"/>
          <w:color w:val="auto"/>
          <w:spacing w:val="4"/>
          <w:kern w:val="0"/>
          <w:sz w:val="24"/>
          <w:szCs w:val="20"/>
          <w:highlight w:val="none"/>
        </w:rPr>
        <w:t>★</w:t>
      </w:r>
      <w:r>
        <w:rPr>
          <w:rFonts w:hint="eastAsia" w:ascii="宋体" w:hAnsi="宋体" w:cs="宋体"/>
          <w:b/>
          <w:bCs/>
          <w:color w:val="auto"/>
          <w:sz w:val="24"/>
          <w:highlight w:val="none"/>
        </w:rPr>
        <w:t>技术部分格式</w:t>
      </w:r>
      <w:r>
        <w:rPr>
          <w:rFonts w:ascii="宋体" w:hAnsi="宋体" w:cs="宋体"/>
          <w:b/>
          <w:bCs/>
          <w:color w:val="auto"/>
          <w:sz w:val="24"/>
          <w:highlight w:val="none"/>
        </w:rPr>
        <w:t>6</w:t>
      </w:r>
      <w:r>
        <w:rPr>
          <w:rFonts w:hint="eastAsia" w:ascii="宋体" w:hAnsi="宋体" w:cs="宋体"/>
          <w:b/>
          <w:bCs/>
          <w:color w:val="auto"/>
          <w:sz w:val="24"/>
          <w:highlight w:val="none"/>
        </w:rPr>
        <w:t>：</w:t>
      </w:r>
    </w:p>
    <w:p w14:paraId="2B453CF2">
      <w:pPr>
        <w:spacing w:line="360" w:lineRule="auto"/>
        <w:rPr>
          <w:rFonts w:ascii="宋体" w:hAnsi="宋体" w:cs="宋体"/>
          <w:color w:val="auto"/>
          <w:sz w:val="24"/>
          <w:highlight w:val="none"/>
        </w:rPr>
      </w:pPr>
    </w:p>
    <w:p w14:paraId="24754313">
      <w:pPr>
        <w:topLinePunct/>
        <w:adjustRightInd w:val="0"/>
        <w:snapToGrid w:val="0"/>
        <w:spacing w:line="360" w:lineRule="auto"/>
        <w:jc w:val="center"/>
        <w:rPr>
          <w:rFonts w:ascii="宋体" w:hAnsi="宋体" w:cs="宋体"/>
          <w:b/>
          <w:color w:val="auto"/>
          <w:spacing w:val="4"/>
          <w:kern w:val="0"/>
          <w:sz w:val="24"/>
          <w:szCs w:val="24"/>
          <w:highlight w:val="none"/>
        </w:rPr>
      </w:pPr>
      <w:r>
        <w:rPr>
          <w:rFonts w:hint="eastAsia" w:ascii="宋体" w:hAnsi="宋体" w:cs="宋体"/>
          <w:b/>
          <w:color w:val="auto"/>
          <w:spacing w:val="4"/>
          <w:kern w:val="0"/>
          <w:sz w:val="24"/>
          <w:szCs w:val="24"/>
          <w:highlight w:val="none"/>
        </w:rPr>
        <w:t>响应招标文件所附施工组织设计要点的承诺书</w:t>
      </w:r>
    </w:p>
    <w:p w14:paraId="31131F6F">
      <w:pPr>
        <w:topLinePunct/>
        <w:adjustRightInd w:val="0"/>
        <w:snapToGrid w:val="0"/>
        <w:spacing w:line="360" w:lineRule="auto"/>
        <w:jc w:val="left"/>
        <w:rPr>
          <w:rFonts w:ascii="宋体" w:hAnsi="宋体" w:cs="宋体"/>
          <w:color w:val="auto"/>
          <w:spacing w:val="4"/>
          <w:kern w:val="0"/>
          <w:sz w:val="24"/>
          <w:szCs w:val="24"/>
          <w:highlight w:val="none"/>
          <w:u w:val="single"/>
        </w:rPr>
      </w:pPr>
      <w:r>
        <w:rPr>
          <w:rFonts w:hint="eastAsia" w:ascii="宋体" w:hAnsi="宋体" w:cs="宋体"/>
          <w:color w:val="auto"/>
          <w:spacing w:val="4"/>
          <w:kern w:val="0"/>
          <w:sz w:val="24"/>
          <w:szCs w:val="24"/>
          <w:highlight w:val="none"/>
          <w:u w:val="single"/>
        </w:rPr>
        <w:t>（招标人）：</w:t>
      </w:r>
    </w:p>
    <w:p w14:paraId="698CB43D">
      <w:pPr>
        <w:topLinePunct/>
        <w:adjustRightInd w:val="0"/>
        <w:snapToGrid w:val="0"/>
        <w:spacing w:line="360" w:lineRule="auto"/>
        <w:ind w:firstLine="440" w:firstLineChars="200"/>
        <w:jc w:val="left"/>
        <w:rPr>
          <w:rFonts w:ascii="宋体" w:hAnsi="宋体" w:cs="宋体"/>
          <w:color w:val="auto"/>
          <w:spacing w:val="4"/>
          <w:kern w:val="0"/>
          <w:sz w:val="28"/>
          <w:szCs w:val="28"/>
          <w:highlight w:val="none"/>
        </w:rPr>
      </w:pPr>
      <w:r>
        <w:rPr>
          <w:rFonts w:hint="eastAsia" w:ascii="宋体" w:hAnsi="宋体" w:cs="宋体"/>
          <w:bCs/>
          <w:color w:val="auto"/>
          <w:kern w:val="0"/>
          <w:sz w:val="22"/>
          <w:highlight w:val="none"/>
        </w:rPr>
        <w:t>我方承诺，如中标承建</w:t>
      </w:r>
      <w:r>
        <w:rPr>
          <w:rFonts w:hint="eastAsia" w:ascii="宋体" w:hAnsi="宋体" w:cs="宋体"/>
          <w:bCs/>
          <w:color w:val="auto"/>
          <w:kern w:val="0"/>
          <w:sz w:val="22"/>
          <w:highlight w:val="none"/>
          <w:u w:val="single"/>
        </w:rPr>
        <w:t xml:space="preserve">         (项目名称)</w:t>
      </w:r>
      <w:r>
        <w:rPr>
          <w:rFonts w:hint="eastAsia" w:ascii="宋体" w:hAnsi="宋体" w:cs="宋体"/>
          <w:bCs/>
          <w:color w:val="auto"/>
          <w:kern w:val="0"/>
          <w:sz w:val="22"/>
          <w:highlight w:val="none"/>
        </w:rPr>
        <w:t>，将按招标文件所附的本工程</w:t>
      </w:r>
      <w:r>
        <w:rPr>
          <w:rFonts w:hint="eastAsia" w:ascii="宋体" w:hAnsi="宋体" w:cs="宋体"/>
          <w:bCs/>
          <w:color w:val="auto"/>
          <w:kern w:val="0"/>
          <w:sz w:val="22"/>
          <w:highlight w:val="none"/>
          <w:u w:val="single"/>
        </w:rPr>
        <w:t>（施工组织设计要点或施工方案）</w:t>
      </w:r>
      <w:r>
        <w:rPr>
          <w:rFonts w:hint="eastAsia" w:ascii="宋体" w:hAnsi="宋体" w:cs="宋体"/>
          <w:bCs/>
          <w:color w:val="auto"/>
          <w:kern w:val="0"/>
          <w:sz w:val="22"/>
          <w:highlight w:val="none"/>
        </w:rPr>
        <w:t>进行响应的基础上自行组织施工。并承诺在中标后按招标文件所附的</w:t>
      </w:r>
      <w:r>
        <w:rPr>
          <w:rFonts w:hint="eastAsia" w:ascii="宋体" w:hAnsi="宋体" w:cs="宋体"/>
          <w:bCs/>
          <w:color w:val="auto"/>
          <w:kern w:val="0"/>
          <w:sz w:val="22"/>
          <w:highlight w:val="none"/>
          <w:u w:val="single"/>
        </w:rPr>
        <w:t>（施工组织设计要点或施工方案）</w:t>
      </w:r>
      <w:r>
        <w:rPr>
          <w:rFonts w:hint="eastAsia" w:ascii="宋体" w:hAnsi="宋体" w:cs="宋体"/>
          <w:bCs/>
          <w:color w:val="auto"/>
          <w:kern w:val="0"/>
          <w:sz w:val="22"/>
          <w:highlight w:val="none"/>
        </w:rPr>
        <w:t>基础上编制详细的施工组织设计，</w:t>
      </w:r>
      <w:r>
        <w:rPr>
          <w:rFonts w:hint="eastAsia" w:ascii="宋体" w:hAnsi="宋体" w:cs="宋体"/>
          <w:b/>
          <w:bCs/>
          <w:color w:val="auto"/>
          <w:kern w:val="0"/>
          <w:sz w:val="22"/>
          <w:highlight w:val="none"/>
        </w:rPr>
        <w:t>按照招标人提出的施工现场建筑垃圾源头减量的具体要求以及建筑垃圾综合利用产品的使用要求提供相应措施，</w:t>
      </w:r>
      <w:r>
        <w:rPr>
          <w:rFonts w:hint="eastAsia" w:ascii="宋体" w:hAnsi="宋体" w:cs="宋体"/>
          <w:bCs/>
          <w:color w:val="auto"/>
          <w:kern w:val="0"/>
          <w:sz w:val="22"/>
          <w:highlight w:val="none"/>
        </w:rPr>
        <w:t>并报经监理单位和建设单位审批后实施。</w:t>
      </w:r>
    </w:p>
    <w:p w14:paraId="61F3A837">
      <w:pPr>
        <w:topLinePunct/>
        <w:adjustRightInd w:val="0"/>
        <w:snapToGrid w:val="0"/>
        <w:spacing w:line="360" w:lineRule="auto"/>
        <w:ind w:firstLine="576" w:firstLineChars="200"/>
        <w:jc w:val="left"/>
        <w:rPr>
          <w:rFonts w:ascii="宋体" w:hAnsi="宋体" w:cs="宋体"/>
          <w:color w:val="auto"/>
          <w:spacing w:val="4"/>
          <w:kern w:val="0"/>
          <w:sz w:val="28"/>
          <w:szCs w:val="28"/>
          <w:highlight w:val="none"/>
        </w:rPr>
      </w:pPr>
    </w:p>
    <w:p w14:paraId="7589B46C">
      <w:pPr>
        <w:topLinePunct/>
        <w:adjustRightInd w:val="0"/>
        <w:snapToGrid w:val="0"/>
        <w:spacing w:line="360" w:lineRule="auto"/>
        <w:jc w:val="left"/>
        <w:rPr>
          <w:rFonts w:ascii="宋体" w:hAnsi="宋体" w:cs="宋体"/>
          <w:color w:val="auto"/>
          <w:spacing w:val="4"/>
          <w:kern w:val="0"/>
          <w:sz w:val="24"/>
          <w:szCs w:val="21"/>
          <w:highlight w:val="none"/>
        </w:rPr>
      </w:pPr>
    </w:p>
    <w:p w14:paraId="3CFFF5D4">
      <w:pPr>
        <w:topLinePunct/>
        <w:adjustRightInd w:val="0"/>
        <w:snapToGrid w:val="0"/>
        <w:spacing w:line="360" w:lineRule="auto"/>
        <w:ind w:firstLine="3596" w:firstLineChars="145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 xml:space="preserve">投标人：　　 </w:t>
      </w:r>
    </w:p>
    <w:p w14:paraId="2C8628CB">
      <w:pPr>
        <w:topLinePunct/>
        <w:adjustRightInd w:val="0"/>
        <w:snapToGrid w:val="0"/>
        <w:spacing w:line="360" w:lineRule="auto"/>
        <w:ind w:firstLine="3596" w:firstLineChars="1450"/>
        <w:rPr>
          <w:rFonts w:ascii="宋体" w:hAnsi="宋体" w:cs="宋体"/>
          <w:color w:val="auto"/>
          <w:sz w:val="24"/>
          <w:szCs w:val="24"/>
          <w:highlight w:val="none"/>
        </w:rPr>
      </w:pPr>
      <w:r>
        <w:rPr>
          <w:rFonts w:hint="eastAsia" w:ascii="宋体" w:hAnsi="宋体" w:cs="宋体"/>
          <w:color w:val="auto"/>
          <w:spacing w:val="4"/>
          <w:kern w:val="0"/>
          <w:sz w:val="24"/>
          <w:szCs w:val="24"/>
          <w:highlight w:val="none"/>
        </w:rPr>
        <w:t>日   期：    年    月    日</w:t>
      </w:r>
    </w:p>
    <w:p w14:paraId="39A772B2">
      <w:pPr>
        <w:pStyle w:val="9"/>
        <w:rPr>
          <w:color w:val="auto"/>
          <w:highlight w:val="none"/>
        </w:rPr>
      </w:pPr>
    </w:p>
    <w:p w14:paraId="29AA97B7">
      <w:pPr>
        <w:rPr>
          <w:color w:val="auto"/>
          <w:highlight w:val="none"/>
        </w:rPr>
      </w:pPr>
    </w:p>
    <w:p w14:paraId="4C66B351">
      <w:pPr>
        <w:pStyle w:val="9"/>
        <w:rPr>
          <w:color w:val="auto"/>
          <w:highlight w:val="none"/>
        </w:rPr>
      </w:pPr>
    </w:p>
    <w:p w14:paraId="3E00D5DB">
      <w:pPr>
        <w:rPr>
          <w:color w:val="auto"/>
          <w:highlight w:val="none"/>
        </w:rPr>
      </w:pPr>
    </w:p>
    <w:p w14:paraId="08A02EAC">
      <w:pPr>
        <w:rPr>
          <w:rFonts w:ascii="宋体" w:hAnsi="宋体" w:cs="宋体"/>
          <w:b/>
          <w:bCs/>
          <w:color w:val="auto"/>
          <w:sz w:val="30"/>
          <w:szCs w:val="30"/>
          <w:highlight w:val="none"/>
        </w:rPr>
      </w:pPr>
      <w:r>
        <w:rPr>
          <w:rFonts w:hint="eastAsia" w:ascii="宋体" w:hAnsi="宋体" w:cs="宋体"/>
          <w:b/>
          <w:bCs/>
          <w:color w:val="auto"/>
          <w:sz w:val="30"/>
          <w:szCs w:val="30"/>
          <w:highlight w:val="none"/>
        </w:rPr>
        <w:br w:type="page"/>
      </w:r>
      <w:r>
        <w:rPr>
          <w:rFonts w:hint="eastAsia" w:ascii="宋体" w:hAnsi="宋体" w:cs="宋体"/>
          <w:b/>
          <w:bCs/>
          <w:color w:val="auto"/>
          <w:sz w:val="30"/>
          <w:szCs w:val="30"/>
          <w:highlight w:val="none"/>
        </w:rPr>
        <w:t>施工组织设计：</w:t>
      </w:r>
    </w:p>
    <w:p w14:paraId="76CC59D1">
      <w:pPr>
        <w:spacing w:line="400" w:lineRule="exact"/>
        <w:jc w:val="center"/>
        <w:rPr>
          <w:rFonts w:ascii="宋体" w:hAnsi="宋体" w:cs="宋体"/>
          <w:b/>
          <w:bCs/>
          <w:color w:val="auto"/>
          <w:sz w:val="30"/>
          <w:szCs w:val="30"/>
          <w:highlight w:val="none"/>
        </w:rPr>
      </w:pPr>
    </w:p>
    <w:p w14:paraId="162C8816">
      <w:pPr>
        <w:spacing w:line="400" w:lineRule="exact"/>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施工组织设计</w:t>
      </w:r>
    </w:p>
    <w:p w14:paraId="6293976F">
      <w:pPr>
        <w:spacing w:line="400" w:lineRule="exact"/>
        <w:ind w:firstLine="480" w:firstLineChars="200"/>
        <w:rPr>
          <w:rFonts w:ascii="宋体" w:hAnsi="宋体" w:cs="宋体"/>
          <w:color w:val="auto"/>
          <w:sz w:val="24"/>
          <w:szCs w:val="24"/>
          <w:highlight w:val="none"/>
        </w:rPr>
      </w:pPr>
    </w:p>
    <w:p w14:paraId="0FAF3DFC">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人对本项目特点有深刻认识，组织实施方案计划详细、保证措施合理且切实可行；对本项目的重点、难点，考虑全面，并制定可行的措施；针对本项目特点制定的交通疏解措施切实可行、详细、合理；应急处理措施、安全防护制度和文明操作措施完善；必须提交人员和机械安排计划，计划切实可行、详细、合理。各部分文字直接简炼，不得出现大量宣传性及无实质性意义或直接引用范本照搬照套的文字，并结合图表说明及表示。施工组织设计编制可包括以下内容：</w:t>
      </w:r>
    </w:p>
    <w:p w14:paraId="6390F5DF">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一、文字部分：</w:t>
      </w:r>
    </w:p>
    <w:p w14:paraId="2D3120EC">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1.工程概况及工程重点、难点</w:t>
      </w:r>
    </w:p>
    <w:p w14:paraId="403ED79F">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2.项目组织机构</w:t>
      </w:r>
    </w:p>
    <w:p w14:paraId="5EA19D3A">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要求项目负责人、总工程师、施工计划及财务负责人、质检、实验、测量和机械、土建等组织结构配置合理，满足施工要求。</w:t>
      </w:r>
    </w:p>
    <w:p w14:paraId="06FD8966">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3.施工总平面布置</w:t>
      </w:r>
    </w:p>
    <w:p w14:paraId="22CB5A3F">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人应针对本工程项目场地布置图和现场踏勘的情况进行本工程的施工总平面布置，并结合招标人提供的临时用地位置，合理安排其生活、福利、办公等临时生活设施和材料堆场、仓库、预制场、拌和场及加工场等生产设施的位置，设置完善、高效的临时排水、排污等设施，合理布置场内外交通运输路线。施工现场必须按广州市有关规定设置围蔽结构。</w:t>
      </w:r>
    </w:p>
    <w:p w14:paraId="67AA6772">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3.1临设平面布置图；</w:t>
      </w:r>
    </w:p>
    <w:p w14:paraId="48027294">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3.2临时供水、临时供电；</w:t>
      </w:r>
    </w:p>
    <w:p w14:paraId="33C67A03">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3.3临时排水、排污；</w:t>
      </w:r>
    </w:p>
    <w:p w14:paraId="5FFBA3CC">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3.4围蔽结构；</w:t>
      </w:r>
    </w:p>
    <w:p w14:paraId="0B0418DA">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3.5施工通道布置；</w:t>
      </w:r>
    </w:p>
    <w:p w14:paraId="733F010C">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3.6投标人认为需补充的内容。</w:t>
      </w:r>
    </w:p>
    <w:p w14:paraId="30C440BE">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4.主要分项工程的施工方案、施工方法、施工工艺</w:t>
      </w:r>
    </w:p>
    <w:p w14:paraId="462FB09E">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根据本工程施工特点，制定各关键工序的施工方案、施工方法和工艺，要求所采用的施工方案、施工方法和工艺具有针对性、先进性和独创性。并阐述对进场施工后保证实施上述施工方案、施工方法和工艺；</w:t>
      </w:r>
    </w:p>
    <w:p w14:paraId="72D02C38">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5.危险性较大的分部分项工程专项施工方案。</w:t>
      </w:r>
    </w:p>
    <w:p w14:paraId="2F50ACB4">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6.工程建设进度计划与措施</w:t>
      </w:r>
    </w:p>
    <w:p w14:paraId="49B913FF">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6.1总体施工进度计划</w:t>
      </w:r>
    </w:p>
    <w:p w14:paraId="4904B030">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6.2各阶段施工进度计划及控制措施</w:t>
      </w:r>
    </w:p>
    <w:p w14:paraId="43038A5B">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6.3资源配备计划（工、料、机、资金等的使用计划）</w:t>
      </w:r>
    </w:p>
    <w:p w14:paraId="1AB33383">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6.4主要的工艺流程</w:t>
      </w:r>
    </w:p>
    <w:p w14:paraId="5AFAF1A5">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7. 质量管理体系和措施</w:t>
      </w:r>
    </w:p>
    <w:p w14:paraId="5AFFDDCA">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8. 环保与文明施工管理体系与措施（包括空气污染、水质污染、噪音控制、施工场地和驻地卫生，以及文明施工等方面控制措施）</w:t>
      </w:r>
    </w:p>
    <w:p w14:paraId="78BBF07C">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9.制订完善的成品保护措施。</w:t>
      </w:r>
    </w:p>
    <w:p w14:paraId="36DEA6C3">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10.民工工资支付方案及措施</w:t>
      </w:r>
    </w:p>
    <w:p w14:paraId="30EEFF2D">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11.承诺优先使用绿色生产达标企业的混凝土及措施</w:t>
      </w:r>
    </w:p>
    <w:p w14:paraId="2E5893FF">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二、图表部分</w:t>
      </w:r>
    </w:p>
    <w:p w14:paraId="5A3311AD">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1.项目组织机构图</w:t>
      </w:r>
    </w:p>
    <w:p w14:paraId="07A04437">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2.施工平面布置图</w:t>
      </w:r>
    </w:p>
    <w:p w14:paraId="3FEA286E">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3.施工进度计划网络图及横道图</w:t>
      </w:r>
    </w:p>
    <w:p w14:paraId="0D99CEE6">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4.劳动力使用计划图（或表）</w:t>
      </w:r>
    </w:p>
    <w:p w14:paraId="2D1964F0">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5.拟投入的主要材料、半成品、设备及品牌计划表</w:t>
      </w:r>
    </w:p>
    <w:p w14:paraId="687EDA14">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6.拟投入的主要施工机械设备计划表</w:t>
      </w:r>
    </w:p>
    <w:p w14:paraId="3438D6D9">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7.资金使用计划表</w:t>
      </w:r>
    </w:p>
    <w:p w14:paraId="50A17DDD">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8.主要施工工艺的工艺流程图</w:t>
      </w:r>
    </w:p>
    <w:p w14:paraId="23957CD2">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（三）施工现场建筑垃圾源头减量的具体要求和建筑垃圾综合利用产品的使用要求</w:t>
      </w:r>
    </w:p>
    <w:p w14:paraId="59598298">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191B72DF">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2.建筑垃圾应当按照国家有关规定进行分类，实行分类收集、分类贮存、分类运输、分类处置。</w:t>
      </w:r>
    </w:p>
    <w:p w14:paraId="7D01AF50">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51D64230">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54E17B19">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5.工程泥浆应当在施工现场进行脱水固化处理。施工现场不具备条件的，应当采用罐装器具密闭运输至依法设置的建筑垃圾处置场所进行处置。水上工程中依法无需经脱水处理的除外。</w:t>
      </w:r>
    </w:p>
    <w:p w14:paraId="7FB1D72D">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61D1A41E">
      <w:pPr>
        <w:pStyle w:val="9"/>
        <w:spacing w:line="360" w:lineRule="auto"/>
        <w:rPr>
          <w:color w:val="auto"/>
          <w:highlight w:val="none"/>
        </w:rPr>
      </w:pPr>
      <w:r>
        <w:rPr>
          <w:rFonts w:hint="eastAsia" w:ascii="宋体" w:hAnsi="宋体" w:cs="宋体"/>
          <w:color w:val="auto"/>
          <w:sz w:val="24"/>
          <w:szCs w:val="24"/>
          <w:highlight w:val="none"/>
        </w:rPr>
        <w:t>7.建设单位和施工单位严格遵守并执行《广东省建筑垃圾管理条例》。</w:t>
      </w:r>
    </w:p>
    <w:p w14:paraId="156B6EB6">
      <w:pPr>
        <w:spacing w:line="360" w:lineRule="auto"/>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w:t>
      </w:r>
      <w:r>
        <w:rPr>
          <w:rFonts w:hint="eastAsia" w:ascii="宋体" w:hAnsi="宋体" w:cs="宋体"/>
          <w:b/>
          <w:bCs/>
          <w:color w:val="auto"/>
          <w:sz w:val="24"/>
          <w:highlight w:val="none"/>
        </w:rPr>
        <w:t>技术部分格式</w:t>
      </w:r>
      <w:r>
        <w:rPr>
          <w:rFonts w:ascii="宋体" w:hAnsi="宋体" w:cs="宋体"/>
          <w:b/>
          <w:bCs/>
          <w:color w:val="auto"/>
          <w:sz w:val="24"/>
          <w:highlight w:val="none"/>
        </w:rPr>
        <w:t>7</w:t>
      </w:r>
      <w:r>
        <w:rPr>
          <w:rFonts w:hint="eastAsia" w:ascii="宋体" w:hAnsi="宋体" w:cs="宋体"/>
          <w:b/>
          <w:bCs/>
          <w:color w:val="auto"/>
          <w:sz w:val="24"/>
          <w:highlight w:val="none"/>
        </w:rPr>
        <w:t>：</w:t>
      </w:r>
    </w:p>
    <w:p w14:paraId="67878F29">
      <w:pPr>
        <w:pStyle w:val="124"/>
        <w:ind w:firstLine="496"/>
        <w:rPr>
          <w:rFonts w:ascii="宋体" w:hAnsi="宋体" w:cs="宋体"/>
          <w:color w:val="auto"/>
          <w:highlight w:val="none"/>
        </w:rPr>
      </w:pPr>
    </w:p>
    <w:p w14:paraId="56D2AFB6">
      <w:pPr>
        <w:pStyle w:val="165"/>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参与编制技术标投标文件人员名单</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848"/>
        <w:gridCol w:w="1849"/>
        <w:gridCol w:w="1849"/>
        <w:gridCol w:w="1849"/>
      </w:tblGrid>
      <w:tr w14:paraId="78704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242" w:type="dxa"/>
            <w:gridSpan w:val="5"/>
            <w:noWrap w:val="0"/>
            <w:vAlign w:val="center"/>
          </w:tcPr>
          <w:p w14:paraId="2DD0A378">
            <w:pPr>
              <w:pStyle w:val="177"/>
              <w:ind w:firstLine="22"/>
              <w:rPr>
                <w:rFonts w:cs="宋体"/>
                <w:color w:val="auto"/>
                <w:sz w:val="24"/>
                <w:highlight w:val="none"/>
              </w:rPr>
            </w:pPr>
            <w:r>
              <w:rPr>
                <w:rFonts w:hint="eastAsia" w:cs="宋体"/>
                <w:color w:val="auto"/>
                <w:highlight w:val="none"/>
              </w:rPr>
              <w:t>投标单位名称：</w:t>
            </w:r>
          </w:p>
        </w:tc>
      </w:tr>
      <w:tr w14:paraId="2169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noWrap w:val="0"/>
            <w:vAlign w:val="center"/>
          </w:tcPr>
          <w:p w14:paraId="27018BE9">
            <w:pPr>
              <w:pStyle w:val="177"/>
              <w:ind w:firstLine="525"/>
              <w:rPr>
                <w:rFonts w:cs="宋体"/>
                <w:color w:val="auto"/>
                <w:highlight w:val="none"/>
              </w:rPr>
            </w:pPr>
            <w:r>
              <w:rPr>
                <w:rFonts w:hint="eastAsia" w:cs="宋体"/>
                <w:color w:val="auto"/>
                <w:highlight w:val="none"/>
              </w:rPr>
              <w:t>姓名</w:t>
            </w:r>
          </w:p>
        </w:tc>
        <w:tc>
          <w:tcPr>
            <w:tcW w:w="1848" w:type="dxa"/>
            <w:noWrap w:val="0"/>
            <w:vAlign w:val="center"/>
          </w:tcPr>
          <w:p w14:paraId="72AAD8E7">
            <w:pPr>
              <w:pStyle w:val="177"/>
              <w:ind w:firstLine="525"/>
              <w:rPr>
                <w:rFonts w:cs="宋体"/>
                <w:color w:val="auto"/>
                <w:highlight w:val="none"/>
              </w:rPr>
            </w:pPr>
            <w:r>
              <w:rPr>
                <w:rFonts w:hint="eastAsia" w:cs="宋体"/>
                <w:color w:val="auto"/>
                <w:highlight w:val="none"/>
              </w:rPr>
              <w:t>职务</w:t>
            </w:r>
          </w:p>
        </w:tc>
        <w:tc>
          <w:tcPr>
            <w:tcW w:w="1849" w:type="dxa"/>
            <w:noWrap w:val="0"/>
            <w:vAlign w:val="center"/>
          </w:tcPr>
          <w:p w14:paraId="2C5F79D9">
            <w:pPr>
              <w:pStyle w:val="177"/>
              <w:ind w:firstLine="19"/>
              <w:jc w:val="center"/>
              <w:rPr>
                <w:rFonts w:cs="宋体"/>
                <w:color w:val="auto"/>
                <w:highlight w:val="none"/>
              </w:rPr>
            </w:pPr>
            <w:r>
              <w:rPr>
                <w:rFonts w:hint="eastAsia" w:cs="宋体"/>
                <w:color w:val="auto"/>
                <w:highlight w:val="none"/>
              </w:rPr>
              <w:t>所承担工作</w:t>
            </w:r>
          </w:p>
        </w:tc>
        <w:tc>
          <w:tcPr>
            <w:tcW w:w="1849" w:type="dxa"/>
            <w:noWrap w:val="0"/>
            <w:vAlign w:val="center"/>
          </w:tcPr>
          <w:p w14:paraId="7784086E">
            <w:pPr>
              <w:pStyle w:val="177"/>
              <w:ind w:firstLine="16"/>
              <w:jc w:val="center"/>
              <w:rPr>
                <w:rFonts w:cs="宋体"/>
                <w:color w:val="auto"/>
                <w:highlight w:val="none"/>
              </w:rPr>
            </w:pPr>
            <w:r>
              <w:rPr>
                <w:rFonts w:hint="eastAsia" w:cs="宋体"/>
                <w:color w:val="auto"/>
                <w:highlight w:val="none"/>
              </w:rPr>
              <w:t>身份证号码</w:t>
            </w:r>
          </w:p>
        </w:tc>
        <w:tc>
          <w:tcPr>
            <w:tcW w:w="1849" w:type="dxa"/>
            <w:noWrap w:val="0"/>
            <w:vAlign w:val="center"/>
          </w:tcPr>
          <w:p w14:paraId="437BA163">
            <w:pPr>
              <w:pStyle w:val="177"/>
              <w:jc w:val="center"/>
              <w:rPr>
                <w:rFonts w:cs="宋体"/>
                <w:color w:val="auto"/>
                <w:highlight w:val="none"/>
              </w:rPr>
            </w:pPr>
            <w:r>
              <w:rPr>
                <w:rFonts w:hint="eastAsia" w:cs="宋体"/>
                <w:color w:val="auto"/>
                <w:highlight w:val="none"/>
              </w:rPr>
              <w:t>本人签名栏</w:t>
            </w:r>
          </w:p>
        </w:tc>
      </w:tr>
      <w:tr w14:paraId="3550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noWrap w:val="0"/>
            <w:vAlign w:val="center"/>
          </w:tcPr>
          <w:p w14:paraId="02733E52">
            <w:pPr>
              <w:pStyle w:val="177"/>
              <w:ind w:firstLine="525"/>
              <w:jc w:val="center"/>
              <w:rPr>
                <w:rFonts w:cs="宋体"/>
                <w:color w:val="auto"/>
                <w:sz w:val="24"/>
                <w:highlight w:val="none"/>
              </w:rPr>
            </w:pPr>
          </w:p>
        </w:tc>
        <w:tc>
          <w:tcPr>
            <w:tcW w:w="1848" w:type="dxa"/>
            <w:noWrap w:val="0"/>
            <w:vAlign w:val="center"/>
          </w:tcPr>
          <w:p w14:paraId="5EB04715">
            <w:pPr>
              <w:pStyle w:val="177"/>
              <w:ind w:firstLine="525"/>
              <w:jc w:val="center"/>
              <w:rPr>
                <w:rFonts w:cs="宋体"/>
                <w:color w:val="auto"/>
                <w:sz w:val="24"/>
                <w:highlight w:val="none"/>
              </w:rPr>
            </w:pPr>
          </w:p>
        </w:tc>
        <w:tc>
          <w:tcPr>
            <w:tcW w:w="1849" w:type="dxa"/>
            <w:noWrap w:val="0"/>
            <w:vAlign w:val="center"/>
          </w:tcPr>
          <w:p w14:paraId="340E0D25">
            <w:pPr>
              <w:pStyle w:val="177"/>
              <w:ind w:firstLine="525"/>
              <w:jc w:val="center"/>
              <w:rPr>
                <w:rFonts w:cs="宋体"/>
                <w:color w:val="auto"/>
                <w:sz w:val="24"/>
                <w:highlight w:val="none"/>
              </w:rPr>
            </w:pPr>
          </w:p>
        </w:tc>
        <w:tc>
          <w:tcPr>
            <w:tcW w:w="1849" w:type="dxa"/>
            <w:noWrap w:val="0"/>
            <w:vAlign w:val="center"/>
          </w:tcPr>
          <w:p w14:paraId="7B54ED25">
            <w:pPr>
              <w:pStyle w:val="177"/>
              <w:ind w:firstLine="525"/>
              <w:jc w:val="center"/>
              <w:rPr>
                <w:rFonts w:cs="宋体"/>
                <w:color w:val="auto"/>
                <w:sz w:val="24"/>
                <w:highlight w:val="none"/>
              </w:rPr>
            </w:pPr>
          </w:p>
        </w:tc>
        <w:tc>
          <w:tcPr>
            <w:tcW w:w="1849" w:type="dxa"/>
            <w:noWrap w:val="0"/>
            <w:vAlign w:val="center"/>
          </w:tcPr>
          <w:p w14:paraId="1D598375">
            <w:pPr>
              <w:pStyle w:val="177"/>
              <w:ind w:firstLine="525"/>
              <w:jc w:val="center"/>
              <w:rPr>
                <w:rFonts w:cs="宋体"/>
                <w:color w:val="auto"/>
                <w:sz w:val="24"/>
                <w:highlight w:val="none"/>
              </w:rPr>
            </w:pPr>
          </w:p>
        </w:tc>
      </w:tr>
      <w:tr w14:paraId="7228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noWrap w:val="0"/>
            <w:vAlign w:val="center"/>
          </w:tcPr>
          <w:p w14:paraId="67DD88B8">
            <w:pPr>
              <w:pStyle w:val="177"/>
              <w:ind w:firstLine="525"/>
              <w:jc w:val="center"/>
              <w:rPr>
                <w:rFonts w:cs="宋体"/>
                <w:color w:val="auto"/>
                <w:sz w:val="24"/>
                <w:highlight w:val="none"/>
              </w:rPr>
            </w:pPr>
          </w:p>
        </w:tc>
        <w:tc>
          <w:tcPr>
            <w:tcW w:w="1848" w:type="dxa"/>
            <w:noWrap w:val="0"/>
            <w:vAlign w:val="center"/>
          </w:tcPr>
          <w:p w14:paraId="05CAEB29">
            <w:pPr>
              <w:pStyle w:val="177"/>
              <w:ind w:firstLine="525"/>
              <w:jc w:val="center"/>
              <w:rPr>
                <w:rFonts w:cs="宋体"/>
                <w:color w:val="auto"/>
                <w:sz w:val="24"/>
                <w:highlight w:val="none"/>
              </w:rPr>
            </w:pPr>
          </w:p>
        </w:tc>
        <w:tc>
          <w:tcPr>
            <w:tcW w:w="1849" w:type="dxa"/>
            <w:noWrap w:val="0"/>
            <w:vAlign w:val="center"/>
          </w:tcPr>
          <w:p w14:paraId="10763195">
            <w:pPr>
              <w:pStyle w:val="177"/>
              <w:ind w:firstLine="525"/>
              <w:jc w:val="center"/>
              <w:rPr>
                <w:rFonts w:cs="宋体"/>
                <w:color w:val="auto"/>
                <w:sz w:val="24"/>
                <w:highlight w:val="none"/>
              </w:rPr>
            </w:pPr>
          </w:p>
        </w:tc>
        <w:tc>
          <w:tcPr>
            <w:tcW w:w="1849" w:type="dxa"/>
            <w:noWrap w:val="0"/>
            <w:vAlign w:val="center"/>
          </w:tcPr>
          <w:p w14:paraId="032D6D0A">
            <w:pPr>
              <w:pStyle w:val="177"/>
              <w:ind w:firstLine="525"/>
              <w:jc w:val="center"/>
              <w:rPr>
                <w:rFonts w:cs="宋体"/>
                <w:color w:val="auto"/>
                <w:sz w:val="24"/>
                <w:highlight w:val="none"/>
              </w:rPr>
            </w:pPr>
          </w:p>
        </w:tc>
        <w:tc>
          <w:tcPr>
            <w:tcW w:w="1849" w:type="dxa"/>
            <w:noWrap w:val="0"/>
            <w:vAlign w:val="center"/>
          </w:tcPr>
          <w:p w14:paraId="55BCF96C">
            <w:pPr>
              <w:pStyle w:val="177"/>
              <w:ind w:firstLine="525"/>
              <w:jc w:val="center"/>
              <w:rPr>
                <w:rFonts w:cs="宋体"/>
                <w:color w:val="auto"/>
                <w:sz w:val="24"/>
                <w:highlight w:val="none"/>
              </w:rPr>
            </w:pPr>
          </w:p>
        </w:tc>
      </w:tr>
      <w:tr w14:paraId="2900F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noWrap w:val="0"/>
            <w:vAlign w:val="center"/>
          </w:tcPr>
          <w:p w14:paraId="7B97D4EC">
            <w:pPr>
              <w:pStyle w:val="177"/>
              <w:ind w:firstLine="525"/>
              <w:jc w:val="center"/>
              <w:rPr>
                <w:rFonts w:cs="宋体"/>
                <w:color w:val="auto"/>
                <w:sz w:val="24"/>
                <w:highlight w:val="none"/>
              </w:rPr>
            </w:pPr>
          </w:p>
        </w:tc>
        <w:tc>
          <w:tcPr>
            <w:tcW w:w="1848" w:type="dxa"/>
            <w:noWrap w:val="0"/>
            <w:vAlign w:val="center"/>
          </w:tcPr>
          <w:p w14:paraId="543B7ECB">
            <w:pPr>
              <w:pStyle w:val="177"/>
              <w:ind w:firstLine="525"/>
              <w:jc w:val="center"/>
              <w:rPr>
                <w:rFonts w:cs="宋体"/>
                <w:color w:val="auto"/>
                <w:sz w:val="24"/>
                <w:highlight w:val="none"/>
              </w:rPr>
            </w:pPr>
          </w:p>
        </w:tc>
        <w:tc>
          <w:tcPr>
            <w:tcW w:w="1849" w:type="dxa"/>
            <w:noWrap w:val="0"/>
            <w:vAlign w:val="center"/>
          </w:tcPr>
          <w:p w14:paraId="7C951EEB">
            <w:pPr>
              <w:pStyle w:val="177"/>
              <w:ind w:firstLine="525"/>
              <w:jc w:val="center"/>
              <w:rPr>
                <w:rFonts w:cs="宋体"/>
                <w:color w:val="auto"/>
                <w:sz w:val="24"/>
                <w:highlight w:val="none"/>
              </w:rPr>
            </w:pPr>
          </w:p>
        </w:tc>
        <w:tc>
          <w:tcPr>
            <w:tcW w:w="1849" w:type="dxa"/>
            <w:noWrap w:val="0"/>
            <w:vAlign w:val="center"/>
          </w:tcPr>
          <w:p w14:paraId="70EAF688">
            <w:pPr>
              <w:pStyle w:val="177"/>
              <w:ind w:firstLine="525"/>
              <w:jc w:val="center"/>
              <w:rPr>
                <w:rFonts w:cs="宋体"/>
                <w:color w:val="auto"/>
                <w:sz w:val="24"/>
                <w:highlight w:val="none"/>
              </w:rPr>
            </w:pPr>
          </w:p>
        </w:tc>
        <w:tc>
          <w:tcPr>
            <w:tcW w:w="1849" w:type="dxa"/>
            <w:noWrap w:val="0"/>
            <w:vAlign w:val="center"/>
          </w:tcPr>
          <w:p w14:paraId="2AF7D6F9">
            <w:pPr>
              <w:pStyle w:val="177"/>
              <w:ind w:firstLine="525"/>
              <w:jc w:val="center"/>
              <w:rPr>
                <w:rFonts w:cs="宋体"/>
                <w:color w:val="auto"/>
                <w:sz w:val="24"/>
                <w:highlight w:val="none"/>
              </w:rPr>
            </w:pPr>
          </w:p>
        </w:tc>
      </w:tr>
      <w:tr w14:paraId="629C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noWrap w:val="0"/>
            <w:vAlign w:val="center"/>
          </w:tcPr>
          <w:p w14:paraId="7DB56BE1">
            <w:pPr>
              <w:pStyle w:val="177"/>
              <w:ind w:firstLine="525"/>
              <w:jc w:val="center"/>
              <w:rPr>
                <w:rFonts w:cs="宋体"/>
                <w:color w:val="auto"/>
                <w:sz w:val="24"/>
                <w:highlight w:val="none"/>
              </w:rPr>
            </w:pPr>
          </w:p>
        </w:tc>
        <w:tc>
          <w:tcPr>
            <w:tcW w:w="1848" w:type="dxa"/>
            <w:noWrap w:val="0"/>
            <w:vAlign w:val="center"/>
          </w:tcPr>
          <w:p w14:paraId="2F4CBB13">
            <w:pPr>
              <w:pStyle w:val="177"/>
              <w:ind w:firstLine="525"/>
              <w:jc w:val="center"/>
              <w:rPr>
                <w:rFonts w:cs="宋体"/>
                <w:color w:val="auto"/>
                <w:sz w:val="24"/>
                <w:highlight w:val="none"/>
              </w:rPr>
            </w:pPr>
          </w:p>
        </w:tc>
        <w:tc>
          <w:tcPr>
            <w:tcW w:w="1849" w:type="dxa"/>
            <w:noWrap w:val="0"/>
            <w:vAlign w:val="center"/>
          </w:tcPr>
          <w:p w14:paraId="53D3499E">
            <w:pPr>
              <w:pStyle w:val="177"/>
              <w:ind w:firstLine="525"/>
              <w:jc w:val="center"/>
              <w:rPr>
                <w:rFonts w:cs="宋体"/>
                <w:color w:val="auto"/>
                <w:sz w:val="24"/>
                <w:highlight w:val="none"/>
              </w:rPr>
            </w:pPr>
          </w:p>
        </w:tc>
        <w:tc>
          <w:tcPr>
            <w:tcW w:w="1849" w:type="dxa"/>
            <w:noWrap w:val="0"/>
            <w:vAlign w:val="center"/>
          </w:tcPr>
          <w:p w14:paraId="70C0050D">
            <w:pPr>
              <w:pStyle w:val="177"/>
              <w:ind w:firstLine="525"/>
              <w:jc w:val="center"/>
              <w:rPr>
                <w:rFonts w:cs="宋体"/>
                <w:color w:val="auto"/>
                <w:sz w:val="24"/>
                <w:highlight w:val="none"/>
              </w:rPr>
            </w:pPr>
          </w:p>
        </w:tc>
        <w:tc>
          <w:tcPr>
            <w:tcW w:w="1849" w:type="dxa"/>
            <w:noWrap w:val="0"/>
            <w:vAlign w:val="center"/>
          </w:tcPr>
          <w:p w14:paraId="74529665">
            <w:pPr>
              <w:pStyle w:val="177"/>
              <w:ind w:firstLine="525"/>
              <w:jc w:val="center"/>
              <w:rPr>
                <w:rFonts w:cs="宋体"/>
                <w:color w:val="auto"/>
                <w:sz w:val="24"/>
                <w:highlight w:val="none"/>
              </w:rPr>
            </w:pPr>
          </w:p>
        </w:tc>
      </w:tr>
      <w:tr w14:paraId="4E96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noWrap w:val="0"/>
            <w:vAlign w:val="center"/>
          </w:tcPr>
          <w:p w14:paraId="7C2BCDEC">
            <w:pPr>
              <w:pStyle w:val="177"/>
              <w:ind w:firstLine="525"/>
              <w:jc w:val="center"/>
              <w:rPr>
                <w:rFonts w:cs="宋体"/>
                <w:color w:val="auto"/>
                <w:sz w:val="24"/>
                <w:highlight w:val="none"/>
              </w:rPr>
            </w:pPr>
          </w:p>
        </w:tc>
        <w:tc>
          <w:tcPr>
            <w:tcW w:w="1848" w:type="dxa"/>
            <w:noWrap w:val="0"/>
            <w:vAlign w:val="center"/>
          </w:tcPr>
          <w:p w14:paraId="4766AEF3">
            <w:pPr>
              <w:pStyle w:val="177"/>
              <w:ind w:firstLine="525"/>
              <w:jc w:val="center"/>
              <w:rPr>
                <w:rFonts w:cs="宋体"/>
                <w:color w:val="auto"/>
                <w:sz w:val="24"/>
                <w:highlight w:val="none"/>
              </w:rPr>
            </w:pPr>
          </w:p>
        </w:tc>
        <w:tc>
          <w:tcPr>
            <w:tcW w:w="1849" w:type="dxa"/>
            <w:noWrap w:val="0"/>
            <w:vAlign w:val="center"/>
          </w:tcPr>
          <w:p w14:paraId="05F13026">
            <w:pPr>
              <w:pStyle w:val="177"/>
              <w:ind w:firstLine="525"/>
              <w:jc w:val="center"/>
              <w:rPr>
                <w:rFonts w:cs="宋体"/>
                <w:color w:val="auto"/>
                <w:sz w:val="24"/>
                <w:highlight w:val="none"/>
              </w:rPr>
            </w:pPr>
          </w:p>
        </w:tc>
        <w:tc>
          <w:tcPr>
            <w:tcW w:w="1849" w:type="dxa"/>
            <w:noWrap w:val="0"/>
            <w:vAlign w:val="center"/>
          </w:tcPr>
          <w:p w14:paraId="5C8B9C27">
            <w:pPr>
              <w:pStyle w:val="177"/>
              <w:ind w:firstLine="525"/>
              <w:jc w:val="center"/>
              <w:rPr>
                <w:rFonts w:cs="宋体"/>
                <w:color w:val="auto"/>
                <w:sz w:val="24"/>
                <w:highlight w:val="none"/>
              </w:rPr>
            </w:pPr>
          </w:p>
        </w:tc>
        <w:tc>
          <w:tcPr>
            <w:tcW w:w="1849" w:type="dxa"/>
            <w:noWrap w:val="0"/>
            <w:vAlign w:val="center"/>
          </w:tcPr>
          <w:p w14:paraId="26383A0E">
            <w:pPr>
              <w:pStyle w:val="177"/>
              <w:ind w:firstLine="525"/>
              <w:jc w:val="center"/>
              <w:rPr>
                <w:rFonts w:cs="宋体"/>
                <w:color w:val="auto"/>
                <w:sz w:val="24"/>
                <w:highlight w:val="none"/>
              </w:rPr>
            </w:pPr>
          </w:p>
        </w:tc>
      </w:tr>
      <w:tr w14:paraId="3EFF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noWrap w:val="0"/>
            <w:vAlign w:val="center"/>
          </w:tcPr>
          <w:p w14:paraId="2A2A7232">
            <w:pPr>
              <w:pStyle w:val="177"/>
              <w:ind w:firstLine="525"/>
              <w:jc w:val="center"/>
              <w:rPr>
                <w:rFonts w:cs="宋体"/>
                <w:color w:val="auto"/>
                <w:sz w:val="24"/>
                <w:highlight w:val="none"/>
              </w:rPr>
            </w:pPr>
          </w:p>
        </w:tc>
        <w:tc>
          <w:tcPr>
            <w:tcW w:w="1848" w:type="dxa"/>
            <w:noWrap w:val="0"/>
            <w:vAlign w:val="center"/>
          </w:tcPr>
          <w:p w14:paraId="26207CC1">
            <w:pPr>
              <w:pStyle w:val="177"/>
              <w:ind w:firstLine="525"/>
              <w:jc w:val="center"/>
              <w:rPr>
                <w:rFonts w:cs="宋体"/>
                <w:color w:val="auto"/>
                <w:sz w:val="24"/>
                <w:highlight w:val="none"/>
              </w:rPr>
            </w:pPr>
          </w:p>
        </w:tc>
        <w:tc>
          <w:tcPr>
            <w:tcW w:w="1849" w:type="dxa"/>
            <w:noWrap w:val="0"/>
            <w:vAlign w:val="center"/>
          </w:tcPr>
          <w:p w14:paraId="362C203D">
            <w:pPr>
              <w:pStyle w:val="177"/>
              <w:ind w:firstLine="525"/>
              <w:jc w:val="center"/>
              <w:rPr>
                <w:rFonts w:cs="宋体"/>
                <w:color w:val="auto"/>
                <w:sz w:val="24"/>
                <w:highlight w:val="none"/>
              </w:rPr>
            </w:pPr>
          </w:p>
        </w:tc>
        <w:tc>
          <w:tcPr>
            <w:tcW w:w="1849" w:type="dxa"/>
            <w:noWrap w:val="0"/>
            <w:vAlign w:val="center"/>
          </w:tcPr>
          <w:p w14:paraId="18C62CB5">
            <w:pPr>
              <w:pStyle w:val="177"/>
              <w:ind w:firstLine="525"/>
              <w:jc w:val="center"/>
              <w:rPr>
                <w:rFonts w:cs="宋体"/>
                <w:color w:val="auto"/>
                <w:sz w:val="24"/>
                <w:highlight w:val="none"/>
              </w:rPr>
            </w:pPr>
          </w:p>
        </w:tc>
        <w:tc>
          <w:tcPr>
            <w:tcW w:w="1849" w:type="dxa"/>
            <w:noWrap w:val="0"/>
            <w:vAlign w:val="center"/>
          </w:tcPr>
          <w:p w14:paraId="3263B853">
            <w:pPr>
              <w:pStyle w:val="177"/>
              <w:ind w:firstLine="525"/>
              <w:jc w:val="center"/>
              <w:rPr>
                <w:rFonts w:cs="宋体"/>
                <w:color w:val="auto"/>
                <w:sz w:val="24"/>
                <w:highlight w:val="none"/>
              </w:rPr>
            </w:pPr>
          </w:p>
        </w:tc>
      </w:tr>
    </w:tbl>
    <w:p w14:paraId="12CC5462">
      <w:pPr>
        <w:spacing w:line="360" w:lineRule="auto"/>
        <w:rPr>
          <w:rFonts w:ascii="宋体" w:hAnsi="宋体" w:cs="宋体"/>
          <w:color w:val="auto"/>
          <w:highlight w:val="none"/>
        </w:rPr>
      </w:pPr>
      <w:r>
        <w:rPr>
          <w:rFonts w:hint="eastAsia" w:ascii="宋体" w:hAnsi="宋体" w:cs="宋体"/>
          <w:color w:val="auto"/>
          <w:highlight w:val="none"/>
        </w:rPr>
        <w:t>注：参与编制技术标书所有人员名单应包括如编制技术投标方案、负责清样校对、负责打印及复印等所有人员在内的人员名单。</w:t>
      </w:r>
    </w:p>
    <w:p w14:paraId="784C44EC">
      <w:pPr>
        <w:pStyle w:val="9"/>
        <w:rPr>
          <w:rFonts w:ascii="宋体" w:hAnsi="宋体" w:cs="宋体"/>
          <w:color w:val="auto"/>
          <w:highlight w:val="none"/>
        </w:rPr>
      </w:pPr>
    </w:p>
    <w:p w14:paraId="63B56A49">
      <w:pPr>
        <w:spacing w:line="360" w:lineRule="auto"/>
        <w:rPr>
          <w:rFonts w:ascii="宋体" w:hAnsi="宋体" w:cs="宋体"/>
          <w:b/>
          <w:color w:val="auto"/>
          <w:sz w:val="24"/>
          <w:szCs w:val="24"/>
          <w:highlight w:val="none"/>
        </w:rPr>
      </w:pPr>
      <w:r>
        <w:rPr>
          <w:bCs/>
          <w:color w:val="auto"/>
          <w:szCs w:val="21"/>
          <w:highlight w:val="none"/>
        </w:rPr>
        <w:br w:type="page"/>
      </w:r>
      <w:r>
        <w:rPr>
          <w:rFonts w:hint="eastAsia" w:ascii="宋体" w:hAnsi="宋体" w:cs="宋体"/>
          <w:b/>
          <w:color w:val="auto"/>
          <w:sz w:val="24"/>
          <w:szCs w:val="24"/>
          <w:highlight w:val="none"/>
        </w:rPr>
        <w:t>技术部分格式</w:t>
      </w:r>
      <w:r>
        <w:rPr>
          <w:rFonts w:ascii="宋体" w:hAnsi="宋体" w:cs="宋体"/>
          <w:b/>
          <w:color w:val="auto"/>
          <w:sz w:val="24"/>
          <w:szCs w:val="24"/>
          <w:highlight w:val="none"/>
        </w:rPr>
        <w:t>8</w:t>
      </w:r>
      <w:r>
        <w:rPr>
          <w:rFonts w:hint="eastAsia" w:ascii="宋体" w:hAnsi="宋体" w:cs="宋体"/>
          <w:b/>
          <w:color w:val="auto"/>
          <w:sz w:val="24"/>
          <w:szCs w:val="24"/>
          <w:highlight w:val="none"/>
        </w:rPr>
        <w:t>：施工项目管理团队人员信息表</w:t>
      </w:r>
    </w:p>
    <w:p w14:paraId="5BD28C62">
      <w:pPr>
        <w:widowControl w:val="0"/>
        <w:jc w:val="center"/>
        <w:textAlignment w:val="auto"/>
        <w:rPr>
          <w:rFonts w:ascii="Arial" w:hAnsi="Arial"/>
          <w:b/>
          <w:color w:val="auto"/>
          <w:kern w:val="44"/>
          <w:sz w:val="28"/>
          <w:szCs w:val="28"/>
          <w:highlight w:val="none"/>
        </w:rPr>
      </w:pPr>
      <w:r>
        <w:rPr>
          <w:rFonts w:hint="eastAsia" w:ascii="Arial" w:hAnsi="Arial"/>
          <w:b/>
          <w:color w:val="auto"/>
          <w:kern w:val="44"/>
          <w:sz w:val="28"/>
          <w:szCs w:val="28"/>
          <w:highlight w:val="none"/>
        </w:rPr>
        <w:t>施工项目管理团队人员信息表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
        <w:gridCol w:w="923"/>
        <w:gridCol w:w="2513"/>
        <w:gridCol w:w="1032"/>
        <w:gridCol w:w="1777"/>
        <w:gridCol w:w="1782"/>
      </w:tblGrid>
      <w:tr w14:paraId="2083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93" w:type="pct"/>
            <w:noWrap w:val="0"/>
            <w:vAlign w:val="center"/>
          </w:tcPr>
          <w:p w14:paraId="15CC655A">
            <w:pPr>
              <w:jc w:val="center"/>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541" w:type="pct"/>
            <w:noWrap w:val="0"/>
            <w:vAlign w:val="center"/>
          </w:tcPr>
          <w:p w14:paraId="44362D32">
            <w:pPr>
              <w:jc w:val="center"/>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姓名</w:t>
            </w:r>
          </w:p>
        </w:tc>
        <w:tc>
          <w:tcPr>
            <w:tcW w:w="1474" w:type="pct"/>
            <w:noWrap w:val="0"/>
            <w:vAlign w:val="center"/>
          </w:tcPr>
          <w:p w14:paraId="4CDDA394">
            <w:pPr>
              <w:jc w:val="center"/>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岗位</w:t>
            </w:r>
          </w:p>
        </w:tc>
        <w:tc>
          <w:tcPr>
            <w:tcW w:w="605" w:type="pct"/>
            <w:noWrap w:val="0"/>
            <w:vAlign w:val="center"/>
          </w:tcPr>
          <w:p w14:paraId="571C4AFE">
            <w:pPr>
              <w:jc w:val="center"/>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职称</w:t>
            </w:r>
          </w:p>
        </w:tc>
        <w:tc>
          <w:tcPr>
            <w:tcW w:w="1042" w:type="pct"/>
            <w:noWrap w:val="0"/>
            <w:vAlign w:val="center"/>
          </w:tcPr>
          <w:p w14:paraId="32984B7F">
            <w:pPr>
              <w:jc w:val="center"/>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职称证书或资格证书编号</w:t>
            </w:r>
          </w:p>
        </w:tc>
        <w:tc>
          <w:tcPr>
            <w:tcW w:w="1042" w:type="pct"/>
            <w:noWrap w:val="0"/>
            <w:vAlign w:val="center"/>
          </w:tcPr>
          <w:p w14:paraId="5D1C240B">
            <w:pPr>
              <w:jc w:val="center"/>
              <w:textAlignment w:val="auto"/>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从业年限（年）</w:t>
            </w:r>
          </w:p>
        </w:tc>
      </w:tr>
      <w:tr w14:paraId="0D9B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93" w:type="pct"/>
            <w:noWrap/>
            <w:vAlign w:val="center"/>
          </w:tcPr>
          <w:p w14:paraId="2702C6C0">
            <w:pPr>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41" w:type="pct"/>
            <w:noWrap/>
            <w:vAlign w:val="center"/>
          </w:tcPr>
          <w:p w14:paraId="619FFA85">
            <w:pPr>
              <w:jc w:val="center"/>
              <w:textAlignment w:val="auto"/>
              <w:rPr>
                <w:rFonts w:ascii="宋体" w:hAnsi="宋体" w:cs="宋体"/>
                <w:color w:val="auto"/>
                <w:kern w:val="0"/>
                <w:szCs w:val="21"/>
                <w:highlight w:val="none"/>
              </w:rPr>
            </w:pPr>
          </w:p>
        </w:tc>
        <w:tc>
          <w:tcPr>
            <w:tcW w:w="1474" w:type="pct"/>
            <w:tcBorders>
              <w:top w:val="single" w:color="auto" w:sz="4" w:space="0"/>
              <w:left w:val="single" w:color="auto" w:sz="4" w:space="0"/>
              <w:bottom w:val="single" w:color="auto" w:sz="4" w:space="0"/>
              <w:right w:val="single" w:color="auto" w:sz="4" w:space="0"/>
            </w:tcBorders>
            <w:noWrap/>
            <w:vAlign w:val="center"/>
          </w:tcPr>
          <w:p w14:paraId="55441323">
            <w:pPr>
              <w:widowControl w:val="0"/>
              <w:snapToGrid w:val="0"/>
              <w:ind w:left="42" w:leftChars="20" w:right="42" w:rightChars="20"/>
              <w:jc w:val="center"/>
              <w:textAlignment w:val="auto"/>
              <w:rPr>
                <w:rFonts w:ascii="宋体" w:hAnsi="宋体" w:cs="宋体"/>
                <w:bCs/>
                <w:color w:val="auto"/>
                <w:szCs w:val="21"/>
                <w:highlight w:val="none"/>
                <w:lang w:val="zh-TW"/>
              </w:rPr>
            </w:pPr>
            <w:r>
              <w:rPr>
                <w:rFonts w:hint="eastAsia" w:ascii="宋体" w:hAnsi="宋体" w:cs="宋体"/>
                <w:bCs/>
                <w:color w:val="auto"/>
                <w:szCs w:val="21"/>
                <w:highlight w:val="none"/>
                <w:lang w:val="en-US" w:eastAsia="zh-CN"/>
              </w:rPr>
              <w:t>技术</w:t>
            </w:r>
            <w:r>
              <w:rPr>
                <w:rFonts w:hint="eastAsia" w:ascii="宋体" w:hAnsi="宋体" w:cs="宋体"/>
                <w:bCs/>
                <w:color w:val="auto"/>
                <w:szCs w:val="21"/>
                <w:highlight w:val="none"/>
                <w:lang w:val="zh-TW"/>
              </w:rPr>
              <w:t>负责人</w:t>
            </w:r>
          </w:p>
        </w:tc>
        <w:tc>
          <w:tcPr>
            <w:tcW w:w="605" w:type="pct"/>
            <w:noWrap/>
            <w:vAlign w:val="center"/>
          </w:tcPr>
          <w:p w14:paraId="33D4AAC9">
            <w:pPr>
              <w:jc w:val="center"/>
              <w:textAlignment w:val="auto"/>
              <w:rPr>
                <w:rFonts w:ascii="宋体" w:hAnsi="宋体" w:cs="宋体"/>
                <w:color w:val="auto"/>
                <w:kern w:val="0"/>
                <w:szCs w:val="21"/>
                <w:highlight w:val="none"/>
              </w:rPr>
            </w:pPr>
          </w:p>
        </w:tc>
        <w:tc>
          <w:tcPr>
            <w:tcW w:w="1042" w:type="pct"/>
            <w:noWrap/>
            <w:vAlign w:val="center"/>
          </w:tcPr>
          <w:p w14:paraId="6A68D0AC">
            <w:pPr>
              <w:widowControl w:val="0"/>
              <w:adjustRightInd w:val="0"/>
              <w:snapToGrid w:val="0"/>
              <w:spacing w:line="360" w:lineRule="auto"/>
              <w:jc w:val="center"/>
              <w:textAlignment w:val="auto"/>
              <w:rPr>
                <w:rFonts w:ascii="宋体" w:hAnsi="宋体"/>
                <w:color w:val="auto"/>
                <w:szCs w:val="21"/>
                <w:highlight w:val="none"/>
              </w:rPr>
            </w:pPr>
          </w:p>
        </w:tc>
        <w:tc>
          <w:tcPr>
            <w:tcW w:w="1042" w:type="pct"/>
            <w:noWrap/>
            <w:vAlign w:val="center"/>
          </w:tcPr>
          <w:p w14:paraId="11D5FDBC">
            <w:pPr>
              <w:widowControl w:val="0"/>
              <w:adjustRightInd w:val="0"/>
              <w:snapToGrid w:val="0"/>
              <w:spacing w:line="360" w:lineRule="auto"/>
              <w:jc w:val="center"/>
              <w:textAlignment w:val="auto"/>
              <w:rPr>
                <w:rFonts w:ascii="宋体" w:hAnsi="宋体"/>
                <w:color w:val="auto"/>
                <w:szCs w:val="21"/>
                <w:highlight w:val="none"/>
              </w:rPr>
            </w:pPr>
          </w:p>
        </w:tc>
      </w:tr>
      <w:tr w14:paraId="1E7F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3" w:type="pct"/>
            <w:noWrap/>
            <w:vAlign w:val="center"/>
          </w:tcPr>
          <w:p w14:paraId="67D29EA3">
            <w:pPr>
              <w:jc w:val="center"/>
              <w:textAlignment w:val="auto"/>
              <w:rPr>
                <w:rFonts w:ascii="宋体" w:hAnsi="宋体" w:cs="宋体"/>
                <w:color w:val="auto"/>
                <w:kern w:val="0"/>
                <w:szCs w:val="21"/>
                <w:highlight w:val="none"/>
              </w:rPr>
            </w:pPr>
            <w:r>
              <w:rPr>
                <w:rFonts w:ascii="宋体" w:hAnsi="宋体" w:cs="宋体"/>
                <w:color w:val="auto"/>
                <w:kern w:val="0"/>
                <w:szCs w:val="21"/>
                <w:highlight w:val="none"/>
              </w:rPr>
              <w:t>2</w:t>
            </w:r>
          </w:p>
        </w:tc>
        <w:tc>
          <w:tcPr>
            <w:tcW w:w="541" w:type="pct"/>
            <w:noWrap/>
            <w:vAlign w:val="center"/>
          </w:tcPr>
          <w:p w14:paraId="4A2763F2">
            <w:pPr>
              <w:jc w:val="center"/>
              <w:textAlignment w:val="auto"/>
              <w:rPr>
                <w:rFonts w:ascii="宋体" w:hAnsi="宋体" w:cs="宋体"/>
                <w:color w:val="auto"/>
                <w:kern w:val="0"/>
                <w:szCs w:val="21"/>
                <w:highlight w:val="none"/>
              </w:rPr>
            </w:pPr>
          </w:p>
        </w:tc>
        <w:tc>
          <w:tcPr>
            <w:tcW w:w="1474" w:type="pct"/>
            <w:tcBorders>
              <w:top w:val="single" w:color="auto" w:sz="4" w:space="0"/>
              <w:left w:val="single" w:color="auto" w:sz="4" w:space="0"/>
              <w:bottom w:val="single" w:color="auto" w:sz="4" w:space="0"/>
              <w:right w:val="single" w:color="auto" w:sz="4" w:space="0"/>
            </w:tcBorders>
            <w:noWrap/>
            <w:vAlign w:val="center"/>
          </w:tcPr>
          <w:p w14:paraId="3729047E">
            <w:pPr>
              <w:keepNext w:val="0"/>
              <w:keepLines w:val="0"/>
              <w:suppressLineNumbers w:val="0"/>
              <w:snapToGrid w:val="0"/>
              <w:spacing w:before="0" w:beforeAutospacing="0" w:after="0" w:afterAutospacing="0"/>
              <w:ind w:left="0" w:leftChars="0" w:right="0" w:rightChars="0"/>
              <w:jc w:val="center"/>
              <w:rPr>
                <w:rFonts w:hint="eastAsia" w:ascii="宋体" w:hAnsi="宋体" w:cs="宋体"/>
                <w:bCs/>
                <w:color w:val="auto"/>
                <w:szCs w:val="21"/>
                <w:highlight w:val="none"/>
                <w:lang w:val="zh-TW"/>
              </w:rPr>
            </w:pPr>
            <w:r>
              <w:rPr>
                <w:rFonts w:hint="eastAsia" w:ascii="宋体" w:hAnsi="宋体" w:eastAsia="宋体" w:cs="宋体"/>
                <w:color w:val="auto"/>
                <w:sz w:val="21"/>
                <w:highlight w:val="none"/>
              </w:rPr>
              <w:t>质量负责人</w:t>
            </w:r>
          </w:p>
        </w:tc>
        <w:tc>
          <w:tcPr>
            <w:tcW w:w="605" w:type="pct"/>
            <w:noWrap/>
            <w:vAlign w:val="center"/>
          </w:tcPr>
          <w:p w14:paraId="4E5B27DC">
            <w:pPr>
              <w:jc w:val="center"/>
              <w:textAlignment w:val="auto"/>
              <w:rPr>
                <w:rFonts w:ascii="宋体" w:hAnsi="宋体" w:cs="宋体"/>
                <w:color w:val="auto"/>
                <w:kern w:val="0"/>
                <w:szCs w:val="21"/>
                <w:highlight w:val="none"/>
              </w:rPr>
            </w:pPr>
          </w:p>
        </w:tc>
        <w:tc>
          <w:tcPr>
            <w:tcW w:w="1042" w:type="pct"/>
            <w:noWrap/>
            <w:vAlign w:val="center"/>
          </w:tcPr>
          <w:p w14:paraId="0D023430">
            <w:pPr>
              <w:widowControl w:val="0"/>
              <w:adjustRightInd w:val="0"/>
              <w:snapToGrid w:val="0"/>
              <w:spacing w:line="360" w:lineRule="auto"/>
              <w:jc w:val="center"/>
              <w:textAlignment w:val="auto"/>
              <w:rPr>
                <w:rFonts w:ascii="宋体" w:hAnsi="宋体"/>
                <w:color w:val="auto"/>
                <w:szCs w:val="21"/>
                <w:highlight w:val="none"/>
              </w:rPr>
            </w:pPr>
          </w:p>
        </w:tc>
        <w:tc>
          <w:tcPr>
            <w:tcW w:w="1042" w:type="pct"/>
            <w:noWrap/>
            <w:vAlign w:val="center"/>
          </w:tcPr>
          <w:p w14:paraId="1D0E97A7">
            <w:pPr>
              <w:widowControl w:val="0"/>
              <w:adjustRightInd w:val="0"/>
              <w:snapToGrid w:val="0"/>
              <w:spacing w:line="360" w:lineRule="auto"/>
              <w:jc w:val="center"/>
              <w:textAlignment w:val="auto"/>
              <w:rPr>
                <w:rFonts w:ascii="宋体" w:hAnsi="宋体"/>
                <w:color w:val="auto"/>
                <w:szCs w:val="21"/>
                <w:highlight w:val="none"/>
              </w:rPr>
            </w:pPr>
          </w:p>
        </w:tc>
      </w:tr>
      <w:tr w14:paraId="6581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3" w:type="pct"/>
            <w:noWrap/>
            <w:vAlign w:val="center"/>
          </w:tcPr>
          <w:p w14:paraId="2261440B">
            <w:pPr>
              <w:jc w:val="center"/>
              <w:textAlignment w:val="auto"/>
              <w:rPr>
                <w:rFonts w:ascii="宋体" w:hAnsi="宋体" w:cs="宋体"/>
                <w:color w:val="auto"/>
                <w:kern w:val="0"/>
                <w:szCs w:val="21"/>
                <w:highlight w:val="none"/>
              </w:rPr>
            </w:pPr>
            <w:r>
              <w:rPr>
                <w:rFonts w:ascii="宋体" w:hAnsi="宋体" w:cs="宋体"/>
                <w:color w:val="auto"/>
                <w:kern w:val="0"/>
                <w:szCs w:val="21"/>
                <w:highlight w:val="none"/>
              </w:rPr>
              <w:t>3</w:t>
            </w:r>
          </w:p>
        </w:tc>
        <w:tc>
          <w:tcPr>
            <w:tcW w:w="541" w:type="pct"/>
            <w:noWrap/>
            <w:vAlign w:val="center"/>
          </w:tcPr>
          <w:p w14:paraId="51AABEBD">
            <w:pPr>
              <w:jc w:val="center"/>
              <w:textAlignment w:val="auto"/>
              <w:rPr>
                <w:rFonts w:ascii="宋体" w:hAnsi="宋体" w:cs="宋体"/>
                <w:color w:val="auto"/>
                <w:kern w:val="0"/>
                <w:szCs w:val="21"/>
                <w:highlight w:val="none"/>
              </w:rPr>
            </w:pPr>
          </w:p>
        </w:tc>
        <w:tc>
          <w:tcPr>
            <w:tcW w:w="1474" w:type="pct"/>
            <w:tcBorders>
              <w:top w:val="single" w:color="auto" w:sz="4" w:space="0"/>
              <w:left w:val="single" w:color="auto" w:sz="4" w:space="0"/>
              <w:bottom w:val="single" w:color="auto" w:sz="4" w:space="0"/>
              <w:right w:val="single" w:color="auto" w:sz="4" w:space="0"/>
            </w:tcBorders>
            <w:noWrap/>
            <w:vAlign w:val="center"/>
          </w:tcPr>
          <w:p w14:paraId="4476C686">
            <w:pPr>
              <w:keepNext w:val="0"/>
              <w:keepLines w:val="0"/>
              <w:suppressLineNumbers w:val="0"/>
              <w:snapToGrid w:val="0"/>
              <w:spacing w:before="0" w:beforeAutospacing="0" w:after="0" w:afterAutospacing="0"/>
              <w:ind w:left="0" w:leftChars="0" w:right="0" w:rightChars="0"/>
              <w:jc w:val="center"/>
              <w:rPr>
                <w:rFonts w:ascii="宋体" w:hAnsi="宋体" w:cs="宋体"/>
                <w:bCs/>
                <w:color w:val="auto"/>
                <w:szCs w:val="21"/>
                <w:highlight w:val="none"/>
                <w:lang w:val="zh-TW"/>
              </w:rPr>
            </w:pPr>
            <w:r>
              <w:rPr>
                <w:rFonts w:hint="eastAsia" w:ascii="宋体" w:hAnsi="宋体" w:eastAsia="宋体" w:cs="宋体"/>
                <w:color w:val="auto"/>
                <w:sz w:val="21"/>
                <w:highlight w:val="none"/>
                <w:lang w:val="zh-TW"/>
              </w:rPr>
              <w:t>安全负责人</w:t>
            </w:r>
          </w:p>
        </w:tc>
        <w:tc>
          <w:tcPr>
            <w:tcW w:w="605" w:type="pct"/>
            <w:noWrap/>
            <w:vAlign w:val="center"/>
          </w:tcPr>
          <w:p w14:paraId="5BC838EF">
            <w:pPr>
              <w:jc w:val="center"/>
              <w:textAlignment w:val="auto"/>
              <w:rPr>
                <w:rFonts w:ascii="宋体" w:hAnsi="宋体" w:cs="宋体"/>
                <w:color w:val="auto"/>
                <w:kern w:val="0"/>
                <w:szCs w:val="21"/>
                <w:highlight w:val="none"/>
              </w:rPr>
            </w:pPr>
          </w:p>
        </w:tc>
        <w:tc>
          <w:tcPr>
            <w:tcW w:w="1042" w:type="pct"/>
            <w:noWrap/>
            <w:vAlign w:val="center"/>
          </w:tcPr>
          <w:p w14:paraId="4F6CC227">
            <w:pPr>
              <w:widowControl w:val="0"/>
              <w:adjustRightInd w:val="0"/>
              <w:snapToGrid w:val="0"/>
              <w:spacing w:line="360" w:lineRule="auto"/>
              <w:jc w:val="center"/>
              <w:textAlignment w:val="auto"/>
              <w:rPr>
                <w:rFonts w:ascii="宋体" w:hAnsi="宋体"/>
                <w:color w:val="auto"/>
                <w:szCs w:val="21"/>
                <w:highlight w:val="none"/>
              </w:rPr>
            </w:pPr>
          </w:p>
        </w:tc>
        <w:tc>
          <w:tcPr>
            <w:tcW w:w="1042" w:type="pct"/>
            <w:noWrap/>
            <w:vAlign w:val="center"/>
          </w:tcPr>
          <w:p w14:paraId="0B268DE5">
            <w:pPr>
              <w:widowControl w:val="0"/>
              <w:adjustRightInd w:val="0"/>
              <w:snapToGrid w:val="0"/>
              <w:spacing w:line="360" w:lineRule="auto"/>
              <w:jc w:val="center"/>
              <w:textAlignment w:val="auto"/>
              <w:rPr>
                <w:rFonts w:ascii="宋体" w:hAnsi="宋体"/>
                <w:color w:val="auto"/>
                <w:szCs w:val="21"/>
                <w:highlight w:val="none"/>
              </w:rPr>
            </w:pPr>
          </w:p>
        </w:tc>
      </w:tr>
      <w:tr w14:paraId="2412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93" w:type="pct"/>
            <w:noWrap/>
            <w:vAlign w:val="center"/>
          </w:tcPr>
          <w:p w14:paraId="28560FC1">
            <w:pPr>
              <w:jc w:val="center"/>
              <w:textAlignment w:val="auto"/>
              <w:rPr>
                <w:rFonts w:ascii="宋体" w:hAnsi="宋体" w:cs="宋体"/>
                <w:color w:val="auto"/>
                <w:kern w:val="0"/>
                <w:szCs w:val="21"/>
                <w:highlight w:val="none"/>
              </w:rPr>
            </w:pPr>
            <w:r>
              <w:rPr>
                <w:rFonts w:ascii="宋体" w:hAnsi="宋体" w:cs="宋体"/>
                <w:color w:val="auto"/>
                <w:kern w:val="0"/>
                <w:szCs w:val="21"/>
                <w:highlight w:val="none"/>
              </w:rPr>
              <w:t>4</w:t>
            </w:r>
          </w:p>
        </w:tc>
        <w:tc>
          <w:tcPr>
            <w:tcW w:w="541" w:type="pct"/>
            <w:noWrap/>
            <w:vAlign w:val="center"/>
          </w:tcPr>
          <w:p w14:paraId="187D55AF">
            <w:pPr>
              <w:jc w:val="center"/>
              <w:textAlignment w:val="auto"/>
              <w:rPr>
                <w:rFonts w:ascii="宋体" w:hAnsi="宋体" w:cs="宋体"/>
                <w:color w:val="auto"/>
                <w:kern w:val="0"/>
                <w:szCs w:val="21"/>
                <w:highlight w:val="none"/>
              </w:rPr>
            </w:pPr>
          </w:p>
        </w:tc>
        <w:tc>
          <w:tcPr>
            <w:tcW w:w="1474" w:type="pct"/>
            <w:tcBorders>
              <w:top w:val="single" w:color="auto" w:sz="4" w:space="0"/>
              <w:left w:val="single" w:color="auto" w:sz="4" w:space="0"/>
              <w:bottom w:val="single" w:color="auto" w:sz="4" w:space="0"/>
              <w:right w:val="single" w:color="auto" w:sz="4" w:space="0"/>
            </w:tcBorders>
            <w:noWrap/>
            <w:vAlign w:val="center"/>
          </w:tcPr>
          <w:p w14:paraId="1416E164">
            <w:pPr>
              <w:keepNext w:val="0"/>
              <w:keepLines w:val="0"/>
              <w:suppressLineNumbers w:val="0"/>
              <w:snapToGrid w:val="0"/>
              <w:spacing w:before="0" w:beforeAutospacing="0" w:after="0" w:afterAutospacing="0"/>
              <w:ind w:left="0" w:leftChars="0" w:right="0" w:rightChars="0"/>
              <w:jc w:val="center"/>
              <w:rPr>
                <w:rFonts w:ascii="宋体" w:hAnsi="宋体" w:cs="宋体"/>
                <w:bCs/>
                <w:color w:val="auto"/>
                <w:szCs w:val="21"/>
                <w:highlight w:val="none"/>
                <w:lang w:val="zh-TW"/>
              </w:rPr>
            </w:pPr>
            <w:r>
              <w:rPr>
                <w:rFonts w:hint="eastAsia" w:ascii="宋体" w:hAnsi="宋体" w:eastAsia="宋体" w:cs="宋体"/>
                <w:color w:val="auto"/>
                <w:sz w:val="21"/>
                <w:highlight w:val="none"/>
                <w:lang w:val="zh-TW"/>
              </w:rPr>
              <w:t>造价负责人</w:t>
            </w:r>
          </w:p>
        </w:tc>
        <w:tc>
          <w:tcPr>
            <w:tcW w:w="605" w:type="pct"/>
            <w:noWrap/>
            <w:vAlign w:val="center"/>
          </w:tcPr>
          <w:p w14:paraId="59D0677D">
            <w:pPr>
              <w:jc w:val="center"/>
              <w:textAlignment w:val="auto"/>
              <w:rPr>
                <w:rFonts w:ascii="宋体" w:hAnsi="宋体" w:cs="宋体"/>
                <w:color w:val="auto"/>
                <w:kern w:val="0"/>
                <w:szCs w:val="21"/>
                <w:highlight w:val="none"/>
              </w:rPr>
            </w:pPr>
          </w:p>
        </w:tc>
        <w:tc>
          <w:tcPr>
            <w:tcW w:w="1042" w:type="pct"/>
            <w:noWrap/>
            <w:vAlign w:val="center"/>
          </w:tcPr>
          <w:p w14:paraId="12421CCF">
            <w:pPr>
              <w:widowControl w:val="0"/>
              <w:adjustRightInd w:val="0"/>
              <w:snapToGrid w:val="0"/>
              <w:spacing w:line="360" w:lineRule="auto"/>
              <w:jc w:val="center"/>
              <w:textAlignment w:val="auto"/>
              <w:rPr>
                <w:rFonts w:ascii="宋体" w:hAnsi="宋体"/>
                <w:color w:val="auto"/>
                <w:szCs w:val="21"/>
                <w:highlight w:val="none"/>
              </w:rPr>
            </w:pPr>
          </w:p>
        </w:tc>
        <w:tc>
          <w:tcPr>
            <w:tcW w:w="1042" w:type="pct"/>
            <w:noWrap/>
            <w:vAlign w:val="center"/>
          </w:tcPr>
          <w:p w14:paraId="47FCFC58">
            <w:pPr>
              <w:widowControl w:val="0"/>
              <w:adjustRightInd w:val="0"/>
              <w:snapToGrid w:val="0"/>
              <w:spacing w:line="360" w:lineRule="auto"/>
              <w:jc w:val="center"/>
              <w:textAlignment w:val="auto"/>
              <w:rPr>
                <w:rFonts w:ascii="宋体" w:hAnsi="宋体"/>
                <w:color w:val="auto"/>
                <w:szCs w:val="21"/>
                <w:highlight w:val="none"/>
              </w:rPr>
            </w:pPr>
          </w:p>
        </w:tc>
      </w:tr>
      <w:tr w14:paraId="1784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93" w:type="pct"/>
            <w:noWrap/>
            <w:vAlign w:val="center"/>
          </w:tcPr>
          <w:p w14:paraId="3CCB86EA">
            <w:pPr>
              <w:jc w:val="center"/>
              <w:textAlignment w:val="auto"/>
              <w:rPr>
                <w:rFonts w:hint="eastAsia" w:ascii="宋体" w:hAnsi="宋体" w:cs="宋体"/>
                <w:color w:val="auto"/>
                <w:kern w:val="0"/>
                <w:szCs w:val="21"/>
                <w:highlight w:val="none"/>
              </w:rPr>
            </w:pPr>
            <w:r>
              <w:rPr>
                <w:rFonts w:ascii="宋体" w:hAnsi="宋体" w:cs="宋体"/>
                <w:color w:val="auto"/>
                <w:kern w:val="0"/>
                <w:szCs w:val="21"/>
                <w:highlight w:val="none"/>
              </w:rPr>
              <w:t>5</w:t>
            </w:r>
          </w:p>
        </w:tc>
        <w:tc>
          <w:tcPr>
            <w:tcW w:w="541" w:type="pct"/>
            <w:noWrap/>
            <w:vAlign w:val="center"/>
          </w:tcPr>
          <w:p w14:paraId="26F819EB">
            <w:pPr>
              <w:jc w:val="center"/>
              <w:textAlignment w:val="auto"/>
              <w:rPr>
                <w:rFonts w:ascii="宋体" w:hAnsi="宋体" w:cs="宋体"/>
                <w:color w:val="auto"/>
                <w:kern w:val="0"/>
                <w:szCs w:val="21"/>
                <w:highlight w:val="none"/>
              </w:rPr>
            </w:pPr>
          </w:p>
        </w:tc>
        <w:tc>
          <w:tcPr>
            <w:tcW w:w="1474" w:type="pct"/>
            <w:tcBorders>
              <w:top w:val="single" w:color="auto" w:sz="4" w:space="0"/>
              <w:left w:val="single" w:color="auto" w:sz="4" w:space="0"/>
              <w:bottom w:val="single" w:color="auto" w:sz="4" w:space="0"/>
              <w:right w:val="single" w:color="auto" w:sz="4" w:space="0"/>
            </w:tcBorders>
            <w:noWrap/>
            <w:vAlign w:val="center"/>
          </w:tcPr>
          <w:p w14:paraId="0872948B">
            <w:pPr>
              <w:keepNext w:val="0"/>
              <w:keepLines w:val="0"/>
              <w:suppressLineNumbers w:val="0"/>
              <w:snapToGrid w:val="0"/>
              <w:spacing w:before="0" w:beforeAutospacing="0" w:after="0" w:afterAutospacing="0"/>
              <w:ind w:left="0" w:leftChars="0" w:right="0" w:rightChars="0"/>
              <w:jc w:val="center"/>
              <w:rPr>
                <w:rFonts w:hint="eastAsia" w:ascii="宋体" w:hAnsi="宋体" w:cs="宋体"/>
                <w:bCs/>
                <w:color w:val="auto"/>
                <w:szCs w:val="21"/>
                <w:highlight w:val="none"/>
                <w:lang w:val="zh-TW"/>
              </w:rPr>
            </w:pPr>
            <w:r>
              <w:rPr>
                <w:rFonts w:hint="eastAsia" w:ascii="宋体" w:hAnsi="宋体" w:eastAsia="宋体" w:cs="宋体"/>
                <w:color w:val="auto"/>
                <w:sz w:val="21"/>
                <w:highlight w:val="none"/>
                <w:lang w:val="zh-TW"/>
              </w:rPr>
              <w:t>造价</w:t>
            </w:r>
            <w:r>
              <w:rPr>
                <w:rFonts w:hint="eastAsia" w:ascii="宋体" w:hAnsi="宋体" w:cs="宋体"/>
                <w:color w:val="auto"/>
                <w:sz w:val="21"/>
                <w:highlight w:val="none"/>
                <w:lang w:val="en-US" w:eastAsia="zh-CN"/>
              </w:rPr>
              <w:t>工程师</w:t>
            </w:r>
          </w:p>
        </w:tc>
        <w:tc>
          <w:tcPr>
            <w:tcW w:w="605" w:type="pct"/>
            <w:noWrap/>
            <w:vAlign w:val="center"/>
          </w:tcPr>
          <w:p w14:paraId="70FA26B9">
            <w:pPr>
              <w:jc w:val="center"/>
              <w:textAlignment w:val="auto"/>
              <w:rPr>
                <w:rFonts w:ascii="宋体" w:hAnsi="宋体" w:cs="宋体"/>
                <w:color w:val="auto"/>
                <w:kern w:val="0"/>
                <w:szCs w:val="21"/>
                <w:highlight w:val="none"/>
              </w:rPr>
            </w:pPr>
          </w:p>
        </w:tc>
        <w:tc>
          <w:tcPr>
            <w:tcW w:w="1042" w:type="pct"/>
            <w:noWrap/>
            <w:vAlign w:val="center"/>
          </w:tcPr>
          <w:p w14:paraId="369B82CC">
            <w:pPr>
              <w:widowControl w:val="0"/>
              <w:adjustRightInd w:val="0"/>
              <w:snapToGrid w:val="0"/>
              <w:spacing w:line="360" w:lineRule="auto"/>
              <w:jc w:val="center"/>
              <w:textAlignment w:val="auto"/>
              <w:rPr>
                <w:rFonts w:ascii="宋体" w:hAnsi="宋体"/>
                <w:color w:val="auto"/>
                <w:szCs w:val="21"/>
                <w:highlight w:val="none"/>
              </w:rPr>
            </w:pPr>
          </w:p>
        </w:tc>
        <w:tc>
          <w:tcPr>
            <w:tcW w:w="1042" w:type="pct"/>
            <w:noWrap/>
            <w:vAlign w:val="center"/>
          </w:tcPr>
          <w:p w14:paraId="25CE7312">
            <w:pPr>
              <w:widowControl w:val="0"/>
              <w:adjustRightInd w:val="0"/>
              <w:snapToGrid w:val="0"/>
              <w:spacing w:line="360" w:lineRule="auto"/>
              <w:jc w:val="center"/>
              <w:textAlignment w:val="auto"/>
              <w:rPr>
                <w:rFonts w:ascii="宋体" w:hAnsi="宋体"/>
                <w:color w:val="auto"/>
                <w:szCs w:val="21"/>
                <w:highlight w:val="none"/>
              </w:rPr>
            </w:pPr>
          </w:p>
        </w:tc>
      </w:tr>
      <w:tr w14:paraId="3CB1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93" w:type="pct"/>
            <w:noWrap/>
            <w:vAlign w:val="center"/>
          </w:tcPr>
          <w:p w14:paraId="2BF696DC">
            <w:pPr>
              <w:jc w:val="center"/>
              <w:textAlignment w:val="auto"/>
              <w:rPr>
                <w:rFonts w:hint="eastAsia" w:ascii="宋体" w:hAnsi="宋体" w:cs="宋体"/>
                <w:color w:val="auto"/>
                <w:kern w:val="0"/>
                <w:szCs w:val="21"/>
                <w:highlight w:val="none"/>
              </w:rPr>
            </w:pPr>
            <w:r>
              <w:rPr>
                <w:rFonts w:ascii="宋体" w:hAnsi="宋体" w:cs="宋体"/>
                <w:color w:val="auto"/>
                <w:kern w:val="0"/>
                <w:szCs w:val="21"/>
                <w:highlight w:val="none"/>
              </w:rPr>
              <w:t>6</w:t>
            </w:r>
          </w:p>
        </w:tc>
        <w:tc>
          <w:tcPr>
            <w:tcW w:w="541" w:type="pct"/>
            <w:noWrap/>
            <w:vAlign w:val="center"/>
          </w:tcPr>
          <w:p w14:paraId="44C41E3F">
            <w:pPr>
              <w:jc w:val="center"/>
              <w:textAlignment w:val="auto"/>
              <w:rPr>
                <w:rFonts w:ascii="宋体" w:hAnsi="宋体" w:cs="宋体"/>
                <w:color w:val="auto"/>
                <w:kern w:val="0"/>
                <w:szCs w:val="21"/>
                <w:highlight w:val="none"/>
              </w:rPr>
            </w:pPr>
          </w:p>
        </w:tc>
        <w:tc>
          <w:tcPr>
            <w:tcW w:w="1474" w:type="pct"/>
            <w:tcBorders>
              <w:top w:val="single" w:color="auto" w:sz="4" w:space="0"/>
              <w:left w:val="single" w:color="auto" w:sz="4" w:space="0"/>
              <w:bottom w:val="single" w:color="auto" w:sz="4" w:space="0"/>
              <w:right w:val="single" w:color="auto" w:sz="4" w:space="0"/>
            </w:tcBorders>
            <w:noWrap/>
            <w:vAlign w:val="center"/>
          </w:tcPr>
          <w:p w14:paraId="7B7492C4">
            <w:pPr>
              <w:keepNext w:val="0"/>
              <w:keepLines w:val="0"/>
              <w:suppressLineNumbers w:val="0"/>
              <w:snapToGrid w:val="0"/>
              <w:spacing w:before="0" w:beforeAutospacing="0" w:after="0" w:afterAutospacing="0"/>
              <w:ind w:left="0" w:leftChars="0" w:right="0" w:rightChars="0"/>
              <w:jc w:val="center"/>
              <w:rPr>
                <w:rFonts w:hint="eastAsia" w:ascii="宋体" w:hAnsi="宋体" w:cs="宋体"/>
                <w:bCs/>
                <w:color w:val="auto"/>
                <w:szCs w:val="21"/>
                <w:highlight w:val="none"/>
                <w:lang w:val="zh-TW"/>
              </w:rPr>
            </w:pPr>
            <w:r>
              <w:rPr>
                <w:rFonts w:hint="eastAsia" w:ascii="宋体" w:hAnsi="宋体" w:eastAsia="宋体" w:cs="宋体"/>
                <w:color w:val="auto"/>
                <w:sz w:val="21"/>
                <w:highlight w:val="none"/>
                <w:lang w:val="en-US" w:eastAsia="zh-CN"/>
              </w:rPr>
              <w:t>安全工程师</w:t>
            </w:r>
          </w:p>
        </w:tc>
        <w:tc>
          <w:tcPr>
            <w:tcW w:w="605" w:type="pct"/>
            <w:noWrap/>
            <w:vAlign w:val="center"/>
          </w:tcPr>
          <w:p w14:paraId="3D49AF91">
            <w:pPr>
              <w:jc w:val="center"/>
              <w:textAlignment w:val="auto"/>
              <w:rPr>
                <w:rFonts w:ascii="宋体" w:hAnsi="宋体" w:cs="宋体"/>
                <w:color w:val="auto"/>
                <w:kern w:val="0"/>
                <w:szCs w:val="21"/>
                <w:highlight w:val="none"/>
              </w:rPr>
            </w:pPr>
          </w:p>
        </w:tc>
        <w:tc>
          <w:tcPr>
            <w:tcW w:w="1042" w:type="pct"/>
            <w:noWrap/>
            <w:vAlign w:val="center"/>
          </w:tcPr>
          <w:p w14:paraId="0F5F0DBA">
            <w:pPr>
              <w:widowControl w:val="0"/>
              <w:adjustRightInd w:val="0"/>
              <w:snapToGrid w:val="0"/>
              <w:spacing w:line="360" w:lineRule="auto"/>
              <w:jc w:val="center"/>
              <w:textAlignment w:val="auto"/>
              <w:rPr>
                <w:rFonts w:ascii="宋体" w:hAnsi="宋体"/>
                <w:color w:val="auto"/>
                <w:szCs w:val="21"/>
                <w:highlight w:val="none"/>
              </w:rPr>
            </w:pPr>
          </w:p>
        </w:tc>
        <w:tc>
          <w:tcPr>
            <w:tcW w:w="1042" w:type="pct"/>
            <w:noWrap/>
            <w:vAlign w:val="center"/>
          </w:tcPr>
          <w:p w14:paraId="48306482">
            <w:pPr>
              <w:widowControl w:val="0"/>
              <w:adjustRightInd w:val="0"/>
              <w:snapToGrid w:val="0"/>
              <w:spacing w:line="360" w:lineRule="auto"/>
              <w:jc w:val="center"/>
              <w:textAlignment w:val="auto"/>
              <w:rPr>
                <w:rFonts w:ascii="宋体" w:hAnsi="宋体"/>
                <w:color w:val="auto"/>
                <w:szCs w:val="21"/>
                <w:highlight w:val="none"/>
              </w:rPr>
            </w:pPr>
          </w:p>
        </w:tc>
      </w:tr>
      <w:tr w14:paraId="475A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93" w:type="pct"/>
            <w:noWrap/>
            <w:vAlign w:val="center"/>
          </w:tcPr>
          <w:p w14:paraId="0C01967A">
            <w:pPr>
              <w:jc w:val="center"/>
              <w:textAlignment w:val="auto"/>
              <w:rPr>
                <w:rFonts w:hint="eastAsia" w:ascii="宋体" w:hAnsi="宋体" w:cs="宋体"/>
                <w:color w:val="auto"/>
                <w:kern w:val="0"/>
                <w:szCs w:val="21"/>
                <w:highlight w:val="none"/>
              </w:rPr>
            </w:pPr>
            <w:r>
              <w:rPr>
                <w:rFonts w:ascii="宋体" w:hAnsi="宋体" w:cs="宋体"/>
                <w:color w:val="auto"/>
                <w:kern w:val="0"/>
                <w:szCs w:val="21"/>
                <w:highlight w:val="none"/>
              </w:rPr>
              <w:t>7</w:t>
            </w:r>
          </w:p>
        </w:tc>
        <w:tc>
          <w:tcPr>
            <w:tcW w:w="541" w:type="pct"/>
            <w:noWrap/>
            <w:vAlign w:val="center"/>
          </w:tcPr>
          <w:p w14:paraId="44C693E5">
            <w:pPr>
              <w:jc w:val="center"/>
              <w:textAlignment w:val="auto"/>
              <w:rPr>
                <w:rFonts w:ascii="宋体" w:hAnsi="宋体" w:cs="宋体"/>
                <w:color w:val="auto"/>
                <w:kern w:val="0"/>
                <w:szCs w:val="21"/>
                <w:highlight w:val="none"/>
              </w:rPr>
            </w:pPr>
          </w:p>
        </w:tc>
        <w:tc>
          <w:tcPr>
            <w:tcW w:w="1474" w:type="pct"/>
            <w:tcBorders>
              <w:top w:val="single" w:color="auto" w:sz="4" w:space="0"/>
              <w:left w:val="single" w:color="auto" w:sz="4" w:space="0"/>
              <w:bottom w:val="single" w:color="auto" w:sz="4" w:space="0"/>
              <w:right w:val="single" w:color="auto" w:sz="4" w:space="0"/>
            </w:tcBorders>
            <w:noWrap/>
            <w:vAlign w:val="center"/>
          </w:tcPr>
          <w:p w14:paraId="1739C2E4">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cs="宋体"/>
                <w:bCs/>
                <w:color w:val="auto"/>
                <w:szCs w:val="21"/>
                <w:highlight w:val="none"/>
                <w:lang w:val="zh-TW"/>
              </w:rPr>
            </w:pPr>
            <w:r>
              <w:rPr>
                <w:rFonts w:hint="eastAsia" w:ascii="宋体" w:hAnsi="宋体" w:eastAsia="宋体" w:cs="宋体"/>
                <w:color w:val="auto"/>
                <w:sz w:val="21"/>
                <w:highlight w:val="none"/>
                <w:lang w:val="en-US" w:eastAsia="zh-CN"/>
              </w:rPr>
              <w:t>给排水工程师</w:t>
            </w:r>
          </w:p>
        </w:tc>
        <w:tc>
          <w:tcPr>
            <w:tcW w:w="605" w:type="pct"/>
            <w:noWrap/>
            <w:vAlign w:val="center"/>
          </w:tcPr>
          <w:p w14:paraId="23538431">
            <w:pPr>
              <w:jc w:val="center"/>
              <w:textAlignment w:val="auto"/>
              <w:rPr>
                <w:rFonts w:ascii="宋体" w:hAnsi="宋体" w:cs="宋体"/>
                <w:color w:val="auto"/>
                <w:kern w:val="0"/>
                <w:szCs w:val="21"/>
                <w:highlight w:val="none"/>
              </w:rPr>
            </w:pPr>
          </w:p>
        </w:tc>
        <w:tc>
          <w:tcPr>
            <w:tcW w:w="1042" w:type="pct"/>
            <w:noWrap/>
            <w:vAlign w:val="center"/>
          </w:tcPr>
          <w:p w14:paraId="16B5A348">
            <w:pPr>
              <w:widowControl w:val="0"/>
              <w:adjustRightInd w:val="0"/>
              <w:snapToGrid w:val="0"/>
              <w:spacing w:line="360" w:lineRule="auto"/>
              <w:jc w:val="center"/>
              <w:textAlignment w:val="auto"/>
              <w:rPr>
                <w:rFonts w:ascii="宋体" w:hAnsi="宋体"/>
                <w:color w:val="auto"/>
                <w:szCs w:val="21"/>
                <w:highlight w:val="none"/>
              </w:rPr>
            </w:pPr>
          </w:p>
        </w:tc>
        <w:tc>
          <w:tcPr>
            <w:tcW w:w="1042" w:type="pct"/>
            <w:noWrap/>
            <w:vAlign w:val="center"/>
          </w:tcPr>
          <w:p w14:paraId="6A79B1F5">
            <w:pPr>
              <w:widowControl w:val="0"/>
              <w:adjustRightInd w:val="0"/>
              <w:snapToGrid w:val="0"/>
              <w:spacing w:line="360" w:lineRule="auto"/>
              <w:jc w:val="center"/>
              <w:textAlignment w:val="auto"/>
              <w:rPr>
                <w:rFonts w:ascii="宋体" w:hAnsi="宋体"/>
                <w:color w:val="auto"/>
                <w:szCs w:val="21"/>
                <w:highlight w:val="none"/>
              </w:rPr>
            </w:pPr>
          </w:p>
        </w:tc>
      </w:tr>
      <w:tr w14:paraId="308B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93" w:type="pct"/>
            <w:noWrap/>
            <w:vAlign w:val="center"/>
          </w:tcPr>
          <w:p w14:paraId="242B4806">
            <w:pPr>
              <w:jc w:val="center"/>
              <w:textAlignment w:val="auto"/>
              <w:rPr>
                <w:rFonts w:hint="eastAsia" w:ascii="宋体" w:hAnsi="宋体" w:cs="宋体"/>
                <w:color w:val="auto"/>
                <w:kern w:val="0"/>
                <w:szCs w:val="21"/>
                <w:highlight w:val="none"/>
              </w:rPr>
            </w:pPr>
            <w:r>
              <w:rPr>
                <w:rFonts w:ascii="宋体" w:hAnsi="宋体" w:cs="宋体"/>
                <w:color w:val="auto"/>
                <w:kern w:val="0"/>
                <w:szCs w:val="21"/>
                <w:highlight w:val="none"/>
              </w:rPr>
              <w:t>8</w:t>
            </w:r>
          </w:p>
        </w:tc>
        <w:tc>
          <w:tcPr>
            <w:tcW w:w="541" w:type="pct"/>
            <w:noWrap/>
            <w:vAlign w:val="center"/>
          </w:tcPr>
          <w:p w14:paraId="6E9CEFA1">
            <w:pPr>
              <w:jc w:val="center"/>
              <w:textAlignment w:val="auto"/>
              <w:rPr>
                <w:rFonts w:ascii="宋体" w:hAnsi="宋体" w:cs="宋体"/>
                <w:color w:val="auto"/>
                <w:kern w:val="0"/>
                <w:szCs w:val="21"/>
                <w:highlight w:val="none"/>
              </w:rPr>
            </w:pPr>
          </w:p>
        </w:tc>
        <w:tc>
          <w:tcPr>
            <w:tcW w:w="1474" w:type="pct"/>
            <w:tcBorders>
              <w:top w:val="single" w:color="auto" w:sz="4" w:space="0"/>
              <w:left w:val="single" w:color="auto" w:sz="4" w:space="0"/>
              <w:bottom w:val="single" w:color="auto" w:sz="4" w:space="0"/>
              <w:right w:val="single" w:color="auto" w:sz="4" w:space="0"/>
            </w:tcBorders>
            <w:noWrap/>
            <w:vAlign w:val="center"/>
          </w:tcPr>
          <w:p w14:paraId="4B68DF41">
            <w:pPr>
              <w:keepNext w:val="0"/>
              <w:keepLines w:val="0"/>
              <w:suppressLineNumbers w:val="0"/>
              <w:snapToGrid w:val="0"/>
              <w:spacing w:before="0" w:beforeAutospacing="0" w:after="0" w:afterAutospacing="0"/>
              <w:ind w:left="0" w:leftChars="0" w:right="0" w:rightChars="0"/>
              <w:jc w:val="center"/>
              <w:rPr>
                <w:rFonts w:hint="eastAsia" w:ascii="宋体" w:hAnsi="宋体" w:cs="宋体"/>
                <w:bCs/>
                <w:color w:val="auto"/>
                <w:szCs w:val="21"/>
                <w:highlight w:val="none"/>
                <w:lang w:val="zh-TW"/>
              </w:rPr>
            </w:pPr>
            <w:r>
              <w:rPr>
                <w:rFonts w:hint="eastAsia" w:ascii="宋体" w:hAnsi="宋体" w:eastAsia="宋体" w:cs="宋体"/>
                <w:color w:val="auto"/>
                <w:sz w:val="21"/>
                <w:highlight w:val="none"/>
                <w:lang w:val="en-US" w:eastAsia="zh-CN"/>
              </w:rPr>
              <w:t>装修工程师</w:t>
            </w:r>
          </w:p>
        </w:tc>
        <w:tc>
          <w:tcPr>
            <w:tcW w:w="605" w:type="pct"/>
            <w:noWrap/>
            <w:vAlign w:val="center"/>
          </w:tcPr>
          <w:p w14:paraId="64596089">
            <w:pPr>
              <w:jc w:val="center"/>
              <w:textAlignment w:val="auto"/>
              <w:rPr>
                <w:rFonts w:ascii="宋体" w:hAnsi="宋体" w:cs="宋体"/>
                <w:color w:val="auto"/>
                <w:kern w:val="0"/>
                <w:szCs w:val="21"/>
                <w:highlight w:val="none"/>
              </w:rPr>
            </w:pPr>
          </w:p>
        </w:tc>
        <w:tc>
          <w:tcPr>
            <w:tcW w:w="1042" w:type="pct"/>
            <w:noWrap/>
            <w:vAlign w:val="center"/>
          </w:tcPr>
          <w:p w14:paraId="095D20AC">
            <w:pPr>
              <w:widowControl w:val="0"/>
              <w:adjustRightInd w:val="0"/>
              <w:snapToGrid w:val="0"/>
              <w:spacing w:line="360" w:lineRule="auto"/>
              <w:jc w:val="center"/>
              <w:textAlignment w:val="auto"/>
              <w:rPr>
                <w:rFonts w:ascii="宋体" w:hAnsi="宋体"/>
                <w:color w:val="auto"/>
                <w:szCs w:val="21"/>
                <w:highlight w:val="none"/>
              </w:rPr>
            </w:pPr>
          </w:p>
        </w:tc>
        <w:tc>
          <w:tcPr>
            <w:tcW w:w="1042" w:type="pct"/>
            <w:noWrap/>
            <w:vAlign w:val="center"/>
          </w:tcPr>
          <w:p w14:paraId="2ED7D96E">
            <w:pPr>
              <w:widowControl w:val="0"/>
              <w:adjustRightInd w:val="0"/>
              <w:snapToGrid w:val="0"/>
              <w:spacing w:line="360" w:lineRule="auto"/>
              <w:jc w:val="center"/>
              <w:textAlignment w:val="auto"/>
              <w:rPr>
                <w:rFonts w:ascii="宋体" w:hAnsi="宋体"/>
                <w:color w:val="auto"/>
                <w:szCs w:val="21"/>
                <w:highlight w:val="none"/>
              </w:rPr>
            </w:pPr>
          </w:p>
        </w:tc>
      </w:tr>
      <w:tr w14:paraId="7C11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93" w:type="pct"/>
            <w:noWrap/>
            <w:vAlign w:val="center"/>
          </w:tcPr>
          <w:p w14:paraId="2C4F8FB8">
            <w:pPr>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541" w:type="pct"/>
            <w:noWrap/>
            <w:vAlign w:val="center"/>
          </w:tcPr>
          <w:p w14:paraId="3EAF17D4">
            <w:pPr>
              <w:jc w:val="center"/>
              <w:textAlignment w:val="auto"/>
              <w:rPr>
                <w:rFonts w:ascii="宋体" w:hAnsi="宋体" w:cs="宋体"/>
                <w:color w:val="auto"/>
                <w:kern w:val="0"/>
                <w:szCs w:val="21"/>
                <w:highlight w:val="none"/>
              </w:rPr>
            </w:pPr>
          </w:p>
        </w:tc>
        <w:tc>
          <w:tcPr>
            <w:tcW w:w="1474" w:type="pct"/>
            <w:noWrap/>
            <w:vAlign w:val="center"/>
          </w:tcPr>
          <w:p w14:paraId="1C6C7B6C">
            <w:pPr>
              <w:jc w:val="center"/>
              <w:textAlignment w:val="auto"/>
              <w:rPr>
                <w:rFonts w:ascii="宋体" w:hAnsi="宋体" w:cs="宋体"/>
                <w:color w:val="auto"/>
                <w:kern w:val="0"/>
                <w:szCs w:val="21"/>
                <w:highlight w:val="none"/>
              </w:rPr>
            </w:pPr>
          </w:p>
        </w:tc>
        <w:tc>
          <w:tcPr>
            <w:tcW w:w="605" w:type="pct"/>
            <w:noWrap/>
            <w:vAlign w:val="center"/>
          </w:tcPr>
          <w:p w14:paraId="4A06AFC7">
            <w:pPr>
              <w:jc w:val="center"/>
              <w:textAlignment w:val="auto"/>
              <w:rPr>
                <w:rFonts w:ascii="宋体" w:hAnsi="宋体" w:cs="宋体"/>
                <w:color w:val="auto"/>
                <w:kern w:val="0"/>
                <w:szCs w:val="21"/>
                <w:highlight w:val="none"/>
              </w:rPr>
            </w:pPr>
          </w:p>
        </w:tc>
        <w:tc>
          <w:tcPr>
            <w:tcW w:w="1042" w:type="pct"/>
            <w:noWrap/>
            <w:vAlign w:val="center"/>
          </w:tcPr>
          <w:p w14:paraId="7B3F2DDE">
            <w:pPr>
              <w:jc w:val="center"/>
              <w:textAlignment w:val="auto"/>
              <w:rPr>
                <w:rFonts w:ascii="宋体" w:hAnsi="宋体" w:cs="宋体"/>
                <w:color w:val="auto"/>
                <w:kern w:val="0"/>
                <w:szCs w:val="21"/>
                <w:highlight w:val="none"/>
              </w:rPr>
            </w:pPr>
          </w:p>
        </w:tc>
        <w:tc>
          <w:tcPr>
            <w:tcW w:w="1042" w:type="pct"/>
            <w:noWrap/>
            <w:vAlign w:val="center"/>
          </w:tcPr>
          <w:p w14:paraId="704EEAD5">
            <w:pPr>
              <w:jc w:val="center"/>
              <w:textAlignment w:val="auto"/>
              <w:rPr>
                <w:rFonts w:ascii="宋体" w:hAnsi="宋体" w:cs="宋体"/>
                <w:color w:val="auto"/>
                <w:kern w:val="0"/>
                <w:szCs w:val="21"/>
                <w:highlight w:val="none"/>
              </w:rPr>
            </w:pPr>
          </w:p>
        </w:tc>
      </w:tr>
      <w:tr w14:paraId="0D0B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5" w:hRule="atLeast"/>
          <w:jc w:val="center"/>
        </w:trPr>
        <w:tc>
          <w:tcPr>
            <w:tcW w:w="5000" w:type="pct"/>
            <w:gridSpan w:val="6"/>
            <w:noWrap w:val="0"/>
            <w:vAlign w:val="top"/>
          </w:tcPr>
          <w:p w14:paraId="54EF928D">
            <w:pP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备注：</w:t>
            </w:r>
          </w:p>
          <w:p w14:paraId="7B072328">
            <w:pP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1、“岗位”要求</w:t>
            </w:r>
            <w:r>
              <w:rPr>
                <w:rFonts w:hint="eastAsia" w:ascii="宋体" w:hAnsi="宋体" w:cs="宋体"/>
                <w:b/>
                <w:bCs/>
                <w:color w:val="auto"/>
                <w:kern w:val="0"/>
                <w:szCs w:val="21"/>
                <w:highlight w:val="none"/>
              </w:rPr>
              <w:t>（除项目负责人和专职安全员外）</w:t>
            </w:r>
            <w:r>
              <w:rPr>
                <w:rFonts w:hint="eastAsia" w:ascii="宋体" w:hAnsi="宋体" w:cs="宋体"/>
                <w:color w:val="auto"/>
                <w:kern w:val="0"/>
                <w:szCs w:val="21"/>
                <w:highlight w:val="none"/>
              </w:rPr>
              <w:t>由招标人根据项目管理需要在本表备注中明确提出，如：拟派驻施工现场的技术负责人、质量负责人、安全负责人、造价负责人、造价工程师、安全工程师、给排水工程师、装修工程师等。以上项目管理团队人员信息将由交易系统提取后供各相关单位在履约时比对、查核。</w:t>
            </w:r>
          </w:p>
          <w:p w14:paraId="769714EA">
            <w:pP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64AD3416">
            <w:pP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5EB1ADF8">
            <w:pPr>
              <w:jc w:val="lef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4、本表中投标人提供的“技术负责人”需满足招标公告要求，其余人员不全或未满足招标文件要求的，中标后须按招标文件的要求补充完善并报发包人审批同意；涉及违约的，还需按合同约定承担相应的违约责任。 </w:t>
            </w:r>
          </w:p>
        </w:tc>
      </w:tr>
    </w:tbl>
    <w:p w14:paraId="6691B8D1">
      <w:pPr>
        <w:snapToGrid w:val="0"/>
        <w:spacing w:line="360" w:lineRule="auto"/>
        <w:textAlignment w:val="auto"/>
        <w:rPr>
          <w:color w:val="auto"/>
          <w:highlight w:val="none"/>
        </w:rPr>
      </w:pPr>
    </w:p>
    <w:p w14:paraId="2C77054D">
      <w:pPr>
        <w:pStyle w:val="124"/>
        <w:ind w:firstLine="496"/>
        <w:rPr>
          <w:color w:val="auto"/>
          <w:highlight w:val="none"/>
        </w:rPr>
      </w:pPr>
    </w:p>
    <w:p w14:paraId="026E9378">
      <w:pPr>
        <w:pStyle w:val="124"/>
        <w:ind w:firstLine="496"/>
        <w:rPr>
          <w:rFonts w:ascii="宋体" w:hAnsi="宋体" w:cs="宋体"/>
          <w:color w:val="auto"/>
          <w:highlight w:val="none"/>
        </w:rPr>
      </w:pPr>
    </w:p>
    <w:p w14:paraId="4DD21220">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r>
        <w:rPr>
          <w:rFonts w:hint="eastAsia" w:ascii="宋体" w:hAnsi="宋体" w:cs="宋体"/>
          <w:b/>
          <w:color w:val="auto"/>
          <w:sz w:val="24"/>
          <w:szCs w:val="24"/>
          <w:highlight w:val="none"/>
        </w:rPr>
        <w:t>技术部分格式</w:t>
      </w:r>
      <w:r>
        <w:rPr>
          <w:rFonts w:ascii="宋体" w:hAnsi="宋体" w:cs="宋体"/>
          <w:b/>
          <w:color w:val="auto"/>
          <w:sz w:val="24"/>
          <w:szCs w:val="24"/>
          <w:highlight w:val="none"/>
        </w:rPr>
        <w:t>9</w:t>
      </w:r>
      <w:r>
        <w:rPr>
          <w:rFonts w:hint="eastAsia" w:ascii="宋体" w:hAnsi="宋体" w:cs="宋体"/>
          <w:b/>
          <w:color w:val="auto"/>
          <w:sz w:val="24"/>
          <w:szCs w:val="24"/>
          <w:highlight w:val="none"/>
        </w:rPr>
        <w:t>：</w:t>
      </w:r>
    </w:p>
    <w:p w14:paraId="492E13AA">
      <w:pPr>
        <w:pStyle w:val="9"/>
        <w:rPr>
          <w:rFonts w:ascii="宋体" w:hAnsi="宋体" w:cs="宋体"/>
          <w:color w:val="auto"/>
          <w:highlight w:val="none"/>
        </w:rPr>
      </w:pPr>
    </w:p>
    <w:p w14:paraId="1E258FC7">
      <w:pPr>
        <w:pStyle w:val="9"/>
        <w:rPr>
          <w:rFonts w:ascii="宋体" w:hAnsi="宋体" w:cs="宋体"/>
          <w:color w:val="auto"/>
          <w:highlight w:val="none"/>
        </w:rPr>
      </w:pPr>
    </w:p>
    <w:p w14:paraId="38D669A2">
      <w:pPr>
        <w:autoSpaceDE w:val="0"/>
        <w:autoSpaceDN w:val="0"/>
        <w:adjustRightInd w:val="0"/>
        <w:snapToGrid w:val="0"/>
        <w:spacing w:line="480" w:lineRule="auto"/>
        <w:jc w:val="center"/>
        <w:rPr>
          <w:rFonts w:ascii="宋体" w:hAnsi="宋体" w:cs="宋体"/>
          <w:b/>
          <w:color w:val="auto"/>
          <w:sz w:val="32"/>
          <w:szCs w:val="32"/>
          <w:highlight w:val="none"/>
          <w:lang w:val="zh-CN"/>
        </w:rPr>
      </w:pPr>
      <w:r>
        <w:rPr>
          <w:rFonts w:hint="eastAsia" w:ascii="宋体" w:hAnsi="宋体" w:cs="宋体"/>
          <w:b/>
          <w:color w:val="auto"/>
          <w:sz w:val="32"/>
          <w:szCs w:val="32"/>
          <w:highlight w:val="none"/>
          <w:lang w:val="zh-CN"/>
        </w:rPr>
        <w:t>技术负责人（或其他项目管理机构人员）基本情况表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243"/>
        <w:gridCol w:w="2123"/>
        <w:gridCol w:w="2036"/>
        <w:gridCol w:w="1224"/>
        <w:gridCol w:w="1225"/>
      </w:tblGrid>
      <w:tr w14:paraId="62FA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trPr>
        <w:tc>
          <w:tcPr>
            <w:tcW w:w="1068" w:type="dxa"/>
            <w:tcBorders>
              <w:top w:val="single" w:color="auto" w:sz="4" w:space="0"/>
              <w:left w:val="single" w:color="auto" w:sz="4" w:space="0"/>
              <w:bottom w:val="single" w:color="auto" w:sz="4" w:space="0"/>
              <w:right w:val="single" w:color="auto" w:sz="4" w:space="0"/>
            </w:tcBorders>
            <w:noWrap w:val="0"/>
            <w:vAlign w:val="center"/>
          </w:tcPr>
          <w:p w14:paraId="51F03C9C">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2D23F5DE">
            <w:pPr>
              <w:autoSpaceDE w:val="0"/>
              <w:autoSpaceDN w:val="0"/>
              <w:adjustRightInd w:val="0"/>
              <w:jc w:val="center"/>
              <w:rPr>
                <w:rFonts w:ascii="宋体" w:hAnsi="宋体" w:cs="宋体"/>
                <w:b/>
                <w:color w:val="auto"/>
                <w:sz w:val="24"/>
                <w:highlight w:val="none"/>
              </w:rPr>
            </w:pPr>
          </w:p>
        </w:tc>
        <w:tc>
          <w:tcPr>
            <w:tcW w:w="2123" w:type="dxa"/>
            <w:tcBorders>
              <w:top w:val="single" w:color="auto" w:sz="4" w:space="0"/>
              <w:left w:val="single" w:color="auto" w:sz="4" w:space="0"/>
              <w:bottom w:val="single" w:color="auto" w:sz="4" w:space="0"/>
              <w:right w:val="single" w:color="auto" w:sz="4" w:space="0"/>
            </w:tcBorders>
            <w:noWrap w:val="0"/>
            <w:vAlign w:val="center"/>
          </w:tcPr>
          <w:p w14:paraId="5B2F218B">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性别</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1A707475">
            <w:pPr>
              <w:autoSpaceDE w:val="0"/>
              <w:autoSpaceDN w:val="0"/>
              <w:adjustRightInd w:val="0"/>
              <w:jc w:val="center"/>
              <w:rPr>
                <w:rFonts w:ascii="宋体" w:hAnsi="宋体" w:cs="宋体"/>
                <w:b/>
                <w:color w:val="auto"/>
                <w:sz w:val="24"/>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B5D4C4E">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技术职称</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5F21C5FC">
            <w:pPr>
              <w:autoSpaceDE w:val="0"/>
              <w:autoSpaceDN w:val="0"/>
              <w:adjustRightInd w:val="0"/>
              <w:jc w:val="center"/>
              <w:rPr>
                <w:rFonts w:ascii="宋体" w:hAnsi="宋体" w:cs="宋体"/>
                <w:b/>
                <w:color w:val="auto"/>
                <w:sz w:val="24"/>
                <w:highlight w:val="none"/>
              </w:rPr>
            </w:pPr>
          </w:p>
        </w:tc>
      </w:tr>
      <w:tr w14:paraId="03867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68" w:type="dxa"/>
            <w:tcBorders>
              <w:top w:val="single" w:color="auto" w:sz="4" w:space="0"/>
              <w:left w:val="single" w:color="auto" w:sz="4" w:space="0"/>
              <w:bottom w:val="single" w:color="auto" w:sz="4" w:space="0"/>
              <w:right w:val="single" w:color="auto" w:sz="4" w:space="0"/>
            </w:tcBorders>
            <w:noWrap w:val="0"/>
            <w:vAlign w:val="center"/>
          </w:tcPr>
          <w:p w14:paraId="7A957C71">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身份证号</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1F626302">
            <w:pPr>
              <w:autoSpaceDE w:val="0"/>
              <w:autoSpaceDN w:val="0"/>
              <w:adjustRightInd w:val="0"/>
              <w:jc w:val="center"/>
              <w:rPr>
                <w:rFonts w:ascii="宋体" w:hAnsi="宋体" w:cs="宋体"/>
                <w:b/>
                <w:color w:val="auto"/>
                <w:sz w:val="24"/>
                <w:highlight w:val="none"/>
              </w:rPr>
            </w:pPr>
          </w:p>
        </w:tc>
        <w:tc>
          <w:tcPr>
            <w:tcW w:w="2123" w:type="dxa"/>
            <w:tcBorders>
              <w:top w:val="single" w:color="auto" w:sz="4" w:space="0"/>
              <w:left w:val="single" w:color="auto" w:sz="4" w:space="0"/>
              <w:bottom w:val="single" w:color="auto" w:sz="4" w:space="0"/>
              <w:right w:val="single" w:color="auto" w:sz="4" w:space="0"/>
            </w:tcBorders>
            <w:noWrap w:val="0"/>
            <w:vAlign w:val="center"/>
          </w:tcPr>
          <w:p w14:paraId="0A5254A2">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学历</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4DAB2C1F">
            <w:pPr>
              <w:autoSpaceDE w:val="0"/>
              <w:autoSpaceDN w:val="0"/>
              <w:adjustRightInd w:val="0"/>
              <w:jc w:val="center"/>
              <w:rPr>
                <w:rFonts w:ascii="宋体" w:hAnsi="宋体" w:cs="宋体"/>
                <w:b/>
                <w:color w:val="auto"/>
                <w:sz w:val="24"/>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1DB2916">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0B258D15">
            <w:pPr>
              <w:autoSpaceDE w:val="0"/>
              <w:autoSpaceDN w:val="0"/>
              <w:adjustRightInd w:val="0"/>
              <w:jc w:val="center"/>
              <w:rPr>
                <w:rFonts w:ascii="宋体" w:hAnsi="宋体" w:cs="宋体"/>
                <w:b/>
                <w:color w:val="auto"/>
                <w:sz w:val="24"/>
                <w:highlight w:val="none"/>
              </w:rPr>
            </w:pPr>
          </w:p>
        </w:tc>
      </w:tr>
      <w:tr w14:paraId="2055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68" w:type="dxa"/>
            <w:tcBorders>
              <w:top w:val="single" w:color="auto" w:sz="4" w:space="0"/>
              <w:left w:val="single" w:color="auto" w:sz="4" w:space="0"/>
              <w:bottom w:val="single" w:color="auto" w:sz="4" w:space="0"/>
              <w:right w:val="single" w:color="auto" w:sz="4" w:space="0"/>
            </w:tcBorders>
            <w:noWrap w:val="0"/>
            <w:vAlign w:val="center"/>
          </w:tcPr>
          <w:p w14:paraId="322DAC00">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社保号</w:t>
            </w:r>
          </w:p>
        </w:tc>
        <w:tc>
          <w:tcPr>
            <w:tcW w:w="7851" w:type="dxa"/>
            <w:gridSpan w:val="5"/>
            <w:tcBorders>
              <w:top w:val="single" w:color="auto" w:sz="4" w:space="0"/>
              <w:left w:val="single" w:color="auto" w:sz="4" w:space="0"/>
              <w:bottom w:val="single" w:color="auto" w:sz="4" w:space="0"/>
              <w:right w:val="single" w:color="auto" w:sz="4" w:space="0"/>
            </w:tcBorders>
            <w:noWrap w:val="0"/>
            <w:vAlign w:val="center"/>
          </w:tcPr>
          <w:p w14:paraId="0C4AFDA4">
            <w:pPr>
              <w:autoSpaceDE w:val="0"/>
              <w:autoSpaceDN w:val="0"/>
              <w:adjustRightInd w:val="0"/>
              <w:jc w:val="center"/>
              <w:rPr>
                <w:rFonts w:ascii="宋体" w:hAnsi="宋体" w:cs="宋体"/>
                <w:b/>
                <w:color w:val="auto"/>
                <w:sz w:val="24"/>
                <w:highlight w:val="none"/>
              </w:rPr>
            </w:pPr>
          </w:p>
        </w:tc>
      </w:tr>
      <w:tr w14:paraId="6898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919" w:type="dxa"/>
            <w:gridSpan w:val="6"/>
            <w:tcBorders>
              <w:top w:val="single" w:color="auto" w:sz="4" w:space="0"/>
              <w:left w:val="single" w:color="auto" w:sz="4" w:space="0"/>
              <w:bottom w:val="single" w:color="auto" w:sz="4" w:space="0"/>
              <w:right w:val="single" w:color="auto" w:sz="4" w:space="0"/>
            </w:tcBorders>
            <w:noWrap w:val="0"/>
            <w:vAlign w:val="center"/>
          </w:tcPr>
          <w:p w14:paraId="4098EDED">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从业简历</w:t>
            </w:r>
          </w:p>
          <w:p w14:paraId="334780F0">
            <w:pPr>
              <w:autoSpaceDE w:val="0"/>
              <w:autoSpaceDN w:val="0"/>
              <w:adjustRightInd w:val="0"/>
              <w:jc w:val="center"/>
              <w:rPr>
                <w:rFonts w:ascii="宋体" w:hAnsi="宋体" w:cs="宋体"/>
                <w:b/>
                <w:color w:val="auto"/>
                <w:sz w:val="24"/>
                <w:highlight w:val="none"/>
              </w:rPr>
            </w:pPr>
          </w:p>
          <w:p w14:paraId="5EFDF6E4">
            <w:pPr>
              <w:autoSpaceDE w:val="0"/>
              <w:autoSpaceDN w:val="0"/>
              <w:adjustRightInd w:val="0"/>
              <w:jc w:val="center"/>
              <w:rPr>
                <w:rFonts w:ascii="宋体" w:hAnsi="宋体" w:cs="宋体"/>
                <w:b/>
                <w:color w:val="auto"/>
                <w:sz w:val="24"/>
                <w:highlight w:val="none"/>
              </w:rPr>
            </w:pPr>
          </w:p>
          <w:p w14:paraId="322FD897">
            <w:pPr>
              <w:autoSpaceDE w:val="0"/>
              <w:autoSpaceDN w:val="0"/>
              <w:adjustRightInd w:val="0"/>
              <w:jc w:val="center"/>
              <w:rPr>
                <w:rFonts w:ascii="宋体" w:hAnsi="宋体" w:cs="宋体"/>
                <w:b/>
                <w:color w:val="auto"/>
                <w:sz w:val="24"/>
                <w:highlight w:val="none"/>
              </w:rPr>
            </w:pPr>
          </w:p>
          <w:p w14:paraId="199E5A8B">
            <w:pPr>
              <w:autoSpaceDE w:val="0"/>
              <w:autoSpaceDN w:val="0"/>
              <w:adjustRightInd w:val="0"/>
              <w:jc w:val="center"/>
              <w:rPr>
                <w:rFonts w:ascii="宋体" w:hAnsi="宋体" w:cs="宋体"/>
                <w:b/>
                <w:color w:val="auto"/>
                <w:sz w:val="24"/>
                <w:highlight w:val="none"/>
              </w:rPr>
            </w:pPr>
          </w:p>
          <w:p w14:paraId="2D8B2B2C">
            <w:pPr>
              <w:autoSpaceDE w:val="0"/>
              <w:autoSpaceDN w:val="0"/>
              <w:adjustRightInd w:val="0"/>
              <w:jc w:val="center"/>
              <w:rPr>
                <w:rFonts w:ascii="宋体" w:hAnsi="宋体" w:cs="宋体"/>
                <w:b/>
                <w:color w:val="auto"/>
                <w:sz w:val="24"/>
                <w:highlight w:val="none"/>
              </w:rPr>
            </w:pPr>
          </w:p>
          <w:p w14:paraId="06A306F3">
            <w:pPr>
              <w:autoSpaceDE w:val="0"/>
              <w:autoSpaceDN w:val="0"/>
              <w:adjustRightInd w:val="0"/>
              <w:jc w:val="center"/>
              <w:rPr>
                <w:rFonts w:ascii="宋体" w:hAnsi="宋体" w:cs="宋体"/>
                <w:b/>
                <w:color w:val="auto"/>
                <w:sz w:val="24"/>
                <w:highlight w:val="none"/>
              </w:rPr>
            </w:pPr>
          </w:p>
        </w:tc>
      </w:tr>
    </w:tbl>
    <w:p w14:paraId="628B600F">
      <w:pPr>
        <w:pStyle w:val="9"/>
        <w:rPr>
          <w:rFonts w:ascii="宋体" w:hAnsi="宋体" w:cs="宋体"/>
          <w:color w:val="auto"/>
          <w:highlight w:val="none"/>
        </w:rPr>
      </w:pPr>
    </w:p>
    <w:p w14:paraId="3F5FD4FF">
      <w:pPr>
        <w:topLinePunct/>
        <w:adjustRightInd w:val="0"/>
        <w:snapToGrid w:val="0"/>
        <w:spacing w:line="360" w:lineRule="auto"/>
        <w:ind w:firstLine="3720" w:firstLineChars="15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投标人：　　</w:t>
      </w:r>
    </w:p>
    <w:p w14:paraId="2C09AEAD">
      <w:pPr>
        <w:topLinePunct/>
        <w:adjustRightInd w:val="0"/>
        <w:snapToGrid w:val="0"/>
        <w:spacing w:line="360" w:lineRule="auto"/>
        <w:ind w:firstLine="3720" w:firstLineChars="1500"/>
        <w:rPr>
          <w:rFonts w:ascii="宋体" w:hAnsi="宋体" w:cs="宋体"/>
          <w:color w:val="auto"/>
          <w:sz w:val="24"/>
          <w:szCs w:val="24"/>
          <w:highlight w:val="none"/>
        </w:rPr>
      </w:pPr>
      <w:r>
        <w:rPr>
          <w:rFonts w:hint="eastAsia" w:ascii="宋体" w:hAnsi="宋体" w:cs="宋体"/>
          <w:color w:val="auto"/>
          <w:spacing w:val="4"/>
          <w:kern w:val="0"/>
          <w:sz w:val="24"/>
          <w:szCs w:val="24"/>
          <w:highlight w:val="none"/>
        </w:rPr>
        <w:t>日   期：    年    月    日</w:t>
      </w:r>
    </w:p>
    <w:p w14:paraId="17E2C580">
      <w:pPr>
        <w:pStyle w:val="124"/>
        <w:ind w:right="2480" w:firstLine="496"/>
        <w:jc w:val="right"/>
        <w:rPr>
          <w:rFonts w:ascii="宋体" w:hAnsi="宋体" w:cs="宋体"/>
          <w:color w:val="auto"/>
          <w:szCs w:val="20"/>
          <w:highlight w:val="none"/>
        </w:rPr>
      </w:pPr>
    </w:p>
    <w:p w14:paraId="45EE695D">
      <w:pPr>
        <w:topLinePunct/>
        <w:adjustRightInd w:val="0"/>
        <w:snapToGrid w:val="0"/>
        <w:spacing w:line="360" w:lineRule="auto"/>
        <w:ind w:firstLine="168" w:firstLineChars="80"/>
        <w:rPr>
          <w:rFonts w:ascii="宋体" w:hAnsi="宋体" w:cs="宋体"/>
          <w:b/>
          <w:color w:val="auto"/>
          <w:sz w:val="24"/>
          <w:szCs w:val="24"/>
          <w:highlight w:val="none"/>
        </w:rPr>
      </w:pPr>
      <w:r>
        <w:rPr>
          <w:rFonts w:hint="eastAsia" w:ascii="宋体" w:hAnsi="宋体" w:cs="宋体"/>
          <w:color w:val="auto"/>
          <w:szCs w:val="21"/>
          <w:highlight w:val="none"/>
        </w:rPr>
        <w:br w:type="page"/>
      </w:r>
      <w:r>
        <w:rPr>
          <w:rFonts w:hint="eastAsia" w:ascii="宋体" w:hAnsi="宋体" w:cs="宋体"/>
          <w:color w:val="auto"/>
          <w:sz w:val="24"/>
          <w:highlight w:val="none"/>
        </w:rPr>
        <w:t>★</w:t>
      </w:r>
      <w:r>
        <w:rPr>
          <w:rFonts w:hint="eastAsia" w:ascii="宋体" w:hAnsi="宋体" w:cs="宋体"/>
          <w:b/>
          <w:color w:val="auto"/>
          <w:sz w:val="24"/>
          <w:szCs w:val="24"/>
          <w:highlight w:val="none"/>
        </w:rPr>
        <w:t>技术部分格式</w:t>
      </w:r>
      <w:r>
        <w:rPr>
          <w:rFonts w:ascii="宋体" w:hAnsi="宋体" w:cs="宋体"/>
          <w:b/>
          <w:color w:val="auto"/>
          <w:sz w:val="24"/>
          <w:szCs w:val="24"/>
          <w:highlight w:val="none"/>
        </w:rPr>
        <w:t>10</w:t>
      </w:r>
      <w:r>
        <w:rPr>
          <w:rFonts w:hint="eastAsia" w:ascii="宋体" w:hAnsi="宋体" w:cs="宋体"/>
          <w:b/>
          <w:bCs/>
          <w:color w:val="auto"/>
          <w:sz w:val="24"/>
          <w:szCs w:val="24"/>
          <w:highlight w:val="none"/>
        </w:rPr>
        <w:t>：</w:t>
      </w:r>
    </w:p>
    <w:p w14:paraId="0A390BFE">
      <w:pPr>
        <w:pStyle w:val="165"/>
        <w:spacing w:before="100" w:beforeAutospacing="1" w:after="100" w:afterAutospacing="1" w:line="24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危险性较大的分部分项工程清单及超过一定规模的</w:t>
      </w:r>
      <w:bookmarkStart w:id="39" w:name="OLE_LINK2"/>
      <w:r>
        <w:rPr>
          <w:rFonts w:hint="eastAsia" w:ascii="宋体" w:hAnsi="宋体" w:eastAsia="宋体" w:cs="宋体"/>
          <w:color w:val="auto"/>
          <w:sz w:val="28"/>
          <w:szCs w:val="28"/>
          <w:highlight w:val="none"/>
        </w:rPr>
        <w:t>危险性较大的分部分项工程清单</w:t>
      </w:r>
      <w:bookmarkEnd w:id="39"/>
    </w:p>
    <w:p w14:paraId="0D398F0B">
      <w:pPr>
        <w:numPr>
          <w:ilvl w:val="0"/>
          <w:numId w:val="6"/>
        </w:numPr>
        <w:autoSpaceDE w:val="0"/>
        <w:autoSpaceDN w:val="0"/>
        <w:adjustRightInd w:val="0"/>
        <w:spacing w:line="360" w:lineRule="auto"/>
        <w:jc w:val="left"/>
        <w:rPr>
          <w:rFonts w:ascii="宋体" w:hAnsi="宋体" w:cs="宋体"/>
          <w:snapToGrid w:val="0"/>
          <w:color w:val="auto"/>
          <w:spacing w:val="4"/>
          <w:kern w:val="0"/>
          <w:sz w:val="24"/>
          <w:szCs w:val="24"/>
          <w:highlight w:val="none"/>
        </w:rPr>
      </w:pPr>
      <w:r>
        <w:rPr>
          <w:rFonts w:hint="eastAsia" w:ascii="宋体" w:hAnsi="宋体" w:cs="宋体"/>
          <w:color w:val="auto"/>
          <w:kern w:val="0"/>
          <w:sz w:val="24"/>
          <w:szCs w:val="28"/>
          <w:highlight w:val="none"/>
        </w:rPr>
        <w:t>根据中华人民共和国住房和城乡建设部令第37号《危险性较大的分部分项工程安全管理规定》（以下简称“37号文”），投标人在投标时须补充完善危大工程清单并</w:t>
      </w:r>
      <w:r>
        <w:rPr>
          <w:rFonts w:hint="eastAsia" w:ascii="宋体" w:hAnsi="宋体" w:cs="宋体"/>
          <w:snapToGrid w:val="0"/>
          <w:color w:val="auto"/>
          <w:spacing w:val="4"/>
          <w:kern w:val="0"/>
          <w:sz w:val="24"/>
          <w:szCs w:val="24"/>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14:paraId="5301BB98">
      <w:pPr>
        <w:numPr>
          <w:ilvl w:val="0"/>
          <w:numId w:val="6"/>
        </w:numPr>
        <w:autoSpaceDE w:val="0"/>
        <w:autoSpaceDN w:val="0"/>
        <w:adjustRightInd w:val="0"/>
        <w:spacing w:line="360" w:lineRule="auto"/>
        <w:jc w:val="left"/>
        <w:rPr>
          <w:rFonts w:ascii="宋体" w:hAnsi="宋体" w:cs="宋体"/>
          <w:color w:val="auto"/>
          <w:kern w:val="0"/>
          <w:sz w:val="24"/>
          <w:szCs w:val="28"/>
          <w:highlight w:val="none"/>
        </w:rPr>
      </w:pPr>
      <w:r>
        <w:rPr>
          <w:rFonts w:hint="eastAsia" w:ascii="宋体" w:hAnsi="宋体" w:cs="宋体"/>
          <w:color w:val="auto"/>
          <w:kern w:val="0"/>
          <w:sz w:val="24"/>
          <w:szCs w:val="28"/>
          <w:highlight w:val="none"/>
        </w:rPr>
        <w:t>招标人根据设计文件的要求及37号文的规定列出“危险性较大的分部分项工程清单及超过一定规模的危险性较大的分部分项工程清单”中与本招标项目相关的清单项，具体详第5点“打</w:t>
      </w:r>
      <w:r>
        <w:rPr>
          <w:rFonts w:hint="eastAsia" w:ascii="宋体" w:hAnsi="宋体" w:cs="宋体"/>
          <w:color w:val="auto"/>
          <w:kern w:val="0"/>
          <w:sz w:val="24"/>
          <w:szCs w:val="36"/>
          <w:highlight w:val="none"/>
        </w:rPr>
        <w:t>√”标识。</w:t>
      </w:r>
    </w:p>
    <w:p w14:paraId="4D215214">
      <w:pPr>
        <w:numPr>
          <w:ilvl w:val="0"/>
          <w:numId w:val="7"/>
        </w:numPr>
        <w:autoSpaceDE w:val="0"/>
        <w:autoSpaceDN w:val="0"/>
        <w:adjustRightInd w:val="0"/>
        <w:spacing w:line="360" w:lineRule="auto"/>
        <w:jc w:val="left"/>
        <w:rPr>
          <w:rFonts w:ascii="宋体" w:hAnsi="宋体" w:cs="宋体"/>
          <w:color w:val="auto"/>
          <w:kern w:val="0"/>
          <w:sz w:val="24"/>
          <w:szCs w:val="36"/>
          <w:highlight w:val="none"/>
        </w:rPr>
      </w:pPr>
      <w:r>
        <w:rPr>
          <w:rFonts w:hint="eastAsia" w:ascii="宋体" w:hAnsi="宋体" w:cs="宋体"/>
          <w:color w:val="auto"/>
          <w:kern w:val="0"/>
          <w:sz w:val="24"/>
          <w:szCs w:val="28"/>
          <w:highlight w:val="none"/>
        </w:rPr>
        <w:t>投标人同意招标人在清单中标识的该项请在对应项打“</w:t>
      </w:r>
      <w:r>
        <w:rPr>
          <w:rFonts w:hint="eastAsia" w:ascii="宋体" w:hAnsi="宋体" w:cs="宋体"/>
          <w:color w:val="auto"/>
          <w:kern w:val="0"/>
          <w:sz w:val="24"/>
          <w:szCs w:val="36"/>
          <w:highlight w:val="none"/>
        </w:rPr>
        <w:t>√”标识，并在投标文件中提供相应的安全管理措施。</w:t>
      </w:r>
    </w:p>
    <w:p w14:paraId="7C9547E8">
      <w:pPr>
        <w:numPr>
          <w:ilvl w:val="0"/>
          <w:numId w:val="7"/>
        </w:numPr>
        <w:autoSpaceDE w:val="0"/>
        <w:autoSpaceDN w:val="0"/>
        <w:adjustRightInd w:val="0"/>
        <w:spacing w:line="360" w:lineRule="auto"/>
        <w:jc w:val="left"/>
        <w:rPr>
          <w:rFonts w:ascii="宋体" w:hAnsi="宋体" w:cs="宋体"/>
          <w:color w:val="auto"/>
          <w:kern w:val="0"/>
          <w:sz w:val="24"/>
          <w:szCs w:val="36"/>
          <w:highlight w:val="none"/>
        </w:rPr>
      </w:pPr>
      <w:r>
        <w:rPr>
          <w:rFonts w:hint="eastAsia" w:ascii="宋体" w:hAnsi="宋体" w:cs="宋体"/>
          <w:color w:val="auto"/>
          <w:kern w:val="0"/>
          <w:sz w:val="24"/>
          <w:szCs w:val="28"/>
          <w:highlight w:val="none"/>
        </w:rPr>
        <w:t>投标人对清单中认为需要补充的该项请在对应项打“</w:t>
      </w:r>
      <w:r>
        <w:rPr>
          <w:rFonts w:hint="eastAsia" w:ascii="宋体" w:hAnsi="宋体" w:cs="宋体"/>
          <w:color w:val="auto"/>
          <w:kern w:val="0"/>
          <w:sz w:val="24"/>
          <w:szCs w:val="36"/>
          <w:highlight w:val="none"/>
        </w:rPr>
        <w:t>√”标识，并在投标文件中提供相应的安全管理措施。</w:t>
      </w:r>
    </w:p>
    <w:p w14:paraId="27DA7E0C">
      <w:pPr>
        <w:numPr>
          <w:ilvl w:val="0"/>
          <w:numId w:val="7"/>
        </w:numPr>
        <w:autoSpaceDE w:val="0"/>
        <w:autoSpaceDN w:val="0"/>
        <w:adjustRightInd w:val="0"/>
        <w:spacing w:line="360" w:lineRule="auto"/>
        <w:jc w:val="left"/>
        <w:rPr>
          <w:rFonts w:ascii="宋体" w:hAnsi="宋体" w:cs="宋体"/>
          <w:color w:val="auto"/>
          <w:kern w:val="0"/>
          <w:sz w:val="24"/>
          <w:szCs w:val="28"/>
          <w:highlight w:val="none"/>
        </w:rPr>
      </w:pPr>
      <w:r>
        <w:rPr>
          <w:rFonts w:hint="eastAsia" w:ascii="宋体" w:hAnsi="宋体" w:cs="宋体"/>
          <w:color w:val="auto"/>
          <w:kern w:val="0"/>
          <w:sz w:val="24"/>
          <w:szCs w:val="36"/>
          <w:highlight w:val="none"/>
        </w:rPr>
        <w:t>投标人不同意招标人</w:t>
      </w:r>
      <w:r>
        <w:rPr>
          <w:rFonts w:hint="eastAsia" w:ascii="宋体" w:hAnsi="宋体" w:cs="宋体"/>
          <w:color w:val="auto"/>
          <w:kern w:val="0"/>
          <w:sz w:val="24"/>
          <w:szCs w:val="28"/>
          <w:highlight w:val="none"/>
        </w:rPr>
        <w:t>在清单中标识的该项</w:t>
      </w:r>
      <w:r>
        <w:rPr>
          <w:rFonts w:hint="eastAsia" w:ascii="宋体" w:hAnsi="宋体" w:cs="宋体"/>
          <w:color w:val="auto"/>
          <w:kern w:val="0"/>
          <w:sz w:val="24"/>
          <w:szCs w:val="36"/>
          <w:highlight w:val="none"/>
        </w:rPr>
        <w:t>请在对应项打“×”标识，并在备注栏填上相关说明。</w:t>
      </w:r>
    </w:p>
    <w:p w14:paraId="3334A33F">
      <w:pPr>
        <w:numPr>
          <w:ilvl w:val="0"/>
          <w:numId w:val="6"/>
        </w:numPr>
        <w:autoSpaceDE w:val="0"/>
        <w:autoSpaceDN w:val="0"/>
        <w:adjustRightInd w:val="0"/>
        <w:spacing w:line="360" w:lineRule="auto"/>
        <w:jc w:val="left"/>
        <w:rPr>
          <w:rFonts w:ascii="宋体" w:hAnsi="宋体" w:cs="宋体"/>
          <w:color w:val="auto"/>
          <w:kern w:val="0"/>
          <w:sz w:val="24"/>
          <w:szCs w:val="28"/>
          <w:highlight w:val="none"/>
        </w:rPr>
      </w:pPr>
      <w:r>
        <w:rPr>
          <w:rFonts w:hint="eastAsia" w:ascii="宋体" w:hAnsi="宋体" w:cs="宋体"/>
          <w:color w:val="auto"/>
          <w:kern w:val="0"/>
          <w:sz w:val="24"/>
          <w:szCs w:val="28"/>
          <w:highlight w:val="none"/>
        </w:rPr>
        <w:t>投标人应当在投标时根据招标人提供的下述第5点清单，在投标文件中编制专项施工方案。</w:t>
      </w:r>
    </w:p>
    <w:p w14:paraId="3C59C874">
      <w:pPr>
        <w:numPr>
          <w:ilvl w:val="0"/>
          <w:numId w:val="6"/>
        </w:numPr>
        <w:autoSpaceDE w:val="0"/>
        <w:autoSpaceDN w:val="0"/>
        <w:adjustRightInd w:val="0"/>
        <w:spacing w:line="360" w:lineRule="auto"/>
        <w:jc w:val="left"/>
        <w:rPr>
          <w:rFonts w:ascii="宋体" w:hAnsi="宋体" w:cs="宋体"/>
          <w:color w:val="auto"/>
          <w:kern w:val="0"/>
          <w:sz w:val="24"/>
          <w:szCs w:val="28"/>
          <w:highlight w:val="none"/>
        </w:rPr>
      </w:pPr>
      <w:r>
        <w:rPr>
          <w:rFonts w:hint="eastAsia" w:ascii="宋体" w:hAnsi="宋体" w:cs="宋体"/>
          <w:color w:val="auto"/>
          <w:kern w:val="0"/>
          <w:sz w:val="24"/>
          <w:szCs w:val="28"/>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5C5C94FF">
      <w:pPr>
        <w:numPr>
          <w:ilvl w:val="0"/>
          <w:numId w:val="6"/>
        </w:numPr>
        <w:autoSpaceDE w:val="0"/>
        <w:autoSpaceDN w:val="0"/>
        <w:adjustRightInd w:val="0"/>
        <w:spacing w:line="360" w:lineRule="auto"/>
        <w:jc w:val="left"/>
        <w:rPr>
          <w:rFonts w:ascii="宋体" w:hAnsi="宋体" w:cs="宋体"/>
          <w:color w:val="auto"/>
          <w:kern w:val="0"/>
          <w:sz w:val="24"/>
          <w:szCs w:val="28"/>
          <w:highlight w:val="none"/>
        </w:rPr>
      </w:pPr>
      <w:r>
        <w:rPr>
          <w:rFonts w:hint="eastAsia" w:ascii="宋体" w:hAnsi="宋体" w:cs="宋体"/>
          <w:color w:val="auto"/>
          <w:kern w:val="0"/>
          <w:sz w:val="24"/>
          <w:szCs w:val="28"/>
          <w:highlight w:val="none"/>
        </w:rPr>
        <w:t>危险性较大的分部分项工程清单及超过一定规模的危险性较大的分部分项工程清单：</w:t>
      </w:r>
    </w:p>
    <w:p w14:paraId="055B704B">
      <w:pPr>
        <w:autoSpaceDE w:val="0"/>
        <w:autoSpaceDN w:val="0"/>
        <w:adjustRightInd w:val="0"/>
        <w:spacing w:line="360" w:lineRule="auto"/>
        <w:jc w:val="left"/>
        <w:rPr>
          <w:rFonts w:ascii="宋体" w:hAnsi="宋体" w:cs="宋体"/>
          <w:color w:val="auto"/>
          <w:kern w:val="0"/>
          <w:sz w:val="24"/>
          <w:szCs w:val="28"/>
          <w:highlight w:val="none"/>
        </w:rPr>
        <w:sectPr>
          <w:pgSz w:w="11907" w:h="16840"/>
          <w:pgMar w:top="1440" w:right="1797" w:bottom="1440" w:left="1797" w:header="720" w:footer="720" w:gutter="0"/>
          <w:pgNumType w:fmt="decimal"/>
          <w:cols w:space="720" w:num="1"/>
        </w:sect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9"/>
        <w:gridCol w:w="1353"/>
        <w:gridCol w:w="1353"/>
        <w:gridCol w:w="1057"/>
      </w:tblGrid>
      <w:tr w14:paraId="0EAE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center"/>
          </w:tcPr>
          <w:p w14:paraId="2123DC86">
            <w:pPr>
              <w:jc w:val="left"/>
              <w:rPr>
                <w:rFonts w:ascii="宋体" w:hAnsi="宋体" w:cs="宋体"/>
                <w:b/>
                <w:color w:val="auto"/>
                <w:kern w:val="0"/>
                <w:szCs w:val="21"/>
                <w:highlight w:val="none"/>
              </w:rPr>
            </w:pPr>
            <w:r>
              <w:rPr>
                <w:rFonts w:hint="eastAsia" w:ascii="宋体" w:hAnsi="宋体" w:cs="宋体"/>
                <w:b/>
                <w:color w:val="auto"/>
                <w:kern w:val="0"/>
                <w:szCs w:val="21"/>
                <w:highlight w:val="none"/>
              </w:rPr>
              <w:t>第一部分、危险性较大的分部分项工程清单</w:t>
            </w:r>
          </w:p>
        </w:tc>
        <w:tc>
          <w:tcPr>
            <w:tcW w:w="1353" w:type="dxa"/>
            <w:noWrap w:val="0"/>
            <w:vAlign w:val="center"/>
          </w:tcPr>
          <w:p w14:paraId="7A66A9E9">
            <w:pPr>
              <w:jc w:val="center"/>
              <w:rPr>
                <w:rFonts w:ascii="宋体" w:hAnsi="宋体" w:cs="宋体"/>
                <w:color w:val="auto"/>
                <w:kern w:val="0"/>
                <w:szCs w:val="21"/>
                <w:highlight w:val="none"/>
              </w:rPr>
            </w:pPr>
            <w:r>
              <w:rPr>
                <w:rFonts w:hint="eastAsia" w:ascii="宋体" w:hAnsi="宋体" w:cs="宋体"/>
                <w:color w:val="auto"/>
                <w:kern w:val="0"/>
                <w:szCs w:val="21"/>
                <w:highlight w:val="none"/>
              </w:rPr>
              <w:t>招标人</w:t>
            </w:r>
          </w:p>
        </w:tc>
        <w:tc>
          <w:tcPr>
            <w:tcW w:w="1353" w:type="dxa"/>
            <w:noWrap w:val="0"/>
            <w:vAlign w:val="center"/>
          </w:tcPr>
          <w:p w14:paraId="183440E0">
            <w:pPr>
              <w:jc w:val="center"/>
              <w:rPr>
                <w:rFonts w:ascii="宋体" w:hAnsi="宋体" w:cs="宋体"/>
                <w:color w:val="auto"/>
                <w:kern w:val="0"/>
                <w:szCs w:val="21"/>
                <w:highlight w:val="none"/>
              </w:rPr>
            </w:pPr>
            <w:r>
              <w:rPr>
                <w:rFonts w:hint="eastAsia" w:ascii="宋体" w:hAnsi="宋体" w:cs="宋体"/>
                <w:color w:val="auto"/>
                <w:kern w:val="0"/>
                <w:szCs w:val="21"/>
                <w:highlight w:val="none"/>
              </w:rPr>
              <w:t>投标人</w:t>
            </w:r>
          </w:p>
        </w:tc>
        <w:tc>
          <w:tcPr>
            <w:tcW w:w="1057" w:type="dxa"/>
            <w:noWrap w:val="0"/>
            <w:vAlign w:val="center"/>
          </w:tcPr>
          <w:p w14:paraId="76C51C4B">
            <w:pPr>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r>
      <w:tr w14:paraId="77DD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23137395">
            <w:pPr>
              <w:jc w:val="left"/>
              <w:rPr>
                <w:rFonts w:ascii="宋体" w:hAnsi="宋体" w:cs="宋体"/>
                <w:color w:val="auto"/>
                <w:kern w:val="0"/>
                <w:szCs w:val="21"/>
                <w:highlight w:val="none"/>
              </w:rPr>
            </w:pPr>
            <w:r>
              <w:rPr>
                <w:rFonts w:hint="eastAsia" w:ascii="宋体" w:hAnsi="宋体" w:cs="宋体"/>
                <w:color w:val="auto"/>
                <w:kern w:val="0"/>
                <w:szCs w:val="21"/>
                <w:highlight w:val="none"/>
              </w:rPr>
              <w:t>一、基坑工程</w:t>
            </w:r>
          </w:p>
        </w:tc>
        <w:tc>
          <w:tcPr>
            <w:tcW w:w="1353" w:type="dxa"/>
            <w:noWrap w:val="0"/>
            <w:vAlign w:val="center"/>
          </w:tcPr>
          <w:p w14:paraId="16C04E6C">
            <w:pPr>
              <w:jc w:val="center"/>
              <w:rPr>
                <w:rFonts w:ascii="宋体" w:hAnsi="宋体" w:cs="宋体"/>
                <w:color w:val="auto"/>
                <w:kern w:val="0"/>
                <w:szCs w:val="21"/>
                <w:highlight w:val="none"/>
              </w:rPr>
            </w:pPr>
          </w:p>
        </w:tc>
        <w:tc>
          <w:tcPr>
            <w:tcW w:w="1353" w:type="dxa"/>
            <w:noWrap w:val="0"/>
            <w:vAlign w:val="center"/>
          </w:tcPr>
          <w:p w14:paraId="7FB2C280">
            <w:pPr>
              <w:jc w:val="center"/>
              <w:rPr>
                <w:rFonts w:ascii="宋体" w:hAnsi="宋体" w:cs="宋体"/>
                <w:color w:val="auto"/>
                <w:kern w:val="0"/>
                <w:szCs w:val="21"/>
                <w:highlight w:val="none"/>
              </w:rPr>
            </w:pPr>
          </w:p>
        </w:tc>
        <w:tc>
          <w:tcPr>
            <w:tcW w:w="1057" w:type="dxa"/>
            <w:noWrap w:val="0"/>
            <w:vAlign w:val="center"/>
          </w:tcPr>
          <w:p w14:paraId="3C65E84F">
            <w:pPr>
              <w:jc w:val="center"/>
              <w:rPr>
                <w:rFonts w:ascii="宋体" w:hAnsi="宋体" w:cs="宋体"/>
                <w:color w:val="auto"/>
                <w:kern w:val="0"/>
                <w:szCs w:val="21"/>
                <w:highlight w:val="none"/>
              </w:rPr>
            </w:pPr>
          </w:p>
        </w:tc>
      </w:tr>
      <w:tr w14:paraId="6592D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59" w:type="dxa"/>
            <w:noWrap w:val="0"/>
            <w:vAlign w:val="top"/>
          </w:tcPr>
          <w:p w14:paraId="54378DCE">
            <w:pPr>
              <w:jc w:val="left"/>
              <w:rPr>
                <w:rFonts w:ascii="宋体" w:hAnsi="宋体" w:cs="宋体"/>
                <w:color w:val="auto"/>
                <w:kern w:val="0"/>
                <w:szCs w:val="21"/>
                <w:highlight w:val="none"/>
              </w:rPr>
            </w:pPr>
            <w:r>
              <w:rPr>
                <w:rFonts w:hint="eastAsia" w:ascii="宋体" w:hAnsi="宋体" w:cs="宋体"/>
                <w:color w:val="auto"/>
                <w:kern w:val="0"/>
                <w:szCs w:val="21"/>
                <w:highlight w:val="none"/>
              </w:rPr>
              <w:t>（一）开挖深度超过3m（含3m）的基坑（槽）的土方开挖、支护、降水工程。</w:t>
            </w:r>
          </w:p>
        </w:tc>
        <w:tc>
          <w:tcPr>
            <w:tcW w:w="1353" w:type="dxa"/>
            <w:noWrap w:val="0"/>
            <w:vAlign w:val="center"/>
          </w:tcPr>
          <w:p w14:paraId="7530AFEF">
            <w:pPr>
              <w:jc w:val="center"/>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w:t>
            </w:r>
          </w:p>
        </w:tc>
        <w:tc>
          <w:tcPr>
            <w:tcW w:w="1353" w:type="dxa"/>
            <w:noWrap w:val="0"/>
            <w:vAlign w:val="center"/>
          </w:tcPr>
          <w:p w14:paraId="77AB2EEE">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133C3FDD">
            <w:pPr>
              <w:jc w:val="center"/>
              <w:rPr>
                <w:rFonts w:ascii="宋体" w:hAnsi="宋体" w:cs="宋体"/>
                <w:color w:val="auto"/>
                <w:kern w:val="0"/>
                <w:szCs w:val="21"/>
                <w:highlight w:val="none"/>
              </w:rPr>
            </w:pPr>
          </w:p>
        </w:tc>
      </w:tr>
      <w:tr w14:paraId="6FE97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567D941C">
            <w:pPr>
              <w:spacing w:line="36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（二）开挖深度虽未超过3m，但地质条件、周围环境和地下管线复杂，或影响毗邻建、构筑物安全的基坑（槽）的土方开挖、支护、降水工程。</w:t>
            </w:r>
          </w:p>
        </w:tc>
        <w:tc>
          <w:tcPr>
            <w:tcW w:w="1353" w:type="dxa"/>
            <w:noWrap w:val="0"/>
            <w:vAlign w:val="center"/>
          </w:tcPr>
          <w:p w14:paraId="00E23C80">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noWrap w:val="0"/>
            <w:vAlign w:val="center"/>
          </w:tcPr>
          <w:p w14:paraId="62457003">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02BEBAA9">
            <w:pPr>
              <w:jc w:val="center"/>
              <w:rPr>
                <w:rFonts w:ascii="宋体" w:hAnsi="宋体" w:cs="宋体"/>
                <w:color w:val="auto"/>
                <w:kern w:val="0"/>
                <w:szCs w:val="21"/>
                <w:highlight w:val="none"/>
              </w:rPr>
            </w:pPr>
          </w:p>
        </w:tc>
      </w:tr>
      <w:tr w14:paraId="05150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51FA743E">
            <w:pPr>
              <w:jc w:val="left"/>
              <w:rPr>
                <w:rFonts w:ascii="宋体" w:hAnsi="宋体" w:cs="宋体"/>
                <w:color w:val="auto"/>
                <w:kern w:val="0"/>
                <w:szCs w:val="21"/>
                <w:highlight w:val="none"/>
              </w:rPr>
            </w:pPr>
            <w:r>
              <w:rPr>
                <w:rFonts w:hint="eastAsia" w:ascii="宋体" w:hAnsi="宋体" w:cs="宋体"/>
                <w:color w:val="auto"/>
                <w:kern w:val="0"/>
                <w:szCs w:val="21"/>
                <w:highlight w:val="none"/>
              </w:rPr>
              <w:t>二、模板工程及支撑体系</w:t>
            </w:r>
          </w:p>
        </w:tc>
        <w:tc>
          <w:tcPr>
            <w:tcW w:w="1353" w:type="dxa"/>
            <w:noWrap w:val="0"/>
            <w:vAlign w:val="center"/>
          </w:tcPr>
          <w:p w14:paraId="143ADE09">
            <w:pPr>
              <w:jc w:val="center"/>
              <w:rPr>
                <w:rFonts w:ascii="宋体" w:hAnsi="宋体" w:cs="宋体"/>
                <w:color w:val="auto"/>
                <w:kern w:val="0"/>
                <w:szCs w:val="21"/>
                <w:highlight w:val="none"/>
              </w:rPr>
            </w:pPr>
          </w:p>
        </w:tc>
        <w:tc>
          <w:tcPr>
            <w:tcW w:w="1353" w:type="dxa"/>
            <w:noWrap w:val="0"/>
            <w:vAlign w:val="center"/>
          </w:tcPr>
          <w:p w14:paraId="5B3FAF8D">
            <w:pPr>
              <w:jc w:val="center"/>
              <w:rPr>
                <w:rFonts w:ascii="宋体" w:hAnsi="宋体" w:cs="宋体"/>
                <w:color w:val="auto"/>
                <w:kern w:val="0"/>
                <w:szCs w:val="21"/>
                <w:highlight w:val="none"/>
              </w:rPr>
            </w:pPr>
          </w:p>
        </w:tc>
        <w:tc>
          <w:tcPr>
            <w:tcW w:w="1057" w:type="dxa"/>
            <w:noWrap w:val="0"/>
            <w:vAlign w:val="center"/>
          </w:tcPr>
          <w:p w14:paraId="769D4CD9">
            <w:pPr>
              <w:jc w:val="center"/>
              <w:rPr>
                <w:rFonts w:ascii="宋体" w:hAnsi="宋体" w:cs="宋体"/>
                <w:color w:val="auto"/>
                <w:kern w:val="0"/>
                <w:szCs w:val="21"/>
                <w:highlight w:val="none"/>
              </w:rPr>
            </w:pPr>
          </w:p>
        </w:tc>
      </w:tr>
      <w:tr w14:paraId="1C44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136BC415">
            <w:pPr>
              <w:jc w:val="left"/>
              <w:rPr>
                <w:rFonts w:ascii="宋体" w:hAnsi="宋体" w:cs="宋体"/>
                <w:color w:val="auto"/>
                <w:kern w:val="0"/>
                <w:szCs w:val="21"/>
                <w:highlight w:val="none"/>
              </w:rPr>
            </w:pPr>
            <w:r>
              <w:rPr>
                <w:rFonts w:hint="eastAsia" w:ascii="宋体" w:hAnsi="宋体" w:cs="宋体"/>
                <w:color w:val="auto"/>
                <w:kern w:val="0"/>
                <w:szCs w:val="21"/>
                <w:highlight w:val="none"/>
              </w:rPr>
              <w:t>（一）各类工具式模板工程：包括滑模、爬模、飞模、隧道模等工程。</w:t>
            </w:r>
          </w:p>
        </w:tc>
        <w:tc>
          <w:tcPr>
            <w:tcW w:w="1353" w:type="dxa"/>
            <w:noWrap w:val="0"/>
            <w:vAlign w:val="center"/>
          </w:tcPr>
          <w:p w14:paraId="6BC9FA95">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noWrap w:val="0"/>
            <w:vAlign w:val="center"/>
          </w:tcPr>
          <w:p w14:paraId="016B2AE9">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2B73F5DB">
            <w:pPr>
              <w:jc w:val="center"/>
              <w:rPr>
                <w:rFonts w:ascii="宋体" w:hAnsi="宋体" w:cs="宋体"/>
                <w:color w:val="auto"/>
                <w:kern w:val="0"/>
                <w:szCs w:val="21"/>
                <w:highlight w:val="none"/>
              </w:rPr>
            </w:pPr>
          </w:p>
        </w:tc>
      </w:tr>
      <w:tr w14:paraId="02C0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1327AABB">
            <w:pPr>
              <w:jc w:val="left"/>
              <w:rPr>
                <w:rFonts w:ascii="宋体" w:hAnsi="宋体" w:cs="宋体"/>
                <w:color w:val="auto"/>
                <w:kern w:val="0"/>
                <w:szCs w:val="21"/>
                <w:highlight w:val="none"/>
              </w:rPr>
            </w:pPr>
            <w:r>
              <w:rPr>
                <w:rFonts w:hint="eastAsia" w:ascii="宋体" w:hAnsi="宋体" w:cs="宋体"/>
                <w:color w:val="auto"/>
                <w:kern w:val="0"/>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53" w:type="dxa"/>
            <w:noWrap w:val="0"/>
            <w:vAlign w:val="center"/>
          </w:tcPr>
          <w:p w14:paraId="7D94CFF8">
            <w:pPr>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 w:val="24"/>
                <w:szCs w:val="36"/>
                <w:highlight w:val="none"/>
              </w:rPr>
              <w:t xml:space="preserve"> </w:t>
            </w:r>
            <w:r>
              <w:rPr>
                <w:rFonts w:hint="eastAsia" w:ascii="宋体" w:hAnsi="宋体" w:cs="宋体"/>
                <w:color w:val="auto"/>
                <w:kern w:val="0"/>
                <w:szCs w:val="21"/>
                <w:highlight w:val="none"/>
              </w:rPr>
              <w:t>　)</w:t>
            </w:r>
          </w:p>
        </w:tc>
        <w:tc>
          <w:tcPr>
            <w:tcW w:w="1353" w:type="dxa"/>
            <w:noWrap w:val="0"/>
            <w:vAlign w:val="center"/>
          </w:tcPr>
          <w:p w14:paraId="1598D35D">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0621C5B5">
            <w:pPr>
              <w:jc w:val="center"/>
              <w:rPr>
                <w:rFonts w:ascii="宋体" w:hAnsi="宋体" w:cs="宋体"/>
                <w:color w:val="auto"/>
                <w:kern w:val="0"/>
                <w:szCs w:val="21"/>
                <w:highlight w:val="none"/>
              </w:rPr>
            </w:pPr>
          </w:p>
        </w:tc>
      </w:tr>
      <w:tr w14:paraId="703F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60FD644C">
            <w:pPr>
              <w:jc w:val="left"/>
              <w:rPr>
                <w:rFonts w:ascii="宋体" w:hAnsi="宋体" w:cs="宋体"/>
                <w:color w:val="auto"/>
                <w:kern w:val="0"/>
                <w:szCs w:val="21"/>
                <w:highlight w:val="none"/>
              </w:rPr>
            </w:pPr>
            <w:r>
              <w:rPr>
                <w:rFonts w:hint="eastAsia" w:ascii="宋体" w:hAnsi="宋体" w:cs="宋体"/>
                <w:color w:val="auto"/>
                <w:kern w:val="0"/>
                <w:szCs w:val="21"/>
                <w:highlight w:val="none"/>
              </w:rPr>
              <w:t>（三）承重支撑体系：用于钢结构安装等满堂支撑体系。</w:t>
            </w:r>
          </w:p>
        </w:tc>
        <w:tc>
          <w:tcPr>
            <w:tcW w:w="1353" w:type="dxa"/>
            <w:noWrap w:val="0"/>
            <w:vAlign w:val="center"/>
          </w:tcPr>
          <w:p w14:paraId="21DC9E5C">
            <w:pPr>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 w:val="24"/>
                <w:szCs w:val="36"/>
                <w:highlight w:val="none"/>
              </w:rPr>
              <w:t xml:space="preserve"> </w:t>
            </w:r>
            <w:r>
              <w:rPr>
                <w:rFonts w:hint="eastAsia" w:ascii="宋体" w:hAnsi="宋体" w:cs="宋体"/>
                <w:color w:val="auto"/>
                <w:kern w:val="0"/>
                <w:szCs w:val="21"/>
                <w:highlight w:val="none"/>
              </w:rPr>
              <w:t>　)</w:t>
            </w:r>
          </w:p>
        </w:tc>
        <w:tc>
          <w:tcPr>
            <w:tcW w:w="1353" w:type="dxa"/>
            <w:noWrap w:val="0"/>
            <w:vAlign w:val="center"/>
          </w:tcPr>
          <w:p w14:paraId="014D8C76">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29786F73">
            <w:pPr>
              <w:jc w:val="center"/>
              <w:rPr>
                <w:rFonts w:ascii="宋体" w:hAnsi="宋体" w:cs="宋体"/>
                <w:color w:val="auto"/>
                <w:kern w:val="0"/>
                <w:szCs w:val="21"/>
                <w:highlight w:val="none"/>
              </w:rPr>
            </w:pPr>
          </w:p>
        </w:tc>
      </w:tr>
      <w:tr w14:paraId="4BF9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477E828A">
            <w:pPr>
              <w:jc w:val="left"/>
              <w:rPr>
                <w:rFonts w:ascii="宋体" w:hAnsi="宋体" w:cs="宋体"/>
                <w:color w:val="auto"/>
                <w:kern w:val="0"/>
                <w:szCs w:val="21"/>
                <w:highlight w:val="none"/>
              </w:rPr>
            </w:pPr>
            <w:r>
              <w:rPr>
                <w:rFonts w:hint="eastAsia" w:ascii="宋体" w:hAnsi="宋体" w:cs="宋体"/>
                <w:color w:val="auto"/>
                <w:kern w:val="0"/>
                <w:szCs w:val="21"/>
                <w:highlight w:val="none"/>
              </w:rPr>
              <w:t>三、起重吊装及起重机械安装拆卸工程</w:t>
            </w:r>
          </w:p>
        </w:tc>
        <w:tc>
          <w:tcPr>
            <w:tcW w:w="1353" w:type="dxa"/>
            <w:noWrap w:val="0"/>
            <w:vAlign w:val="center"/>
          </w:tcPr>
          <w:p w14:paraId="49E1A68D">
            <w:pPr>
              <w:jc w:val="center"/>
              <w:rPr>
                <w:rFonts w:ascii="宋体" w:hAnsi="宋体" w:cs="宋体"/>
                <w:color w:val="auto"/>
                <w:kern w:val="0"/>
                <w:szCs w:val="21"/>
                <w:highlight w:val="none"/>
              </w:rPr>
            </w:pPr>
          </w:p>
        </w:tc>
        <w:tc>
          <w:tcPr>
            <w:tcW w:w="1353" w:type="dxa"/>
            <w:noWrap w:val="0"/>
            <w:vAlign w:val="center"/>
          </w:tcPr>
          <w:p w14:paraId="34D8B4F4">
            <w:pPr>
              <w:jc w:val="center"/>
              <w:rPr>
                <w:rFonts w:ascii="宋体" w:hAnsi="宋体" w:cs="宋体"/>
                <w:color w:val="auto"/>
                <w:kern w:val="0"/>
                <w:szCs w:val="21"/>
                <w:highlight w:val="none"/>
              </w:rPr>
            </w:pPr>
          </w:p>
        </w:tc>
        <w:tc>
          <w:tcPr>
            <w:tcW w:w="1057" w:type="dxa"/>
            <w:noWrap w:val="0"/>
            <w:vAlign w:val="center"/>
          </w:tcPr>
          <w:p w14:paraId="5B773219">
            <w:pPr>
              <w:jc w:val="center"/>
              <w:rPr>
                <w:rFonts w:ascii="宋体" w:hAnsi="宋体" w:cs="宋体"/>
                <w:color w:val="auto"/>
                <w:kern w:val="0"/>
                <w:szCs w:val="21"/>
                <w:highlight w:val="none"/>
              </w:rPr>
            </w:pPr>
          </w:p>
        </w:tc>
      </w:tr>
      <w:tr w14:paraId="0EBF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1E23BEAD">
            <w:pPr>
              <w:jc w:val="left"/>
              <w:rPr>
                <w:rFonts w:ascii="宋体" w:hAnsi="宋体" w:cs="宋体"/>
                <w:color w:val="auto"/>
                <w:kern w:val="0"/>
                <w:szCs w:val="21"/>
                <w:highlight w:val="none"/>
              </w:rPr>
            </w:pPr>
            <w:r>
              <w:rPr>
                <w:rFonts w:hint="eastAsia" w:ascii="宋体" w:hAnsi="宋体" w:cs="宋体"/>
                <w:color w:val="auto"/>
                <w:kern w:val="0"/>
                <w:szCs w:val="21"/>
                <w:highlight w:val="none"/>
              </w:rPr>
              <w:t>（一）采用非常规起重设备、方法，且单件起吊重量在10kN及以上的起重吊装工程。</w:t>
            </w:r>
          </w:p>
        </w:tc>
        <w:tc>
          <w:tcPr>
            <w:tcW w:w="1353" w:type="dxa"/>
            <w:noWrap w:val="0"/>
            <w:vAlign w:val="center"/>
          </w:tcPr>
          <w:p w14:paraId="1126FA6D">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noWrap w:val="0"/>
            <w:vAlign w:val="center"/>
          </w:tcPr>
          <w:p w14:paraId="52C3E551">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79619232">
            <w:pPr>
              <w:jc w:val="center"/>
              <w:rPr>
                <w:rFonts w:ascii="宋体" w:hAnsi="宋体" w:cs="宋体"/>
                <w:color w:val="auto"/>
                <w:kern w:val="0"/>
                <w:szCs w:val="21"/>
                <w:highlight w:val="none"/>
              </w:rPr>
            </w:pPr>
          </w:p>
        </w:tc>
      </w:tr>
      <w:tr w14:paraId="223A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0FDB0CED">
            <w:pPr>
              <w:jc w:val="left"/>
              <w:rPr>
                <w:rFonts w:ascii="宋体" w:hAnsi="宋体" w:cs="宋体"/>
                <w:color w:val="auto"/>
                <w:kern w:val="0"/>
                <w:szCs w:val="21"/>
                <w:highlight w:val="none"/>
              </w:rPr>
            </w:pPr>
            <w:r>
              <w:rPr>
                <w:rFonts w:hint="eastAsia" w:ascii="宋体" w:hAnsi="宋体" w:cs="宋体"/>
                <w:color w:val="auto"/>
                <w:kern w:val="0"/>
                <w:szCs w:val="21"/>
                <w:highlight w:val="none"/>
              </w:rPr>
              <w:t>（二）采用起重机械进行安装的工程。</w:t>
            </w:r>
          </w:p>
        </w:tc>
        <w:tc>
          <w:tcPr>
            <w:tcW w:w="1353" w:type="dxa"/>
            <w:noWrap w:val="0"/>
            <w:vAlign w:val="center"/>
          </w:tcPr>
          <w:p w14:paraId="606E6742">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noWrap w:val="0"/>
            <w:vAlign w:val="center"/>
          </w:tcPr>
          <w:p w14:paraId="737F8801">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2099F57C">
            <w:pPr>
              <w:jc w:val="center"/>
              <w:rPr>
                <w:rFonts w:ascii="宋体" w:hAnsi="宋体" w:cs="宋体"/>
                <w:color w:val="auto"/>
                <w:kern w:val="0"/>
                <w:szCs w:val="21"/>
                <w:highlight w:val="none"/>
              </w:rPr>
            </w:pPr>
          </w:p>
        </w:tc>
      </w:tr>
      <w:tr w14:paraId="3110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2A1F828B">
            <w:pPr>
              <w:jc w:val="left"/>
              <w:rPr>
                <w:rFonts w:ascii="宋体" w:hAnsi="宋体" w:cs="宋体"/>
                <w:color w:val="auto"/>
                <w:kern w:val="0"/>
                <w:szCs w:val="21"/>
                <w:highlight w:val="none"/>
              </w:rPr>
            </w:pPr>
            <w:r>
              <w:rPr>
                <w:rFonts w:hint="eastAsia" w:ascii="宋体" w:hAnsi="宋体" w:cs="宋体"/>
                <w:color w:val="auto"/>
                <w:kern w:val="0"/>
                <w:szCs w:val="21"/>
                <w:highlight w:val="none"/>
              </w:rPr>
              <w:t>（三）起重机械安装和拆卸工程。</w:t>
            </w:r>
          </w:p>
        </w:tc>
        <w:tc>
          <w:tcPr>
            <w:tcW w:w="1353" w:type="dxa"/>
            <w:noWrap w:val="0"/>
            <w:vAlign w:val="center"/>
          </w:tcPr>
          <w:p w14:paraId="1359FD7B">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noWrap w:val="0"/>
            <w:vAlign w:val="center"/>
          </w:tcPr>
          <w:p w14:paraId="771F0700">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1D48916D">
            <w:pPr>
              <w:jc w:val="center"/>
              <w:rPr>
                <w:rFonts w:ascii="宋体" w:hAnsi="宋体" w:cs="宋体"/>
                <w:color w:val="auto"/>
                <w:kern w:val="0"/>
                <w:szCs w:val="21"/>
                <w:highlight w:val="none"/>
              </w:rPr>
            </w:pPr>
          </w:p>
        </w:tc>
      </w:tr>
      <w:tr w14:paraId="18D6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4F57E131">
            <w:pPr>
              <w:jc w:val="left"/>
              <w:rPr>
                <w:rFonts w:ascii="宋体" w:hAnsi="宋体" w:cs="宋体"/>
                <w:color w:val="auto"/>
                <w:kern w:val="0"/>
                <w:szCs w:val="21"/>
                <w:highlight w:val="none"/>
              </w:rPr>
            </w:pPr>
            <w:r>
              <w:rPr>
                <w:rFonts w:hint="eastAsia" w:ascii="宋体" w:hAnsi="宋体" w:cs="宋体"/>
                <w:color w:val="auto"/>
                <w:kern w:val="0"/>
                <w:szCs w:val="21"/>
                <w:highlight w:val="none"/>
              </w:rPr>
              <w:t>四、脚手架工程</w:t>
            </w:r>
          </w:p>
        </w:tc>
        <w:tc>
          <w:tcPr>
            <w:tcW w:w="1353" w:type="dxa"/>
            <w:noWrap w:val="0"/>
            <w:vAlign w:val="center"/>
          </w:tcPr>
          <w:p w14:paraId="441C9DD9">
            <w:pPr>
              <w:jc w:val="center"/>
              <w:rPr>
                <w:rFonts w:ascii="宋体" w:hAnsi="宋体" w:cs="宋体"/>
                <w:color w:val="auto"/>
                <w:kern w:val="0"/>
                <w:szCs w:val="21"/>
                <w:highlight w:val="none"/>
              </w:rPr>
            </w:pPr>
          </w:p>
        </w:tc>
        <w:tc>
          <w:tcPr>
            <w:tcW w:w="1353" w:type="dxa"/>
            <w:noWrap w:val="0"/>
            <w:vAlign w:val="center"/>
          </w:tcPr>
          <w:p w14:paraId="3EDA43B3">
            <w:pPr>
              <w:jc w:val="center"/>
              <w:rPr>
                <w:rFonts w:ascii="宋体" w:hAnsi="宋体" w:cs="宋体"/>
                <w:color w:val="auto"/>
                <w:kern w:val="0"/>
                <w:szCs w:val="21"/>
                <w:highlight w:val="none"/>
              </w:rPr>
            </w:pPr>
          </w:p>
        </w:tc>
        <w:tc>
          <w:tcPr>
            <w:tcW w:w="1057" w:type="dxa"/>
            <w:noWrap w:val="0"/>
            <w:vAlign w:val="center"/>
          </w:tcPr>
          <w:p w14:paraId="491C03AB">
            <w:pPr>
              <w:jc w:val="center"/>
              <w:rPr>
                <w:rFonts w:ascii="宋体" w:hAnsi="宋体" w:cs="宋体"/>
                <w:color w:val="auto"/>
                <w:kern w:val="0"/>
                <w:szCs w:val="21"/>
                <w:highlight w:val="none"/>
              </w:rPr>
            </w:pPr>
          </w:p>
        </w:tc>
      </w:tr>
      <w:tr w14:paraId="773C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2BD53728">
            <w:pPr>
              <w:jc w:val="left"/>
              <w:rPr>
                <w:rFonts w:ascii="宋体" w:hAnsi="宋体" w:cs="宋体"/>
                <w:color w:val="auto"/>
                <w:kern w:val="0"/>
                <w:szCs w:val="21"/>
                <w:highlight w:val="none"/>
              </w:rPr>
            </w:pPr>
            <w:r>
              <w:rPr>
                <w:rFonts w:hint="eastAsia" w:ascii="宋体" w:hAnsi="宋体" w:cs="宋体"/>
                <w:color w:val="auto"/>
                <w:kern w:val="0"/>
                <w:szCs w:val="21"/>
                <w:highlight w:val="none"/>
              </w:rPr>
              <w:t>（一）搭设高度24m及以上的落地式钢管脚手架工程（包括采光井、电梯井脚手架）。</w:t>
            </w:r>
          </w:p>
        </w:tc>
        <w:tc>
          <w:tcPr>
            <w:tcW w:w="1353" w:type="dxa"/>
            <w:noWrap w:val="0"/>
            <w:vAlign w:val="center"/>
          </w:tcPr>
          <w:p w14:paraId="14DB63E9">
            <w:pPr>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w:t>
            </w:r>
          </w:p>
        </w:tc>
        <w:tc>
          <w:tcPr>
            <w:tcW w:w="1353" w:type="dxa"/>
            <w:noWrap w:val="0"/>
            <w:vAlign w:val="center"/>
          </w:tcPr>
          <w:p w14:paraId="46964B45">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33EC924E">
            <w:pPr>
              <w:jc w:val="center"/>
              <w:rPr>
                <w:rFonts w:ascii="宋体" w:hAnsi="宋体" w:cs="宋体"/>
                <w:color w:val="auto"/>
                <w:kern w:val="0"/>
                <w:szCs w:val="21"/>
                <w:highlight w:val="none"/>
              </w:rPr>
            </w:pPr>
          </w:p>
        </w:tc>
      </w:tr>
      <w:tr w14:paraId="2BBF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3B684A72">
            <w:pPr>
              <w:jc w:val="left"/>
              <w:rPr>
                <w:rFonts w:ascii="宋体" w:hAnsi="宋体" w:cs="宋体"/>
                <w:color w:val="auto"/>
                <w:kern w:val="0"/>
                <w:szCs w:val="21"/>
                <w:highlight w:val="none"/>
              </w:rPr>
            </w:pPr>
            <w:r>
              <w:rPr>
                <w:rFonts w:hint="eastAsia" w:ascii="宋体" w:hAnsi="宋体" w:cs="宋体"/>
                <w:color w:val="auto"/>
                <w:kern w:val="0"/>
                <w:szCs w:val="21"/>
                <w:highlight w:val="none"/>
              </w:rPr>
              <w:t>（二）附着式升降脚手架工程。</w:t>
            </w:r>
          </w:p>
        </w:tc>
        <w:tc>
          <w:tcPr>
            <w:tcW w:w="1353" w:type="dxa"/>
            <w:noWrap w:val="0"/>
            <w:vAlign w:val="center"/>
          </w:tcPr>
          <w:p w14:paraId="6EE24902">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noWrap w:val="0"/>
            <w:vAlign w:val="center"/>
          </w:tcPr>
          <w:p w14:paraId="6E8E0F46">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4C077E63">
            <w:pPr>
              <w:jc w:val="center"/>
              <w:rPr>
                <w:rFonts w:ascii="宋体" w:hAnsi="宋体" w:cs="宋体"/>
                <w:color w:val="auto"/>
                <w:kern w:val="0"/>
                <w:szCs w:val="21"/>
                <w:highlight w:val="none"/>
              </w:rPr>
            </w:pPr>
          </w:p>
        </w:tc>
      </w:tr>
      <w:tr w14:paraId="79EA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529F5571">
            <w:pPr>
              <w:jc w:val="left"/>
              <w:rPr>
                <w:rFonts w:ascii="宋体" w:hAnsi="宋体" w:cs="宋体"/>
                <w:color w:val="auto"/>
                <w:kern w:val="0"/>
                <w:szCs w:val="21"/>
                <w:highlight w:val="none"/>
              </w:rPr>
            </w:pPr>
            <w:r>
              <w:rPr>
                <w:rFonts w:hint="eastAsia" w:ascii="宋体" w:hAnsi="宋体" w:cs="宋体"/>
                <w:color w:val="auto"/>
                <w:kern w:val="0"/>
                <w:szCs w:val="21"/>
                <w:highlight w:val="none"/>
              </w:rPr>
              <w:t>（三）悬挑式脚手架工程。</w:t>
            </w:r>
          </w:p>
        </w:tc>
        <w:tc>
          <w:tcPr>
            <w:tcW w:w="1353" w:type="dxa"/>
            <w:noWrap w:val="0"/>
            <w:vAlign w:val="center"/>
          </w:tcPr>
          <w:p w14:paraId="51F7D99A">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noWrap w:val="0"/>
            <w:vAlign w:val="center"/>
          </w:tcPr>
          <w:p w14:paraId="7B477D71">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2F762F80">
            <w:pPr>
              <w:jc w:val="center"/>
              <w:rPr>
                <w:rFonts w:ascii="宋体" w:hAnsi="宋体" w:cs="宋体"/>
                <w:color w:val="auto"/>
                <w:kern w:val="0"/>
                <w:szCs w:val="21"/>
                <w:highlight w:val="none"/>
              </w:rPr>
            </w:pPr>
          </w:p>
        </w:tc>
      </w:tr>
      <w:tr w14:paraId="7CB1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5C77226A">
            <w:pPr>
              <w:jc w:val="left"/>
              <w:rPr>
                <w:rFonts w:ascii="宋体" w:hAnsi="宋体" w:cs="宋体"/>
                <w:color w:val="auto"/>
                <w:kern w:val="0"/>
                <w:szCs w:val="21"/>
                <w:highlight w:val="none"/>
              </w:rPr>
            </w:pPr>
            <w:r>
              <w:rPr>
                <w:rFonts w:hint="eastAsia" w:ascii="宋体" w:hAnsi="宋体" w:cs="宋体"/>
                <w:color w:val="auto"/>
                <w:kern w:val="0"/>
                <w:szCs w:val="21"/>
                <w:highlight w:val="none"/>
              </w:rPr>
              <w:t>（四）高处作业吊篮。</w:t>
            </w:r>
          </w:p>
        </w:tc>
        <w:tc>
          <w:tcPr>
            <w:tcW w:w="1353" w:type="dxa"/>
            <w:noWrap w:val="0"/>
            <w:vAlign w:val="center"/>
          </w:tcPr>
          <w:p w14:paraId="3C54DFED">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noWrap w:val="0"/>
            <w:vAlign w:val="center"/>
          </w:tcPr>
          <w:p w14:paraId="0251455E">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4BA3224D">
            <w:pPr>
              <w:jc w:val="center"/>
              <w:rPr>
                <w:rFonts w:ascii="宋体" w:hAnsi="宋体" w:cs="宋体"/>
                <w:color w:val="auto"/>
                <w:kern w:val="0"/>
                <w:szCs w:val="21"/>
                <w:highlight w:val="none"/>
              </w:rPr>
            </w:pPr>
          </w:p>
        </w:tc>
      </w:tr>
      <w:tr w14:paraId="0722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019029A2">
            <w:pPr>
              <w:jc w:val="left"/>
              <w:rPr>
                <w:rFonts w:ascii="宋体" w:hAnsi="宋体" w:cs="宋体"/>
                <w:color w:val="auto"/>
                <w:kern w:val="0"/>
                <w:szCs w:val="21"/>
                <w:highlight w:val="none"/>
              </w:rPr>
            </w:pPr>
            <w:r>
              <w:rPr>
                <w:rFonts w:hint="eastAsia" w:ascii="宋体" w:hAnsi="宋体" w:cs="宋体"/>
                <w:color w:val="auto"/>
                <w:kern w:val="0"/>
                <w:szCs w:val="21"/>
                <w:highlight w:val="none"/>
              </w:rPr>
              <w:t>（五）卸料平台、操作平台工程。</w:t>
            </w:r>
          </w:p>
        </w:tc>
        <w:tc>
          <w:tcPr>
            <w:tcW w:w="1353" w:type="dxa"/>
            <w:noWrap w:val="0"/>
            <w:vAlign w:val="center"/>
          </w:tcPr>
          <w:p w14:paraId="4A0AFA24">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noWrap w:val="0"/>
            <w:vAlign w:val="center"/>
          </w:tcPr>
          <w:p w14:paraId="2E94F36F">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20CCA909">
            <w:pPr>
              <w:jc w:val="center"/>
              <w:rPr>
                <w:rFonts w:ascii="宋体" w:hAnsi="宋体" w:cs="宋体"/>
                <w:color w:val="auto"/>
                <w:kern w:val="0"/>
                <w:szCs w:val="21"/>
                <w:highlight w:val="none"/>
              </w:rPr>
            </w:pPr>
          </w:p>
        </w:tc>
      </w:tr>
      <w:tr w14:paraId="01B7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2E58D449">
            <w:pPr>
              <w:jc w:val="left"/>
              <w:rPr>
                <w:rFonts w:ascii="宋体" w:hAnsi="宋体" w:cs="宋体"/>
                <w:color w:val="auto"/>
                <w:kern w:val="0"/>
                <w:szCs w:val="21"/>
                <w:highlight w:val="none"/>
              </w:rPr>
            </w:pPr>
            <w:r>
              <w:rPr>
                <w:rFonts w:hint="eastAsia" w:ascii="宋体" w:hAnsi="宋体" w:cs="宋体"/>
                <w:color w:val="auto"/>
                <w:kern w:val="0"/>
                <w:szCs w:val="21"/>
                <w:highlight w:val="none"/>
              </w:rPr>
              <w:t>（六）异型脚手架工程。</w:t>
            </w:r>
          </w:p>
        </w:tc>
        <w:tc>
          <w:tcPr>
            <w:tcW w:w="1353" w:type="dxa"/>
            <w:noWrap w:val="0"/>
            <w:vAlign w:val="center"/>
          </w:tcPr>
          <w:p w14:paraId="618A9774">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noWrap w:val="0"/>
            <w:vAlign w:val="center"/>
          </w:tcPr>
          <w:p w14:paraId="2DC70011">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1C00E2C4">
            <w:pPr>
              <w:jc w:val="center"/>
              <w:rPr>
                <w:rFonts w:ascii="宋体" w:hAnsi="宋体" w:cs="宋体"/>
                <w:color w:val="auto"/>
                <w:kern w:val="0"/>
                <w:szCs w:val="21"/>
                <w:highlight w:val="none"/>
              </w:rPr>
            </w:pPr>
          </w:p>
        </w:tc>
      </w:tr>
      <w:tr w14:paraId="1F45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036BB02E">
            <w:pPr>
              <w:jc w:val="left"/>
              <w:rPr>
                <w:rFonts w:ascii="宋体" w:hAnsi="宋体" w:cs="宋体"/>
                <w:color w:val="auto"/>
                <w:kern w:val="0"/>
                <w:szCs w:val="21"/>
                <w:highlight w:val="none"/>
              </w:rPr>
            </w:pPr>
            <w:r>
              <w:rPr>
                <w:rFonts w:hint="eastAsia" w:ascii="宋体" w:hAnsi="宋体" w:cs="宋体"/>
                <w:color w:val="auto"/>
                <w:kern w:val="0"/>
                <w:szCs w:val="21"/>
                <w:highlight w:val="none"/>
              </w:rPr>
              <w:t>五、拆除工程</w:t>
            </w:r>
          </w:p>
        </w:tc>
        <w:tc>
          <w:tcPr>
            <w:tcW w:w="1353" w:type="dxa"/>
            <w:noWrap w:val="0"/>
            <w:vAlign w:val="center"/>
          </w:tcPr>
          <w:p w14:paraId="16791E1B">
            <w:pPr>
              <w:jc w:val="center"/>
              <w:rPr>
                <w:rFonts w:ascii="宋体" w:hAnsi="宋体" w:cs="宋体"/>
                <w:color w:val="auto"/>
                <w:kern w:val="0"/>
                <w:szCs w:val="21"/>
                <w:highlight w:val="none"/>
              </w:rPr>
            </w:pPr>
          </w:p>
        </w:tc>
        <w:tc>
          <w:tcPr>
            <w:tcW w:w="1353" w:type="dxa"/>
            <w:noWrap w:val="0"/>
            <w:vAlign w:val="center"/>
          </w:tcPr>
          <w:p w14:paraId="51A036A0">
            <w:pPr>
              <w:jc w:val="center"/>
              <w:rPr>
                <w:rFonts w:ascii="宋体" w:hAnsi="宋体" w:cs="宋体"/>
                <w:color w:val="auto"/>
                <w:kern w:val="0"/>
                <w:szCs w:val="21"/>
                <w:highlight w:val="none"/>
              </w:rPr>
            </w:pPr>
          </w:p>
        </w:tc>
        <w:tc>
          <w:tcPr>
            <w:tcW w:w="1057" w:type="dxa"/>
            <w:noWrap w:val="0"/>
            <w:vAlign w:val="center"/>
          </w:tcPr>
          <w:p w14:paraId="078CE3B6">
            <w:pPr>
              <w:jc w:val="center"/>
              <w:rPr>
                <w:rFonts w:ascii="宋体" w:hAnsi="宋体" w:cs="宋体"/>
                <w:color w:val="auto"/>
                <w:kern w:val="0"/>
                <w:szCs w:val="21"/>
                <w:highlight w:val="none"/>
              </w:rPr>
            </w:pPr>
          </w:p>
        </w:tc>
      </w:tr>
      <w:tr w14:paraId="3962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7D5A99E5">
            <w:pPr>
              <w:jc w:val="left"/>
              <w:rPr>
                <w:rFonts w:ascii="宋体" w:hAnsi="宋体" w:cs="宋体"/>
                <w:color w:val="auto"/>
                <w:kern w:val="0"/>
                <w:szCs w:val="21"/>
                <w:highlight w:val="none"/>
              </w:rPr>
            </w:pPr>
            <w:r>
              <w:rPr>
                <w:rFonts w:hint="eastAsia" w:ascii="宋体" w:hAnsi="宋体" w:cs="宋体"/>
                <w:color w:val="auto"/>
                <w:kern w:val="0"/>
                <w:szCs w:val="21"/>
                <w:highlight w:val="none"/>
              </w:rPr>
              <w:t>可能影响行人、交通、电力设施、通讯设施或其它建、构筑物安全的拆除工程。</w:t>
            </w:r>
          </w:p>
        </w:tc>
        <w:tc>
          <w:tcPr>
            <w:tcW w:w="1353" w:type="dxa"/>
            <w:noWrap w:val="0"/>
            <w:vAlign w:val="center"/>
          </w:tcPr>
          <w:p w14:paraId="371A1E2E">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noWrap w:val="0"/>
            <w:vAlign w:val="center"/>
          </w:tcPr>
          <w:p w14:paraId="50E85A22">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4711FDE7">
            <w:pPr>
              <w:jc w:val="center"/>
              <w:rPr>
                <w:rFonts w:ascii="宋体" w:hAnsi="宋体" w:cs="宋体"/>
                <w:color w:val="auto"/>
                <w:kern w:val="0"/>
                <w:szCs w:val="21"/>
                <w:highlight w:val="none"/>
              </w:rPr>
            </w:pPr>
          </w:p>
        </w:tc>
      </w:tr>
      <w:tr w14:paraId="5B3C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03CE0144">
            <w:pPr>
              <w:jc w:val="left"/>
              <w:rPr>
                <w:rFonts w:ascii="宋体" w:hAnsi="宋体" w:cs="宋体"/>
                <w:color w:val="auto"/>
                <w:kern w:val="0"/>
                <w:szCs w:val="21"/>
                <w:highlight w:val="none"/>
              </w:rPr>
            </w:pPr>
            <w:r>
              <w:rPr>
                <w:rFonts w:hint="eastAsia" w:ascii="宋体" w:hAnsi="宋体" w:cs="宋体"/>
                <w:color w:val="auto"/>
                <w:kern w:val="0"/>
                <w:szCs w:val="21"/>
                <w:highlight w:val="none"/>
              </w:rPr>
              <w:t>六、暗挖工程</w:t>
            </w:r>
          </w:p>
        </w:tc>
        <w:tc>
          <w:tcPr>
            <w:tcW w:w="1353" w:type="dxa"/>
            <w:noWrap w:val="0"/>
            <w:vAlign w:val="center"/>
          </w:tcPr>
          <w:p w14:paraId="0D4CAAFC">
            <w:pPr>
              <w:jc w:val="center"/>
              <w:rPr>
                <w:rFonts w:ascii="宋体" w:hAnsi="宋体" w:cs="宋体"/>
                <w:color w:val="auto"/>
                <w:kern w:val="0"/>
                <w:szCs w:val="21"/>
                <w:highlight w:val="none"/>
              </w:rPr>
            </w:pPr>
          </w:p>
        </w:tc>
        <w:tc>
          <w:tcPr>
            <w:tcW w:w="1353" w:type="dxa"/>
            <w:noWrap w:val="0"/>
            <w:vAlign w:val="center"/>
          </w:tcPr>
          <w:p w14:paraId="4188D761">
            <w:pPr>
              <w:jc w:val="center"/>
              <w:rPr>
                <w:rFonts w:ascii="宋体" w:hAnsi="宋体" w:cs="宋体"/>
                <w:color w:val="auto"/>
                <w:kern w:val="0"/>
                <w:szCs w:val="21"/>
                <w:highlight w:val="none"/>
              </w:rPr>
            </w:pPr>
          </w:p>
        </w:tc>
        <w:tc>
          <w:tcPr>
            <w:tcW w:w="1057" w:type="dxa"/>
            <w:noWrap w:val="0"/>
            <w:vAlign w:val="center"/>
          </w:tcPr>
          <w:p w14:paraId="67523324">
            <w:pPr>
              <w:jc w:val="center"/>
              <w:rPr>
                <w:rFonts w:ascii="宋体" w:hAnsi="宋体" w:cs="宋体"/>
                <w:color w:val="auto"/>
                <w:kern w:val="0"/>
                <w:szCs w:val="21"/>
                <w:highlight w:val="none"/>
              </w:rPr>
            </w:pPr>
          </w:p>
        </w:tc>
      </w:tr>
      <w:tr w14:paraId="55F8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1BB3DA30">
            <w:pPr>
              <w:jc w:val="left"/>
              <w:rPr>
                <w:rFonts w:ascii="宋体" w:hAnsi="宋体" w:cs="宋体"/>
                <w:color w:val="auto"/>
                <w:kern w:val="0"/>
                <w:szCs w:val="21"/>
                <w:highlight w:val="none"/>
              </w:rPr>
            </w:pPr>
            <w:r>
              <w:rPr>
                <w:rFonts w:hint="eastAsia" w:ascii="宋体" w:hAnsi="宋体" w:cs="宋体"/>
                <w:color w:val="auto"/>
                <w:kern w:val="0"/>
                <w:szCs w:val="21"/>
                <w:highlight w:val="none"/>
              </w:rPr>
              <w:t>采用矿山法、盾构法、顶管法施工的隧道、洞室工程。</w:t>
            </w:r>
          </w:p>
        </w:tc>
        <w:tc>
          <w:tcPr>
            <w:tcW w:w="1353" w:type="dxa"/>
            <w:noWrap w:val="0"/>
            <w:vAlign w:val="center"/>
          </w:tcPr>
          <w:p w14:paraId="676F8080">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noWrap w:val="0"/>
            <w:vAlign w:val="center"/>
          </w:tcPr>
          <w:p w14:paraId="137BD456">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272A3B7D">
            <w:pPr>
              <w:jc w:val="center"/>
              <w:rPr>
                <w:rFonts w:ascii="宋体" w:hAnsi="宋体" w:cs="宋体"/>
                <w:color w:val="auto"/>
                <w:kern w:val="0"/>
                <w:szCs w:val="21"/>
                <w:highlight w:val="none"/>
              </w:rPr>
            </w:pPr>
          </w:p>
        </w:tc>
      </w:tr>
      <w:tr w14:paraId="6CF3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43973A9F">
            <w:pPr>
              <w:jc w:val="left"/>
              <w:rPr>
                <w:rFonts w:ascii="宋体" w:hAnsi="宋体" w:cs="宋体"/>
                <w:color w:val="auto"/>
                <w:kern w:val="0"/>
                <w:szCs w:val="21"/>
                <w:highlight w:val="none"/>
              </w:rPr>
            </w:pPr>
            <w:r>
              <w:rPr>
                <w:rFonts w:hint="eastAsia" w:ascii="宋体" w:hAnsi="宋体" w:cs="宋体"/>
                <w:color w:val="auto"/>
                <w:kern w:val="0"/>
                <w:szCs w:val="21"/>
                <w:highlight w:val="none"/>
              </w:rPr>
              <w:t>七、其它</w:t>
            </w:r>
          </w:p>
        </w:tc>
        <w:tc>
          <w:tcPr>
            <w:tcW w:w="1353" w:type="dxa"/>
            <w:noWrap w:val="0"/>
            <w:vAlign w:val="center"/>
          </w:tcPr>
          <w:p w14:paraId="3F7786F0">
            <w:pPr>
              <w:jc w:val="center"/>
              <w:rPr>
                <w:rFonts w:ascii="宋体" w:hAnsi="宋体" w:cs="宋体"/>
                <w:color w:val="auto"/>
                <w:kern w:val="0"/>
                <w:szCs w:val="21"/>
                <w:highlight w:val="none"/>
              </w:rPr>
            </w:pPr>
          </w:p>
        </w:tc>
        <w:tc>
          <w:tcPr>
            <w:tcW w:w="1353" w:type="dxa"/>
            <w:noWrap w:val="0"/>
            <w:vAlign w:val="center"/>
          </w:tcPr>
          <w:p w14:paraId="6AA4DC06">
            <w:pPr>
              <w:jc w:val="center"/>
              <w:rPr>
                <w:rFonts w:ascii="宋体" w:hAnsi="宋体" w:cs="宋体"/>
                <w:color w:val="auto"/>
                <w:kern w:val="0"/>
                <w:szCs w:val="21"/>
                <w:highlight w:val="none"/>
              </w:rPr>
            </w:pPr>
          </w:p>
        </w:tc>
        <w:tc>
          <w:tcPr>
            <w:tcW w:w="1057" w:type="dxa"/>
            <w:noWrap w:val="0"/>
            <w:vAlign w:val="center"/>
          </w:tcPr>
          <w:p w14:paraId="3C2B6BDD">
            <w:pPr>
              <w:jc w:val="center"/>
              <w:rPr>
                <w:rFonts w:ascii="宋体" w:hAnsi="宋体" w:cs="宋体"/>
                <w:color w:val="auto"/>
                <w:kern w:val="0"/>
                <w:szCs w:val="21"/>
                <w:highlight w:val="none"/>
              </w:rPr>
            </w:pPr>
          </w:p>
        </w:tc>
      </w:tr>
      <w:tr w14:paraId="514CD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0CE37F5A">
            <w:pPr>
              <w:jc w:val="left"/>
              <w:rPr>
                <w:rFonts w:ascii="宋体" w:hAnsi="宋体" w:cs="宋体"/>
                <w:color w:val="auto"/>
                <w:kern w:val="0"/>
                <w:szCs w:val="21"/>
                <w:highlight w:val="none"/>
              </w:rPr>
            </w:pPr>
            <w:r>
              <w:rPr>
                <w:rFonts w:hint="eastAsia" w:ascii="宋体" w:hAnsi="宋体" w:cs="宋体"/>
                <w:color w:val="auto"/>
                <w:kern w:val="0"/>
                <w:szCs w:val="21"/>
                <w:highlight w:val="none"/>
              </w:rPr>
              <w:t>（一）建筑幕墙安装工程。</w:t>
            </w:r>
          </w:p>
        </w:tc>
        <w:tc>
          <w:tcPr>
            <w:tcW w:w="1353" w:type="dxa"/>
            <w:noWrap w:val="0"/>
            <w:vAlign w:val="center"/>
          </w:tcPr>
          <w:p w14:paraId="0CCC1E19">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noWrap w:val="0"/>
            <w:vAlign w:val="center"/>
          </w:tcPr>
          <w:p w14:paraId="0BCED2CB">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4ABC42D1">
            <w:pPr>
              <w:jc w:val="center"/>
              <w:rPr>
                <w:rFonts w:ascii="宋体" w:hAnsi="宋体" w:cs="宋体"/>
                <w:color w:val="auto"/>
                <w:kern w:val="0"/>
                <w:szCs w:val="21"/>
                <w:highlight w:val="none"/>
              </w:rPr>
            </w:pPr>
          </w:p>
        </w:tc>
      </w:tr>
      <w:tr w14:paraId="1066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4721394A">
            <w:pPr>
              <w:jc w:val="left"/>
              <w:rPr>
                <w:rFonts w:ascii="宋体" w:hAnsi="宋体" w:cs="宋体"/>
                <w:color w:val="auto"/>
                <w:kern w:val="0"/>
                <w:szCs w:val="21"/>
                <w:highlight w:val="none"/>
              </w:rPr>
            </w:pPr>
            <w:r>
              <w:rPr>
                <w:rFonts w:hint="eastAsia" w:ascii="宋体" w:hAnsi="宋体" w:cs="宋体"/>
                <w:color w:val="auto"/>
                <w:kern w:val="0"/>
                <w:szCs w:val="21"/>
                <w:highlight w:val="none"/>
              </w:rPr>
              <w:t>（二）钢结构、网架和索膜结构安装工程。</w:t>
            </w:r>
          </w:p>
        </w:tc>
        <w:tc>
          <w:tcPr>
            <w:tcW w:w="1353" w:type="dxa"/>
            <w:noWrap w:val="0"/>
            <w:vAlign w:val="center"/>
          </w:tcPr>
          <w:p w14:paraId="1A6EA76E">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noWrap w:val="0"/>
            <w:vAlign w:val="center"/>
          </w:tcPr>
          <w:p w14:paraId="46E6D546">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30121503">
            <w:pPr>
              <w:jc w:val="center"/>
              <w:rPr>
                <w:rFonts w:ascii="宋体" w:hAnsi="宋体" w:cs="宋体"/>
                <w:color w:val="auto"/>
                <w:kern w:val="0"/>
                <w:szCs w:val="21"/>
                <w:highlight w:val="none"/>
              </w:rPr>
            </w:pPr>
          </w:p>
        </w:tc>
      </w:tr>
      <w:tr w14:paraId="78FC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2B860C7B">
            <w:pPr>
              <w:jc w:val="left"/>
              <w:rPr>
                <w:rFonts w:ascii="宋体" w:hAnsi="宋体" w:cs="宋体"/>
                <w:color w:val="auto"/>
                <w:kern w:val="0"/>
                <w:szCs w:val="21"/>
                <w:highlight w:val="none"/>
              </w:rPr>
            </w:pPr>
            <w:r>
              <w:rPr>
                <w:rFonts w:hint="eastAsia" w:ascii="宋体" w:hAnsi="宋体" w:cs="宋体"/>
                <w:color w:val="auto"/>
                <w:kern w:val="0"/>
                <w:szCs w:val="21"/>
                <w:highlight w:val="none"/>
              </w:rPr>
              <w:t>（三）人工挖孔桩工程。</w:t>
            </w:r>
          </w:p>
        </w:tc>
        <w:tc>
          <w:tcPr>
            <w:tcW w:w="1353" w:type="dxa"/>
            <w:noWrap w:val="0"/>
            <w:vAlign w:val="center"/>
          </w:tcPr>
          <w:p w14:paraId="1784F507">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noWrap w:val="0"/>
            <w:vAlign w:val="center"/>
          </w:tcPr>
          <w:p w14:paraId="380DEEB4">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31239E89">
            <w:pPr>
              <w:jc w:val="center"/>
              <w:rPr>
                <w:rFonts w:ascii="宋体" w:hAnsi="宋体" w:cs="宋体"/>
                <w:color w:val="auto"/>
                <w:kern w:val="0"/>
                <w:szCs w:val="21"/>
                <w:highlight w:val="none"/>
              </w:rPr>
            </w:pPr>
          </w:p>
        </w:tc>
      </w:tr>
      <w:tr w14:paraId="5945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51246E57">
            <w:pPr>
              <w:jc w:val="left"/>
              <w:rPr>
                <w:rFonts w:ascii="宋体" w:hAnsi="宋体" w:cs="宋体"/>
                <w:color w:val="auto"/>
                <w:kern w:val="0"/>
                <w:szCs w:val="21"/>
                <w:highlight w:val="none"/>
              </w:rPr>
            </w:pPr>
            <w:r>
              <w:rPr>
                <w:rFonts w:hint="eastAsia" w:ascii="宋体" w:hAnsi="宋体" w:cs="宋体"/>
                <w:color w:val="auto"/>
                <w:kern w:val="0"/>
                <w:szCs w:val="21"/>
                <w:highlight w:val="none"/>
              </w:rPr>
              <w:t>（四）水下作业工程。</w:t>
            </w:r>
          </w:p>
        </w:tc>
        <w:tc>
          <w:tcPr>
            <w:tcW w:w="1353" w:type="dxa"/>
            <w:noWrap w:val="0"/>
            <w:vAlign w:val="center"/>
          </w:tcPr>
          <w:p w14:paraId="49F1C1B1">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noWrap w:val="0"/>
            <w:vAlign w:val="center"/>
          </w:tcPr>
          <w:p w14:paraId="17C5184C">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44CEDAFC">
            <w:pPr>
              <w:jc w:val="center"/>
              <w:rPr>
                <w:rFonts w:ascii="宋体" w:hAnsi="宋体" w:cs="宋体"/>
                <w:color w:val="auto"/>
                <w:kern w:val="0"/>
                <w:szCs w:val="21"/>
                <w:highlight w:val="none"/>
              </w:rPr>
            </w:pPr>
          </w:p>
        </w:tc>
      </w:tr>
      <w:tr w14:paraId="2F23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37F8384A">
            <w:pPr>
              <w:jc w:val="left"/>
              <w:rPr>
                <w:rFonts w:ascii="宋体" w:hAnsi="宋体" w:cs="宋体"/>
                <w:color w:val="auto"/>
                <w:kern w:val="0"/>
                <w:szCs w:val="21"/>
                <w:highlight w:val="none"/>
              </w:rPr>
            </w:pPr>
            <w:r>
              <w:rPr>
                <w:rFonts w:hint="eastAsia" w:ascii="宋体" w:hAnsi="宋体" w:cs="宋体"/>
                <w:color w:val="auto"/>
                <w:kern w:val="0"/>
                <w:szCs w:val="21"/>
                <w:highlight w:val="none"/>
              </w:rPr>
              <w:t>（五）装配式建筑混凝土预制构件安装工程。</w:t>
            </w:r>
          </w:p>
        </w:tc>
        <w:tc>
          <w:tcPr>
            <w:tcW w:w="1353" w:type="dxa"/>
            <w:noWrap w:val="0"/>
            <w:vAlign w:val="center"/>
          </w:tcPr>
          <w:p w14:paraId="0C2201CE">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noWrap w:val="0"/>
            <w:vAlign w:val="center"/>
          </w:tcPr>
          <w:p w14:paraId="469DC2EE">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14951E03">
            <w:pPr>
              <w:jc w:val="center"/>
              <w:rPr>
                <w:rFonts w:ascii="宋体" w:hAnsi="宋体" w:cs="宋体"/>
                <w:color w:val="auto"/>
                <w:kern w:val="0"/>
                <w:szCs w:val="21"/>
                <w:highlight w:val="none"/>
              </w:rPr>
            </w:pPr>
          </w:p>
        </w:tc>
      </w:tr>
      <w:tr w14:paraId="15040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29C15D84">
            <w:pPr>
              <w:jc w:val="left"/>
              <w:rPr>
                <w:rFonts w:ascii="宋体" w:hAnsi="宋体" w:cs="宋体"/>
                <w:color w:val="auto"/>
                <w:kern w:val="0"/>
                <w:szCs w:val="21"/>
                <w:highlight w:val="none"/>
              </w:rPr>
            </w:pPr>
            <w:r>
              <w:rPr>
                <w:rFonts w:hint="eastAsia" w:ascii="宋体" w:hAnsi="宋体" w:cs="宋体"/>
                <w:color w:val="auto"/>
                <w:kern w:val="0"/>
                <w:szCs w:val="21"/>
                <w:highlight w:val="none"/>
              </w:rPr>
              <w:t>（六）采用新技术、新工艺、新材料、新设备可能影响工程施工安全，尚无国家、行业及地方技术标准的分部分项工程。</w:t>
            </w:r>
          </w:p>
        </w:tc>
        <w:tc>
          <w:tcPr>
            <w:tcW w:w="1353" w:type="dxa"/>
            <w:noWrap w:val="0"/>
            <w:vAlign w:val="center"/>
          </w:tcPr>
          <w:p w14:paraId="5BF53F98">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noWrap w:val="0"/>
            <w:vAlign w:val="center"/>
          </w:tcPr>
          <w:p w14:paraId="3D1A40F0">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0437CB6C">
            <w:pPr>
              <w:jc w:val="center"/>
              <w:rPr>
                <w:rFonts w:ascii="宋体" w:hAnsi="宋体" w:cs="宋体"/>
                <w:color w:val="auto"/>
                <w:kern w:val="0"/>
                <w:szCs w:val="21"/>
                <w:highlight w:val="none"/>
              </w:rPr>
            </w:pPr>
          </w:p>
        </w:tc>
      </w:tr>
      <w:tr w14:paraId="1A8C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3670649A">
            <w:pPr>
              <w:jc w:val="left"/>
              <w:rPr>
                <w:rFonts w:ascii="宋体" w:hAnsi="宋体" w:cs="宋体"/>
                <w:b/>
                <w:color w:val="auto"/>
                <w:kern w:val="0"/>
                <w:szCs w:val="21"/>
                <w:highlight w:val="none"/>
              </w:rPr>
            </w:pPr>
            <w:r>
              <w:rPr>
                <w:rFonts w:hint="eastAsia" w:ascii="宋体" w:hAnsi="宋体" w:cs="宋体"/>
                <w:b/>
                <w:color w:val="auto"/>
                <w:kern w:val="0"/>
                <w:szCs w:val="21"/>
                <w:highlight w:val="none"/>
              </w:rPr>
              <w:t>第二部分、超过一定规模的危险性较大的分部分项工程清单</w:t>
            </w:r>
          </w:p>
        </w:tc>
        <w:tc>
          <w:tcPr>
            <w:tcW w:w="1353" w:type="dxa"/>
            <w:noWrap w:val="0"/>
            <w:vAlign w:val="center"/>
          </w:tcPr>
          <w:p w14:paraId="0D74A087">
            <w:pPr>
              <w:jc w:val="center"/>
              <w:rPr>
                <w:rFonts w:ascii="宋体" w:hAnsi="宋体" w:cs="宋体"/>
                <w:color w:val="auto"/>
                <w:kern w:val="0"/>
                <w:szCs w:val="21"/>
                <w:highlight w:val="none"/>
              </w:rPr>
            </w:pPr>
            <w:r>
              <w:rPr>
                <w:rFonts w:hint="eastAsia" w:ascii="宋体" w:hAnsi="宋体" w:cs="宋体"/>
                <w:color w:val="auto"/>
                <w:kern w:val="0"/>
                <w:szCs w:val="21"/>
                <w:highlight w:val="none"/>
              </w:rPr>
              <w:t>招标人</w:t>
            </w:r>
          </w:p>
        </w:tc>
        <w:tc>
          <w:tcPr>
            <w:tcW w:w="1353" w:type="dxa"/>
            <w:noWrap w:val="0"/>
            <w:vAlign w:val="center"/>
          </w:tcPr>
          <w:p w14:paraId="31D63DFD">
            <w:pPr>
              <w:jc w:val="center"/>
              <w:rPr>
                <w:rFonts w:ascii="宋体" w:hAnsi="宋体" w:cs="宋体"/>
                <w:color w:val="auto"/>
                <w:kern w:val="0"/>
                <w:szCs w:val="21"/>
                <w:highlight w:val="none"/>
              </w:rPr>
            </w:pPr>
            <w:r>
              <w:rPr>
                <w:rFonts w:hint="eastAsia" w:ascii="宋体" w:hAnsi="宋体" w:cs="宋体"/>
                <w:color w:val="auto"/>
                <w:kern w:val="0"/>
                <w:szCs w:val="21"/>
                <w:highlight w:val="none"/>
              </w:rPr>
              <w:t>投标人</w:t>
            </w:r>
          </w:p>
        </w:tc>
        <w:tc>
          <w:tcPr>
            <w:tcW w:w="1057" w:type="dxa"/>
            <w:noWrap w:val="0"/>
            <w:vAlign w:val="center"/>
          </w:tcPr>
          <w:p w14:paraId="694BDCF7">
            <w:pPr>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r>
      <w:tr w14:paraId="2199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5923602E">
            <w:pPr>
              <w:jc w:val="left"/>
              <w:rPr>
                <w:rFonts w:ascii="宋体" w:hAnsi="宋体" w:cs="宋体"/>
                <w:color w:val="auto"/>
                <w:kern w:val="0"/>
                <w:szCs w:val="21"/>
                <w:highlight w:val="none"/>
              </w:rPr>
            </w:pPr>
            <w:r>
              <w:rPr>
                <w:rFonts w:hint="eastAsia" w:ascii="宋体" w:hAnsi="宋体" w:cs="宋体"/>
                <w:color w:val="auto"/>
                <w:kern w:val="0"/>
                <w:szCs w:val="21"/>
                <w:highlight w:val="none"/>
              </w:rPr>
              <w:t>一、深基坑工程</w:t>
            </w:r>
          </w:p>
        </w:tc>
        <w:tc>
          <w:tcPr>
            <w:tcW w:w="1353" w:type="dxa"/>
            <w:noWrap w:val="0"/>
            <w:vAlign w:val="center"/>
          </w:tcPr>
          <w:p w14:paraId="5CDF8DE1">
            <w:pPr>
              <w:jc w:val="center"/>
              <w:rPr>
                <w:rFonts w:ascii="宋体" w:hAnsi="宋体" w:cs="宋体"/>
                <w:color w:val="auto"/>
                <w:kern w:val="0"/>
                <w:szCs w:val="21"/>
                <w:highlight w:val="none"/>
              </w:rPr>
            </w:pPr>
          </w:p>
        </w:tc>
        <w:tc>
          <w:tcPr>
            <w:tcW w:w="1353" w:type="dxa"/>
            <w:noWrap w:val="0"/>
            <w:vAlign w:val="center"/>
          </w:tcPr>
          <w:p w14:paraId="483B4B2C">
            <w:pPr>
              <w:jc w:val="center"/>
              <w:rPr>
                <w:rFonts w:ascii="宋体" w:hAnsi="宋体" w:cs="宋体"/>
                <w:color w:val="auto"/>
                <w:kern w:val="0"/>
                <w:szCs w:val="21"/>
                <w:highlight w:val="none"/>
              </w:rPr>
            </w:pPr>
          </w:p>
        </w:tc>
        <w:tc>
          <w:tcPr>
            <w:tcW w:w="1057" w:type="dxa"/>
            <w:noWrap w:val="0"/>
            <w:vAlign w:val="center"/>
          </w:tcPr>
          <w:p w14:paraId="1AF828BF">
            <w:pPr>
              <w:jc w:val="center"/>
              <w:rPr>
                <w:rFonts w:ascii="宋体" w:hAnsi="宋体" w:cs="宋体"/>
                <w:color w:val="auto"/>
                <w:kern w:val="0"/>
                <w:szCs w:val="21"/>
                <w:highlight w:val="none"/>
              </w:rPr>
            </w:pPr>
          </w:p>
        </w:tc>
      </w:tr>
      <w:tr w14:paraId="4DEDB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71D0860A">
            <w:pPr>
              <w:jc w:val="left"/>
              <w:rPr>
                <w:rFonts w:ascii="宋体" w:hAnsi="宋体" w:cs="宋体"/>
                <w:color w:val="auto"/>
                <w:kern w:val="0"/>
                <w:szCs w:val="21"/>
                <w:highlight w:val="none"/>
              </w:rPr>
            </w:pPr>
            <w:r>
              <w:rPr>
                <w:rFonts w:hint="eastAsia" w:ascii="宋体" w:hAnsi="宋体" w:cs="宋体"/>
                <w:color w:val="auto"/>
                <w:kern w:val="0"/>
                <w:szCs w:val="21"/>
                <w:highlight w:val="none"/>
              </w:rPr>
              <w:t>开挖深度超过5m（含5m）的基坑（槽）的土方开挖、支护、降水工程。</w:t>
            </w:r>
          </w:p>
        </w:tc>
        <w:tc>
          <w:tcPr>
            <w:tcW w:w="1353" w:type="dxa"/>
            <w:noWrap w:val="0"/>
            <w:vAlign w:val="center"/>
          </w:tcPr>
          <w:p w14:paraId="466595FD">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noWrap w:val="0"/>
            <w:vAlign w:val="center"/>
          </w:tcPr>
          <w:p w14:paraId="2E642700">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43817811">
            <w:pPr>
              <w:jc w:val="center"/>
              <w:rPr>
                <w:rFonts w:ascii="宋体" w:hAnsi="宋体" w:cs="宋体"/>
                <w:color w:val="auto"/>
                <w:kern w:val="0"/>
                <w:szCs w:val="21"/>
                <w:highlight w:val="none"/>
              </w:rPr>
            </w:pPr>
          </w:p>
        </w:tc>
      </w:tr>
      <w:tr w14:paraId="3F3B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76F22C1F">
            <w:pPr>
              <w:jc w:val="left"/>
              <w:rPr>
                <w:rFonts w:ascii="宋体" w:hAnsi="宋体" w:cs="宋体"/>
                <w:color w:val="auto"/>
                <w:kern w:val="0"/>
                <w:szCs w:val="21"/>
                <w:highlight w:val="none"/>
              </w:rPr>
            </w:pPr>
            <w:r>
              <w:rPr>
                <w:rFonts w:hint="eastAsia" w:ascii="宋体" w:hAnsi="宋体" w:cs="宋体"/>
                <w:color w:val="auto"/>
                <w:kern w:val="0"/>
                <w:szCs w:val="21"/>
                <w:highlight w:val="none"/>
              </w:rPr>
              <w:t>二、模板工程及支撑体系</w:t>
            </w:r>
          </w:p>
        </w:tc>
        <w:tc>
          <w:tcPr>
            <w:tcW w:w="1353" w:type="dxa"/>
            <w:noWrap w:val="0"/>
            <w:vAlign w:val="center"/>
          </w:tcPr>
          <w:p w14:paraId="5DA9EACE">
            <w:pPr>
              <w:jc w:val="center"/>
              <w:rPr>
                <w:rFonts w:ascii="宋体" w:hAnsi="宋体" w:cs="宋体"/>
                <w:color w:val="auto"/>
                <w:kern w:val="0"/>
                <w:szCs w:val="21"/>
                <w:highlight w:val="none"/>
              </w:rPr>
            </w:pPr>
          </w:p>
        </w:tc>
        <w:tc>
          <w:tcPr>
            <w:tcW w:w="1353" w:type="dxa"/>
            <w:noWrap w:val="0"/>
            <w:vAlign w:val="center"/>
          </w:tcPr>
          <w:p w14:paraId="5304EBE9">
            <w:pPr>
              <w:jc w:val="center"/>
              <w:rPr>
                <w:rFonts w:ascii="宋体" w:hAnsi="宋体" w:cs="宋体"/>
                <w:color w:val="auto"/>
                <w:kern w:val="0"/>
                <w:szCs w:val="21"/>
                <w:highlight w:val="none"/>
              </w:rPr>
            </w:pPr>
          </w:p>
        </w:tc>
        <w:tc>
          <w:tcPr>
            <w:tcW w:w="1057" w:type="dxa"/>
            <w:noWrap w:val="0"/>
            <w:vAlign w:val="center"/>
          </w:tcPr>
          <w:p w14:paraId="3D1BBBE4">
            <w:pPr>
              <w:jc w:val="center"/>
              <w:rPr>
                <w:rFonts w:ascii="宋体" w:hAnsi="宋体" w:cs="宋体"/>
                <w:color w:val="auto"/>
                <w:kern w:val="0"/>
                <w:szCs w:val="21"/>
                <w:highlight w:val="none"/>
              </w:rPr>
            </w:pPr>
          </w:p>
        </w:tc>
      </w:tr>
      <w:tr w14:paraId="3197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5AA91B24">
            <w:pPr>
              <w:jc w:val="left"/>
              <w:rPr>
                <w:rFonts w:ascii="宋体" w:hAnsi="宋体" w:cs="宋体"/>
                <w:color w:val="auto"/>
                <w:kern w:val="0"/>
                <w:szCs w:val="21"/>
                <w:highlight w:val="none"/>
              </w:rPr>
            </w:pPr>
            <w:r>
              <w:rPr>
                <w:rFonts w:hint="eastAsia" w:ascii="宋体" w:hAnsi="宋体" w:cs="宋体"/>
                <w:color w:val="auto"/>
                <w:kern w:val="0"/>
                <w:szCs w:val="21"/>
                <w:highlight w:val="none"/>
              </w:rPr>
              <w:t>（一）各类工具式模板工程：包括滑模、爬模、飞模、隧道模等工程。</w:t>
            </w:r>
          </w:p>
        </w:tc>
        <w:tc>
          <w:tcPr>
            <w:tcW w:w="1353" w:type="dxa"/>
            <w:noWrap w:val="0"/>
            <w:vAlign w:val="center"/>
          </w:tcPr>
          <w:p w14:paraId="0E9F810A">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noWrap w:val="0"/>
            <w:vAlign w:val="center"/>
          </w:tcPr>
          <w:p w14:paraId="52A92EA8">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4B579A56">
            <w:pPr>
              <w:jc w:val="center"/>
              <w:rPr>
                <w:rFonts w:ascii="宋体" w:hAnsi="宋体" w:cs="宋体"/>
                <w:color w:val="auto"/>
                <w:kern w:val="0"/>
                <w:szCs w:val="21"/>
                <w:highlight w:val="none"/>
              </w:rPr>
            </w:pPr>
          </w:p>
        </w:tc>
      </w:tr>
      <w:tr w14:paraId="4BD8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0A167F2C">
            <w:pPr>
              <w:jc w:val="left"/>
              <w:rPr>
                <w:rFonts w:ascii="宋体" w:hAnsi="宋体" w:cs="宋体"/>
                <w:color w:val="auto"/>
                <w:kern w:val="0"/>
                <w:szCs w:val="21"/>
                <w:highlight w:val="none"/>
              </w:rPr>
            </w:pPr>
            <w:r>
              <w:rPr>
                <w:rFonts w:hint="eastAsia" w:ascii="宋体" w:hAnsi="宋体" w:cs="宋体"/>
                <w:color w:val="auto"/>
                <w:kern w:val="0"/>
                <w:szCs w:val="21"/>
                <w:highlight w:val="none"/>
              </w:rPr>
              <w:t>（二）混凝土模板支撑工程：搭设高度8m及以上，或搭设跨度18m及以上，或施工总荷载（设计值）15kN/m2及以上，或集中线荷载（设计值）20kN/m及以上。</w:t>
            </w:r>
          </w:p>
        </w:tc>
        <w:tc>
          <w:tcPr>
            <w:tcW w:w="1353" w:type="dxa"/>
            <w:noWrap w:val="0"/>
            <w:vAlign w:val="center"/>
          </w:tcPr>
          <w:p w14:paraId="65C9AD6D">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noWrap w:val="0"/>
            <w:vAlign w:val="center"/>
          </w:tcPr>
          <w:p w14:paraId="2A8A02AB">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1218407C">
            <w:pPr>
              <w:jc w:val="center"/>
              <w:rPr>
                <w:rFonts w:ascii="宋体" w:hAnsi="宋体" w:cs="宋体"/>
                <w:color w:val="auto"/>
                <w:kern w:val="0"/>
                <w:szCs w:val="21"/>
                <w:highlight w:val="none"/>
              </w:rPr>
            </w:pPr>
          </w:p>
        </w:tc>
      </w:tr>
      <w:tr w14:paraId="2AFD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31F86BB1">
            <w:pPr>
              <w:jc w:val="left"/>
              <w:rPr>
                <w:rFonts w:ascii="宋体" w:hAnsi="宋体" w:cs="宋体"/>
                <w:color w:val="auto"/>
                <w:kern w:val="0"/>
                <w:szCs w:val="21"/>
                <w:highlight w:val="none"/>
              </w:rPr>
            </w:pPr>
            <w:r>
              <w:rPr>
                <w:rFonts w:hint="eastAsia" w:ascii="宋体" w:hAnsi="宋体" w:cs="宋体"/>
                <w:color w:val="auto"/>
                <w:kern w:val="0"/>
                <w:szCs w:val="21"/>
                <w:highlight w:val="none"/>
              </w:rPr>
              <w:t>（三）承重支撑体系：用于钢结构安装等满堂支撑体系，承受单点集中荷载7kN及以上。</w:t>
            </w:r>
          </w:p>
        </w:tc>
        <w:tc>
          <w:tcPr>
            <w:tcW w:w="1353" w:type="dxa"/>
            <w:noWrap w:val="0"/>
            <w:vAlign w:val="center"/>
          </w:tcPr>
          <w:p w14:paraId="51B709C4">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noWrap w:val="0"/>
            <w:vAlign w:val="center"/>
          </w:tcPr>
          <w:p w14:paraId="431B59E4">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744E4A35">
            <w:pPr>
              <w:jc w:val="center"/>
              <w:rPr>
                <w:rFonts w:ascii="宋体" w:hAnsi="宋体" w:cs="宋体"/>
                <w:color w:val="auto"/>
                <w:kern w:val="0"/>
                <w:szCs w:val="21"/>
                <w:highlight w:val="none"/>
              </w:rPr>
            </w:pPr>
          </w:p>
        </w:tc>
      </w:tr>
      <w:tr w14:paraId="7E74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27ACDB2F">
            <w:pPr>
              <w:jc w:val="left"/>
              <w:rPr>
                <w:rFonts w:ascii="宋体" w:hAnsi="宋体" w:cs="宋体"/>
                <w:color w:val="auto"/>
                <w:kern w:val="0"/>
                <w:szCs w:val="21"/>
                <w:highlight w:val="none"/>
              </w:rPr>
            </w:pPr>
            <w:r>
              <w:rPr>
                <w:rFonts w:hint="eastAsia" w:ascii="宋体" w:hAnsi="宋体" w:cs="宋体"/>
                <w:color w:val="auto"/>
                <w:kern w:val="0"/>
                <w:szCs w:val="21"/>
                <w:highlight w:val="none"/>
              </w:rPr>
              <w:t>三、起重吊装及起重机械安装拆卸工程</w:t>
            </w:r>
          </w:p>
        </w:tc>
        <w:tc>
          <w:tcPr>
            <w:tcW w:w="1353" w:type="dxa"/>
            <w:noWrap w:val="0"/>
            <w:vAlign w:val="center"/>
          </w:tcPr>
          <w:p w14:paraId="15E08B25">
            <w:pPr>
              <w:jc w:val="center"/>
              <w:rPr>
                <w:rFonts w:ascii="宋体" w:hAnsi="宋体" w:cs="宋体"/>
                <w:color w:val="auto"/>
                <w:kern w:val="0"/>
                <w:szCs w:val="21"/>
                <w:highlight w:val="none"/>
              </w:rPr>
            </w:pPr>
          </w:p>
        </w:tc>
        <w:tc>
          <w:tcPr>
            <w:tcW w:w="1353" w:type="dxa"/>
            <w:noWrap w:val="0"/>
            <w:vAlign w:val="center"/>
          </w:tcPr>
          <w:p w14:paraId="6B1B2FB9">
            <w:pPr>
              <w:jc w:val="center"/>
              <w:rPr>
                <w:rFonts w:ascii="宋体" w:hAnsi="宋体" w:cs="宋体"/>
                <w:color w:val="auto"/>
                <w:kern w:val="0"/>
                <w:szCs w:val="21"/>
                <w:highlight w:val="none"/>
              </w:rPr>
            </w:pPr>
          </w:p>
        </w:tc>
        <w:tc>
          <w:tcPr>
            <w:tcW w:w="1057" w:type="dxa"/>
            <w:noWrap w:val="0"/>
            <w:vAlign w:val="center"/>
          </w:tcPr>
          <w:p w14:paraId="73CE9D96">
            <w:pPr>
              <w:jc w:val="center"/>
              <w:rPr>
                <w:rFonts w:ascii="宋体" w:hAnsi="宋体" w:cs="宋体"/>
                <w:color w:val="auto"/>
                <w:kern w:val="0"/>
                <w:szCs w:val="21"/>
                <w:highlight w:val="none"/>
              </w:rPr>
            </w:pPr>
          </w:p>
        </w:tc>
      </w:tr>
      <w:tr w14:paraId="1E54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15F5A602">
            <w:pPr>
              <w:jc w:val="left"/>
              <w:rPr>
                <w:rFonts w:ascii="宋体" w:hAnsi="宋体" w:cs="宋体"/>
                <w:color w:val="auto"/>
                <w:kern w:val="0"/>
                <w:szCs w:val="21"/>
                <w:highlight w:val="none"/>
              </w:rPr>
            </w:pPr>
            <w:r>
              <w:rPr>
                <w:rFonts w:hint="eastAsia" w:ascii="宋体" w:hAnsi="宋体" w:cs="宋体"/>
                <w:color w:val="auto"/>
                <w:kern w:val="0"/>
                <w:szCs w:val="21"/>
                <w:highlight w:val="none"/>
              </w:rPr>
              <w:t>（一）采用非常规起重设备、方法，且单件起吊重量在100kN及以上的起重吊装工程。</w:t>
            </w:r>
          </w:p>
        </w:tc>
        <w:tc>
          <w:tcPr>
            <w:tcW w:w="1353" w:type="dxa"/>
            <w:noWrap w:val="0"/>
            <w:vAlign w:val="center"/>
          </w:tcPr>
          <w:p w14:paraId="701EB999">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noWrap w:val="0"/>
            <w:vAlign w:val="center"/>
          </w:tcPr>
          <w:p w14:paraId="03EBFA8D">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04814494">
            <w:pPr>
              <w:jc w:val="center"/>
              <w:rPr>
                <w:rFonts w:ascii="宋体" w:hAnsi="宋体" w:cs="宋体"/>
                <w:color w:val="auto"/>
                <w:kern w:val="0"/>
                <w:szCs w:val="21"/>
                <w:highlight w:val="none"/>
              </w:rPr>
            </w:pPr>
          </w:p>
        </w:tc>
      </w:tr>
      <w:tr w14:paraId="2B46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5FB95A34">
            <w:pPr>
              <w:jc w:val="left"/>
              <w:rPr>
                <w:rFonts w:ascii="宋体" w:hAnsi="宋体" w:cs="宋体"/>
                <w:color w:val="auto"/>
                <w:kern w:val="0"/>
                <w:szCs w:val="21"/>
                <w:highlight w:val="none"/>
              </w:rPr>
            </w:pPr>
            <w:r>
              <w:rPr>
                <w:rFonts w:hint="eastAsia" w:ascii="宋体" w:hAnsi="宋体" w:cs="宋体"/>
                <w:color w:val="auto"/>
                <w:kern w:val="0"/>
                <w:szCs w:val="21"/>
                <w:highlight w:val="none"/>
              </w:rPr>
              <w:t>（二）起重量300kN及以上，或搭设总高度200m及以上，或搭设基础标高在200m及以上的起重机械安装和拆卸工程。</w:t>
            </w:r>
          </w:p>
        </w:tc>
        <w:tc>
          <w:tcPr>
            <w:tcW w:w="1353" w:type="dxa"/>
            <w:noWrap w:val="0"/>
            <w:vAlign w:val="center"/>
          </w:tcPr>
          <w:p w14:paraId="469F9B69">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noWrap w:val="0"/>
            <w:vAlign w:val="center"/>
          </w:tcPr>
          <w:p w14:paraId="0EB964D0">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669C0A10">
            <w:pPr>
              <w:jc w:val="center"/>
              <w:rPr>
                <w:rFonts w:ascii="宋体" w:hAnsi="宋体" w:cs="宋体"/>
                <w:color w:val="auto"/>
                <w:kern w:val="0"/>
                <w:szCs w:val="21"/>
                <w:highlight w:val="none"/>
              </w:rPr>
            </w:pPr>
          </w:p>
        </w:tc>
      </w:tr>
      <w:tr w14:paraId="2DED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6958FF66">
            <w:pPr>
              <w:jc w:val="left"/>
              <w:rPr>
                <w:rFonts w:ascii="宋体" w:hAnsi="宋体" w:cs="宋体"/>
                <w:color w:val="auto"/>
                <w:kern w:val="0"/>
                <w:szCs w:val="21"/>
                <w:highlight w:val="none"/>
              </w:rPr>
            </w:pPr>
            <w:r>
              <w:rPr>
                <w:rFonts w:hint="eastAsia" w:ascii="宋体" w:hAnsi="宋体" w:cs="宋体"/>
                <w:color w:val="auto"/>
                <w:kern w:val="0"/>
                <w:szCs w:val="21"/>
                <w:highlight w:val="none"/>
              </w:rPr>
              <w:t>四、脚手架工程</w:t>
            </w:r>
          </w:p>
        </w:tc>
        <w:tc>
          <w:tcPr>
            <w:tcW w:w="1353" w:type="dxa"/>
            <w:noWrap w:val="0"/>
            <w:vAlign w:val="center"/>
          </w:tcPr>
          <w:p w14:paraId="07E96516">
            <w:pPr>
              <w:jc w:val="center"/>
              <w:rPr>
                <w:rFonts w:ascii="宋体" w:hAnsi="宋体" w:cs="宋体"/>
                <w:color w:val="auto"/>
                <w:kern w:val="0"/>
                <w:szCs w:val="21"/>
                <w:highlight w:val="none"/>
              </w:rPr>
            </w:pPr>
          </w:p>
        </w:tc>
        <w:tc>
          <w:tcPr>
            <w:tcW w:w="1353" w:type="dxa"/>
            <w:noWrap w:val="0"/>
            <w:vAlign w:val="center"/>
          </w:tcPr>
          <w:p w14:paraId="12C056C2">
            <w:pPr>
              <w:jc w:val="center"/>
              <w:rPr>
                <w:rFonts w:ascii="宋体" w:hAnsi="宋体" w:cs="宋体"/>
                <w:color w:val="auto"/>
                <w:kern w:val="0"/>
                <w:szCs w:val="21"/>
                <w:highlight w:val="none"/>
              </w:rPr>
            </w:pPr>
          </w:p>
        </w:tc>
        <w:tc>
          <w:tcPr>
            <w:tcW w:w="1057" w:type="dxa"/>
            <w:noWrap w:val="0"/>
            <w:vAlign w:val="center"/>
          </w:tcPr>
          <w:p w14:paraId="3F7E1297">
            <w:pPr>
              <w:jc w:val="center"/>
              <w:rPr>
                <w:rFonts w:ascii="宋体" w:hAnsi="宋体" w:cs="宋体"/>
                <w:color w:val="auto"/>
                <w:kern w:val="0"/>
                <w:szCs w:val="21"/>
                <w:highlight w:val="none"/>
              </w:rPr>
            </w:pPr>
          </w:p>
        </w:tc>
      </w:tr>
      <w:tr w14:paraId="5722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0ACFD9E3">
            <w:pPr>
              <w:jc w:val="left"/>
              <w:rPr>
                <w:rFonts w:ascii="宋体" w:hAnsi="宋体" w:cs="宋体"/>
                <w:color w:val="auto"/>
                <w:kern w:val="0"/>
                <w:szCs w:val="21"/>
                <w:highlight w:val="none"/>
              </w:rPr>
            </w:pPr>
            <w:r>
              <w:rPr>
                <w:rFonts w:hint="eastAsia" w:ascii="宋体" w:hAnsi="宋体" w:cs="宋体"/>
                <w:color w:val="auto"/>
                <w:kern w:val="0"/>
                <w:szCs w:val="21"/>
                <w:highlight w:val="none"/>
              </w:rPr>
              <w:t>（一）搭设高度50m及以上的落地式钢管脚手架工程。</w:t>
            </w:r>
          </w:p>
        </w:tc>
        <w:tc>
          <w:tcPr>
            <w:tcW w:w="1353" w:type="dxa"/>
            <w:noWrap w:val="0"/>
            <w:vAlign w:val="center"/>
          </w:tcPr>
          <w:p w14:paraId="28D25F4D">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noWrap w:val="0"/>
            <w:vAlign w:val="center"/>
          </w:tcPr>
          <w:p w14:paraId="7C37A7BE">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303EACCC">
            <w:pPr>
              <w:jc w:val="center"/>
              <w:rPr>
                <w:rFonts w:ascii="宋体" w:hAnsi="宋体" w:cs="宋体"/>
                <w:color w:val="auto"/>
                <w:kern w:val="0"/>
                <w:szCs w:val="21"/>
                <w:highlight w:val="none"/>
              </w:rPr>
            </w:pPr>
          </w:p>
        </w:tc>
      </w:tr>
      <w:tr w14:paraId="0468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73B6A9E6">
            <w:pPr>
              <w:jc w:val="left"/>
              <w:rPr>
                <w:rFonts w:ascii="宋体" w:hAnsi="宋体" w:cs="宋体"/>
                <w:color w:val="auto"/>
                <w:kern w:val="0"/>
                <w:szCs w:val="21"/>
                <w:highlight w:val="none"/>
              </w:rPr>
            </w:pPr>
            <w:r>
              <w:rPr>
                <w:rFonts w:hint="eastAsia" w:ascii="宋体" w:hAnsi="宋体" w:cs="宋体"/>
                <w:color w:val="auto"/>
                <w:kern w:val="0"/>
                <w:szCs w:val="21"/>
                <w:highlight w:val="none"/>
              </w:rPr>
              <w:t>（二）提升高度在150m及以上的附着式升降脚手架工程或附着式升降操作平台工程。</w:t>
            </w:r>
          </w:p>
        </w:tc>
        <w:tc>
          <w:tcPr>
            <w:tcW w:w="1353" w:type="dxa"/>
            <w:noWrap w:val="0"/>
            <w:vAlign w:val="center"/>
          </w:tcPr>
          <w:p w14:paraId="1F2FBAF1">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noWrap w:val="0"/>
            <w:vAlign w:val="center"/>
          </w:tcPr>
          <w:p w14:paraId="5DEFED65">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794240BC">
            <w:pPr>
              <w:jc w:val="center"/>
              <w:rPr>
                <w:rFonts w:ascii="宋体" w:hAnsi="宋体" w:cs="宋体"/>
                <w:color w:val="auto"/>
                <w:kern w:val="0"/>
                <w:szCs w:val="21"/>
                <w:highlight w:val="none"/>
              </w:rPr>
            </w:pPr>
          </w:p>
        </w:tc>
      </w:tr>
      <w:tr w14:paraId="6504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5351A86C">
            <w:pPr>
              <w:jc w:val="left"/>
              <w:rPr>
                <w:rFonts w:ascii="宋体" w:hAnsi="宋体" w:cs="宋体"/>
                <w:color w:val="auto"/>
                <w:kern w:val="0"/>
                <w:szCs w:val="21"/>
                <w:highlight w:val="none"/>
              </w:rPr>
            </w:pPr>
            <w:r>
              <w:rPr>
                <w:rFonts w:hint="eastAsia" w:ascii="宋体" w:hAnsi="宋体" w:cs="宋体"/>
                <w:color w:val="auto"/>
                <w:kern w:val="0"/>
                <w:szCs w:val="21"/>
                <w:highlight w:val="none"/>
              </w:rPr>
              <w:t>（三）分段架体搭设高度20m及以上的悬挑式脚手架工程。</w:t>
            </w:r>
          </w:p>
        </w:tc>
        <w:tc>
          <w:tcPr>
            <w:tcW w:w="1353" w:type="dxa"/>
            <w:noWrap w:val="0"/>
            <w:vAlign w:val="center"/>
          </w:tcPr>
          <w:p w14:paraId="7FB34703">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noWrap w:val="0"/>
            <w:vAlign w:val="center"/>
          </w:tcPr>
          <w:p w14:paraId="1464031B">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0D364C63">
            <w:pPr>
              <w:jc w:val="center"/>
              <w:rPr>
                <w:rFonts w:ascii="宋体" w:hAnsi="宋体" w:cs="宋体"/>
                <w:color w:val="auto"/>
                <w:kern w:val="0"/>
                <w:szCs w:val="21"/>
                <w:highlight w:val="none"/>
              </w:rPr>
            </w:pPr>
          </w:p>
        </w:tc>
      </w:tr>
      <w:tr w14:paraId="544C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43A72EF3">
            <w:pPr>
              <w:jc w:val="left"/>
              <w:rPr>
                <w:rFonts w:ascii="宋体" w:hAnsi="宋体" w:cs="宋体"/>
                <w:color w:val="auto"/>
                <w:kern w:val="0"/>
                <w:szCs w:val="21"/>
                <w:highlight w:val="none"/>
              </w:rPr>
            </w:pPr>
            <w:r>
              <w:rPr>
                <w:rFonts w:hint="eastAsia" w:ascii="宋体" w:hAnsi="宋体" w:cs="宋体"/>
                <w:color w:val="auto"/>
                <w:kern w:val="0"/>
                <w:szCs w:val="21"/>
                <w:highlight w:val="none"/>
              </w:rPr>
              <w:t>五、拆除工程</w:t>
            </w:r>
          </w:p>
        </w:tc>
        <w:tc>
          <w:tcPr>
            <w:tcW w:w="1353" w:type="dxa"/>
            <w:noWrap w:val="0"/>
            <w:vAlign w:val="center"/>
          </w:tcPr>
          <w:p w14:paraId="2B5A5874">
            <w:pPr>
              <w:jc w:val="center"/>
              <w:rPr>
                <w:rFonts w:ascii="宋体" w:hAnsi="宋体" w:cs="宋体"/>
                <w:color w:val="auto"/>
                <w:kern w:val="0"/>
                <w:szCs w:val="21"/>
                <w:highlight w:val="none"/>
              </w:rPr>
            </w:pPr>
          </w:p>
        </w:tc>
        <w:tc>
          <w:tcPr>
            <w:tcW w:w="1353" w:type="dxa"/>
            <w:noWrap w:val="0"/>
            <w:vAlign w:val="center"/>
          </w:tcPr>
          <w:p w14:paraId="1E6AFCF8">
            <w:pPr>
              <w:jc w:val="center"/>
              <w:rPr>
                <w:rFonts w:ascii="宋体" w:hAnsi="宋体" w:cs="宋体"/>
                <w:color w:val="auto"/>
                <w:kern w:val="0"/>
                <w:szCs w:val="21"/>
                <w:highlight w:val="none"/>
              </w:rPr>
            </w:pPr>
          </w:p>
        </w:tc>
        <w:tc>
          <w:tcPr>
            <w:tcW w:w="1057" w:type="dxa"/>
            <w:noWrap w:val="0"/>
            <w:vAlign w:val="center"/>
          </w:tcPr>
          <w:p w14:paraId="279CE972">
            <w:pPr>
              <w:jc w:val="center"/>
              <w:rPr>
                <w:rFonts w:ascii="宋体" w:hAnsi="宋体" w:cs="宋体"/>
                <w:color w:val="auto"/>
                <w:kern w:val="0"/>
                <w:szCs w:val="21"/>
                <w:highlight w:val="none"/>
              </w:rPr>
            </w:pPr>
          </w:p>
        </w:tc>
      </w:tr>
      <w:tr w14:paraId="3B62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0B95B6A3">
            <w:pPr>
              <w:jc w:val="left"/>
              <w:rPr>
                <w:rFonts w:ascii="宋体" w:hAnsi="宋体" w:cs="宋体"/>
                <w:color w:val="auto"/>
                <w:kern w:val="0"/>
                <w:szCs w:val="21"/>
                <w:highlight w:val="none"/>
              </w:rPr>
            </w:pPr>
            <w:r>
              <w:rPr>
                <w:rFonts w:hint="eastAsia" w:ascii="宋体" w:hAnsi="宋体" w:cs="宋体"/>
                <w:color w:val="auto"/>
                <w:kern w:val="0"/>
                <w:szCs w:val="21"/>
                <w:highlight w:val="none"/>
              </w:rPr>
              <w:t>（一）码头、桥梁、高架、烟囱、水塔或拆除中容易引起有毒有害气（液）体或粉尘扩散、易燃易爆事故发生的特殊建、构筑物的拆除工程。</w:t>
            </w:r>
          </w:p>
        </w:tc>
        <w:tc>
          <w:tcPr>
            <w:tcW w:w="1353" w:type="dxa"/>
            <w:noWrap w:val="0"/>
            <w:vAlign w:val="center"/>
          </w:tcPr>
          <w:p w14:paraId="07139665">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noWrap w:val="0"/>
            <w:vAlign w:val="center"/>
          </w:tcPr>
          <w:p w14:paraId="596EE471">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5F7FCECF">
            <w:pPr>
              <w:jc w:val="center"/>
              <w:rPr>
                <w:rFonts w:ascii="宋体" w:hAnsi="宋体" w:cs="宋体"/>
                <w:color w:val="auto"/>
                <w:kern w:val="0"/>
                <w:szCs w:val="21"/>
                <w:highlight w:val="none"/>
              </w:rPr>
            </w:pPr>
          </w:p>
        </w:tc>
      </w:tr>
      <w:tr w14:paraId="13D5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17C6DCCA">
            <w:pPr>
              <w:jc w:val="left"/>
              <w:rPr>
                <w:rFonts w:ascii="宋体" w:hAnsi="宋体" w:cs="宋体"/>
                <w:color w:val="auto"/>
                <w:kern w:val="0"/>
                <w:szCs w:val="21"/>
                <w:highlight w:val="none"/>
              </w:rPr>
            </w:pPr>
            <w:r>
              <w:rPr>
                <w:rFonts w:hint="eastAsia" w:ascii="宋体" w:hAnsi="宋体" w:cs="宋体"/>
                <w:color w:val="auto"/>
                <w:kern w:val="0"/>
                <w:szCs w:val="21"/>
                <w:highlight w:val="none"/>
              </w:rPr>
              <w:t>（二）文物保护建筑、优秀历史建筑或历史文化风貌区影响范围内的拆除工程。</w:t>
            </w:r>
          </w:p>
        </w:tc>
        <w:tc>
          <w:tcPr>
            <w:tcW w:w="1353" w:type="dxa"/>
            <w:noWrap w:val="0"/>
            <w:vAlign w:val="center"/>
          </w:tcPr>
          <w:p w14:paraId="4AC0C18B">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noWrap w:val="0"/>
            <w:vAlign w:val="center"/>
          </w:tcPr>
          <w:p w14:paraId="2C88338C">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7A89BB84">
            <w:pPr>
              <w:jc w:val="center"/>
              <w:rPr>
                <w:rFonts w:ascii="宋体" w:hAnsi="宋体" w:cs="宋体"/>
                <w:color w:val="auto"/>
                <w:kern w:val="0"/>
                <w:szCs w:val="21"/>
                <w:highlight w:val="none"/>
              </w:rPr>
            </w:pPr>
          </w:p>
        </w:tc>
      </w:tr>
      <w:tr w14:paraId="71B3B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597AC5BA">
            <w:pPr>
              <w:jc w:val="left"/>
              <w:rPr>
                <w:rFonts w:ascii="宋体" w:hAnsi="宋体" w:cs="宋体"/>
                <w:color w:val="auto"/>
                <w:kern w:val="0"/>
                <w:szCs w:val="21"/>
                <w:highlight w:val="none"/>
              </w:rPr>
            </w:pPr>
            <w:r>
              <w:rPr>
                <w:rFonts w:hint="eastAsia" w:ascii="宋体" w:hAnsi="宋体" w:cs="宋体"/>
                <w:color w:val="auto"/>
                <w:kern w:val="0"/>
                <w:szCs w:val="21"/>
                <w:highlight w:val="none"/>
              </w:rPr>
              <w:t>六、暗挖工程</w:t>
            </w:r>
          </w:p>
        </w:tc>
        <w:tc>
          <w:tcPr>
            <w:tcW w:w="1353" w:type="dxa"/>
            <w:noWrap w:val="0"/>
            <w:vAlign w:val="center"/>
          </w:tcPr>
          <w:p w14:paraId="00505203">
            <w:pPr>
              <w:jc w:val="center"/>
              <w:rPr>
                <w:rFonts w:ascii="宋体" w:hAnsi="宋体" w:cs="宋体"/>
                <w:color w:val="auto"/>
                <w:kern w:val="0"/>
                <w:szCs w:val="21"/>
                <w:highlight w:val="none"/>
              </w:rPr>
            </w:pPr>
          </w:p>
        </w:tc>
        <w:tc>
          <w:tcPr>
            <w:tcW w:w="1353" w:type="dxa"/>
            <w:noWrap w:val="0"/>
            <w:vAlign w:val="center"/>
          </w:tcPr>
          <w:p w14:paraId="1FB3B5D0">
            <w:pPr>
              <w:jc w:val="center"/>
              <w:rPr>
                <w:rFonts w:ascii="宋体" w:hAnsi="宋体" w:cs="宋体"/>
                <w:color w:val="auto"/>
                <w:kern w:val="0"/>
                <w:szCs w:val="21"/>
                <w:highlight w:val="none"/>
              </w:rPr>
            </w:pPr>
          </w:p>
        </w:tc>
        <w:tc>
          <w:tcPr>
            <w:tcW w:w="1057" w:type="dxa"/>
            <w:noWrap w:val="0"/>
            <w:vAlign w:val="center"/>
          </w:tcPr>
          <w:p w14:paraId="620F4EB1">
            <w:pPr>
              <w:jc w:val="center"/>
              <w:rPr>
                <w:rFonts w:ascii="宋体" w:hAnsi="宋体" w:cs="宋体"/>
                <w:color w:val="auto"/>
                <w:kern w:val="0"/>
                <w:szCs w:val="21"/>
                <w:highlight w:val="none"/>
              </w:rPr>
            </w:pPr>
          </w:p>
        </w:tc>
      </w:tr>
      <w:tr w14:paraId="0B6A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0C2AB00B">
            <w:pPr>
              <w:jc w:val="left"/>
              <w:rPr>
                <w:rFonts w:ascii="宋体" w:hAnsi="宋体" w:cs="宋体"/>
                <w:color w:val="auto"/>
                <w:kern w:val="0"/>
                <w:szCs w:val="21"/>
                <w:highlight w:val="none"/>
              </w:rPr>
            </w:pPr>
            <w:r>
              <w:rPr>
                <w:rFonts w:hint="eastAsia" w:ascii="宋体" w:hAnsi="宋体" w:cs="宋体"/>
                <w:color w:val="auto"/>
                <w:kern w:val="0"/>
                <w:szCs w:val="21"/>
                <w:highlight w:val="none"/>
              </w:rPr>
              <w:t>采用矿山法、盾构法、顶管法施工的隧道、洞室工程。</w:t>
            </w:r>
          </w:p>
        </w:tc>
        <w:tc>
          <w:tcPr>
            <w:tcW w:w="1353" w:type="dxa"/>
            <w:noWrap w:val="0"/>
            <w:vAlign w:val="center"/>
          </w:tcPr>
          <w:p w14:paraId="21724A9C">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noWrap w:val="0"/>
            <w:vAlign w:val="center"/>
          </w:tcPr>
          <w:p w14:paraId="48DA0D5F">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38EB4BCE">
            <w:pPr>
              <w:jc w:val="center"/>
              <w:rPr>
                <w:rFonts w:ascii="宋体" w:hAnsi="宋体" w:cs="宋体"/>
                <w:color w:val="auto"/>
                <w:kern w:val="0"/>
                <w:szCs w:val="21"/>
                <w:highlight w:val="none"/>
              </w:rPr>
            </w:pPr>
          </w:p>
        </w:tc>
      </w:tr>
      <w:tr w14:paraId="2744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3B83F94C">
            <w:pPr>
              <w:jc w:val="left"/>
              <w:rPr>
                <w:rFonts w:ascii="宋体" w:hAnsi="宋体" w:cs="宋体"/>
                <w:color w:val="auto"/>
                <w:kern w:val="0"/>
                <w:szCs w:val="21"/>
                <w:highlight w:val="none"/>
              </w:rPr>
            </w:pPr>
            <w:r>
              <w:rPr>
                <w:rFonts w:hint="eastAsia" w:ascii="宋体" w:hAnsi="宋体" w:cs="宋体"/>
                <w:color w:val="auto"/>
                <w:kern w:val="0"/>
                <w:szCs w:val="21"/>
                <w:highlight w:val="none"/>
              </w:rPr>
              <w:t>七、其它</w:t>
            </w:r>
          </w:p>
        </w:tc>
        <w:tc>
          <w:tcPr>
            <w:tcW w:w="1353" w:type="dxa"/>
            <w:noWrap w:val="0"/>
            <w:vAlign w:val="center"/>
          </w:tcPr>
          <w:p w14:paraId="0201418B">
            <w:pPr>
              <w:jc w:val="center"/>
              <w:rPr>
                <w:rFonts w:ascii="宋体" w:hAnsi="宋体" w:cs="宋体"/>
                <w:color w:val="auto"/>
                <w:kern w:val="0"/>
                <w:szCs w:val="21"/>
                <w:highlight w:val="none"/>
              </w:rPr>
            </w:pPr>
          </w:p>
        </w:tc>
        <w:tc>
          <w:tcPr>
            <w:tcW w:w="1353" w:type="dxa"/>
            <w:noWrap w:val="0"/>
            <w:vAlign w:val="center"/>
          </w:tcPr>
          <w:p w14:paraId="479770B5">
            <w:pPr>
              <w:jc w:val="center"/>
              <w:rPr>
                <w:rFonts w:ascii="宋体" w:hAnsi="宋体" w:cs="宋体"/>
                <w:color w:val="auto"/>
                <w:kern w:val="0"/>
                <w:szCs w:val="21"/>
                <w:highlight w:val="none"/>
              </w:rPr>
            </w:pPr>
          </w:p>
        </w:tc>
        <w:tc>
          <w:tcPr>
            <w:tcW w:w="1057" w:type="dxa"/>
            <w:noWrap w:val="0"/>
            <w:vAlign w:val="center"/>
          </w:tcPr>
          <w:p w14:paraId="17D7D4A3">
            <w:pPr>
              <w:jc w:val="center"/>
              <w:rPr>
                <w:rFonts w:ascii="宋体" w:hAnsi="宋体" w:cs="宋体"/>
                <w:color w:val="auto"/>
                <w:kern w:val="0"/>
                <w:szCs w:val="21"/>
                <w:highlight w:val="none"/>
              </w:rPr>
            </w:pPr>
          </w:p>
        </w:tc>
      </w:tr>
      <w:tr w14:paraId="4F5C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4629DD0E">
            <w:pPr>
              <w:jc w:val="left"/>
              <w:rPr>
                <w:rFonts w:ascii="宋体" w:hAnsi="宋体" w:cs="宋体"/>
                <w:color w:val="auto"/>
                <w:kern w:val="0"/>
                <w:szCs w:val="21"/>
                <w:highlight w:val="none"/>
              </w:rPr>
            </w:pPr>
            <w:r>
              <w:rPr>
                <w:rFonts w:hint="eastAsia" w:ascii="宋体" w:hAnsi="宋体" w:cs="宋体"/>
                <w:color w:val="auto"/>
                <w:kern w:val="0"/>
                <w:szCs w:val="21"/>
                <w:highlight w:val="none"/>
              </w:rPr>
              <w:t>（一）施工高度50m及以上的建筑幕墙安装工程。</w:t>
            </w:r>
          </w:p>
        </w:tc>
        <w:tc>
          <w:tcPr>
            <w:tcW w:w="1353" w:type="dxa"/>
            <w:noWrap w:val="0"/>
            <w:vAlign w:val="center"/>
          </w:tcPr>
          <w:p w14:paraId="7C6CFA9C">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noWrap w:val="0"/>
            <w:vAlign w:val="center"/>
          </w:tcPr>
          <w:p w14:paraId="69BE28C7">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766D535B">
            <w:pPr>
              <w:jc w:val="center"/>
              <w:rPr>
                <w:rFonts w:ascii="宋体" w:hAnsi="宋体" w:cs="宋体"/>
                <w:color w:val="auto"/>
                <w:kern w:val="0"/>
                <w:szCs w:val="21"/>
                <w:highlight w:val="none"/>
              </w:rPr>
            </w:pPr>
          </w:p>
        </w:tc>
      </w:tr>
      <w:tr w14:paraId="423A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4B5415DE">
            <w:pPr>
              <w:jc w:val="left"/>
              <w:rPr>
                <w:rFonts w:ascii="宋体" w:hAnsi="宋体" w:cs="宋体"/>
                <w:color w:val="auto"/>
                <w:kern w:val="0"/>
                <w:szCs w:val="21"/>
                <w:highlight w:val="none"/>
              </w:rPr>
            </w:pPr>
            <w:r>
              <w:rPr>
                <w:rFonts w:hint="eastAsia" w:ascii="宋体" w:hAnsi="宋体" w:cs="宋体"/>
                <w:color w:val="auto"/>
                <w:kern w:val="0"/>
                <w:szCs w:val="21"/>
                <w:highlight w:val="none"/>
              </w:rPr>
              <w:t>（二）跨度36m及以上的钢结构安装工程，或跨度60m及以上的网架和索膜结构安装工程。</w:t>
            </w:r>
          </w:p>
        </w:tc>
        <w:tc>
          <w:tcPr>
            <w:tcW w:w="1353" w:type="dxa"/>
            <w:noWrap w:val="0"/>
            <w:vAlign w:val="center"/>
          </w:tcPr>
          <w:p w14:paraId="7B6BB80D">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noWrap w:val="0"/>
            <w:vAlign w:val="center"/>
          </w:tcPr>
          <w:p w14:paraId="0C14B78F">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640A0DB5">
            <w:pPr>
              <w:jc w:val="center"/>
              <w:rPr>
                <w:rFonts w:ascii="宋体" w:hAnsi="宋体" w:cs="宋体"/>
                <w:color w:val="auto"/>
                <w:kern w:val="0"/>
                <w:szCs w:val="21"/>
                <w:highlight w:val="none"/>
              </w:rPr>
            </w:pPr>
          </w:p>
        </w:tc>
      </w:tr>
      <w:tr w14:paraId="07BD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43B12FC7">
            <w:pPr>
              <w:jc w:val="left"/>
              <w:rPr>
                <w:rFonts w:ascii="宋体" w:hAnsi="宋体" w:cs="宋体"/>
                <w:color w:val="auto"/>
                <w:kern w:val="0"/>
                <w:szCs w:val="21"/>
                <w:highlight w:val="none"/>
              </w:rPr>
            </w:pPr>
            <w:r>
              <w:rPr>
                <w:rFonts w:hint="eastAsia" w:ascii="宋体" w:hAnsi="宋体" w:cs="宋体"/>
                <w:color w:val="auto"/>
                <w:kern w:val="0"/>
                <w:szCs w:val="21"/>
                <w:highlight w:val="none"/>
              </w:rPr>
              <w:t>（三）开挖深度16m及以上的人工挖孔桩工程。</w:t>
            </w:r>
          </w:p>
        </w:tc>
        <w:tc>
          <w:tcPr>
            <w:tcW w:w="1353" w:type="dxa"/>
            <w:noWrap w:val="0"/>
            <w:vAlign w:val="center"/>
          </w:tcPr>
          <w:p w14:paraId="41C6AF7D">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noWrap w:val="0"/>
            <w:vAlign w:val="center"/>
          </w:tcPr>
          <w:p w14:paraId="656076FC">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4C72DD71">
            <w:pPr>
              <w:jc w:val="center"/>
              <w:rPr>
                <w:rFonts w:ascii="宋体" w:hAnsi="宋体" w:cs="宋体"/>
                <w:color w:val="auto"/>
                <w:kern w:val="0"/>
                <w:szCs w:val="21"/>
                <w:highlight w:val="none"/>
              </w:rPr>
            </w:pPr>
          </w:p>
        </w:tc>
      </w:tr>
      <w:tr w14:paraId="0471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7337AC72">
            <w:pPr>
              <w:jc w:val="left"/>
              <w:rPr>
                <w:rFonts w:ascii="宋体" w:hAnsi="宋体" w:cs="宋体"/>
                <w:color w:val="auto"/>
                <w:kern w:val="0"/>
                <w:szCs w:val="21"/>
                <w:highlight w:val="none"/>
              </w:rPr>
            </w:pPr>
            <w:r>
              <w:rPr>
                <w:rFonts w:hint="eastAsia" w:ascii="宋体" w:hAnsi="宋体" w:cs="宋体"/>
                <w:color w:val="auto"/>
                <w:kern w:val="0"/>
                <w:szCs w:val="21"/>
                <w:highlight w:val="none"/>
              </w:rPr>
              <w:t>（四）水下作业工程。</w:t>
            </w:r>
          </w:p>
        </w:tc>
        <w:tc>
          <w:tcPr>
            <w:tcW w:w="1353" w:type="dxa"/>
            <w:noWrap w:val="0"/>
            <w:vAlign w:val="center"/>
          </w:tcPr>
          <w:p w14:paraId="0215075D">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noWrap w:val="0"/>
            <w:vAlign w:val="center"/>
          </w:tcPr>
          <w:p w14:paraId="10F3F50F">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739E9861">
            <w:pPr>
              <w:jc w:val="center"/>
              <w:rPr>
                <w:rFonts w:ascii="宋体" w:hAnsi="宋体" w:cs="宋体"/>
                <w:color w:val="auto"/>
                <w:kern w:val="0"/>
                <w:szCs w:val="21"/>
                <w:highlight w:val="none"/>
              </w:rPr>
            </w:pPr>
          </w:p>
        </w:tc>
      </w:tr>
      <w:tr w14:paraId="31F2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4A53CDA2">
            <w:pPr>
              <w:jc w:val="left"/>
              <w:rPr>
                <w:rFonts w:ascii="宋体" w:hAnsi="宋体" w:cs="宋体"/>
                <w:color w:val="auto"/>
                <w:kern w:val="0"/>
                <w:szCs w:val="21"/>
                <w:highlight w:val="none"/>
              </w:rPr>
            </w:pPr>
            <w:r>
              <w:rPr>
                <w:rFonts w:hint="eastAsia" w:ascii="宋体" w:hAnsi="宋体" w:cs="宋体"/>
                <w:color w:val="auto"/>
                <w:kern w:val="0"/>
                <w:szCs w:val="21"/>
                <w:highlight w:val="none"/>
              </w:rPr>
              <w:t>（五）重量1000kN及以上的大型结构整体顶升、平移、转体等施工工艺。</w:t>
            </w:r>
          </w:p>
        </w:tc>
        <w:tc>
          <w:tcPr>
            <w:tcW w:w="1353" w:type="dxa"/>
            <w:noWrap w:val="0"/>
            <w:vAlign w:val="center"/>
          </w:tcPr>
          <w:p w14:paraId="3296AE79">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noWrap w:val="0"/>
            <w:vAlign w:val="center"/>
          </w:tcPr>
          <w:p w14:paraId="4BB67E27">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49146712">
            <w:pPr>
              <w:jc w:val="center"/>
              <w:rPr>
                <w:rFonts w:ascii="宋体" w:hAnsi="宋体" w:cs="宋体"/>
                <w:color w:val="auto"/>
                <w:kern w:val="0"/>
                <w:szCs w:val="21"/>
                <w:highlight w:val="none"/>
              </w:rPr>
            </w:pPr>
          </w:p>
        </w:tc>
      </w:tr>
      <w:tr w14:paraId="4673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14:paraId="55F2FA45">
            <w:pPr>
              <w:jc w:val="left"/>
              <w:rPr>
                <w:rFonts w:ascii="宋体" w:hAnsi="宋体" w:cs="宋体"/>
                <w:color w:val="auto"/>
                <w:kern w:val="0"/>
                <w:szCs w:val="21"/>
                <w:highlight w:val="none"/>
              </w:rPr>
            </w:pPr>
            <w:r>
              <w:rPr>
                <w:rFonts w:hint="eastAsia" w:ascii="宋体" w:hAnsi="宋体" w:cs="宋体"/>
                <w:color w:val="auto"/>
                <w:kern w:val="0"/>
                <w:szCs w:val="21"/>
                <w:highlight w:val="none"/>
              </w:rPr>
              <w:t>（六）采用新技术、新工艺、新材料、新设备可能影响工程施工安全，尚无国家、行业及地方技术标准的分部分项工程。</w:t>
            </w:r>
          </w:p>
        </w:tc>
        <w:tc>
          <w:tcPr>
            <w:tcW w:w="1353" w:type="dxa"/>
            <w:noWrap w:val="0"/>
            <w:vAlign w:val="center"/>
          </w:tcPr>
          <w:p w14:paraId="7CE5A8D1">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noWrap w:val="0"/>
            <w:vAlign w:val="center"/>
          </w:tcPr>
          <w:p w14:paraId="460BFA4C">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noWrap w:val="0"/>
            <w:vAlign w:val="center"/>
          </w:tcPr>
          <w:p w14:paraId="363A95D9">
            <w:pPr>
              <w:jc w:val="center"/>
              <w:rPr>
                <w:rFonts w:ascii="宋体" w:hAnsi="宋体" w:cs="宋体"/>
                <w:color w:val="auto"/>
                <w:kern w:val="0"/>
                <w:szCs w:val="21"/>
                <w:highlight w:val="none"/>
              </w:rPr>
            </w:pPr>
          </w:p>
        </w:tc>
      </w:tr>
    </w:tbl>
    <w:p w14:paraId="2BAA7B3F">
      <w:pPr>
        <w:rPr>
          <w:rFonts w:ascii="宋体" w:hAnsi="宋体" w:cs="宋体"/>
          <w:color w:val="auto"/>
          <w:highlight w:val="none"/>
        </w:rPr>
      </w:pPr>
    </w:p>
    <w:p w14:paraId="29A4B06C">
      <w:pPr>
        <w:topLinePunct/>
        <w:adjustRightInd w:val="0"/>
        <w:snapToGrid w:val="0"/>
        <w:spacing w:line="360" w:lineRule="auto"/>
        <w:ind w:firstLine="496" w:firstLineChars="200"/>
        <w:jc w:val="left"/>
        <w:rPr>
          <w:rFonts w:ascii="宋体" w:hAnsi="宋体" w:cs="宋体"/>
          <w:color w:val="auto"/>
          <w:spacing w:val="4"/>
          <w:kern w:val="0"/>
          <w:sz w:val="24"/>
          <w:szCs w:val="24"/>
          <w:highlight w:val="none"/>
        </w:rPr>
      </w:pPr>
    </w:p>
    <w:p w14:paraId="7BDD818C">
      <w:pPr>
        <w:pStyle w:val="124"/>
        <w:ind w:right="2480" w:firstLine="3543" w:firstLineChars="1429"/>
        <w:jc w:val="left"/>
        <w:rPr>
          <w:rFonts w:ascii="宋体" w:hAnsi="宋体" w:cs="宋体"/>
          <w:color w:val="auto"/>
          <w:szCs w:val="20"/>
          <w:highlight w:val="none"/>
        </w:rPr>
      </w:pPr>
      <w:r>
        <w:rPr>
          <w:rFonts w:hint="eastAsia" w:ascii="宋体" w:hAnsi="宋体" w:cs="宋体"/>
          <w:color w:val="auto"/>
          <w:szCs w:val="20"/>
          <w:highlight w:val="none"/>
        </w:rPr>
        <w:t>投标人：　</w:t>
      </w:r>
    </w:p>
    <w:p w14:paraId="6EDA987E">
      <w:pPr>
        <w:pStyle w:val="124"/>
        <w:ind w:right="992" w:firstLine="3543" w:firstLineChars="1429"/>
        <w:rPr>
          <w:rFonts w:ascii="宋体" w:hAnsi="宋体" w:cs="宋体"/>
          <w:color w:val="auto"/>
          <w:szCs w:val="20"/>
          <w:highlight w:val="none"/>
        </w:rPr>
      </w:pPr>
      <w:r>
        <w:rPr>
          <w:rFonts w:hint="eastAsia" w:ascii="宋体" w:hAnsi="宋体" w:cs="宋体"/>
          <w:color w:val="auto"/>
          <w:szCs w:val="20"/>
          <w:highlight w:val="none"/>
        </w:rPr>
        <w:t>日期：　　　年　　月　　日</w:t>
      </w:r>
    </w:p>
    <w:p w14:paraId="66F7F798">
      <w:pPr>
        <w:jc w:val="left"/>
        <w:rPr>
          <w:rFonts w:hint="eastAsia" w:ascii="宋体" w:hAnsi="宋体" w:cs="宋体"/>
          <w:b/>
          <w:bCs/>
          <w:color w:val="auto"/>
          <w:sz w:val="24"/>
          <w:szCs w:val="24"/>
          <w:highlight w:val="none"/>
        </w:rPr>
      </w:pPr>
      <w:r>
        <w:rPr>
          <w:rFonts w:ascii="宋体" w:hAnsi="宋体" w:cs="宋体"/>
          <w:color w:val="auto"/>
          <w:sz w:val="32"/>
          <w:szCs w:val="32"/>
          <w:highlight w:val="none"/>
        </w:rPr>
        <w:br w:type="page"/>
      </w:r>
      <w:bookmarkStart w:id="40" w:name="OLE_LINK3"/>
      <w:r>
        <w:rPr>
          <w:rFonts w:hint="eastAsia" w:ascii="宋体" w:hAnsi="宋体" w:cs="宋体"/>
          <w:b/>
          <w:color w:val="auto"/>
          <w:sz w:val="24"/>
          <w:szCs w:val="24"/>
          <w:highlight w:val="none"/>
        </w:rPr>
        <w:t>技术部分格式11</w:t>
      </w:r>
      <w:r>
        <w:rPr>
          <w:rFonts w:hint="eastAsia" w:ascii="宋体" w:hAnsi="宋体" w:cs="宋体"/>
          <w:b/>
          <w:bCs/>
          <w:color w:val="auto"/>
          <w:sz w:val="24"/>
          <w:szCs w:val="24"/>
          <w:highlight w:val="none"/>
        </w:rPr>
        <w:t>：</w:t>
      </w:r>
    </w:p>
    <w:bookmarkEnd w:id="40"/>
    <w:p w14:paraId="381CC88D">
      <w:pPr>
        <w:pStyle w:val="9"/>
        <w:jc w:val="center"/>
        <w:rPr>
          <w:rFonts w:hint="eastAsia"/>
          <w:color w:val="auto"/>
          <w:highlight w:val="none"/>
        </w:rPr>
      </w:pPr>
      <w:r>
        <w:rPr>
          <w:rFonts w:hint="eastAsia"/>
          <w:color w:val="auto"/>
          <w:highlight w:val="none"/>
        </w:rPr>
        <w:t>分包方案情况一览表</w:t>
      </w:r>
    </w:p>
    <w:tbl>
      <w:tblPr>
        <w:tblStyle w:val="27"/>
        <w:tblW w:w="9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237"/>
        <w:gridCol w:w="1276"/>
      </w:tblGrid>
      <w:tr w14:paraId="1D323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899D161">
            <w:pPr>
              <w:pStyle w:val="9"/>
              <w:ind w:firstLine="0"/>
              <w:rPr>
                <w:rFonts w:hint="eastAsia"/>
                <w:color w:val="auto"/>
                <w:highlight w:val="none"/>
              </w:rPr>
            </w:pPr>
            <w:r>
              <w:rPr>
                <w:rFonts w:hint="eastAsia"/>
                <w:color w:val="auto"/>
                <w:highlight w:val="none"/>
              </w:rPr>
              <w:t>序号</w:t>
            </w:r>
          </w:p>
        </w:tc>
        <w:tc>
          <w:tcPr>
            <w:tcW w:w="7237" w:type="dxa"/>
            <w:tcBorders>
              <w:top w:val="single" w:color="auto" w:sz="4" w:space="0"/>
              <w:left w:val="nil"/>
              <w:bottom w:val="single" w:color="auto" w:sz="4" w:space="0"/>
              <w:right w:val="single" w:color="auto" w:sz="4" w:space="0"/>
            </w:tcBorders>
            <w:noWrap w:val="0"/>
            <w:vAlign w:val="center"/>
          </w:tcPr>
          <w:p w14:paraId="1D3499F8">
            <w:pPr>
              <w:pStyle w:val="9"/>
              <w:ind w:firstLine="0"/>
              <w:rPr>
                <w:rFonts w:hint="eastAsia"/>
                <w:color w:val="auto"/>
                <w:highlight w:val="none"/>
              </w:rPr>
            </w:pPr>
            <w:r>
              <w:rPr>
                <w:rFonts w:hint="eastAsia"/>
                <w:color w:val="auto"/>
                <w:highlight w:val="none"/>
              </w:rPr>
              <w:t>拟分包的专业及内容（如有）</w:t>
            </w:r>
          </w:p>
        </w:tc>
        <w:tc>
          <w:tcPr>
            <w:tcW w:w="1276" w:type="dxa"/>
            <w:tcBorders>
              <w:top w:val="single" w:color="auto" w:sz="4" w:space="0"/>
              <w:left w:val="nil"/>
              <w:bottom w:val="single" w:color="auto" w:sz="4" w:space="0"/>
              <w:right w:val="single" w:color="auto" w:sz="4" w:space="0"/>
            </w:tcBorders>
            <w:noWrap w:val="0"/>
            <w:vAlign w:val="center"/>
          </w:tcPr>
          <w:p w14:paraId="074F7FE2">
            <w:pPr>
              <w:pStyle w:val="9"/>
              <w:ind w:firstLine="0"/>
              <w:rPr>
                <w:rFonts w:hint="eastAsia"/>
                <w:color w:val="auto"/>
                <w:highlight w:val="none"/>
              </w:rPr>
            </w:pPr>
            <w:r>
              <w:rPr>
                <w:rFonts w:hint="eastAsia"/>
                <w:color w:val="auto"/>
                <w:highlight w:val="none"/>
              </w:rPr>
              <w:t>备注</w:t>
            </w:r>
          </w:p>
        </w:tc>
      </w:tr>
      <w:tr w14:paraId="3B3C6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8B7DBCF">
            <w:pPr>
              <w:pStyle w:val="9"/>
              <w:ind w:firstLine="0"/>
              <w:rPr>
                <w:rFonts w:hint="eastAsia"/>
                <w:color w:val="auto"/>
                <w:highlight w:val="none"/>
              </w:rPr>
            </w:pPr>
            <w:r>
              <w:rPr>
                <w:rFonts w:hint="eastAsia"/>
                <w:color w:val="auto"/>
                <w:highlight w:val="none"/>
              </w:rPr>
              <w:t>1</w:t>
            </w:r>
          </w:p>
        </w:tc>
        <w:tc>
          <w:tcPr>
            <w:tcW w:w="7237" w:type="dxa"/>
            <w:tcBorders>
              <w:top w:val="single" w:color="auto" w:sz="4" w:space="0"/>
              <w:left w:val="nil"/>
              <w:bottom w:val="single" w:color="auto" w:sz="4" w:space="0"/>
              <w:right w:val="single" w:color="auto" w:sz="4" w:space="0"/>
            </w:tcBorders>
            <w:noWrap w:val="0"/>
            <w:vAlign w:val="center"/>
          </w:tcPr>
          <w:p w14:paraId="35722BF0">
            <w:pPr>
              <w:pStyle w:val="9"/>
              <w:ind w:firstLine="0"/>
              <w:rPr>
                <w:rFonts w:hint="eastAsia"/>
                <w:color w:val="auto"/>
                <w:highlight w:val="none"/>
              </w:rPr>
            </w:pPr>
          </w:p>
        </w:tc>
        <w:tc>
          <w:tcPr>
            <w:tcW w:w="1276" w:type="dxa"/>
            <w:tcBorders>
              <w:top w:val="single" w:color="auto" w:sz="4" w:space="0"/>
              <w:left w:val="nil"/>
              <w:bottom w:val="single" w:color="auto" w:sz="4" w:space="0"/>
              <w:right w:val="single" w:color="auto" w:sz="4" w:space="0"/>
            </w:tcBorders>
            <w:noWrap w:val="0"/>
            <w:vAlign w:val="top"/>
          </w:tcPr>
          <w:p w14:paraId="3C77995E">
            <w:pPr>
              <w:pStyle w:val="9"/>
              <w:ind w:firstLine="0"/>
              <w:rPr>
                <w:rFonts w:hint="eastAsia"/>
                <w:color w:val="auto"/>
                <w:highlight w:val="none"/>
              </w:rPr>
            </w:pPr>
          </w:p>
        </w:tc>
      </w:tr>
      <w:tr w14:paraId="44C9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5D1695D1">
            <w:pPr>
              <w:pStyle w:val="9"/>
              <w:ind w:firstLine="0"/>
              <w:rPr>
                <w:rFonts w:hint="eastAsia"/>
                <w:color w:val="auto"/>
                <w:highlight w:val="none"/>
              </w:rPr>
            </w:pPr>
            <w:r>
              <w:rPr>
                <w:rFonts w:hint="eastAsia"/>
                <w:color w:val="auto"/>
                <w:highlight w:val="none"/>
              </w:rPr>
              <w:t>2</w:t>
            </w:r>
          </w:p>
        </w:tc>
        <w:tc>
          <w:tcPr>
            <w:tcW w:w="7237" w:type="dxa"/>
            <w:tcBorders>
              <w:top w:val="single" w:color="auto" w:sz="4" w:space="0"/>
              <w:left w:val="nil"/>
              <w:bottom w:val="single" w:color="auto" w:sz="4" w:space="0"/>
              <w:right w:val="single" w:color="auto" w:sz="4" w:space="0"/>
            </w:tcBorders>
            <w:noWrap w:val="0"/>
            <w:vAlign w:val="center"/>
          </w:tcPr>
          <w:p w14:paraId="5C7E5E3F">
            <w:pPr>
              <w:pStyle w:val="9"/>
              <w:ind w:firstLine="0"/>
              <w:rPr>
                <w:rFonts w:hint="eastAsia"/>
                <w:color w:val="auto"/>
                <w:highlight w:val="none"/>
              </w:rPr>
            </w:pPr>
          </w:p>
        </w:tc>
        <w:tc>
          <w:tcPr>
            <w:tcW w:w="1276" w:type="dxa"/>
            <w:tcBorders>
              <w:top w:val="single" w:color="auto" w:sz="4" w:space="0"/>
              <w:left w:val="nil"/>
              <w:bottom w:val="single" w:color="auto" w:sz="4" w:space="0"/>
              <w:right w:val="single" w:color="auto" w:sz="4" w:space="0"/>
            </w:tcBorders>
            <w:noWrap w:val="0"/>
            <w:vAlign w:val="top"/>
          </w:tcPr>
          <w:p w14:paraId="07B8044A">
            <w:pPr>
              <w:pStyle w:val="9"/>
              <w:ind w:firstLine="0"/>
              <w:rPr>
                <w:rFonts w:hint="eastAsia"/>
                <w:color w:val="auto"/>
                <w:highlight w:val="none"/>
              </w:rPr>
            </w:pPr>
          </w:p>
        </w:tc>
      </w:tr>
      <w:tr w14:paraId="1401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85C3EDB">
            <w:pPr>
              <w:pStyle w:val="9"/>
              <w:ind w:firstLine="0"/>
              <w:rPr>
                <w:rFonts w:hint="eastAsia"/>
                <w:color w:val="auto"/>
                <w:highlight w:val="none"/>
              </w:rPr>
            </w:pPr>
            <w:r>
              <w:rPr>
                <w:rFonts w:hint="eastAsia"/>
                <w:color w:val="auto"/>
                <w:highlight w:val="none"/>
              </w:rPr>
              <w:t>3</w:t>
            </w:r>
          </w:p>
        </w:tc>
        <w:tc>
          <w:tcPr>
            <w:tcW w:w="7237" w:type="dxa"/>
            <w:tcBorders>
              <w:top w:val="single" w:color="auto" w:sz="4" w:space="0"/>
              <w:left w:val="nil"/>
              <w:bottom w:val="single" w:color="auto" w:sz="4" w:space="0"/>
              <w:right w:val="single" w:color="auto" w:sz="4" w:space="0"/>
            </w:tcBorders>
            <w:noWrap w:val="0"/>
            <w:vAlign w:val="center"/>
          </w:tcPr>
          <w:p w14:paraId="194A4245">
            <w:pPr>
              <w:pStyle w:val="9"/>
              <w:ind w:firstLine="0"/>
              <w:rPr>
                <w:rFonts w:hint="eastAsia"/>
                <w:color w:val="auto"/>
                <w:highlight w:val="none"/>
              </w:rPr>
            </w:pPr>
          </w:p>
        </w:tc>
        <w:tc>
          <w:tcPr>
            <w:tcW w:w="1276" w:type="dxa"/>
            <w:tcBorders>
              <w:top w:val="single" w:color="auto" w:sz="4" w:space="0"/>
              <w:left w:val="nil"/>
              <w:bottom w:val="single" w:color="auto" w:sz="4" w:space="0"/>
              <w:right w:val="single" w:color="auto" w:sz="4" w:space="0"/>
            </w:tcBorders>
            <w:noWrap w:val="0"/>
            <w:vAlign w:val="top"/>
          </w:tcPr>
          <w:p w14:paraId="36944591">
            <w:pPr>
              <w:pStyle w:val="9"/>
              <w:ind w:firstLine="0"/>
              <w:rPr>
                <w:rFonts w:hint="eastAsia"/>
                <w:color w:val="auto"/>
                <w:highlight w:val="none"/>
              </w:rPr>
            </w:pPr>
          </w:p>
        </w:tc>
      </w:tr>
      <w:tr w14:paraId="7258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4C5BF88B">
            <w:pPr>
              <w:pStyle w:val="9"/>
              <w:ind w:firstLine="0"/>
              <w:rPr>
                <w:rFonts w:hint="eastAsia"/>
                <w:color w:val="auto"/>
                <w:highlight w:val="none"/>
              </w:rPr>
            </w:pPr>
            <w:r>
              <w:rPr>
                <w:rFonts w:hint="eastAsia"/>
                <w:color w:val="auto"/>
                <w:highlight w:val="none"/>
              </w:rPr>
              <w:t>4</w:t>
            </w:r>
          </w:p>
        </w:tc>
        <w:tc>
          <w:tcPr>
            <w:tcW w:w="7237" w:type="dxa"/>
            <w:tcBorders>
              <w:top w:val="single" w:color="auto" w:sz="4" w:space="0"/>
              <w:left w:val="nil"/>
              <w:bottom w:val="single" w:color="auto" w:sz="4" w:space="0"/>
              <w:right w:val="single" w:color="auto" w:sz="4" w:space="0"/>
            </w:tcBorders>
            <w:noWrap w:val="0"/>
            <w:vAlign w:val="center"/>
          </w:tcPr>
          <w:p w14:paraId="6FBECF6E">
            <w:pPr>
              <w:pStyle w:val="9"/>
              <w:ind w:firstLine="0"/>
              <w:rPr>
                <w:rFonts w:hint="eastAsia"/>
                <w:color w:val="auto"/>
                <w:highlight w:val="none"/>
              </w:rPr>
            </w:pPr>
          </w:p>
        </w:tc>
        <w:tc>
          <w:tcPr>
            <w:tcW w:w="1276" w:type="dxa"/>
            <w:tcBorders>
              <w:top w:val="single" w:color="auto" w:sz="4" w:space="0"/>
              <w:left w:val="nil"/>
              <w:bottom w:val="single" w:color="auto" w:sz="4" w:space="0"/>
              <w:right w:val="single" w:color="auto" w:sz="4" w:space="0"/>
            </w:tcBorders>
            <w:noWrap w:val="0"/>
            <w:vAlign w:val="top"/>
          </w:tcPr>
          <w:p w14:paraId="4A88A70B">
            <w:pPr>
              <w:pStyle w:val="9"/>
              <w:ind w:firstLine="0"/>
              <w:rPr>
                <w:rFonts w:hint="eastAsia"/>
                <w:color w:val="auto"/>
                <w:highlight w:val="none"/>
              </w:rPr>
            </w:pPr>
          </w:p>
        </w:tc>
      </w:tr>
      <w:tr w14:paraId="7819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C602CD2">
            <w:pPr>
              <w:pStyle w:val="9"/>
              <w:ind w:firstLine="0"/>
              <w:rPr>
                <w:rFonts w:hint="eastAsia"/>
                <w:color w:val="auto"/>
                <w:highlight w:val="none"/>
              </w:rPr>
            </w:pPr>
            <w:r>
              <w:rPr>
                <w:rFonts w:hint="eastAsia"/>
                <w:color w:val="auto"/>
                <w:highlight w:val="none"/>
              </w:rPr>
              <w:t>5</w:t>
            </w:r>
          </w:p>
        </w:tc>
        <w:tc>
          <w:tcPr>
            <w:tcW w:w="7237" w:type="dxa"/>
            <w:tcBorders>
              <w:top w:val="single" w:color="auto" w:sz="4" w:space="0"/>
              <w:left w:val="nil"/>
              <w:bottom w:val="single" w:color="auto" w:sz="4" w:space="0"/>
              <w:right w:val="single" w:color="auto" w:sz="4" w:space="0"/>
            </w:tcBorders>
            <w:noWrap w:val="0"/>
            <w:vAlign w:val="center"/>
          </w:tcPr>
          <w:p w14:paraId="338FA255">
            <w:pPr>
              <w:pStyle w:val="9"/>
              <w:ind w:firstLine="0"/>
              <w:rPr>
                <w:rFonts w:hint="eastAsia"/>
                <w:color w:val="auto"/>
                <w:highlight w:val="none"/>
              </w:rPr>
            </w:pPr>
          </w:p>
        </w:tc>
        <w:tc>
          <w:tcPr>
            <w:tcW w:w="1276" w:type="dxa"/>
            <w:tcBorders>
              <w:top w:val="single" w:color="auto" w:sz="4" w:space="0"/>
              <w:left w:val="nil"/>
              <w:bottom w:val="single" w:color="auto" w:sz="4" w:space="0"/>
              <w:right w:val="single" w:color="auto" w:sz="4" w:space="0"/>
            </w:tcBorders>
            <w:noWrap w:val="0"/>
            <w:vAlign w:val="top"/>
          </w:tcPr>
          <w:p w14:paraId="15122F94">
            <w:pPr>
              <w:pStyle w:val="9"/>
              <w:ind w:firstLine="0"/>
              <w:rPr>
                <w:rFonts w:hint="eastAsia"/>
                <w:color w:val="auto"/>
                <w:highlight w:val="none"/>
              </w:rPr>
            </w:pPr>
          </w:p>
        </w:tc>
      </w:tr>
      <w:tr w14:paraId="3A0D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5A70C1A7">
            <w:pPr>
              <w:pStyle w:val="9"/>
              <w:ind w:firstLine="0"/>
              <w:rPr>
                <w:rFonts w:hint="eastAsia"/>
                <w:color w:val="auto"/>
                <w:highlight w:val="none"/>
              </w:rPr>
            </w:pPr>
            <w:r>
              <w:rPr>
                <w:rFonts w:hint="eastAsia"/>
                <w:color w:val="auto"/>
                <w:highlight w:val="none"/>
              </w:rPr>
              <w:t>…</w:t>
            </w:r>
          </w:p>
        </w:tc>
        <w:tc>
          <w:tcPr>
            <w:tcW w:w="7237" w:type="dxa"/>
            <w:tcBorders>
              <w:top w:val="single" w:color="auto" w:sz="4" w:space="0"/>
              <w:left w:val="nil"/>
              <w:bottom w:val="single" w:color="auto" w:sz="4" w:space="0"/>
              <w:right w:val="single" w:color="auto" w:sz="4" w:space="0"/>
            </w:tcBorders>
            <w:noWrap w:val="0"/>
            <w:vAlign w:val="center"/>
          </w:tcPr>
          <w:p w14:paraId="34D4F882">
            <w:pPr>
              <w:pStyle w:val="9"/>
              <w:ind w:firstLine="0"/>
              <w:rPr>
                <w:rFonts w:hint="eastAsia"/>
                <w:color w:val="auto"/>
                <w:highlight w:val="none"/>
              </w:rPr>
            </w:pPr>
          </w:p>
        </w:tc>
        <w:tc>
          <w:tcPr>
            <w:tcW w:w="1276" w:type="dxa"/>
            <w:tcBorders>
              <w:top w:val="single" w:color="auto" w:sz="4" w:space="0"/>
              <w:left w:val="nil"/>
              <w:bottom w:val="single" w:color="auto" w:sz="4" w:space="0"/>
              <w:right w:val="single" w:color="auto" w:sz="4" w:space="0"/>
            </w:tcBorders>
            <w:noWrap w:val="0"/>
            <w:vAlign w:val="top"/>
          </w:tcPr>
          <w:p w14:paraId="339EE75C">
            <w:pPr>
              <w:pStyle w:val="9"/>
              <w:ind w:firstLine="0"/>
              <w:rPr>
                <w:rFonts w:hint="eastAsia"/>
                <w:color w:val="auto"/>
                <w:highlight w:val="none"/>
              </w:rPr>
            </w:pPr>
          </w:p>
        </w:tc>
      </w:tr>
    </w:tbl>
    <w:p w14:paraId="1011CB19">
      <w:pPr>
        <w:pStyle w:val="9"/>
        <w:rPr>
          <w:rFonts w:hint="eastAsia"/>
          <w:color w:val="auto"/>
          <w:highlight w:val="none"/>
        </w:rPr>
      </w:pPr>
      <w:r>
        <w:rPr>
          <w:rFonts w:hint="eastAsia"/>
          <w:color w:val="auto"/>
          <w:highlight w:val="none"/>
        </w:rPr>
        <w:t>注：</w:t>
      </w:r>
    </w:p>
    <w:p w14:paraId="3340347B">
      <w:pPr>
        <w:pStyle w:val="9"/>
        <w:rPr>
          <w:rFonts w:hint="eastAsia"/>
          <w:color w:val="auto"/>
          <w:highlight w:val="none"/>
        </w:rPr>
      </w:pPr>
      <w:r>
        <w:rPr>
          <w:rFonts w:hint="eastAsia"/>
          <w:color w:val="auto"/>
          <w:highlight w:val="none"/>
        </w:rPr>
        <w:t>1.本项目主体结构、关键工作的施工必须由总承包单位自行完成，严格按照国家、省市相关法律法规执行，不得违法分包及转包。投标人如有专业分包需要的，投标人可列明分包方案，中标后需严格按照招标人分包管理办法执行，需对经招标人审批同意的专业分包单位加强管理，履行施工总承包单位主体管理责任。</w:t>
      </w:r>
    </w:p>
    <w:p w14:paraId="480BEAEC">
      <w:pPr>
        <w:pStyle w:val="9"/>
        <w:rPr>
          <w:rFonts w:hint="eastAsia"/>
          <w:color w:val="auto"/>
          <w:highlight w:val="none"/>
        </w:rPr>
      </w:pPr>
      <w:r>
        <w:rPr>
          <w:rFonts w:hint="eastAsia"/>
          <w:color w:val="auto"/>
          <w:highlight w:val="none"/>
        </w:rPr>
        <w:t>2.投标人根据自身企业综合情况，对本项目的部分专业工程实施分包的，需按要求提供本表，若未提供或未填报拟分包的专业及内容的，则视为无专业分包需求。项目实施过程中，招标人原则上不再接受专业分包申请，否则按合同约定及相关规定处理。</w:t>
      </w:r>
    </w:p>
    <w:p w14:paraId="6FB2B0E4">
      <w:pPr>
        <w:pStyle w:val="9"/>
        <w:rPr>
          <w:rFonts w:hint="eastAsia"/>
          <w:color w:val="auto"/>
          <w:highlight w:val="none"/>
        </w:rPr>
      </w:pPr>
      <w:r>
        <w:rPr>
          <w:rFonts w:hint="eastAsia"/>
          <w:color w:val="auto"/>
          <w:highlight w:val="none"/>
        </w:rPr>
        <w:t>3.承包人投标时漏报又确须分包的，除应按发包人要求的时限提交书面分包申请外，还应按合同约定承担相应违约责任。</w:t>
      </w:r>
    </w:p>
    <w:p w14:paraId="49A34405">
      <w:pPr>
        <w:pStyle w:val="9"/>
        <w:rPr>
          <w:rFonts w:hint="eastAsia"/>
          <w:color w:val="auto"/>
          <w:highlight w:val="none"/>
        </w:rPr>
      </w:pPr>
      <w:r>
        <w:rPr>
          <w:rFonts w:hint="eastAsia"/>
          <w:color w:val="auto"/>
          <w:highlight w:val="none"/>
        </w:rPr>
        <w:t>4.为防止违法转包和违法分包等行为，规范中标单位标后履约，若中标单位违反了有关工程分包的合同约定，招标人有权拒绝其参与招标人后续工程投标，并抄送监管部门进一步处罚。</w:t>
      </w:r>
    </w:p>
    <w:p w14:paraId="056514E8">
      <w:pPr>
        <w:pStyle w:val="9"/>
        <w:rPr>
          <w:rFonts w:hint="eastAsia"/>
          <w:color w:val="auto"/>
          <w:highlight w:val="none"/>
        </w:rPr>
      </w:pPr>
      <w:r>
        <w:rPr>
          <w:rFonts w:hint="eastAsia"/>
          <w:color w:val="auto"/>
          <w:highlight w:val="none"/>
        </w:rPr>
        <w:t xml:space="preserve"> </w:t>
      </w:r>
    </w:p>
    <w:p w14:paraId="312A41D5">
      <w:pPr>
        <w:pStyle w:val="9"/>
        <w:rPr>
          <w:rFonts w:hint="eastAsia"/>
          <w:color w:val="auto"/>
          <w:highlight w:val="none"/>
        </w:rPr>
      </w:pPr>
      <w:r>
        <w:rPr>
          <w:rFonts w:hint="eastAsia"/>
          <w:color w:val="auto"/>
          <w:highlight w:val="none"/>
        </w:rPr>
        <w:t xml:space="preserve"> </w:t>
      </w:r>
    </w:p>
    <w:p w14:paraId="66C8490E">
      <w:pPr>
        <w:pStyle w:val="9"/>
        <w:rPr>
          <w:rFonts w:hint="eastAsia"/>
          <w:color w:val="auto"/>
          <w:highlight w:val="none"/>
        </w:rPr>
      </w:pPr>
      <w:r>
        <w:rPr>
          <w:rFonts w:hint="eastAsia"/>
          <w:color w:val="auto"/>
          <w:highlight w:val="none"/>
        </w:rPr>
        <w:t>注：《分包方案情况一览表》仅适用于对本项目非主体、非关键性的专业工程实施分包的情况。</w:t>
      </w:r>
    </w:p>
    <w:p w14:paraId="3609D431">
      <w:pPr>
        <w:pStyle w:val="9"/>
        <w:rPr>
          <w:rFonts w:hint="eastAsia"/>
          <w:color w:val="auto"/>
          <w:highlight w:val="none"/>
        </w:rPr>
        <w:sectPr>
          <w:footerReference r:id="rId23" w:type="default"/>
          <w:pgSz w:w="12242" w:h="15842"/>
          <w:pgMar w:top="1440" w:right="1800" w:bottom="1440" w:left="1800" w:header="851" w:footer="992" w:gutter="0"/>
          <w:pgNumType w:fmt="decimal"/>
          <w:cols w:space="720" w:num="1"/>
          <w:docGrid w:type="lines" w:linePitch="312" w:charSpace="0"/>
        </w:sectPr>
      </w:pPr>
    </w:p>
    <w:p w14:paraId="7709BF8C">
      <w:pPr>
        <w:pStyle w:val="9"/>
        <w:rPr>
          <w:rFonts w:hint="eastAsia"/>
          <w:color w:val="auto"/>
          <w:highlight w:val="none"/>
        </w:rPr>
      </w:pPr>
      <w:r>
        <w:rPr>
          <w:rFonts w:hint="eastAsia"/>
          <w:color w:val="auto"/>
          <w:highlight w:val="none"/>
        </w:rPr>
        <w:t>技术部分格式12：</w:t>
      </w:r>
    </w:p>
    <w:p w14:paraId="7D913480">
      <w:pPr>
        <w:pStyle w:val="9"/>
        <w:rPr>
          <w:rFonts w:hint="eastAsia"/>
          <w:color w:val="auto"/>
          <w:highlight w:val="none"/>
        </w:rPr>
      </w:pPr>
    </w:p>
    <w:p w14:paraId="4C4089D2">
      <w:pPr>
        <w:jc w:val="center"/>
        <w:rPr>
          <w:color w:val="auto"/>
          <w:highlight w:val="none"/>
        </w:rPr>
      </w:pPr>
      <w:r>
        <w:rPr>
          <w:rFonts w:hint="eastAsia" w:ascii="宋体" w:hAnsi="宋体" w:eastAsia="宋体" w:cs="宋体"/>
          <w:b/>
          <w:bCs/>
          <w:color w:val="auto"/>
          <w:spacing w:val="0"/>
          <w:kern w:val="2"/>
          <w:sz w:val="24"/>
          <w:szCs w:val="24"/>
          <w:highlight w:val="none"/>
        </w:rPr>
        <w:t>主要设备、材料拟选用品牌</w:t>
      </w:r>
      <w:r>
        <w:rPr>
          <w:rFonts w:hint="eastAsia" w:ascii="宋体" w:hAnsi="宋体" w:eastAsia="宋体" w:cs="宋体"/>
          <w:b/>
          <w:bCs/>
          <w:color w:val="auto"/>
          <w:spacing w:val="0"/>
          <w:kern w:val="2"/>
          <w:sz w:val="24"/>
          <w:szCs w:val="24"/>
          <w:highlight w:val="none"/>
          <w:lang w:val="en-US" w:eastAsia="zh-CN"/>
        </w:rPr>
        <w:t>/厂家</w:t>
      </w:r>
      <w:r>
        <w:rPr>
          <w:rFonts w:hint="eastAsia" w:ascii="宋体" w:hAnsi="宋体" w:eastAsia="宋体" w:cs="宋体"/>
          <w:b/>
          <w:bCs/>
          <w:color w:val="auto"/>
          <w:spacing w:val="0"/>
          <w:kern w:val="2"/>
          <w:sz w:val="24"/>
          <w:szCs w:val="24"/>
          <w:highlight w:val="none"/>
        </w:rPr>
        <w:t>表</w:t>
      </w:r>
    </w:p>
    <w:p w14:paraId="17CB403C">
      <w:pPr>
        <w:jc w:val="center"/>
        <w:rPr>
          <w:color w:val="auto"/>
          <w:highlight w:val="none"/>
        </w:rPr>
      </w:pPr>
    </w:p>
    <w:tbl>
      <w:tblPr>
        <w:tblStyle w:val="28"/>
        <w:tblW w:w="5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49"/>
        <w:gridCol w:w="2425"/>
        <w:gridCol w:w="3644"/>
        <w:gridCol w:w="1613"/>
        <w:gridCol w:w="1018"/>
      </w:tblGrid>
      <w:tr w14:paraId="5CAE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297" w:type="pct"/>
            <w:shd w:val="clear" w:color="auto" w:fill="auto"/>
            <w:tcMar>
              <w:left w:w="0" w:type="dxa"/>
              <w:right w:w="0" w:type="dxa"/>
            </w:tcMar>
            <w:vAlign w:val="center"/>
          </w:tcPr>
          <w:p w14:paraId="0BC7F703">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311" w:type="pct"/>
            <w:shd w:val="clear" w:color="auto" w:fill="auto"/>
            <w:vAlign w:val="center"/>
          </w:tcPr>
          <w:p w14:paraId="218FE0F5">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材料名称</w:t>
            </w:r>
          </w:p>
        </w:tc>
        <w:tc>
          <w:tcPr>
            <w:tcW w:w="1970" w:type="pct"/>
            <w:shd w:val="clear" w:color="auto" w:fill="auto"/>
            <w:vAlign w:val="center"/>
          </w:tcPr>
          <w:p w14:paraId="0D05AD7F">
            <w:pPr>
              <w:widowControl w:val="0"/>
              <w:adjustRightInd w:val="0"/>
              <w:snapToGrid w:val="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推荐品牌</w:t>
            </w:r>
            <w:r>
              <w:rPr>
                <w:rFonts w:hint="eastAsia" w:ascii="仿宋" w:hAnsi="仿宋" w:eastAsia="仿宋" w:cs="仿宋"/>
                <w:b/>
                <w:color w:val="auto"/>
                <w:sz w:val="24"/>
                <w:szCs w:val="24"/>
                <w:highlight w:val="none"/>
                <w:lang w:val="en-US" w:eastAsia="zh-CN"/>
              </w:rPr>
              <w:t>/厂家</w:t>
            </w:r>
            <w:r>
              <w:rPr>
                <w:rFonts w:hint="eastAsia" w:ascii="仿宋" w:hAnsi="仿宋" w:eastAsia="仿宋" w:cs="仿宋"/>
                <w:b/>
                <w:color w:val="auto"/>
                <w:sz w:val="24"/>
                <w:szCs w:val="24"/>
                <w:highlight w:val="none"/>
                <w:lang w:eastAsia="zh-CN"/>
              </w:rPr>
              <w:t>（或相当于推荐品牌</w:t>
            </w:r>
            <w:r>
              <w:rPr>
                <w:rFonts w:hint="eastAsia" w:ascii="仿宋" w:hAnsi="仿宋" w:eastAsia="仿宋" w:cs="仿宋"/>
                <w:b/>
                <w:color w:val="auto"/>
                <w:sz w:val="24"/>
                <w:szCs w:val="24"/>
                <w:highlight w:val="none"/>
                <w:lang w:val="en-US" w:eastAsia="zh-CN"/>
              </w:rPr>
              <w:t>/厂家</w:t>
            </w:r>
            <w:r>
              <w:rPr>
                <w:rFonts w:hint="eastAsia" w:ascii="仿宋" w:hAnsi="仿宋" w:eastAsia="仿宋" w:cs="仿宋"/>
                <w:b/>
                <w:color w:val="auto"/>
                <w:sz w:val="24"/>
                <w:szCs w:val="24"/>
                <w:highlight w:val="none"/>
                <w:lang w:eastAsia="zh-CN"/>
              </w:rPr>
              <w:t>）</w:t>
            </w:r>
          </w:p>
        </w:tc>
        <w:tc>
          <w:tcPr>
            <w:tcW w:w="872" w:type="pct"/>
            <w:shd w:val="clear" w:color="auto" w:fill="auto"/>
            <w:vAlign w:val="center"/>
          </w:tcPr>
          <w:p w14:paraId="5AC23635">
            <w:pPr>
              <w:widowControl w:val="0"/>
              <w:adjustRightInd w:val="0"/>
              <w:snapToGrid w:val="0"/>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投标人拟选用品牌/厂家</w:t>
            </w:r>
          </w:p>
        </w:tc>
        <w:tc>
          <w:tcPr>
            <w:tcW w:w="548" w:type="pct"/>
            <w:shd w:val="clear" w:color="auto" w:fill="auto"/>
            <w:vAlign w:val="center"/>
          </w:tcPr>
          <w:p w14:paraId="0FFC32FA">
            <w:pPr>
              <w:widowControl w:val="0"/>
              <w:adjustRightInd w:val="0"/>
              <w:snapToGrid w:val="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备注</w:t>
            </w:r>
          </w:p>
        </w:tc>
      </w:tr>
      <w:tr w14:paraId="5807E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0" w:type="pct"/>
            <w:gridSpan w:val="5"/>
            <w:shd w:val="clear" w:color="auto" w:fill="auto"/>
            <w:tcMar>
              <w:left w:w="0" w:type="dxa"/>
              <w:right w:w="0" w:type="dxa"/>
            </w:tcMar>
            <w:vAlign w:val="center"/>
          </w:tcPr>
          <w:p w14:paraId="24E93EA1">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建筑装修部分</w:t>
            </w:r>
          </w:p>
        </w:tc>
      </w:tr>
      <w:tr w14:paraId="7D19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7" w:type="pct"/>
            <w:shd w:val="clear" w:color="auto" w:fill="auto"/>
            <w:tcMar>
              <w:left w:w="0" w:type="dxa"/>
              <w:right w:w="0" w:type="dxa"/>
            </w:tcMar>
            <w:vAlign w:val="center"/>
          </w:tcPr>
          <w:p w14:paraId="2385B90E">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p>
        </w:tc>
        <w:tc>
          <w:tcPr>
            <w:tcW w:w="1311" w:type="pct"/>
            <w:shd w:val="clear" w:color="auto" w:fill="auto"/>
            <w:tcMar>
              <w:left w:w="0" w:type="dxa"/>
              <w:right w:w="0" w:type="dxa"/>
            </w:tcMar>
            <w:vAlign w:val="center"/>
          </w:tcPr>
          <w:p w14:paraId="6544DAB3">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乳胶漆</w:t>
            </w:r>
          </w:p>
        </w:tc>
        <w:tc>
          <w:tcPr>
            <w:tcW w:w="1970" w:type="pct"/>
            <w:shd w:val="clear" w:color="auto" w:fill="auto"/>
            <w:tcMar>
              <w:left w:w="0" w:type="dxa"/>
              <w:right w:w="0" w:type="dxa"/>
            </w:tcMar>
          </w:tcPr>
          <w:p w14:paraId="765E3EEF">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立邦、多乐士、杜邦</w:t>
            </w:r>
          </w:p>
        </w:tc>
        <w:tc>
          <w:tcPr>
            <w:tcW w:w="872" w:type="pct"/>
            <w:shd w:val="clear" w:color="auto" w:fill="auto"/>
            <w:tcMar>
              <w:left w:w="0" w:type="dxa"/>
              <w:right w:w="0" w:type="dxa"/>
            </w:tcMar>
          </w:tcPr>
          <w:p w14:paraId="5B5AC6B4">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50E687EE">
            <w:pPr>
              <w:widowControl w:val="0"/>
              <w:adjustRightInd w:val="0"/>
              <w:snapToGrid w:val="0"/>
              <w:rPr>
                <w:rFonts w:hint="eastAsia" w:ascii="仿宋" w:hAnsi="仿宋" w:eastAsia="仿宋" w:cs="仿宋"/>
                <w:color w:val="auto"/>
                <w:sz w:val="24"/>
                <w:szCs w:val="24"/>
                <w:highlight w:val="none"/>
              </w:rPr>
            </w:pPr>
          </w:p>
        </w:tc>
      </w:tr>
      <w:tr w14:paraId="1141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702027BC">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p>
        </w:tc>
        <w:tc>
          <w:tcPr>
            <w:tcW w:w="1311" w:type="pct"/>
            <w:shd w:val="clear" w:color="auto" w:fill="auto"/>
            <w:tcMar>
              <w:left w:w="0" w:type="dxa"/>
              <w:right w:w="0" w:type="dxa"/>
            </w:tcMar>
            <w:vAlign w:val="center"/>
          </w:tcPr>
          <w:p w14:paraId="009F2C9C">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水泥基渗透结晶防水涂料</w:t>
            </w:r>
          </w:p>
        </w:tc>
        <w:tc>
          <w:tcPr>
            <w:tcW w:w="1970" w:type="pct"/>
            <w:shd w:val="clear" w:color="auto" w:fill="auto"/>
            <w:tcMar>
              <w:left w:w="0" w:type="dxa"/>
              <w:right w:w="0" w:type="dxa"/>
            </w:tcMar>
          </w:tcPr>
          <w:p w14:paraId="35522C2D">
            <w:pPr>
              <w:widowControl w:val="0"/>
              <w:adjustRightInd w:val="0"/>
              <w:snapToGrid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德高、东方雨虹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科顺</w:t>
            </w:r>
          </w:p>
        </w:tc>
        <w:tc>
          <w:tcPr>
            <w:tcW w:w="872" w:type="pct"/>
            <w:shd w:val="clear" w:color="auto" w:fill="auto"/>
            <w:tcMar>
              <w:left w:w="0" w:type="dxa"/>
              <w:right w:w="0" w:type="dxa"/>
            </w:tcMar>
          </w:tcPr>
          <w:p w14:paraId="3CCB2F4F">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7EF66AFA">
            <w:pPr>
              <w:widowControl w:val="0"/>
              <w:adjustRightInd w:val="0"/>
              <w:snapToGrid w:val="0"/>
              <w:rPr>
                <w:rFonts w:hint="eastAsia" w:ascii="仿宋" w:hAnsi="仿宋" w:eastAsia="仿宋" w:cs="仿宋"/>
                <w:color w:val="auto"/>
                <w:sz w:val="24"/>
                <w:szCs w:val="24"/>
                <w:highlight w:val="none"/>
              </w:rPr>
            </w:pPr>
          </w:p>
        </w:tc>
      </w:tr>
      <w:tr w14:paraId="4DF3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1108AEB5">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p>
        </w:tc>
        <w:tc>
          <w:tcPr>
            <w:tcW w:w="1311" w:type="pct"/>
            <w:shd w:val="clear" w:color="auto" w:fill="auto"/>
            <w:tcMar>
              <w:left w:w="0" w:type="dxa"/>
              <w:right w:w="0" w:type="dxa"/>
            </w:tcMar>
            <w:vAlign w:val="center"/>
          </w:tcPr>
          <w:p w14:paraId="645EE4CB">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镀锌型钢、钢材，钢通</w:t>
            </w:r>
          </w:p>
        </w:tc>
        <w:tc>
          <w:tcPr>
            <w:tcW w:w="1970" w:type="pct"/>
            <w:shd w:val="clear" w:color="auto" w:fill="auto"/>
            <w:tcMar>
              <w:left w:w="0" w:type="dxa"/>
              <w:right w:w="0" w:type="dxa"/>
            </w:tcMar>
          </w:tcPr>
          <w:p w14:paraId="338AC4D6">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广钢、韶钢、鞍钢、宝钢、</w:t>
            </w:r>
          </w:p>
        </w:tc>
        <w:tc>
          <w:tcPr>
            <w:tcW w:w="872" w:type="pct"/>
            <w:shd w:val="clear" w:color="auto" w:fill="auto"/>
            <w:tcMar>
              <w:left w:w="0" w:type="dxa"/>
              <w:right w:w="0" w:type="dxa"/>
            </w:tcMar>
          </w:tcPr>
          <w:p w14:paraId="16B991A3">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0A30CF76">
            <w:pPr>
              <w:widowControl w:val="0"/>
              <w:adjustRightInd w:val="0"/>
              <w:snapToGrid w:val="0"/>
              <w:rPr>
                <w:rFonts w:hint="eastAsia" w:ascii="仿宋" w:hAnsi="仿宋" w:eastAsia="仿宋" w:cs="仿宋"/>
                <w:color w:val="auto"/>
                <w:sz w:val="24"/>
                <w:szCs w:val="24"/>
                <w:highlight w:val="none"/>
              </w:rPr>
            </w:pPr>
          </w:p>
        </w:tc>
      </w:tr>
      <w:tr w14:paraId="0A5E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479C5D28">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w:t>
            </w:r>
          </w:p>
        </w:tc>
        <w:tc>
          <w:tcPr>
            <w:tcW w:w="1311" w:type="pct"/>
            <w:shd w:val="clear" w:color="auto" w:fill="auto"/>
            <w:tcMar>
              <w:left w:w="0" w:type="dxa"/>
              <w:right w:w="0" w:type="dxa"/>
            </w:tcMar>
            <w:vAlign w:val="center"/>
          </w:tcPr>
          <w:p w14:paraId="2C9C536F">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仿石地砖 、防滑地砖、抛光砖、玻化地砖、墙砖</w:t>
            </w:r>
          </w:p>
        </w:tc>
        <w:tc>
          <w:tcPr>
            <w:tcW w:w="1970" w:type="pct"/>
            <w:shd w:val="clear" w:color="auto" w:fill="auto"/>
            <w:tcMar>
              <w:left w:w="0" w:type="dxa"/>
              <w:right w:w="0" w:type="dxa"/>
            </w:tcMar>
          </w:tcPr>
          <w:p w14:paraId="488568D9">
            <w:pPr>
              <w:widowControl w:val="0"/>
              <w:adjustRightInd w:val="0"/>
              <w:snapToGrid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东鹏陶瓷、诺贝尔、蒙娜丽莎、马可波罗</w:t>
            </w:r>
          </w:p>
        </w:tc>
        <w:tc>
          <w:tcPr>
            <w:tcW w:w="872" w:type="pct"/>
            <w:shd w:val="clear" w:color="auto" w:fill="auto"/>
            <w:tcMar>
              <w:left w:w="0" w:type="dxa"/>
              <w:right w:w="0" w:type="dxa"/>
            </w:tcMar>
          </w:tcPr>
          <w:p w14:paraId="2598F245">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6B9B1419">
            <w:pPr>
              <w:widowControl w:val="0"/>
              <w:adjustRightInd w:val="0"/>
              <w:snapToGrid w:val="0"/>
              <w:rPr>
                <w:rFonts w:hint="eastAsia" w:ascii="仿宋" w:hAnsi="仿宋" w:eastAsia="仿宋" w:cs="仿宋"/>
                <w:color w:val="auto"/>
                <w:sz w:val="24"/>
                <w:szCs w:val="24"/>
                <w:highlight w:val="none"/>
              </w:rPr>
            </w:pPr>
          </w:p>
        </w:tc>
      </w:tr>
      <w:tr w14:paraId="2815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441286C6">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w:t>
            </w:r>
          </w:p>
        </w:tc>
        <w:tc>
          <w:tcPr>
            <w:tcW w:w="1311" w:type="pct"/>
            <w:shd w:val="clear" w:color="auto" w:fill="auto"/>
            <w:tcMar>
              <w:left w:w="0" w:type="dxa"/>
              <w:right w:w="0" w:type="dxa"/>
            </w:tcMar>
            <w:vAlign w:val="center"/>
          </w:tcPr>
          <w:p w14:paraId="2E0F463C">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瓷砖背涂胶</w:t>
            </w:r>
          </w:p>
        </w:tc>
        <w:tc>
          <w:tcPr>
            <w:tcW w:w="1970" w:type="pct"/>
            <w:shd w:val="clear" w:color="auto" w:fill="auto"/>
            <w:tcMar>
              <w:left w:w="0" w:type="dxa"/>
              <w:right w:w="0" w:type="dxa"/>
            </w:tcMar>
          </w:tcPr>
          <w:p w14:paraId="7DF8B18A">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阁美仕、德高、固豹、</w:t>
            </w:r>
          </w:p>
        </w:tc>
        <w:tc>
          <w:tcPr>
            <w:tcW w:w="872" w:type="pct"/>
            <w:shd w:val="clear" w:color="auto" w:fill="auto"/>
            <w:tcMar>
              <w:left w:w="0" w:type="dxa"/>
              <w:right w:w="0" w:type="dxa"/>
            </w:tcMar>
          </w:tcPr>
          <w:p w14:paraId="10D96731">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1FE035B3">
            <w:pPr>
              <w:widowControl w:val="0"/>
              <w:adjustRightInd w:val="0"/>
              <w:snapToGrid w:val="0"/>
              <w:rPr>
                <w:rFonts w:hint="eastAsia" w:ascii="仿宋" w:hAnsi="仿宋" w:eastAsia="仿宋" w:cs="仿宋"/>
                <w:color w:val="auto"/>
                <w:sz w:val="24"/>
                <w:szCs w:val="24"/>
                <w:highlight w:val="none"/>
              </w:rPr>
            </w:pPr>
          </w:p>
        </w:tc>
      </w:tr>
      <w:tr w14:paraId="031C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34B93761">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w:t>
            </w:r>
          </w:p>
        </w:tc>
        <w:tc>
          <w:tcPr>
            <w:tcW w:w="1311" w:type="pct"/>
            <w:shd w:val="clear" w:color="auto" w:fill="auto"/>
            <w:tcMar>
              <w:left w:w="0" w:type="dxa"/>
              <w:right w:w="0" w:type="dxa"/>
            </w:tcMar>
            <w:vAlign w:val="center"/>
          </w:tcPr>
          <w:p w14:paraId="55F31768">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银镜、玻璃</w:t>
            </w:r>
          </w:p>
        </w:tc>
        <w:tc>
          <w:tcPr>
            <w:tcW w:w="1970" w:type="pct"/>
            <w:shd w:val="clear" w:color="auto" w:fill="auto"/>
            <w:tcMar>
              <w:left w:w="0" w:type="dxa"/>
              <w:right w:w="0" w:type="dxa"/>
            </w:tcMar>
          </w:tcPr>
          <w:p w14:paraId="675EEFD4">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南玻、福耀玻璃、上海耀玻、洛阳玻璃</w:t>
            </w:r>
          </w:p>
        </w:tc>
        <w:tc>
          <w:tcPr>
            <w:tcW w:w="872" w:type="pct"/>
            <w:shd w:val="clear" w:color="auto" w:fill="auto"/>
            <w:tcMar>
              <w:left w:w="0" w:type="dxa"/>
              <w:right w:w="0" w:type="dxa"/>
            </w:tcMar>
          </w:tcPr>
          <w:p w14:paraId="2C45D1EC">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248B5FDB">
            <w:pPr>
              <w:widowControl w:val="0"/>
              <w:adjustRightInd w:val="0"/>
              <w:snapToGrid w:val="0"/>
              <w:rPr>
                <w:rFonts w:hint="eastAsia" w:ascii="仿宋" w:hAnsi="仿宋" w:eastAsia="仿宋" w:cs="仿宋"/>
                <w:color w:val="auto"/>
                <w:sz w:val="24"/>
                <w:szCs w:val="24"/>
                <w:highlight w:val="none"/>
              </w:rPr>
            </w:pPr>
          </w:p>
        </w:tc>
      </w:tr>
      <w:tr w14:paraId="5357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54AEB073">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w:t>
            </w:r>
          </w:p>
        </w:tc>
        <w:tc>
          <w:tcPr>
            <w:tcW w:w="1311" w:type="pct"/>
            <w:shd w:val="clear" w:color="auto" w:fill="auto"/>
            <w:tcMar>
              <w:left w:w="0" w:type="dxa"/>
              <w:right w:w="0" w:type="dxa"/>
            </w:tcMar>
            <w:vAlign w:val="center"/>
          </w:tcPr>
          <w:p w14:paraId="583F6768">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抗倍特板（卫生间/更衣室间隔）</w:t>
            </w:r>
          </w:p>
        </w:tc>
        <w:tc>
          <w:tcPr>
            <w:tcW w:w="1970" w:type="pct"/>
            <w:shd w:val="clear" w:color="auto" w:fill="auto"/>
            <w:tcMar>
              <w:left w:w="0" w:type="dxa"/>
              <w:right w:w="0" w:type="dxa"/>
            </w:tcMar>
          </w:tcPr>
          <w:p w14:paraId="5D79B467">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佳丽福、天润、普丽品牌</w:t>
            </w:r>
          </w:p>
        </w:tc>
        <w:tc>
          <w:tcPr>
            <w:tcW w:w="872" w:type="pct"/>
            <w:shd w:val="clear" w:color="auto" w:fill="auto"/>
            <w:tcMar>
              <w:left w:w="0" w:type="dxa"/>
              <w:right w:w="0" w:type="dxa"/>
            </w:tcMar>
          </w:tcPr>
          <w:p w14:paraId="376769B1">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76FDD45E">
            <w:pPr>
              <w:widowControl w:val="0"/>
              <w:adjustRightInd w:val="0"/>
              <w:snapToGrid w:val="0"/>
              <w:rPr>
                <w:rFonts w:hint="eastAsia" w:ascii="仿宋" w:hAnsi="仿宋" w:eastAsia="仿宋" w:cs="仿宋"/>
                <w:color w:val="auto"/>
                <w:sz w:val="24"/>
                <w:szCs w:val="24"/>
                <w:highlight w:val="none"/>
              </w:rPr>
            </w:pPr>
          </w:p>
        </w:tc>
      </w:tr>
      <w:tr w14:paraId="11A6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025FA8E9">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w:t>
            </w:r>
          </w:p>
        </w:tc>
        <w:tc>
          <w:tcPr>
            <w:tcW w:w="1311" w:type="pct"/>
            <w:shd w:val="clear" w:color="auto" w:fill="auto"/>
            <w:tcMar>
              <w:left w:w="0" w:type="dxa"/>
              <w:right w:w="0" w:type="dxa"/>
            </w:tcMar>
            <w:vAlign w:val="center"/>
          </w:tcPr>
          <w:p w14:paraId="0C3DA6B5">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难燃胶合板</w:t>
            </w:r>
          </w:p>
        </w:tc>
        <w:tc>
          <w:tcPr>
            <w:tcW w:w="1970" w:type="pct"/>
            <w:shd w:val="clear" w:color="auto" w:fill="auto"/>
            <w:tcMar>
              <w:left w:w="0" w:type="dxa"/>
              <w:right w:w="0" w:type="dxa"/>
            </w:tcMar>
          </w:tcPr>
          <w:p w14:paraId="41F8F64D">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广东丰之林、广州创安、广州银信</w:t>
            </w:r>
          </w:p>
        </w:tc>
        <w:tc>
          <w:tcPr>
            <w:tcW w:w="872" w:type="pct"/>
            <w:shd w:val="clear" w:color="auto" w:fill="auto"/>
            <w:tcMar>
              <w:left w:w="0" w:type="dxa"/>
              <w:right w:w="0" w:type="dxa"/>
            </w:tcMar>
          </w:tcPr>
          <w:p w14:paraId="6AC5DC36">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4A07914F">
            <w:pPr>
              <w:widowControl w:val="0"/>
              <w:adjustRightInd w:val="0"/>
              <w:snapToGrid w:val="0"/>
              <w:rPr>
                <w:rFonts w:hint="eastAsia" w:ascii="仿宋" w:hAnsi="仿宋" w:eastAsia="仿宋" w:cs="仿宋"/>
                <w:color w:val="auto"/>
                <w:sz w:val="24"/>
                <w:szCs w:val="24"/>
                <w:highlight w:val="none"/>
              </w:rPr>
            </w:pPr>
          </w:p>
        </w:tc>
      </w:tr>
      <w:tr w14:paraId="6B90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21360F0B">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w:t>
            </w:r>
          </w:p>
        </w:tc>
        <w:tc>
          <w:tcPr>
            <w:tcW w:w="1311" w:type="pct"/>
            <w:shd w:val="clear" w:color="auto" w:fill="auto"/>
            <w:tcMar>
              <w:left w:w="0" w:type="dxa"/>
              <w:right w:w="0" w:type="dxa"/>
            </w:tcMar>
            <w:vAlign w:val="center"/>
          </w:tcPr>
          <w:p w14:paraId="6C7F6782">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防静电地板</w:t>
            </w:r>
          </w:p>
        </w:tc>
        <w:tc>
          <w:tcPr>
            <w:tcW w:w="1970" w:type="pct"/>
            <w:shd w:val="clear" w:color="auto" w:fill="auto"/>
            <w:tcMar>
              <w:left w:w="0" w:type="dxa"/>
              <w:right w:w="0" w:type="dxa"/>
            </w:tcMar>
          </w:tcPr>
          <w:p w14:paraId="0FF2FDFF">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沈飞、向利、惠华、MERO美露</w:t>
            </w:r>
          </w:p>
        </w:tc>
        <w:tc>
          <w:tcPr>
            <w:tcW w:w="872" w:type="pct"/>
            <w:shd w:val="clear" w:color="auto" w:fill="auto"/>
            <w:tcMar>
              <w:left w:w="0" w:type="dxa"/>
              <w:right w:w="0" w:type="dxa"/>
            </w:tcMar>
          </w:tcPr>
          <w:p w14:paraId="494D999F">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721DB63D">
            <w:pPr>
              <w:widowControl w:val="0"/>
              <w:adjustRightInd w:val="0"/>
              <w:snapToGrid w:val="0"/>
              <w:rPr>
                <w:rFonts w:hint="eastAsia" w:ascii="仿宋" w:hAnsi="仿宋" w:eastAsia="仿宋" w:cs="仿宋"/>
                <w:color w:val="auto"/>
                <w:sz w:val="24"/>
                <w:szCs w:val="24"/>
                <w:highlight w:val="none"/>
              </w:rPr>
            </w:pPr>
          </w:p>
        </w:tc>
      </w:tr>
      <w:tr w14:paraId="0CE0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1434633A">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w:t>
            </w:r>
          </w:p>
        </w:tc>
        <w:tc>
          <w:tcPr>
            <w:tcW w:w="1311" w:type="pct"/>
            <w:shd w:val="clear" w:color="auto" w:fill="auto"/>
            <w:tcMar>
              <w:left w:w="0" w:type="dxa"/>
              <w:right w:w="0" w:type="dxa"/>
            </w:tcMar>
            <w:vAlign w:val="center"/>
          </w:tcPr>
          <w:p w14:paraId="3AE37115">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陶瓷装饰面板</w:t>
            </w:r>
          </w:p>
        </w:tc>
        <w:tc>
          <w:tcPr>
            <w:tcW w:w="1970" w:type="pct"/>
            <w:shd w:val="clear" w:color="auto" w:fill="auto"/>
            <w:tcMar>
              <w:left w:w="0" w:type="dxa"/>
              <w:right w:w="0" w:type="dxa"/>
            </w:tcMar>
          </w:tcPr>
          <w:p w14:paraId="53E42A31">
            <w:pPr>
              <w:widowControl w:val="0"/>
              <w:adjustRightInd w:val="0"/>
              <w:snapToGrid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西班牙德赛斯超薄岩板、Laminam 薄瓷板、Techlam 陶瓷薄板、蒙娜丽莎、马可波罗</w:t>
            </w:r>
          </w:p>
        </w:tc>
        <w:tc>
          <w:tcPr>
            <w:tcW w:w="872" w:type="pct"/>
            <w:shd w:val="clear" w:color="auto" w:fill="auto"/>
            <w:tcMar>
              <w:left w:w="0" w:type="dxa"/>
              <w:right w:w="0" w:type="dxa"/>
            </w:tcMar>
          </w:tcPr>
          <w:p w14:paraId="758F6135">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6F841B1E">
            <w:pPr>
              <w:widowControl w:val="0"/>
              <w:adjustRightInd w:val="0"/>
              <w:snapToGrid w:val="0"/>
              <w:rPr>
                <w:rFonts w:hint="eastAsia" w:ascii="仿宋" w:hAnsi="仿宋" w:eastAsia="仿宋" w:cs="仿宋"/>
                <w:color w:val="auto"/>
                <w:sz w:val="24"/>
                <w:szCs w:val="24"/>
                <w:highlight w:val="none"/>
              </w:rPr>
            </w:pPr>
          </w:p>
        </w:tc>
      </w:tr>
      <w:tr w14:paraId="552F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97" w:type="pct"/>
            <w:shd w:val="clear" w:color="auto" w:fill="auto"/>
            <w:tcMar>
              <w:left w:w="0" w:type="dxa"/>
              <w:right w:w="0" w:type="dxa"/>
            </w:tcMar>
            <w:vAlign w:val="center"/>
          </w:tcPr>
          <w:p w14:paraId="282251C4">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w:t>
            </w:r>
          </w:p>
        </w:tc>
        <w:tc>
          <w:tcPr>
            <w:tcW w:w="1311" w:type="pct"/>
            <w:shd w:val="clear" w:color="auto" w:fill="auto"/>
            <w:tcMar>
              <w:left w:w="0" w:type="dxa"/>
              <w:right w:w="0" w:type="dxa"/>
            </w:tcMar>
            <w:vAlign w:val="center"/>
          </w:tcPr>
          <w:p w14:paraId="74A4CDD7">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马赛克</w:t>
            </w:r>
          </w:p>
        </w:tc>
        <w:tc>
          <w:tcPr>
            <w:tcW w:w="1970" w:type="pct"/>
            <w:shd w:val="clear" w:color="auto" w:fill="auto"/>
            <w:tcMar>
              <w:left w:w="0" w:type="dxa"/>
              <w:right w:w="0" w:type="dxa"/>
            </w:tcMar>
          </w:tcPr>
          <w:p w14:paraId="7A54A4D6">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双欧、卡赛迪、蒂通陶</w:t>
            </w:r>
          </w:p>
        </w:tc>
        <w:tc>
          <w:tcPr>
            <w:tcW w:w="872" w:type="pct"/>
            <w:shd w:val="clear" w:color="auto" w:fill="auto"/>
            <w:tcMar>
              <w:left w:w="0" w:type="dxa"/>
              <w:right w:w="0" w:type="dxa"/>
            </w:tcMar>
          </w:tcPr>
          <w:p w14:paraId="461AF904">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218F07A0">
            <w:pPr>
              <w:widowControl w:val="0"/>
              <w:adjustRightInd w:val="0"/>
              <w:snapToGrid w:val="0"/>
              <w:rPr>
                <w:rFonts w:hint="eastAsia" w:ascii="仿宋" w:hAnsi="仿宋" w:eastAsia="仿宋" w:cs="仿宋"/>
                <w:color w:val="auto"/>
                <w:sz w:val="24"/>
                <w:szCs w:val="24"/>
                <w:highlight w:val="none"/>
              </w:rPr>
            </w:pPr>
          </w:p>
        </w:tc>
      </w:tr>
      <w:tr w14:paraId="4F0B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2104169B">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w:t>
            </w:r>
          </w:p>
        </w:tc>
        <w:tc>
          <w:tcPr>
            <w:tcW w:w="1311" w:type="pct"/>
            <w:shd w:val="clear" w:color="auto" w:fill="auto"/>
            <w:tcMar>
              <w:left w:w="0" w:type="dxa"/>
              <w:right w:w="0" w:type="dxa"/>
            </w:tcMar>
            <w:vAlign w:val="center"/>
          </w:tcPr>
          <w:p w14:paraId="46C9CB3C">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石膏板</w:t>
            </w:r>
          </w:p>
        </w:tc>
        <w:tc>
          <w:tcPr>
            <w:tcW w:w="1970" w:type="pct"/>
            <w:shd w:val="clear" w:color="auto" w:fill="auto"/>
            <w:tcMar>
              <w:left w:w="0" w:type="dxa"/>
              <w:right w:w="0" w:type="dxa"/>
            </w:tcMar>
          </w:tcPr>
          <w:p w14:paraId="12950F26">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龙牌BNBM、博罗、穗龙牌</w:t>
            </w:r>
          </w:p>
        </w:tc>
        <w:tc>
          <w:tcPr>
            <w:tcW w:w="872" w:type="pct"/>
            <w:shd w:val="clear" w:color="auto" w:fill="auto"/>
            <w:tcMar>
              <w:left w:w="0" w:type="dxa"/>
              <w:right w:w="0" w:type="dxa"/>
            </w:tcMar>
          </w:tcPr>
          <w:p w14:paraId="5737373D">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7CDAF3EA">
            <w:pPr>
              <w:widowControl w:val="0"/>
              <w:adjustRightInd w:val="0"/>
              <w:snapToGrid w:val="0"/>
              <w:rPr>
                <w:rFonts w:hint="eastAsia" w:ascii="仿宋" w:hAnsi="仿宋" w:eastAsia="仿宋" w:cs="仿宋"/>
                <w:color w:val="auto"/>
                <w:sz w:val="24"/>
                <w:szCs w:val="24"/>
                <w:highlight w:val="none"/>
              </w:rPr>
            </w:pPr>
          </w:p>
        </w:tc>
      </w:tr>
      <w:tr w14:paraId="029A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66217025">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w:t>
            </w:r>
          </w:p>
        </w:tc>
        <w:tc>
          <w:tcPr>
            <w:tcW w:w="1311" w:type="pct"/>
            <w:shd w:val="clear" w:color="auto" w:fill="auto"/>
            <w:tcMar>
              <w:left w:w="0" w:type="dxa"/>
              <w:right w:w="0" w:type="dxa"/>
            </w:tcMar>
            <w:vAlign w:val="center"/>
          </w:tcPr>
          <w:p w14:paraId="116B4A0C">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硅酸钙板</w:t>
            </w:r>
          </w:p>
        </w:tc>
        <w:tc>
          <w:tcPr>
            <w:tcW w:w="1970" w:type="pct"/>
            <w:shd w:val="clear" w:color="auto" w:fill="auto"/>
            <w:tcMar>
              <w:left w:w="0" w:type="dxa"/>
              <w:right w:w="0" w:type="dxa"/>
            </w:tcMar>
          </w:tcPr>
          <w:p w14:paraId="7AAF92E5">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龙牌BNBM、金福、艾特</w:t>
            </w:r>
          </w:p>
        </w:tc>
        <w:tc>
          <w:tcPr>
            <w:tcW w:w="872" w:type="pct"/>
            <w:shd w:val="clear" w:color="auto" w:fill="auto"/>
            <w:tcMar>
              <w:left w:w="0" w:type="dxa"/>
              <w:right w:w="0" w:type="dxa"/>
            </w:tcMar>
          </w:tcPr>
          <w:p w14:paraId="5C76E3F1">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4543EE01">
            <w:pPr>
              <w:widowControl w:val="0"/>
              <w:adjustRightInd w:val="0"/>
              <w:snapToGrid w:val="0"/>
              <w:rPr>
                <w:rFonts w:hint="eastAsia" w:ascii="仿宋" w:hAnsi="仿宋" w:eastAsia="仿宋" w:cs="仿宋"/>
                <w:color w:val="auto"/>
                <w:sz w:val="24"/>
                <w:szCs w:val="24"/>
                <w:highlight w:val="none"/>
              </w:rPr>
            </w:pPr>
          </w:p>
        </w:tc>
      </w:tr>
      <w:tr w14:paraId="6E9B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1E08282D">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14</w:t>
            </w:r>
          </w:p>
        </w:tc>
        <w:tc>
          <w:tcPr>
            <w:tcW w:w="1311" w:type="pct"/>
            <w:shd w:val="clear" w:color="auto" w:fill="auto"/>
            <w:tcMar>
              <w:left w:w="0" w:type="dxa"/>
              <w:right w:w="0" w:type="dxa"/>
            </w:tcMar>
            <w:vAlign w:val="center"/>
          </w:tcPr>
          <w:p w14:paraId="434DA8E1">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人造石（混合丙烯酸树脂氢氧化铝板石）</w:t>
            </w:r>
          </w:p>
        </w:tc>
        <w:tc>
          <w:tcPr>
            <w:tcW w:w="1970" w:type="pct"/>
            <w:shd w:val="clear" w:color="auto" w:fill="auto"/>
            <w:tcMar>
              <w:left w:w="0" w:type="dxa"/>
              <w:right w:w="0" w:type="dxa"/>
            </w:tcMar>
          </w:tcPr>
          <w:p w14:paraId="4B478A85">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富美家、豪美思、杜邦可丽</w:t>
            </w:r>
          </w:p>
        </w:tc>
        <w:tc>
          <w:tcPr>
            <w:tcW w:w="872" w:type="pct"/>
            <w:shd w:val="clear" w:color="auto" w:fill="auto"/>
            <w:tcMar>
              <w:left w:w="0" w:type="dxa"/>
              <w:right w:w="0" w:type="dxa"/>
            </w:tcMar>
          </w:tcPr>
          <w:p w14:paraId="0E3C6D1F">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13D63AC1">
            <w:pPr>
              <w:widowControl w:val="0"/>
              <w:adjustRightInd w:val="0"/>
              <w:snapToGrid w:val="0"/>
              <w:rPr>
                <w:rFonts w:hint="eastAsia" w:ascii="仿宋" w:hAnsi="仿宋" w:eastAsia="仿宋" w:cs="仿宋"/>
                <w:color w:val="auto"/>
                <w:sz w:val="24"/>
                <w:szCs w:val="24"/>
                <w:highlight w:val="none"/>
              </w:rPr>
            </w:pPr>
          </w:p>
        </w:tc>
      </w:tr>
      <w:tr w14:paraId="1270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1A711EBF">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w:t>
            </w:r>
          </w:p>
        </w:tc>
        <w:tc>
          <w:tcPr>
            <w:tcW w:w="1311" w:type="pct"/>
            <w:shd w:val="clear" w:color="auto" w:fill="auto"/>
            <w:tcMar>
              <w:left w:w="0" w:type="dxa"/>
              <w:right w:w="0" w:type="dxa"/>
            </w:tcMar>
            <w:vAlign w:val="center"/>
          </w:tcPr>
          <w:p w14:paraId="17A4B93C">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耐擦洗无机抗菌涂料</w:t>
            </w:r>
          </w:p>
        </w:tc>
        <w:tc>
          <w:tcPr>
            <w:tcW w:w="1970" w:type="pct"/>
            <w:shd w:val="clear" w:color="auto" w:fill="auto"/>
            <w:tcMar>
              <w:left w:w="0" w:type="dxa"/>
              <w:right w:w="0" w:type="dxa"/>
            </w:tcMar>
          </w:tcPr>
          <w:p w14:paraId="6C7ECA04">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立邦、多乐士、杜邦、优威康</w:t>
            </w:r>
          </w:p>
        </w:tc>
        <w:tc>
          <w:tcPr>
            <w:tcW w:w="872" w:type="pct"/>
            <w:shd w:val="clear" w:color="auto" w:fill="auto"/>
            <w:tcMar>
              <w:left w:w="0" w:type="dxa"/>
              <w:right w:w="0" w:type="dxa"/>
            </w:tcMar>
          </w:tcPr>
          <w:p w14:paraId="401B66D6">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6D19FB6A">
            <w:pPr>
              <w:widowControl w:val="0"/>
              <w:adjustRightInd w:val="0"/>
              <w:snapToGrid w:val="0"/>
              <w:rPr>
                <w:rFonts w:hint="eastAsia" w:ascii="仿宋" w:hAnsi="仿宋" w:eastAsia="仿宋" w:cs="仿宋"/>
                <w:color w:val="auto"/>
                <w:sz w:val="24"/>
                <w:szCs w:val="24"/>
                <w:highlight w:val="none"/>
              </w:rPr>
            </w:pPr>
          </w:p>
        </w:tc>
      </w:tr>
      <w:tr w14:paraId="07B2D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3F21A708">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16</w:t>
            </w:r>
          </w:p>
        </w:tc>
        <w:tc>
          <w:tcPr>
            <w:tcW w:w="1311" w:type="pct"/>
            <w:shd w:val="clear" w:color="auto" w:fill="auto"/>
            <w:tcMar>
              <w:left w:w="0" w:type="dxa"/>
              <w:right w:w="0" w:type="dxa"/>
            </w:tcMar>
            <w:vAlign w:val="center"/>
          </w:tcPr>
          <w:p w14:paraId="5C2E7B84">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全钢活动地板</w:t>
            </w:r>
          </w:p>
        </w:tc>
        <w:tc>
          <w:tcPr>
            <w:tcW w:w="1970" w:type="pct"/>
            <w:shd w:val="clear" w:color="auto" w:fill="auto"/>
            <w:tcMar>
              <w:left w:w="0" w:type="dxa"/>
              <w:right w:w="0" w:type="dxa"/>
            </w:tcMar>
          </w:tcPr>
          <w:p w14:paraId="299E457D">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向利、沈飞、奥斯曼</w:t>
            </w:r>
          </w:p>
        </w:tc>
        <w:tc>
          <w:tcPr>
            <w:tcW w:w="872" w:type="pct"/>
            <w:shd w:val="clear" w:color="auto" w:fill="auto"/>
            <w:tcMar>
              <w:left w:w="0" w:type="dxa"/>
              <w:right w:w="0" w:type="dxa"/>
            </w:tcMar>
          </w:tcPr>
          <w:p w14:paraId="5632FFC9">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233A1445">
            <w:pPr>
              <w:widowControl w:val="0"/>
              <w:adjustRightInd w:val="0"/>
              <w:snapToGrid w:val="0"/>
              <w:rPr>
                <w:rFonts w:hint="eastAsia" w:ascii="仿宋" w:hAnsi="仿宋" w:eastAsia="仿宋" w:cs="仿宋"/>
                <w:color w:val="auto"/>
                <w:sz w:val="24"/>
                <w:szCs w:val="24"/>
                <w:highlight w:val="none"/>
              </w:rPr>
            </w:pPr>
          </w:p>
        </w:tc>
      </w:tr>
      <w:tr w14:paraId="4A9C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7" w:type="pct"/>
            <w:shd w:val="clear" w:color="auto" w:fill="auto"/>
            <w:tcMar>
              <w:left w:w="0" w:type="dxa"/>
              <w:right w:w="0" w:type="dxa"/>
            </w:tcMar>
            <w:vAlign w:val="center"/>
          </w:tcPr>
          <w:p w14:paraId="66098D1B">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17</w:t>
            </w:r>
          </w:p>
        </w:tc>
        <w:tc>
          <w:tcPr>
            <w:tcW w:w="1311" w:type="pct"/>
            <w:shd w:val="clear" w:color="auto" w:fill="auto"/>
            <w:tcMar>
              <w:left w:w="0" w:type="dxa"/>
              <w:right w:w="0" w:type="dxa"/>
            </w:tcMar>
            <w:vAlign w:val="center"/>
          </w:tcPr>
          <w:p w14:paraId="5163C7BB">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实木地板</w:t>
            </w:r>
          </w:p>
        </w:tc>
        <w:tc>
          <w:tcPr>
            <w:tcW w:w="1970" w:type="pct"/>
            <w:shd w:val="clear" w:color="auto" w:fill="auto"/>
            <w:tcMar>
              <w:left w:w="0" w:type="dxa"/>
              <w:right w:w="0" w:type="dxa"/>
            </w:tcMar>
          </w:tcPr>
          <w:p w14:paraId="54929F51">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双格、和邦盛世、大自然</w:t>
            </w:r>
          </w:p>
        </w:tc>
        <w:tc>
          <w:tcPr>
            <w:tcW w:w="872" w:type="pct"/>
            <w:shd w:val="clear" w:color="auto" w:fill="auto"/>
            <w:tcMar>
              <w:left w:w="0" w:type="dxa"/>
              <w:right w:w="0" w:type="dxa"/>
            </w:tcMar>
          </w:tcPr>
          <w:p w14:paraId="7438D9B7">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5AFF12F3">
            <w:pPr>
              <w:widowControl w:val="0"/>
              <w:adjustRightInd w:val="0"/>
              <w:snapToGrid w:val="0"/>
              <w:rPr>
                <w:rFonts w:hint="eastAsia" w:ascii="仿宋" w:hAnsi="仿宋" w:eastAsia="仿宋" w:cs="仿宋"/>
                <w:color w:val="auto"/>
                <w:sz w:val="24"/>
                <w:szCs w:val="24"/>
                <w:highlight w:val="none"/>
              </w:rPr>
            </w:pPr>
          </w:p>
        </w:tc>
      </w:tr>
      <w:tr w14:paraId="1AA8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44DBAFEC">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18</w:t>
            </w:r>
          </w:p>
        </w:tc>
        <w:tc>
          <w:tcPr>
            <w:tcW w:w="1311" w:type="pct"/>
            <w:shd w:val="clear" w:color="auto" w:fill="auto"/>
            <w:tcMar>
              <w:left w:w="0" w:type="dxa"/>
              <w:right w:w="0" w:type="dxa"/>
            </w:tcMar>
            <w:vAlign w:val="center"/>
          </w:tcPr>
          <w:p w14:paraId="7509E371">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复合木地板</w:t>
            </w:r>
          </w:p>
        </w:tc>
        <w:tc>
          <w:tcPr>
            <w:tcW w:w="1970" w:type="pct"/>
            <w:shd w:val="clear" w:color="auto" w:fill="auto"/>
            <w:tcMar>
              <w:left w:w="0" w:type="dxa"/>
              <w:right w:w="0" w:type="dxa"/>
            </w:tcMar>
          </w:tcPr>
          <w:p w14:paraId="57DEA34A">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圣象、大自然、德尔</w:t>
            </w:r>
          </w:p>
        </w:tc>
        <w:tc>
          <w:tcPr>
            <w:tcW w:w="872" w:type="pct"/>
            <w:shd w:val="clear" w:color="auto" w:fill="auto"/>
            <w:tcMar>
              <w:left w:w="0" w:type="dxa"/>
              <w:right w:w="0" w:type="dxa"/>
            </w:tcMar>
          </w:tcPr>
          <w:p w14:paraId="1E006F38">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6F93DBCB">
            <w:pPr>
              <w:widowControl w:val="0"/>
              <w:adjustRightInd w:val="0"/>
              <w:snapToGrid w:val="0"/>
              <w:rPr>
                <w:rFonts w:hint="eastAsia" w:ascii="仿宋" w:hAnsi="仿宋" w:eastAsia="仿宋" w:cs="仿宋"/>
                <w:color w:val="auto"/>
                <w:sz w:val="24"/>
                <w:szCs w:val="24"/>
                <w:highlight w:val="none"/>
              </w:rPr>
            </w:pPr>
          </w:p>
        </w:tc>
      </w:tr>
      <w:tr w14:paraId="3B7B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19ECD5AF">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19</w:t>
            </w:r>
          </w:p>
        </w:tc>
        <w:tc>
          <w:tcPr>
            <w:tcW w:w="1311" w:type="pct"/>
            <w:shd w:val="clear" w:color="auto" w:fill="auto"/>
            <w:tcMar>
              <w:left w:w="0" w:type="dxa"/>
              <w:right w:w="0" w:type="dxa"/>
            </w:tcMar>
            <w:vAlign w:val="center"/>
          </w:tcPr>
          <w:p w14:paraId="6099B62A">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地毯</w:t>
            </w:r>
          </w:p>
        </w:tc>
        <w:tc>
          <w:tcPr>
            <w:tcW w:w="1970" w:type="pct"/>
            <w:shd w:val="clear" w:color="auto" w:fill="auto"/>
            <w:tcMar>
              <w:left w:w="0" w:type="dxa"/>
              <w:right w:w="0" w:type="dxa"/>
            </w:tcMar>
          </w:tcPr>
          <w:p w14:paraId="6EBB5E63">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山花、海马、华德</w:t>
            </w:r>
          </w:p>
        </w:tc>
        <w:tc>
          <w:tcPr>
            <w:tcW w:w="872" w:type="pct"/>
            <w:shd w:val="clear" w:color="auto" w:fill="auto"/>
            <w:tcMar>
              <w:left w:w="0" w:type="dxa"/>
              <w:right w:w="0" w:type="dxa"/>
            </w:tcMar>
          </w:tcPr>
          <w:p w14:paraId="011A4F9B">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4D894022">
            <w:pPr>
              <w:widowControl w:val="0"/>
              <w:adjustRightInd w:val="0"/>
              <w:snapToGrid w:val="0"/>
              <w:rPr>
                <w:rFonts w:hint="eastAsia" w:ascii="仿宋" w:hAnsi="仿宋" w:eastAsia="仿宋" w:cs="仿宋"/>
                <w:color w:val="auto"/>
                <w:sz w:val="24"/>
                <w:szCs w:val="24"/>
                <w:highlight w:val="none"/>
              </w:rPr>
            </w:pPr>
          </w:p>
        </w:tc>
      </w:tr>
      <w:tr w14:paraId="0688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7CDA7927">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20</w:t>
            </w:r>
          </w:p>
        </w:tc>
        <w:tc>
          <w:tcPr>
            <w:tcW w:w="1311" w:type="pct"/>
            <w:shd w:val="clear" w:color="auto" w:fill="auto"/>
            <w:tcMar>
              <w:left w:w="0" w:type="dxa"/>
              <w:right w:w="0" w:type="dxa"/>
            </w:tcMar>
            <w:vAlign w:val="center"/>
          </w:tcPr>
          <w:p w14:paraId="66580A4A">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PVC地板（</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m</w:t>
            </w:r>
            <w:r>
              <w:rPr>
                <w:rFonts w:hint="eastAsia" w:ascii="仿宋" w:hAnsi="仿宋" w:eastAsia="仿宋" w:cs="仿宋"/>
                <w:color w:val="auto"/>
                <w:sz w:val="24"/>
                <w:szCs w:val="24"/>
                <w:highlight w:val="none"/>
                <w:lang w:val="en-US" w:eastAsia="zh-CN"/>
              </w:rPr>
              <w:t>m同质透心</w:t>
            </w:r>
            <w:r>
              <w:rPr>
                <w:rFonts w:hint="eastAsia" w:ascii="仿宋" w:hAnsi="仿宋" w:eastAsia="仿宋" w:cs="仿宋"/>
                <w:color w:val="auto"/>
                <w:sz w:val="24"/>
                <w:szCs w:val="24"/>
                <w:highlight w:val="none"/>
              </w:rPr>
              <w:t>）</w:t>
            </w:r>
          </w:p>
        </w:tc>
        <w:tc>
          <w:tcPr>
            <w:tcW w:w="1970" w:type="pct"/>
            <w:shd w:val="clear" w:color="auto" w:fill="auto"/>
            <w:tcMar>
              <w:left w:w="0" w:type="dxa"/>
              <w:right w:w="0" w:type="dxa"/>
            </w:tcMar>
          </w:tcPr>
          <w:p w14:paraId="7E7398EC">
            <w:pPr>
              <w:widowControl w:val="0"/>
              <w:adjustRightInd w:val="0"/>
              <w:snapToGrid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洁福</w:t>
            </w:r>
            <w:r>
              <w:rPr>
                <w:rFonts w:hint="eastAsia" w:ascii="仿宋" w:hAnsi="仿宋" w:eastAsia="仿宋" w:cs="仿宋"/>
                <w:color w:val="auto"/>
                <w:sz w:val="24"/>
                <w:szCs w:val="24"/>
                <w:highlight w:val="none"/>
                <w:lang w:eastAsia="zh-CN"/>
              </w:rPr>
              <w:t>（Gerflor 洁弗乐）</w:t>
            </w:r>
            <w:r>
              <w:rPr>
                <w:rFonts w:hint="eastAsia" w:ascii="仿宋" w:hAnsi="仿宋" w:eastAsia="仿宋" w:cs="仿宋"/>
                <w:color w:val="auto"/>
                <w:sz w:val="24"/>
                <w:szCs w:val="24"/>
                <w:highlight w:val="none"/>
              </w:rPr>
              <w:t>、阿姆斯壮</w:t>
            </w:r>
            <w:r>
              <w:rPr>
                <w:rFonts w:hint="eastAsia" w:ascii="仿宋" w:hAnsi="仿宋" w:eastAsia="仿宋" w:cs="仿宋"/>
                <w:color w:val="auto"/>
                <w:sz w:val="24"/>
                <w:szCs w:val="24"/>
                <w:highlight w:val="none"/>
                <w:lang w:eastAsia="zh-CN"/>
              </w:rPr>
              <w:t>、英稳洁</w:t>
            </w:r>
          </w:p>
        </w:tc>
        <w:tc>
          <w:tcPr>
            <w:tcW w:w="872" w:type="pct"/>
            <w:shd w:val="clear" w:color="auto" w:fill="auto"/>
            <w:tcMar>
              <w:left w:w="0" w:type="dxa"/>
              <w:right w:w="0" w:type="dxa"/>
            </w:tcMar>
          </w:tcPr>
          <w:p w14:paraId="0087893E">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0727C9A0">
            <w:pPr>
              <w:widowControl w:val="0"/>
              <w:adjustRightInd w:val="0"/>
              <w:snapToGrid w:val="0"/>
              <w:rPr>
                <w:rFonts w:hint="eastAsia" w:ascii="仿宋" w:hAnsi="仿宋" w:eastAsia="仿宋" w:cs="仿宋"/>
                <w:color w:val="auto"/>
                <w:sz w:val="24"/>
                <w:szCs w:val="24"/>
                <w:highlight w:val="none"/>
              </w:rPr>
            </w:pPr>
          </w:p>
        </w:tc>
      </w:tr>
      <w:tr w14:paraId="0B9E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30C577C2">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21</w:t>
            </w:r>
          </w:p>
        </w:tc>
        <w:tc>
          <w:tcPr>
            <w:tcW w:w="1311" w:type="pct"/>
            <w:shd w:val="clear" w:color="auto" w:fill="auto"/>
            <w:tcMar>
              <w:left w:w="0" w:type="dxa"/>
              <w:right w:w="0" w:type="dxa"/>
            </w:tcMar>
            <w:vAlign w:val="center"/>
          </w:tcPr>
          <w:p w14:paraId="6FE9A1AB">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听力中心</w:t>
            </w:r>
            <w:r>
              <w:rPr>
                <w:rFonts w:hint="eastAsia" w:ascii="仿宋" w:hAnsi="仿宋" w:eastAsia="仿宋" w:cs="仿宋"/>
                <w:color w:val="auto"/>
                <w:sz w:val="24"/>
                <w:szCs w:val="24"/>
                <w:highlight w:val="none"/>
              </w:rPr>
              <w:t>橡胶地板（</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m</w:t>
            </w:r>
            <w:r>
              <w:rPr>
                <w:rFonts w:hint="eastAsia" w:ascii="仿宋" w:hAnsi="仿宋" w:eastAsia="仿宋" w:cs="仿宋"/>
                <w:color w:val="auto"/>
                <w:sz w:val="24"/>
                <w:szCs w:val="24"/>
                <w:highlight w:val="none"/>
                <w:lang w:val="en-US" w:eastAsia="zh-CN"/>
              </w:rPr>
              <w:t>m</w:t>
            </w:r>
            <w:r>
              <w:rPr>
                <w:rFonts w:hint="eastAsia" w:ascii="仿宋" w:hAnsi="仿宋" w:eastAsia="仿宋" w:cs="仿宋"/>
                <w:color w:val="auto"/>
                <w:sz w:val="24"/>
                <w:szCs w:val="24"/>
                <w:highlight w:val="none"/>
              </w:rPr>
              <w:t>）</w:t>
            </w:r>
          </w:p>
        </w:tc>
        <w:tc>
          <w:tcPr>
            <w:tcW w:w="1970" w:type="pct"/>
            <w:shd w:val="clear" w:color="auto" w:fill="auto"/>
            <w:tcMar>
              <w:left w:w="0" w:type="dxa"/>
              <w:right w:w="0" w:type="dxa"/>
            </w:tcMar>
          </w:tcPr>
          <w:p w14:paraId="444CEA4A">
            <w:pPr>
              <w:widowControl w:val="0"/>
              <w:adjustRightInd w:val="0"/>
              <w:snapToGrid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洁福（Gerflor 洁弗乐）、</w:t>
            </w:r>
            <w:r>
              <w:rPr>
                <w:rFonts w:hint="eastAsia" w:ascii="仿宋" w:hAnsi="仿宋" w:eastAsia="仿宋" w:cs="仿宋"/>
                <w:color w:val="auto"/>
                <w:sz w:val="24"/>
                <w:szCs w:val="24"/>
                <w:highlight w:val="none"/>
              </w:rPr>
              <w:t>秦力、意大利盟多、德国诺拉</w:t>
            </w:r>
          </w:p>
        </w:tc>
        <w:tc>
          <w:tcPr>
            <w:tcW w:w="872" w:type="pct"/>
            <w:shd w:val="clear" w:color="auto" w:fill="auto"/>
            <w:tcMar>
              <w:left w:w="0" w:type="dxa"/>
              <w:right w:w="0" w:type="dxa"/>
            </w:tcMar>
          </w:tcPr>
          <w:p w14:paraId="13A08A8A">
            <w:pPr>
              <w:widowControl w:val="0"/>
              <w:adjustRightInd w:val="0"/>
              <w:snapToGrid w:val="0"/>
              <w:rPr>
                <w:rFonts w:hint="eastAsia" w:ascii="仿宋" w:hAnsi="仿宋" w:eastAsia="仿宋" w:cs="仿宋"/>
                <w:color w:val="auto"/>
                <w:sz w:val="24"/>
                <w:szCs w:val="24"/>
                <w:highlight w:val="none"/>
                <w:lang w:val="en-US" w:eastAsia="zh-CN"/>
              </w:rPr>
            </w:pPr>
          </w:p>
        </w:tc>
        <w:tc>
          <w:tcPr>
            <w:tcW w:w="548" w:type="pct"/>
            <w:shd w:val="clear" w:color="auto" w:fill="auto"/>
            <w:tcMar>
              <w:left w:w="0" w:type="dxa"/>
              <w:right w:w="0" w:type="dxa"/>
            </w:tcMar>
          </w:tcPr>
          <w:p w14:paraId="5D79FFB5">
            <w:pPr>
              <w:widowControl w:val="0"/>
              <w:adjustRightInd w:val="0"/>
              <w:snapToGrid w:val="0"/>
              <w:rPr>
                <w:rFonts w:hint="eastAsia" w:ascii="仿宋" w:hAnsi="仿宋" w:eastAsia="仿宋" w:cs="仿宋"/>
                <w:color w:val="auto"/>
                <w:sz w:val="24"/>
                <w:szCs w:val="24"/>
                <w:highlight w:val="none"/>
                <w:lang w:val="en-US" w:eastAsia="zh-CN"/>
              </w:rPr>
            </w:pPr>
          </w:p>
        </w:tc>
      </w:tr>
      <w:tr w14:paraId="2962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5A4A0F67">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22</w:t>
            </w:r>
          </w:p>
        </w:tc>
        <w:tc>
          <w:tcPr>
            <w:tcW w:w="1311" w:type="pct"/>
            <w:shd w:val="clear" w:color="auto" w:fill="auto"/>
            <w:tcMar>
              <w:left w:w="0" w:type="dxa"/>
              <w:right w:w="0" w:type="dxa"/>
            </w:tcMar>
            <w:vAlign w:val="center"/>
          </w:tcPr>
          <w:p w14:paraId="47AB9949">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酚醛树脂板</w:t>
            </w:r>
          </w:p>
        </w:tc>
        <w:tc>
          <w:tcPr>
            <w:tcW w:w="1970" w:type="pct"/>
            <w:shd w:val="clear" w:color="auto" w:fill="auto"/>
            <w:tcMar>
              <w:left w:w="0" w:type="dxa"/>
              <w:right w:w="0" w:type="dxa"/>
            </w:tcMar>
          </w:tcPr>
          <w:p w14:paraId="026D047E">
            <w:pPr>
              <w:widowControl w:val="0"/>
              <w:adjustRightInd w:val="0"/>
              <w:snapToGrid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富美家、瑞欣、普丽</w:t>
            </w:r>
          </w:p>
        </w:tc>
        <w:tc>
          <w:tcPr>
            <w:tcW w:w="872" w:type="pct"/>
            <w:shd w:val="clear" w:color="auto" w:fill="auto"/>
            <w:tcMar>
              <w:left w:w="0" w:type="dxa"/>
              <w:right w:w="0" w:type="dxa"/>
            </w:tcMar>
          </w:tcPr>
          <w:p w14:paraId="57641582">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7E43F4DC">
            <w:pPr>
              <w:widowControl w:val="0"/>
              <w:adjustRightInd w:val="0"/>
              <w:snapToGrid w:val="0"/>
              <w:rPr>
                <w:rFonts w:hint="eastAsia" w:ascii="仿宋" w:hAnsi="仿宋" w:eastAsia="仿宋" w:cs="仿宋"/>
                <w:color w:val="auto"/>
                <w:sz w:val="24"/>
                <w:szCs w:val="24"/>
                <w:highlight w:val="none"/>
              </w:rPr>
            </w:pPr>
          </w:p>
        </w:tc>
      </w:tr>
      <w:tr w14:paraId="32AC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97" w:type="pct"/>
            <w:shd w:val="clear" w:color="auto" w:fill="auto"/>
            <w:tcMar>
              <w:left w:w="0" w:type="dxa"/>
              <w:right w:w="0" w:type="dxa"/>
            </w:tcMar>
            <w:vAlign w:val="center"/>
          </w:tcPr>
          <w:p w14:paraId="7874AA89">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 xml:space="preserve"> </w:t>
            </w:r>
            <w:r>
              <w:rPr>
                <w:rFonts w:hint="eastAsia" w:ascii="仿宋" w:hAnsi="仿宋" w:eastAsia="仿宋" w:cs="仿宋"/>
                <w:b/>
                <w:color w:val="auto"/>
                <w:sz w:val="24"/>
                <w:szCs w:val="24"/>
                <w:highlight w:val="none"/>
              </w:rPr>
              <w:t>23</w:t>
            </w:r>
          </w:p>
        </w:tc>
        <w:tc>
          <w:tcPr>
            <w:tcW w:w="1311" w:type="pct"/>
            <w:shd w:val="clear" w:color="auto" w:fill="auto"/>
            <w:tcMar>
              <w:left w:w="0" w:type="dxa"/>
              <w:right w:w="0" w:type="dxa"/>
            </w:tcMar>
            <w:vAlign w:val="center"/>
          </w:tcPr>
          <w:p w14:paraId="0817C04A">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铝板方通、复合蜂窝铝板、铝板</w:t>
            </w:r>
          </w:p>
        </w:tc>
        <w:tc>
          <w:tcPr>
            <w:tcW w:w="1970" w:type="pct"/>
            <w:shd w:val="clear" w:color="auto" w:fill="auto"/>
            <w:tcMar>
              <w:left w:w="0" w:type="dxa"/>
              <w:right w:w="0" w:type="dxa"/>
            </w:tcMar>
          </w:tcPr>
          <w:p w14:paraId="211DC7F2">
            <w:pPr>
              <w:widowControl w:val="0"/>
              <w:adjustRightInd w:val="0"/>
              <w:snapToGrid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阿鲁克邦、佳美、广州龙牌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琦铝金属、富腾军霸</w:t>
            </w:r>
          </w:p>
        </w:tc>
        <w:tc>
          <w:tcPr>
            <w:tcW w:w="872" w:type="pct"/>
            <w:shd w:val="clear" w:color="auto" w:fill="auto"/>
            <w:tcMar>
              <w:left w:w="0" w:type="dxa"/>
              <w:right w:w="0" w:type="dxa"/>
            </w:tcMar>
          </w:tcPr>
          <w:p w14:paraId="7FC7AD8B">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70ABF6B5">
            <w:pPr>
              <w:widowControl w:val="0"/>
              <w:adjustRightInd w:val="0"/>
              <w:snapToGrid w:val="0"/>
              <w:rPr>
                <w:rFonts w:hint="eastAsia" w:ascii="仿宋" w:hAnsi="仿宋" w:eastAsia="仿宋" w:cs="仿宋"/>
                <w:color w:val="auto"/>
                <w:sz w:val="24"/>
                <w:szCs w:val="24"/>
                <w:highlight w:val="none"/>
              </w:rPr>
            </w:pPr>
          </w:p>
        </w:tc>
      </w:tr>
      <w:tr w14:paraId="643E1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48FD295A">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24</w:t>
            </w:r>
          </w:p>
        </w:tc>
        <w:tc>
          <w:tcPr>
            <w:tcW w:w="1311" w:type="pct"/>
            <w:shd w:val="clear" w:color="auto" w:fill="auto"/>
            <w:tcMar>
              <w:left w:w="0" w:type="dxa"/>
              <w:right w:w="0" w:type="dxa"/>
            </w:tcMar>
            <w:vAlign w:val="center"/>
          </w:tcPr>
          <w:p w14:paraId="2783B8DD">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钢质防火门</w:t>
            </w:r>
          </w:p>
        </w:tc>
        <w:tc>
          <w:tcPr>
            <w:tcW w:w="1970" w:type="pct"/>
            <w:shd w:val="clear" w:color="auto" w:fill="auto"/>
            <w:tcMar>
              <w:left w:w="0" w:type="dxa"/>
              <w:right w:w="0" w:type="dxa"/>
            </w:tcMar>
          </w:tcPr>
          <w:p w14:paraId="7E049659">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中诚博远、瑟路绅、霍曼</w:t>
            </w:r>
          </w:p>
        </w:tc>
        <w:tc>
          <w:tcPr>
            <w:tcW w:w="872" w:type="pct"/>
            <w:shd w:val="clear" w:color="auto" w:fill="auto"/>
            <w:tcMar>
              <w:left w:w="0" w:type="dxa"/>
              <w:right w:w="0" w:type="dxa"/>
            </w:tcMar>
          </w:tcPr>
          <w:p w14:paraId="3CAF7AE8">
            <w:pPr>
              <w:widowControl w:val="0"/>
              <w:adjustRightInd w:val="0"/>
              <w:snapToGrid w:val="0"/>
              <w:rPr>
                <w:rFonts w:hint="eastAsia" w:ascii="仿宋" w:hAnsi="仿宋" w:eastAsia="仿宋" w:cs="仿宋"/>
                <w:color w:val="auto"/>
                <w:sz w:val="24"/>
                <w:szCs w:val="24"/>
                <w:highlight w:val="none"/>
                <w:lang w:val="en-US" w:eastAsia="zh-CN"/>
              </w:rPr>
            </w:pPr>
          </w:p>
        </w:tc>
        <w:tc>
          <w:tcPr>
            <w:tcW w:w="548" w:type="pct"/>
            <w:shd w:val="clear" w:color="auto" w:fill="auto"/>
            <w:tcMar>
              <w:left w:w="0" w:type="dxa"/>
              <w:right w:w="0" w:type="dxa"/>
            </w:tcMar>
          </w:tcPr>
          <w:p w14:paraId="25406B73">
            <w:pPr>
              <w:widowControl w:val="0"/>
              <w:adjustRightInd w:val="0"/>
              <w:snapToGrid w:val="0"/>
              <w:rPr>
                <w:rFonts w:hint="eastAsia" w:ascii="仿宋" w:hAnsi="仿宋" w:eastAsia="仿宋" w:cs="仿宋"/>
                <w:color w:val="auto"/>
                <w:sz w:val="24"/>
                <w:szCs w:val="24"/>
                <w:highlight w:val="none"/>
                <w:lang w:val="en-US" w:eastAsia="zh-CN"/>
              </w:rPr>
            </w:pPr>
          </w:p>
        </w:tc>
      </w:tr>
      <w:tr w14:paraId="2413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4542D684">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25</w:t>
            </w:r>
          </w:p>
        </w:tc>
        <w:tc>
          <w:tcPr>
            <w:tcW w:w="1311" w:type="pct"/>
            <w:shd w:val="clear" w:color="auto" w:fill="auto"/>
            <w:tcMar>
              <w:left w:w="0" w:type="dxa"/>
              <w:right w:w="0" w:type="dxa"/>
            </w:tcMar>
            <w:vAlign w:val="center"/>
          </w:tcPr>
          <w:p w14:paraId="5374A43B">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不锈钢玻璃门</w:t>
            </w:r>
          </w:p>
        </w:tc>
        <w:tc>
          <w:tcPr>
            <w:tcW w:w="1970" w:type="pct"/>
            <w:shd w:val="clear" w:color="auto" w:fill="auto"/>
            <w:tcMar>
              <w:left w:w="0" w:type="dxa"/>
              <w:right w:w="0" w:type="dxa"/>
            </w:tcMar>
          </w:tcPr>
          <w:p w14:paraId="5888F4C7">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广东蓝盾、广州白云南粤、广州荷安</w:t>
            </w:r>
          </w:p>
        </w:tc>
        <w:tc>
          <w:tcPr>
            <w:tcW w:w="872" w:type="pct"/>
            <w:shd w:val="clear" w:color="auto" w:fill="auto"/>
            <w:tcMar>
              <w:left w:w="0" w:type="dxa"/>
              <w:right w:w="0" w:type="dxa"/>
            </w:tcMar>
          </w:tcPr>
          <w:p w14:paraId="6CDE737C">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14C093F1">
            <w:pPr>
              <w:widowControl w:val="0"/>
              <w:adjustRightInd w:val="0"/>
              <w:snapToGrid w:val="0"/>
              <w:rPr>
                <w:rFonts w:hint="eastAsia" w:ascii="仿宋" w:hAnsi="仿宋" w:eastAsia="仿宋" w:cs="仿宋"/>
                <w:color w:val="auto"/>
                <w:sz w:val="24"/>
                <w:szCs w:val="24"/>
                <w:highlight w:val="none"/>
              </w:rPr>
            </w:pPr>
          </w:p>
        </w:tc>
      </w:tr>
      <w:tr w14:paraId="29A3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5497933E">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26</w:t>
            </w:r>
          </w:p>
        </w:tc>
        <w:tc>
          <w:tcPr>
            <w:tcW w:w="1311" w:type="pct"/>
            <w:shd w:val="clear" w:color="auto" w:fill="auto"/>
            <w:tcMar>
              <w:left w:w="0" w:type="dxa"/>
              <w:right w:w="0" w:type="dxa"/>
            </w:tcMar>
            <w:vAlign w:val="center"/>
          </w:tcPr>
          <w:p w14:paraId="44375E76">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五金配件</w:t>
            </w:r>
          </w:p>
        </w:tc>
        <w:tc>
          <w:tcPr>
            <w:tcW w:w="1970" w:type="pct"/>
            <w:shd w:val="clear" w:color="auto" w:fill="auto"/>
            <w:tcMar>
              <w:left w:w="0" w:type="dxa"/>
              <w:right w:w="0" w:type="dxa"/>
            </w:tcMar>
          </w:tcPr>
          <w:p w14:paraId="2F893EC2">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英格索兰、史丹利、多麦克斯、美和</w:t>
            </w:r>
          </w:p>
        </w:tc>
        <w:tc>
          <w:tcPr>
            <w:tcW w:w="872" w:type="pct"/>
            <w:shd w:val="clear" w:color="auto" w:fill="auto"/>
            <w:tcMar>
              <w:left w:w="0" w:type="dxa"/>
              <w:right w:w="0" w:type="dxa"/>
            </w:tcMar>
          </w:tcPr>
          <w:p w14:paraId="27321A4F">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1DCA6DF9">
            <w:pPr>
              <w:widowControl w:val="0"/>
              <w:adjustRightInd w:val="0"/>
              <w:snapToGrid w:val="0"/>
              <w:rPr>
                <w:rFonts w:hint="eastAsia" w:ascii="仿宋" w:hAnsi="仿宋" w:eastAsia="仿宋" w:cs="仿宋"/>
                <w:color w:val="auto"/>
                <w:sz w:val="24"/>
                <w:szCs w:val="24"/>
                <w:highlight w:val="none"/>
              </w:rPr>
            </w:pPr>
          </w:p>
        </w:tc>
      </w:tr>
      <w:tr w14:paraId="0D4B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35D507FB">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27</w:t>
            </w:r>
          </w:p>
        </w:tc>
        <w:tc>
          <w:tcPr>
            <w:tcW w:w="1311" w:type="pct"/>
            <w:shd w:val="clear" w:color="auto" w:fill="auto"/>
            <w:tcMar>
              <w:left w:w="0" w:type="dxa"/>
              <w:right w:w="0" w:type="dxa"/>
            </w:tcMar>
            <w:vAlign w:val="center"/>
          </w:tcPr>
          <w:p w14:paraId="33CA51B4">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钢质门</w:t>
            </w:r>
          </w:p>
        </w:tc>
        <w:tc>
          <w:tcPr>
            <w:tcW w:w="1970" w:type="pct"/>
            <w:shd w:val="clear" w:color="auto" w:fill="auto"/>
            <w:tcMar>
              <w:left w:w="0" w:type="dxa"/>
              <w:right w:w="0" w:type="dxa"/>
            </w:tcMar>
          </w:tcPr>
          <w:p w14:paraId="04C2C1A7">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瑟路绅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霍曼</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天创三和</w:t>
            </w:r>
          </w:p>
        </w:tc>
        <w:tc>
          <w:tcPr>
            <w:tcW w:w="872" w:type="pct"/>
            <w:shd w:val="clear" w:color="auto" w:fill="auto"/>
            <w:tcMar>
              <w:left w:w="0" w:type="dxa"/>
              <w:right w:w="0" w:type="dxa"/>
            </w:tcMar>
          </w:tcPr>
          <w:p w14:paraId="575CE493">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4EEF00F1">
            <w:pPr>
              <w:widowControl w:val="0"/>
              <w:adjustRightInd w:val="0"/>
              <w:snapToGrid w:val="0"/>
              <w:rPr>
                <w:rFonts w:hint="eastAsia" w:ascii="仿宋" w:hAnsi="仿宋" w:eastAsia="仿宋" w:cs="仿宋"/>
                <w:color w:val="auto"/>
                <w:sz w:val="24"/>
                <w:szCs w:val="24"/>
                <w:highlight w:val="none"/>
              </w:rPr>
            </w:pPr>
          </w:p>
        </w:tc>
      </w:tr>
      <w:tr w14:paraId="38E2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731CCEFE">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28</w:t>
            </w:r>
          </w:p>
        </w:tc>
        <w:tc>
          <w:tcPr>
            <w:tcW w:w="1311" w:type="pct"/>
            <w:shd w:val="clear" w:color="auto" w:fill="auto"/>
            <w:tcMar>
              <w:left w:w="0" w:type="dxa"/>
              <w:right w:w="0" w:type="dxa"/>
            </w:tcMar>
            <w:vAlign w:val="center"/>
          </w:tcPr>
          <w:p w14:paraId="4EABEF26">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铝扣板</w:t>
            </w:r>
          </w:p>
        </w:tc>
        <w:tc>
          <w:tcPr>
            <w:tcW w:w="1970" w:type="pct"/>
            <w:shd w:val="clear" w:color="auto" w:fill="auto"/>
            <w:tcMar>
              <w:left w:w="0" w:type="dxa"/>
              <w:right w:w="0" w:type="dxa"/>
            </w:tcMar>
          </w:tcPr>
          <w:p w14:paraId="1B69C956">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欧陆、乐思龙、至高、宝狮龙</w:t>
            </w:r>
          </w:p>
        </w:tc>
        <w:tc>
          <w:tcPr>
            <w:tcW w:w="872" w:type="pct"/>
            <w:shd w:val="clear" w:color="auto" w:fill="auto"/>
            <w:tcMar>
              <w:left w:w="0" w:type="dxa"/>
              <w:right w:w="0" w:type="dxa"/>
            </w:tcMar>
          </w:tcPr>
          <w:p w14:paraId="2FDD2469">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49D9E9D9">
            <w:pPr>
              <w:widowControl w:val="0"/>
              <w:adjustRightInd w:val="0"/>
              <w:snapToGrid w:val="0"/>
              <w:rPr>
                <w:rFonts w:hint="eastAsia" w:ascii="仿宋" w:hAnsi="仿宋" w:eastAsia="仿宋" w:cs="仿宋"/>
                <w:color w:val="auto"/>
                <w:sz w:val="24"/>
                <w:szCs w:val="24"/>
                <w:highlight w:val="none"/>
              </w:rPr>
            </w:pPr>
          </w:p>
        </w:tc>
      </w:tr>
      <w:tr w14:paraId="225F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36474B99">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29</w:t>
            </w:r>
          </w:p>
        </w:tc>
        <w:tc>
          <w:tcPr>
            <w:tcW w:w="1311" w:type="pct"/>
            <w:shd w:val="clear" w:color="auto" w:fill="auto"/>
            <w:tcMar>
              <w:left w:w="0" w:type="dxa"/>
              <w:right w:w="0" w:type="dxa"/>
            </w:tcMar>
            <w:vAlign w:val="center"/>
          </w:tcPr>
          <w:p w14:paraId="1FA57D70">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铝单板</w:t>
            </w:r>
          </w:p>
        </w:tc>
        <w:tc>
          <w:tcPr>
            <w:tcW w:w="1970" w:type="pct"/>
            <w:shd w:val="clear" w:color="auto" w:fill="auto"/>
            <w:tcMar>
              <w:left w:w="0" w:type="dxa"/>
              <w:right w:w="0" w:type="dxa"/>
            </w:tcMar>
          </w:tcPr>
          <w:p w14:paraId="2741686C">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欧陆、乐思龙、至高、宝狮龙</w:t>
            </w:r>
          </w:p>
        </w:tc>
        <w:tc>
          <w:tcPr>
            <w:tcW w:w="872" w:type="pct"/>
            <w:shd w:val="clear" w:color="auto" w:fill="auto"/>
            <w:tcMar>
              <w:left w:w="0" w:type="dxa"/>
              <w:right w:w="0" w:type="dxa"/>
            </w:tcMar>
          </w:tcPr>
          <w:p w14:paraId="3DE26F12">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362D177C">
            <w:pPr>
              <w:widowControl w:val="0"/>
              <w:adjustRightInd w:val="0"/>
              <w:snapToGrid w:val="0"/>
              <w:rPr>
                <w:rFonts w:hint="eastAsia" w:ascii="仿宋" w:hAnsi="仿宋" w:eastAsia="仿宋" w:cs="仿宋"/>
                <w:color w:val="auto"/>
                <w:sz w:val="24"/>
                <w:szCs w:val="24"/>
                <w:highlight w:val="none"/>
              </w:rPr>
            </w:pPr>
          </w:p>
        </w:tc>
      </w:tr>
      <w:tr w14:paraId="0E5C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7" w:type="pct"/>
            <w:shd w:val="clear" w:color="auto" w:fill="auto"/>
            <w:tcMar>
              <w:left w:w="0" w:type="dxa"/>
              <w:right w:w="0" w:type="dxa"/>
            </w:tcMar>
            <w:vAlign w:val="center"/>
          </w:tcPr>
          <w:p w14:paraId="59C34FC7">
            <w:pPr>
              <w:widowControl w:val="0"/>
              <w:adjustRightInd w:val="0"/>
              <w:snapToGrid w:val="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30</w:t>
            </w:r>
          </w:p>
        </w:tc>
        <w:tc>
          <w:tcPr>
            <w:tcW w:w="1311" w:type="pct"/>
            <w:shd w:val="clear" w:color="auto" w:fill="auto"/>
            <w:tcMar>
              <w:left w:w="0" w:type="dxa"/>
              <w:right w:w="0" w:type="dxa"/>
            </w:tcMar>
            <w:vAlign w:val="center"/>
          </w:tcPr>
          <w:p w14:paraId="5A56417B">
            <w:pPr>
              <w:widowControl w:val="0"/>
              <w:adjustRightInd w:val="0"/>
              <w:snapToGrid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装配式隔墙</w:t>
            </w:r>
          </w:p>
        </w:tc>
        <w:tc>
          <w:tcPr>
            <w:tcW w:w="1970" w:type="pct"/>
            <w:shd w:val="clear" w:color="auto" w:fill="auto"/>
            <w:tcMar>
              <w:left w:w="0" w:type="dxa"/>
              <w:right w:w="0" w:type="dxa"/>
            </w:tcMar>
          </w:tcPr>
          <w:p w14:paraId="20280141">
            <w:pPr>
              <w:widowControl w:val="0"/>
              <w:adjustRightInd w:val="0"/>
              <w:snapToGrid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奥德利斯</w:t>
            </w:r>
            <w:r>
              <w:rPr>
                <w:rFonts w:hint="eastAsia" w:ascii="仿宋" w:hAnsi="仿宋" w:eastAsia="仿宋" w:cs="仿宋"/>
                <w:color w:val="auto"/>
                <w:sz w:val="24"/>
                <w:szCs w:val="24"/>
                <w:highlight w:val="none"/>
                <w:lang w:eastAsia="zh-CN"/>
              </w:rPr>
              <w:t>、艾勒优、富乐森</w:t>
            </w:r>
          </w:p>
        </w:tc>
        <w:tc>
          <w:tcPr>
            <w:tcW w:w="872" w:type="pct"/>
            <w:shd w:val="clear" w:color="auto" w:fill="auto"/>
            <w:tcMar>
              <w:left w:w="0" w:type="dxa"/>
              <w:right w:w="0" w:type="dxa"/>
            </w:tcMar>
          </w:tcPr>
          <w:p w14:paraId="4FBFF6D0">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5489851D">
            <w:pPr>
              <w:widowControl w:val="0"/>
              <w:adjustRightInd w:val="0"/>
              <w:snapToGrid w:val="0"/>
              <w:rPr>
                <w:rFonts w:hint="eastAsia" w:ascii="仿宋" w:hAnsi="仿宋" w:eastAsia="仿宋" w:cs="仿宋"/>
                <w:color w:val="auto"/>
                <w:sz w:val="24"/>
                <w:szCs w:val="24"/>
                <w:highlight w:val="none"/>
              </w:rPr>
            </w:pPr>
          </w:p>
        </w:tc>
      </w:tr>
      <w:tr w14:paraId="2A33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0018415A">
            <w:pPr>
              <w:widowControl w:val="0"/>
              <w:adjustRightInd w:val="0"/>
              <w:snapToGrid w:val="0"/>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31</w:t>
            </w:r>
          </w:p>
        </w:tc>
        <w:tc>
          <w:tcPr>
            <w:tcW w:w="1311" w:type="pct"/>
            <w:shd w:val="clear" w:color="auto" w:fill="auto"/>
            <w:tcMar>
              <w:left w:w="0" w:type="dxa"/>
              <w:right w:w="0" w:type="dxa"/>
            </w:tcMar>
            <w:vAlign w:val="top"/>
          </w:tcPr>
          <w:p w14:paraId="1F8445B7">
            <w:pPr>
              <w:widowControl w:val="0"/>
              <w:adjustRightInd w:val="0"/>
              <w:snapToGrid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吸音隔音减震模块</w:t>
            </w:r>
          </w:p>
        </w:tc>
        <w:tc>
          <w:tcPr>
            <w:tcW w:w="1970" w:type="pct"/>
            <w:shd w:val="clear" w:color="auto" w:fill="auto"/>
            <w:tcMar>
              <w:left w:w="0" w:type="dxa"/>
              <w:right w:w="0" w:type="dxa"/>
            </w:tcMar>
            <w:vAlign w:val="top"/>
          </w:tcPr>
          <w:p w14:paraId="0B5FF704">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富尔莱，拓尔声学，乐桥</w:t>
            </w:r>
          </w:p>
        </w:tc>
        <w:tc>
          <w:tcPr>
            <w:tcW w:w="872" w:type="pct"/>
            <w:shd w:val="clear" w:color="auto" w:fill="auto"/>
            <w:tcMar>
              <w:left w:w="0" w:type="dxa"/>
              <w:right w:w="0" w:type="dxa"/>
            </w:tcMar>
            <w:vAlign w:val="top"/>
          </w:tcPr>
          <w:p w14:paraId="5639A41C">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vAlign w:val="top"/>
          </w:tcPr>
          <w:p w14:paraId="63185C32">
            <w:pPr>
              <w:widowControl w:val="0"/>
              <w:adjustRightInd w:val="0"/>
              <w:snapToGrid w:val="0"/>
              <w:rPr>
                <w:rFonts w:hint="eastAsia" w:ascii="仿宋" w:hAnsi="仿宋" w:eastAsia="仿宋" w:cs="仿宋"/>
                <w:color w:val="auto"/>
                <w:sz w:val="24"/>
                <w:szCs w:val="24"/>
                <w:highlight w:val="none"/>
              </w:rPr>
            </w:pPr>
          </w:p>
        </w:tc>
      </w:tr>
      <w:tr w14:paraId="158D7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7" w:type="pct"/>
            <w:shd w:val="clear" w:color="auto" w:fill="auto"/>
            <w:tcMar>
              <w:left w:w="0" w:type="dxa"/>
              <w:right w:w="0" w:type="dxa"/>
            </w:tcMar>
            <w:vAlign w:val="center"/>
          </w:tcPr>
          <w:p w14:paraId="6FC52BD5">
            <w:pPr>
              <w:widowControl w:val="0"/>
              <w:adjustRightInd w:val="0"/>
              <w:snapToGrid w:val="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lang w:val="en-US" w:eastAsia="zh-CN"/>
              </w:rPr>
              <w:t>32</w:t>
            </w:r>
          </w:p>
        </w:tc>
        <w:tc>
          <w:tcPr>
            <w:tcW w:w="1311" w:type="pct"/>
            <w:shd w:val="clear" w:color="auto" w:fill="auto"/>
            <w:tcMar>
              <w:left w:w="0" w:type="dxa"/>
              <w:right w:w="0" w:type="dxa"/>
            </w:tcMar>
            <w:vAlign w:val="top"/>
          </w:tcPr>
          <w:p w14:paraId="7EDB91A6">
            <w:pPr>
              <w:widowControl w:val="0"/>
              <w:adjustRightInd w:val="0"/>
              <w:snapToGrid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首层大堂大理石</w:t>
            </w:r>
          </w:p>
        </w:tc>
        <w:tc>
          <w:tcPr>
            <w:tcW w:w="1970" w:type="pct"/>
            <w:shd w:val="clear" w:color="auto" w:fill="auto"/>
            <w:tcMar>
              <w:left w:w="0" w:type="dxa"/>
              <w:right w:w="0" w:type="dxa"/>
            </w:tcMar>
            <w:vAlign w:val="top"/>
          </w:tcPr>
          <w:p w14:paraId="61C977A4">
            <w:pPr>
              <w:widowControl w:val="0"/>
              <w:adjustRightInd w:val="0"/>
              <w:snapToGrid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环球、东成石材、康利KANGLI</w:t>
            </w:r>
          </w:p>
        </w:tc>
        <w:tc>
          <w:tcPr>
            <w:tcW w:w="872" w:type="pct"/>
            <w:shd w:val="clear" w:color="auto" w:fill="auto"/>
            <w:tcMar>
              <w:left w:w="0" w:type="dxa"/>
              <w:right w:w="0" w:type="dxa"/>
            </w:tcMar>
            <w:vAlign w:val="top"/>
          </w:tcPr>
          <w:p w14:paraId="34429EE6">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vAlign w:val="top"/>
          </w:tcPr>
          <w:p w14:paraId="74B2A2F2">
            <w:pPr>
              <w:widowControl w:val="0"/>
              <w:adjustRightInd w:val="0"/>
              <w:snapToGrid w:val="0"/>
              <w:rPr>
                <w:rFonts w:hint="eastAsia" w:ascii="仿宋" w:hAnsi="仿宋" w:eastAsia="仿宋" w:cs="仿宋"/>
                <w:color w:val="auto"/>
                <w:sz w:val="24"/>
                <w:szCs w:val="24"/>
                <w:highlight w:val="none"/>
              </w:rPr>
            </w:pPr>
          </w:p>
        </w:tc>
      </w:tr>
      <w:tr w14:paraId="0D33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0" w:type="pct"/>
            <w:gridSpan w:val="5"/>
            <w:shd w:val="clear" w:color="auto" w:fill="auto"/>
            <w:tcMar>
              <w:left w:w="0" w:type="dxa"/>
              <w:right w:w="0" w:type="dxa"/>
            </w:tcMar>
            <w:vAlign w:val="center"/>
          </w:tcPr>
          <w:p w14:paraId="09A8E914">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机电安装工程部分</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tab/>
            </w:r>
          </w:p>
        </w:tc>
      </w:tr>
      <w:tr w14:paraId="2B21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0" w:type="pct"/>
            <w:gridSpan w:val="5"/>
            <w:shd w:val="clear" w:color="auto" w:fill="auto"/>
            <w:tcMar>
              <w:left w:w="0" w:type="dxa"/>
              <w:right w:w="0" w:type="dxa"/>
            </w:tcMar>
            <w:vAlign w:val="center"/>
          </w:tcPr>
          <w:p w14:paraId="17F37AA8">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一、电气系统</w:t>
            </w:r>
          </w:p>
        </w:tc>
      </w:tr>
      <w:tr w14:paraId="33186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029F3A51">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p>
        </w:tc>
        <w:tc>
          <w:tcPr>
            <w:tcW w:w="1311" w:type="pct"/>
            <w:shd w:val="clear" w:color="auto" w:fill="auto"/>
            <w:tcMar>
              <w:left w:w="0" w:type="dxa"/>
              <w:right w:w="0" w:type="dxa"/>
            </w:tcMar>
            <w:vAlign w:val="center"/>
          </w:tcPr>
          <w:p w14:paraId="63393DD4">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成套高压柜</w:t>
            </w:r>
          </w:p>
        </w:tc>
        <w:tc>
          <w:tcPr>
            <w:tcW w:w="1970" w:type="pct"/>
            <w:shd w:val="clear" w:color="auto" w:fill="auto"/>
            <w:tcMar>
              <w:left w:w="0" w:type="dxa"/>
              <w:right w:w="0" w:type="dxa"/>
            </w:tcMar>
            <w:vAlign w:val="center"/>
          </w:tcPr>
          <w:p w14:paraId="04EAC27A">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ABB、西门子、施耐德</w:t>
            </w:r>
          </w:p>
        </w:tc>
        <w:tc>
          <w:tcPr>
            <w:tcW w:w="872" w:type="pct"/>
            <w:shd w:val="clear" w:color="auto" w:fill="auto"/>
            <w:tcMar>
              <w:left w:w="0" w:type="dxa"/>
              <w:right w:w="0" w:type="dxa"/>
            </w:tcMar>
            <w:vAlign w:val="center"/>
          </w:tcPr>
          <w:p w14:paraId="483F26C9">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vAlign w:val="center"/>
          </w:tcPr>
          <w:p w14:paraId="469DC006">
            <w:pPr>
              <w:widowControl w:val="0"/>
              <w:adjustRightInd w:val="0"/>
              <w:snapToGrid w:val="0"/>
              <w:rPr>
                <w:rFonts w:hint="eastAsia" w:ascii="仿宋" w:hAnsi="仿宋" w:eastAsia="仿宋" w:cs="仿宋"/>
                <w:color w:val="auto"/>
                <w:sz w:val="24"/>
                <w:szCs w:val="24"/>
                <w:highlight w:val="none"/>
              </w:rPr>
            </w:pPr>
          </w:p>
        </w:tc>
      </w:tr>
      <w:tr w14:paraId="35619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2B4400C6">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p>
        </w:tc>
        <w:tc>
          <w:tcPr>
            <w:tcW w:w="1311" w:type="pct"/>
            <w:shd w:val="clear" w:color="auto" w:fill="auto"/>
            <w:tcMar>
              <w:left w:w="0" w:type="dxa"/>
              <w:right w:w="0" w:type="dxa"/>
            </w:tcMar>
            <w:vAlign w:val="center"/>
          </w:tcPr>
          <w:p w14:paraId="0FC683EA">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成套低压柜</w:t>
            </w:r>
          </w:p>
        </w:tc>
        <w:tc>
          <w:tcPr>
            <w:tcW w:w="1970" w:type="pct"/>
            <w:shd w:val="clear" w:color="auto" w:fill="auto"/>
            <w:tcMar>
              <w:left w:w="0" w:type="dxa"/>
              <w:right w:w="0" w:type="dxa"/>
            </w:tcMar>
            <w:vAlign w:val="center"/>
          </w:tcPr>
          <w:p w14:paraId="3FAB7DE7">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ABB、西门子、施耐德</w:t>
            </w:r>
          </w:p>
        </w:tc>
        <w:tc>
          <w:tcPr>
            <w:tcW w:w="872" w:type="pct"/>
            <w:shd w:val="clear" w:color="auto" w:fill="auto"/>
            <w:tcMar>
              <w:left w:w="0" w:type="dxa"/>
              <w:right w:w="0" w:type="dxa"/>
            </w:tcMar>
            <w:vAlign w:val="center"/>
          </w:tcPr>
          <w:p w14:paraId="27E03D11">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vAlign w:val="center"/>
          </w:tcPr>
          <w:p w14:paraId="28411050">
            <w:pPr>
              <w:widowControl w:val="0"/>
              <w:adjustRightInd w:val="0"/>
              <w:snapToGrid w:val="0"/>
              <w:rPr>
                <w:rFonts w:hint="eastAsia" w:ascii="仿宋" w:hAnsi="仿宋" w:eastAsia="仿宋" w:cs="仿宋"/>
                <w:color w:val="auto"/>
                <w:sz w:val="24"/>
                <w:szCs w:val="24"/>
                <w:highlight w:val="none"/>
              </w:rPr>
            </w:pPr>
          </w:p>
        </w:tc>
      </w:tr>
      <w:tr w14:paraId="59B2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1D024A89">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p>
        </w:tc>
        <w:tc>
          <w:tcPr>
            <w:tcW w:w="1311" w:type="pct"/>
            <w:shd w:val="clear" w:color="auto" w:fill="auto"/>
            <w:tcMar>
              <w:left w:w="0" w:type="dxa"/>
              <w:right w:w="0" w:type="dxa"/>
            </w:tcMar>
            <w:vAlign w:val="center"/>
          </w:tcPr>
          <w:p w14:paraId="34311388">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变压器</w:t>
            </w:r>
          </w:p>
        </w:tc>
        <w:tc>
          <w:tcPr>
            <w:tcW w:w="1970" w:type="pct"/>
            <w:shd w:val="clear" w:color="auto" w:fill="auto"/>
            <w:tcMar>
              <w:left w:w="0" w:type="dxa"/>
              <w:right w:w="0" w:type="dxa"/>
            </w:tcMar>
            <w:vAlign w:val="center"/>
          </w:tcPr>
          <w:p w14:paraId="3DE9B661">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施耐德（合资）</w:t>
            </w:r>
            <w:r>
              <w:rPr>
                <w:rFonts w:hint="eastAsia" w:ascii="仿宋" w:hAnsi="仿宋" w:eastAsia="仿宋" w:cs="仿宋"/>
                <w:color w:val="auto"/>
                <w:sz w:val="24"/>
                <w:szCs w:val="24"/>
                <w:highlight w:val="none"/>
                <w:lang w:eastAsia="zh-CN"/>
              </w:rPr>
              <w:t>、</w:t>
            </w:r>
            <w:r>
              <w:rPr>
                <w:rFonts w:hint="eastAsia"/>
                <w:color w:val="auto"/>
                <w:highlight w:val="none"/>
                <w:lang w:val="en-US" w:eastAsia="zh-CN"/>
              </w:rPr>
              <w:t>ABB、西门子</w:t>
            </w:r>
            <w:r>
              <w:rPr>
                <w:rFonts w:hint="eastAsia" w:ascii="仿宋" w:hAnsi="仿宋" w:eastAsia="仿宋" w:cs="仿宋"/>
                <w:color w:val="auto"/>
                <w:sz w:val="24"/>
                <w:szCs w:val="24"/>
                <w:highlight w:val="none"/>
              </w:rPr>
              <w:t>；</w:t>
            </w:r>
          </w:p>
        </w:tc>
        <w:tc>
          <w:tcPr>
            <w:tcW w:w="872" w:type="pct"/>
            <w:shd w:val="clear" w:color="auto" w:fill="auto"/>
            <w:tcMar>
              <w:left w:w="0" w:type="dxa"/>
              <w:right w:w="0" w:type="dxa"/>
            </w:tcMar>
            <w:vAlign w:val="center"/>
          </w:tcPr>
          <w:p w14:paraId="396ED47F">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vAlign w:val="center"/>
          </w:tcPr>
          <w:p w14:paraId="43BC8DB1">
            <w:pPr>
              <w:widowControl w:val="0"/>
              <w:adjustRightInd w:val="0"/>
              <w:snapToGrid w:val="0"/>
              <w:rPr>
                <w:rFonts w:hint="eastAsia" w:ascii="仿宋" w:hAnsi="仿宋" w:eastAsia="仿宋" w:cs="仿宋"/>
                <w:color w:val="auto"/>
                <w:sz w:val="24"/>
                <w:szCs w:val="24"/>
                <w:highlight w:val="none"/>
              </w:rPr>
            </w:pPr>
          </w:p>
        </w:tc>
      </w:tr>
      <w:tr w14:paraId="153A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2055A0ED">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w:t>
            </w:r>
          </w:p>
        </w:tc>
        <w:tc>
          <w:tcPr>
            <w:tcW w:w="1311" w:type="pct"/>
            <w:shd w:val="clear" w:color="auto" w:fill="auto"/>
            <w:tcMar>
              <w:left w:w="0" w:type="dxa"/>
              <w:right w:w="0" w:type="dxa"/>
            </w:tcMar>
            <w:vAlign w:val="center"/>
          </w:tcPr>
          <w:p w14:paraId="4897B11B">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密集母线</w:t>
            </w:r>
          </w:p>
        </w:tc>
        <w:tc>
          <w:tcPr>
            <w:tcW w:w="1970" w:type="pct"/>
            <w:shd w:val="clear" w:color="auto" w:fill="auto"/>
            <w:tcMar>
              <w:left w:w="0" w:type="dxa"/>
              <w:right w:w="0" w:type="dxa"/>
            </w:tcMar>
            <w:vAlign w:val="center"/>
          </w:tcPr>
          <w:p w14:paraId="191912DF">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ABB、西门子、施耐德（合资）</w:t>
            </w:r>
          </w:p>
        </w:tc>
        <w:tc>
          <w:tcPr>
            <w:tcW w:w="872" w:type="pct"/>
            <w:shd w:val="clear" w:color="auto" w:fill="auto"/>
            <w:tcMar>
              <w:left w:w="0" w:type="dxa"/>
              <w:right w:w="0" w:type="dxa"/>
            </w:tcMar>
            <w:vAlign w:val="center"/>
          </w:tcPr>
          <w:p w14:paraId="11498E46">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vAlign w:val="center"/>
          </w:tcPr>
          <w:p w14:paraId="58DAF751">
            <w:pPr>
              <w:widowControl w:val="0"/>
              <w:adjustRightInd w:val="0"/>
              <w:snapToGrid w:val="0"/>
              <w:rPr>
                <w:rFonts w:hint="eastAsia" w:ascii="仿宋" w:hAnsi="仿宋" w:eastAsia="仿宋" w:cs="仿宋"/>
                <w:color w:val="auto"/>
                <w:sz w:val="24"/>
                <w:szCs w:val="24"/>
                <w:highlight w:val="none"/>
              </w:rPr>
            </w:pPr>
          </w:p>
        </w:tc>
      </w:tr>
      <w:tr w14:paraId="736C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7" w:type="pct"/>
            <w:shd w:val="clear" w:color="auto" w:fill="auto"/>
            <w:tcMar>
              <w:left w:w="0" w:type="dxa"/>
              <w:right w:w="0" w:type="dxa"/>
            </w:tcMar>
            <w:vAlign w:val="center"/>
          </w:tcPr>
          <w:p w14:paraId="3144C178">
            <w:pPr>
              <w:widowControl w:val="0"/>
              <w:adjustRightInd w:val="0"/>
              <w:snapToGrid w:val="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5</w:t>
            </w:r>
          </w:p>
        </w:tc>
        <w:tc>
          <w:tcPr>
            <w:tcW w:w="1311" w:type="pct"/>
            <w:shd w:val="clear" w:color="auto" w:fill="auto"/>
            <w:tcMar>
              <w:left w:w="0" w:type="dxa"/>
              <w:right w:w="0" w:type="dxa"/>
            </w:tcMar>
            <w:vAlign w:val="center"/>
          </w:tcPr>
          <w:p w14:paraId="48E9CDE9">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配电箱</w:t>
            </w:r>
          </w:p>
        </w:tc>
        <w:tc>
          <w:tcPr>
            <w:tcW w:w="1970" w:type="pct"/>
            <w:shd w:val="clear" w:color="auto" w:fill="auto"/>
            <w:tcMar>
              <w:left w:w="0" w:type="dxa"/>
              <w:right w:w="0" w:type="dxa"/>
            </w:tcMar>
            <w:vAlign w:val="center"/>
          </w:tcPr>
          <w:p w14:paraId="50A23FD8">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白云电器、东莞基业、南洋、鹏升</w:t>
            </w:r>
          </w:p>
        </w:tc>
        <w:tc>
          <w:tcPr>
            <w:tcW w:w="872" w:type="pct"/>
            <w:shd w:val="clear" w:color="auto" w:fill="auto"/>
            <w:tcMar>
              <w:left w:w="0" w:type="dxa"/>
              <w:right w:w="0" w:type="dxa"/>
            </w:tcMar>
            <w:vAlign w:val="center"/>
          </w:tcPr>
          <w:p w14:paraId="0704380A">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vAlign w:val="center"/>
          </w:tcPr>
          <w:p w14:paraId="7843E7A1">
            <w:pPr>
              <w:widowControl w:val="0"/>
              <w:adjustRightInd w:val="0"/>
              <w:snapToGrid w:val="0"/>
              <w:rPr>
                <w:rFonts w:hint="eastAsia" w:ascii="仿宋" w:hAnsi="仿宋" w:eastAsia="仿宋" w:cs="仿宋"/>
                <w:color w:val="auto"/>
                <w:sz w:val="24"/>
                <w:szCs w:val="24"/>
                <w:highlight w:val="none"/>
              </w:rPr>
            </w:pPr>
          </w:p>
        </w:tc>
      </w:tr>
      <w:tr w14:paraId="04CC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1E11009D">
            <w:pPr>
              <w:widowControl w:val="0"/>
              <w:adjustRightInd w:val="0"/>
              <w:snapToGrid w:val="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6</w:t>
            </w:r>
          </w:p>
        </w:tc>
        <w:tc>
          <w:tcPr>
            <w:tcW w:w="1311" w:type="pct"/>
            <w:shd w:val="clear" w:color="auto" w:fill="auto"/>
            <w:tcMar>
              <w:left w:w="0" w:type="dxa"/>
              <w:right w:w="0" w:type="dxa"/>
            </w:tcMar>
            <w:vAlign w:val="center"/>
          </w:tcPr>
          <w:p w14:paraId="493EB693">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配电箱内断路器、开关</w:t>
            </w:r>
          </w:p>
        </w:tc>
        <w:tc>
          <w:tcPr>
            <w:tcW w:w="1970" w:type="pct"/>
            <w:shd w:val="clear" w:color="auto" w:fill="auto"/>
            <w:tcMar>
              <w:left w:w="0" w:type="dxa"/>
              <w:right w:w="0" w:type="dxa"/>
            </w:tcMar>
            <w:vAlign w:val="center"/>
          </w:tcPr>
          <w:p w14:paraId="57539A6D">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ABB、西门子、施耐德（合资）</w:t>
            </w:r>
          </w:p>
        </w:tc>
        <w:tc>
          <w:tcPr>
            <w:tcW w:w="872" w:type="pct"/>
            <w:shd w:val="clear" w:color="auto" w:fill="auto"/>
            <w:tcMar>
              <w:left w:w="0" w:type="dxa"/>
              <w:right w:w="0" w:type="dxa"/>
            </w:tcMar>
            <w:vAlign w:val="center"/>
          </w:tcPr>
          <w:p w14:paraId="07A62BAB">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vAlign w:val="center"/>
          </w:tcPr>
          <w:p w14:paraId="6C09AB91">
            <w:pPr>
              <w:widowControl w:val="0"/>
              <w:adjustRightInd w:val="0"/>
              <w:snapToGrid w:val="0"/>
              <w:rPr>
                <w:rFonts w:hint="eastAsia" w:ascii="仿宋" w:hAnsi="仿宋" w:eastAsia="仿宋" w:cs="仿宋"/>
                <w:color w:val="auto"/>
                <w:sz w:val="24"/>
                <w:szCs w:val="24"/>
                <w:highlight w:val="none"/>
              </w:rPr>
            </w:pPr>
          </w:p>
        </w:tc>
      </w:tr>
      <w:tr w14:paraId="25BE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1A70DC36">
            <w:pPr>
              <w:widowControl w:val="0"/>
              <w:adjustRightInd w:val="0"/>
              <w:snapToGrid w:val="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7</w:t>
            </w:r>
          </w:p>
        </w:tc>
        <w:tc>
          <w:tcPr>
            <w:tcW w:w="1311" w:type="pct"/>
            <w:shd w:val="clear" w:color="auto" w:fill="auto"/>
            <w:tcMar>
              <w:left w:w="0" w:type="dxa"/>
              <w:right w:w="0" w:type="dxa"/>
            </w:tcMar>
            <w:vAlign w:val="center"/>
          </w:tcPr>
          <w:p w14:paraId="7380405A">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IT电源</w:t>
            </w:r>
          </w:p>
        </w:tc>
        <w:tc>
          <w:tcPr>
            <w:tcW w:w="1970" w:type="pct"/>
            <w:shd w:val="clear" w:color="auto" w:fill="auto"/>
            <w:tcMar>
              <w:left w:w="0" w:type="dxa"/>
              <w:right w:w="0" w:type="dxa"/>
            </w:tcMar>
            <w:vAlign w:val="center"/>
          </w:tcPr>
          <w:p w14:paraId="0DC79138">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ABB、西门子、施耐德（合资）</w:t>
            </w:r>
          </w:p>
        </w:tc>
        <w:tc>
          <w:tcPr>
            <w:tcW w:w="872" w:type="pct"/>
            <w:shd w:val="clear" w:color="auto" w:fill="auto"/>
            <w:tcMar>
              <w:left w:w="0" w:type="dxa"/>
              <w:right w:w="0" w:type="dxa"/>
            </w:tcMar>
            <w:vAlign w:val="center"/>
          </w:tcPr>
          <w:p w14:paraId="6764232A">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vAlign w:val="center"/>
          </w:tcPr>
          <w:p w14:paraId="69CC198A">
            <w:pPr>
              <w:widowControl w:val="0"/>
              <w:adjustRightInd w:val="0"/>
              <w:snapToGrid w:val="0"/>
              <w:rPr>
                <w:rFonts w:hint="eastAsia" w:ascii="仿宋" w:hAnsi="仿宋" w:eastAsia="仿宋" w:cs="仿宋"/>
                <w:color w:val="auto"/>
                <w:sz w:val="24"/>
                <w:szCs w:val="24"/>
                <w:highlight w:val="none"/>
              </w:rPr>
            </w:pPr>
          </w:p>
        </w:tc>
      </w:tr>
      <w:tr w14:paraId="763E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68C465CA">
            <w:pPr>
              <w:widowControl w:val="0"/>
              <w:adjustRightInd w:val="0"/>
              <w:snapToGrid w:val="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8</w:t>
            </w:r>
          </w:p>
        </w:tc>
        <w:tc>
          <w:tcPr>
            <w:tcW w:w="1311" w:type="pct"/>
            <w:shd w:val="clear" w:color="auto" w:fill="auto"/>
            <w:tcMar>
              <w:left w:w="0" w:type="dxa"/>
              <w:right w:w="0" w:type="dxa"/>
            </w:tcMar>
            <w:vAlign w:val="center"/>
          </w:tcPr>
          <w:p w14:paraId="63188952">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开关、插座</w:t>
            </w:r>
          </w:p>
        </w:tc>
        <w:tc>
          <w:tcPr>
            <w:tcW w:w="1970" w:type="pct"/>
            <w:shd w:val="clear" w:color="auto" w:fill="auto"/>
            <w:tcMar>
              <w:left w:w="0" w:type="dxa"/>
              <w:right w:w="0" w:type="dxa"/>
            </w:tcMar>
            <w:vAlign w:val="center"/>
          </w:tcPr>
          <w:p w14:paraId="40001D64">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西门子、TCL-罗格朗、西蒙</w:t>
            </w:r>
          </w:p>
        </w:tc>
        <w:tc>
          <w:tcPr>
            <w:tcW w:w="872" w:type="pct"/>
            <w:shd w:val="clear" w:color="auto" w:fill="auto"/>
            <w:tcMar>
              <w:left w:w="0" w:type="dxa"/>
              <w:right w:w="0" w:type="dxa"/>
            </w:tcMar>
            <w:vAlign w:val="center"/>
          </w:tcPr>
          <w:p w14:paraId="7E0D3B7E">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vAlign w:val="center"/>
          </w:tcPr>
          <w:p w14:paraId="635C3AEF">
            <w:pPr>
              <w:widowControl w:val="0"/>
              <w:adjustRightInd w:val="0"/>
              <w:snapToGrid w:val="0"/>
              <w:rPr>
                <w:rFonts w:hint="eastAsia" w:ascii="仿宋" w:hAnsi="仿宋" w:eastAsia="仿宋" w:cs="仿宋"/>
                <w:color w:val="auto"/>
                <w:sz w:val="24"/>
                <w:szCs w:val="24"/>
                <w:highlight w:val="none"/>
              </w:rPr>
            </w:pPr>
          </w:p>
        </w:tc>
      </w:tr>
      <w:tr w14:paraId="6508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7" w:type="pct"/>
            <w:shd w:val="clear" w:color="auto" w:fill="auto"/>
            <w:tcMar>
              <w:left w:w="0" w:type="dxa"/>
              <w:right w:w="0" w:type="dxa"/>
            </w:tcMar>
            <w:vAlign w:val="center"/>
          </w:tcPr>
          <w:p w14:paraId="00A4B1C0">
            <w:pPr>
              <w:widowControl w:val="0"/>
              <w:adjustRightInd w:val="0"/>
              <w:snapToGrid w:val="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9</w:t>
            </w:r>
          </w:p>
        </w:tc>
        <w:tc>
          <w:tcPr>
            <w:tcW w:w="1311" w:type="pct"/>
            <w:shd w:val="clear" w:color="auto" w:fill="auto"/>
            <w:tcMar>
              <w:left w:w="0" w:type="dxa"/>
              <w:right w:w="0" w:type="dxa"/>
            </w:tcMar>
            <w:vAlign w:val="center"/>
          </w:tcPr>
          <w:p w14:paraId="17168E09">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桥架、金属软管</w:t>
            </w:r>
          </w:p>
        </w:tc>
        <w:tc>
          <w:tcPr>
            <w:tcW w:w="1970" w:type="pct"/>
            <w:shd w:val="clear" w:color="auto" w:fill="auto"/>
            <w:tcMar>
              <w:left w:w="0" w:type="dxa"/>
              <w:right w:w="0" w:type="dxa"/>
            </w:tcMar>
            <w:vAlign w:val="center"/>
          </w:tcPr>
          <w:p w14:paraId="2E275BF3">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文兴、鹏升、半径、西钢、</w:t>
            </w:r>
          </w:p>
        </w:tc>
        <w:tc>
          <w:tcPr>
            <w:tcW w:w="872" w:type="pct"/>
            <w:shd w:val="clear" w:color="auto" w:fill="auto"/>
            <w:tcMar>
              <w:left w:w="0" w:type="dxa"/>
              <w:right w:w="0" w:type="dxa"/>
            </w:tcMar>
            <w:vAlign w:val="center"/>
          </w:tcPr>
          <w:p w14:paraId="7E89E198">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vAlign w:val="center"/>
          </w:tcPr>
          <w:p w14:paraId="45AA8D14">
            <w:pPr>
              <w:widowControl w:val="0"/>
              <w:adjustRightInd w:val="0"/>
              <w:snapToGrid w:val="0"/>
              <w:rPr>
                <w:rFonts w:hint="eastAsia" w:ascii="仿宋" w:hAnsi="仿宋" w:eastAsia="仿宋" w:cs="仿宋"/>
                <w:color w:val="auto"/>
                <w:sz w:val="24"/>
                <w:szCs w:val="24"/>
                <w:highlight w:val="none"/>
              </w:rPr>
            </w:pPr>
          </w:p>
        </w:tc>
      </w:tr>
      <w:tr w14:paraId="529B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4FDD8A6C">
            <w:pPr>
              <w:widowControl w:val="0"/>
              <w:adjustRightInd w:val="0"/>
              <w:snapToGrid w:val="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0</w:t>
            </w:r>
          </w:p>
        </w:tc>
        <w:tc>
          <w:tcPr>
            <w:tcW w:w="1311" w:type="pct"/>
            <w:shd w:val="clear" w:color="auto" w:fill="auto"/>
            <w:tcMar>
              <w:left w:w="0" w:type="dxa"/>
              <w:right w:w="0" w:type="dxa"/>
            </w:tcMar>
            <w:vAlign w:val="center"/>
          </w:tcPr>
          <w:p w14:paraId="1F540668">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电气配管、线槽</w:t>
            </w:r>
          </w:p>
        </w:tc>
        <w:tc>
          <w:tcPr>
            <w:tcW w:w="1970" w:type="pct"/>
            <w:shd w:val="clear" w:color="auto" w:fill="auto"/>
            <w:tcMar>
              <w:left w:w="0" w:type="dxa"/>
              <w:right w:w="0" w:type="dxa"/>
            </w:tcMar>
            <w:vAlign w:val="center"/>
          </w:tcPr>
          <w:p w14:paraId="2E1A994C">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联塑、宏际、文兴、基业</w:t>
            </w:r>
          </w:p>
        </w:tc>
        <w:tc>
          <w:tcPr>
            <w:tcW w:w="872" w:type="pct"/>
            <w:shd w:val="clear" w:color="auto" w:fill="auto"/>
            <w:tcMar>
              <w:left w:w="0" w:type="dxa"/>
              <w:right w:w="0" w:type="dxa"/>
            </w:tcMar>
            <w:vAlign w:val="center"/>
          </w:tcPr>
          <w:p w14:paraId="47F3823E">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vAlign w:val="center"/>
          </w:tcPr>
          <w:p w14:paraId="239D4C0A">
            <w:pPr>
              <w:widowControl w:val="0"/>
              <w:adjustRightInd w:val="0"/>
              <w:snapToGrid w:val="0"/>
              <w:rPr>
                <w:rFonts w:hint="eastAsia" w:ascii="仿宋" w:hAnsi="仿宋" w:eastAsia="仿宋" w:cs="仿宋"/>
                <w:color w:val="auto"/>
                <w:sz w:val="24"/>
                <w:szCs w:val="24"/>
                <w:highlight w:val="none"/>
              </w:rPr>
            </w:pPr>
          </w:p>
        </w:tc>
      </w:tr>
      <w:tr w14:paraId="2DEC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6CC3E59D">
            <w:pPr>
              <w:widowControl w:val="0"/>
              <w:adjustRightInd w:val="0"/>
              <w:snapToGrid w:val="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1</w:t>
            </w:r>
          </w:p>
        </w:tc>
        <w:tc>
          <w:tcPr>
            <w:tcW w:w="1311" w:type="pct"/>
            <w:shd w:val="clear" w:color="auto" w:fill="auto"/>
            <w:tcMar>
              <w:left w:w="0" w:type="dxa"/>
              <w:right w:w="0" w:type="dxa"/>
            </w:tcMar>
            <w:vAlign w:val="center"/>
          </w:tcPr>
          <w:p w14:paraId="5274903E">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电缆</w:t>
            </w:r>
          </w:p>
        </w:tc>
        <w:tc>
          <w:tcPr>
            <w:tcW w:w="1970" w:type="pct"/>
            <w:shd w:val="clear" w:color="auto" w:fill="auto"/>
            <w:tcMar>
              <w:left w:w="0" w:type="dxa"/>
              <w:right w:w="0" w:type="dxa"/>
            </w:tcMar>
            <w:vAlign w:val="center"/>
          </w:tcPr>
          <w:p w14:paraId="7B60AA07">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广州、广东、南洋</w:t>
            </w:r>
          </w:p>
        </w:tc>
        <w:tc>
          <w:tcPr>
            <w:tcW w:w="872" w:type="pct"/>
            <w:shd w:val="clear" w:color="auto" w:fill="auto"/>
            <w:tcMar>
              <w:left w:w="0" w:type="dxa"/>
              <w:right w:w="0" w:type="dxa"/>
            </w:tcMar>
            <w:vAlign w:val="center"/>
          </w:tcPr>
          <w:p w14:paraId="56589D7F">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vAlign w:val="center"/>
          </w:tcPr>
          <w:p w14:paraId="20B6893D">
            <w:pPr>
              <w:widowControl w:val="0"/>
              <w:adjustRightInd w:val="0"/>
              <w:snapToGrid w:val="0"/>
              <w:rPr>
                <w:rFonts w:hint="eastAsia" w:ascii="仿宋" w:hAnsi="仿宋" w:eastAsia="仿宋" w:cs="仿宋"/>
                <w:color w:val="auto"/>
                <w:sz w:val="24"/>
                <w:szCs w:val="24"/>
                <w:highlight w:val="none"/>
              </w:rPr>
            </w:pPr>
          </w:p>
        </w:tc>
      </w:tr>
      <w:tr w14:paraId="3727B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054E5D37">
            <w:pPr>
              <w:widowControl w:val="0"/>
              <w:adjustRightInd w:val="0"/>
              <w:snapToGrid w:val="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2</w:t>
            </w:r>
          </w:p>
        </w:tc>
        <w:tc>
          <w:tcPr>
            <w:tcW w:w="1311" w:type="pct"/>
            <w:shd w:val="clear" w:color="auto" w:fill="auto"/>
            <w:tcMar>
              <w:left w:w="0" w:type="dxa"/>
              <w:right w:w="0" w:type="dxa"/>
            </w:tcMar>
            <w:vAlign w:val="center"/>
          </w:tcPr>
          <w:p w14:paraId="1A3CBB5A">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电线、控制电缆</w:t>
            </w:r>
          </w:p>
        </w:tc>
        <w:tc>
          <w:tcPr>
            <w:tcW w:w="1970" w:type="pct"/>
            <w:shd w:val="clear" w:color="auto" w:fill="auto"/>
            <w:tcMar>
              <w:left w:w="0" w:type="dxa"/>
              <w:right w:w="0" w:type="dxa"/>
            </w:tcMar>
            <w:vAlign w:val="center"/>
          </w:tcPr>
          <w:p w14:paraId="151D9FD5">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荔湾、庆丰、广东电缆厂</w:t>
            </w:r>
          </w:p>
        </w:tc>
        <w:tc>
          <w:tcPr>
            <w:tcW w:w="872" w:type="pct"/>
            <w:shd w:val="clear" w:color="auto" w:fill="auto"/>
            <w:tcMar>
              <w:left w:w="0" w:type="dxa"/>
              <w:right w:w="0" w:type="dxa"/>
            </w:tcMar>
            <w:vAlign w:val="center"/>
          </w:tcPr>
          <w:p w14:paraId="7990B2EB">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vAlign w:val="center"/>
          </w:tcPr>
          <w:p w14:paraId="78C77F29">
            <w:pPr>
              <w:widowControl w:val="0"/>
              <w:adjustRightInd w:val="0"/>
              <w:snapToGrid w:val="0"/>
              <w:rPr>
                <w:rFonts w:hint="eastAsia" w:ascii="仿宋" w:hAnsi="仿宋" w:eastAsia="仿宋" w:cs="仿宋"/>
                <w:color w:val="auto"/>
                <w:sz w:val="24"/>
                <w:szCs w:val="24"/>
                <w:highlight w:val="none"/>
              </w:rPr>
            </w:pPr>
          </w:p>
        </w:tc>
      </w:tr>
      <w:tr w14:paraId="7900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315AA2D0">
            <w:pPr>
              <w:widowControl w:val="0"/>
              <w:adjustRightInd w:val="0"/>
              <w:snapToGrid w:val="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3</w:t>
            </w:r>
          </w:p>
        </w:tc>
        <w:tc>
          <w:tcPr>
            <w:tcW w:w="1311" w:type="pct"/>
            <w:shd w:val="clear" w:color="auto" w:fill="auto"/>
            <w:tcMar>
              <w:left w:w="0" w:type="dxa"/>
              <w:right w:w="0" w:type="dxa"/>
            </w:tcMar>
            <w:vAlign w:val="center"/>
          </w:tcPr>
          <w:p w14:paraId="07E28A69">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多功能电表（智能仪表，需接入能耗系统）</w:t>
            </w:r>
          </w:p>
        </w:tc>
        <w:tc>
          <w:tcPr>
            <w:tcW w:w="1970" w:type="pct"/>
            <w:shd w:val="clear" w:color="auto" w:fill="auto"/>
            <w:tcMar>
              <w:left w:w="0" w:type="dxa"/>
              <w:right w:w="0" w:type="dxa"/>
            </w:tcMar>
            <w:vAlign w:val="center"/>
          </w:tcPr>
          <w:p w14:paraId="7102E78A">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珠海派诺、合众科林、溯高美、柏诚</w:t>
            </w:r>
          </w:p>
        </w:tc>
        <w:tc>
          <w:tcPr>
            <w:tcW w:w="872" w:type="pct"/>
            <w:shd w:val="clear" w:color="auto" w:fill="auto"/>
            <w:tcMar>
              <w:left w:w="0" w:type="dxa"/>
              <w:right w:w="0" w:type="dxa"/>
            </w:tcMar>
            <w:vAlign w:val="center"/>
          </w:tcPr>
          <w:p w14:paraId="0B7B8FFF">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vAlign w:val="center"/>
          </w:tcPr>
          <w:p w14:paraId="238DF77A">
            <w:pPr>
              <w:widowControl w:val="0"/>
              <w:adjustRightInd w:val="0"/>
              <w:snapToGrid w:val="0"/>
              <w:rPr>
                <w:rFonts w:hint="eastAsia" w:ascii="仿宋" w:hAnsi="仿宋" w:eastAsia="仿宋" w:cs="仿宋"/>
                <w:color w:val="auto"/>
                <w:sz w:val="24"/>
                <w:szCs w:val="24"/>
                <w:highlight w:val="none"/>
              </w:rPr>
            </w:pPr>
          </w:p>
        </w:tc>
      </w:tr>
      <w:tr w14:paraId="6A92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1055C014">
            <w:pPr>
              <w:widowControl w:val="0"/>
              <w:adjustRightInd w:val="0"/>
              <w:snapToGrid w:val="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4</w:t>
            </w:r>
          </w:p>
        </w:tc>
        <w:tc>
          <w:tcPr>
            <w:tcW w:w="1311" w:type="pct"/>
            <w:shd w:val="clear" w:color="auto" w:fill="auto"/>
            <w:tcMar>
              <w:left w:w="0" w:type="dxa"/>
              <w:right w:w="0" w:type="dxa"/>
            </w:tcMar>
            <w:vAlign w:val="center"/>
          </w:tcPr>
          <w:p w14:paraId="6AFFEEE7">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灯具</w:t>
            </w:r>
          </w:p>
        </w:tc>
        <w:tc>
          <w:tcPr>
            <w:tcW w:w="1970" w:type="pct"/>
            <w:shd w:val="clear" w:color="auto" w:fill="auto"/>
            <w:tcMar>
              <w:left w:w="0" w:type="dxa"/>
              <w:right w:w="0" w:type="dxa"/>
            </w:tcMar>
            <w:vAlign w:val="center"/>
          </w:tcPr>
          <w:p w14:paraId="34F9C67E">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飞利浦，松下、三雄，朗能，欧普、佛山照明、九佛</w:t>
            </w:r>
          </w:p>
        </w:tc>
        <w:tc>
          <w:tcPr>
            <w:tcW w:w="872" w:type="pct"/>
            <w:shd w:val="clear" w:color="auto" w:fill="auto"/>
            <w:tcMar>
              <w:left w:w="0" w:type="dxa"/>
              <w:right w:w="0" w:type="dxa"/>
            </w:tcMar>
            <w:vAlign w:val="center"/>
          </w:tcPr>
          <w:p w14:paraId="0ACCE918">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vAlign w:val="center"/>
          </w:tcPr>
          <w:p w14:paraId="678D3C90">
            <w:pPr>
              <w:widowControl w:val="0"/>
              <w:adjustRightInd w:val="0"/>
              <w:snapToGrid w:val="0"/>
              <w:rPr>
                <w:rFonts w:hint="eastAsia" w:ascii="仿宋" w:hAnsi="仿宋" w:eastAsia="仿宋" w:cs="仿宋"/>
                <w:color w:val="auto"/>
                <w:sz w:val="24"/>
                <w:szCs w:val="24"/>
                <w:highlight w:val="none"/>
              </w:rPr>
            </w:pPr>
          </w:p>
        </w:tc>
      </w:tr>
      <w:tr w14:paraId="1E20B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072A8567">
            <w:pPr>
              <w:widowControl w:val="0"/>
              <w:adjustRightInd w:val="0"/>
              <w:snapToGrid w:val="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5</w:t>
            </w:r>
          </w:p>
        </w:tc>
        <w:tc>
          <w:tcPr>
            <w:tcW w:w="1311" w:type="pct"/>
            <w:shd w:val="clear" w:color="auto" w:fill="auto"/>
            <w:tcMar>
              <w:left w:w="0" w:type="dxa"/>
              <w:right w:w="0" w:type="dxa"/>
            </w:tcMar>
            <w:vAlign w:val="center"/>
          </w:tcPr>
          <w:p w14:paraId="531C16CF">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UPS间UPS输出配电柜元件</w:t>
            </w:r>
          </w:p>
        </w:tc>
        <w:tc>
          <w:tcPr>
            <w:tcW w:w="1970" w:type="pct"/>
            <w:shd w:val="clear" w:color="auto" w:fill="auto"/>
            <w:tcMar>
              <w:left w:w="0" w:type="dxa"/>
              <w:right w:w="0" w:type="dxa"/>
            </w:tcMar>
            <w:vAlign w:val="center"/>
          </w:tcPr>
          <w:p w14:paraId="249831EE">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西门子、ABB、施耐德</w:t>
            </w:r>
          </w:p>
        </w:tc>
        <w:tc>
          <w:tcPr>
            <w:tcW w:w="872" w:type="pct"/>
            <w:shd w:val="clear" w:color="auto" w:fill="auto"/>
            <w:tcMar>
              <w:left w:w="0" w:type="dxa"/>
              <w:right w:w="0" w:type="dxa"/>
            </w:tcMar>
            <w:vAlign w:val="center"/>
          </w:tcPr>
          <w:p w14:paraId="0C134E00">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vAlign w:val="center"/>
          </w:tcPr>
          <w:p w14:paraId="381BABA3">
            <w:pPr>
              <w:widowControl w:val="0"/>
              <w:adjustRightInd w:val="0"/>
              <w:snapToGrid w:val="0"/>
              <w:rPr>
                <w:rFonts w:hint="eastAsia" w:ascii="仿宋" w:hAnsi="仿宋" w:eastAsia="仿宋" w:cs="仿宋"/>
                <w:color w:val="auto"/>
                <w:sz w:val="24"/>
                <w:szCs w:val="24"/>
                <w:highlight w:val="none"/>
              </w:rPr>
            </w:pPr>
          </w:p>
        </w:tc>
      </w:tr>
      <w:tr w14:paraId="348A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0" w:type="pct"/>
            <w:gridSpan w:val="5"/>
            <w:shd w:val="clear" w:color="auto" w:fill="auto"/>
            <w:tcMar>
              <w:left w:w="0" w:type="dxa"/>
              <w:right w:w="0" w:type="dxa"/>
            </w:tcMar>
            <w:vAlign w:val="center"/>
          </w:tcPr>
          <w:p w14:paraId="561A6D39">
            <w:pPr>
              <w:widowControl w:val="0"/>
              <w:adjustRightInd w:val="0"/>
              <w:snapToGrid w:val="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、给排水系统</w:t>
            </w:r>
          </w:p>
        </w:tc>
      </w:tr>
      <w:tr w14:paraId="6736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6625FF65">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p>
        </w:tc>
        <w:tc>
          <w:tcPr>
            <w:tcW w:w="1311" w:type="pct"/>
            <w:shd w:val="clear" w:color="auto" w:fill="auto"/>
            <w:tcMar>
              <w:left w:w="0" w:type="dxa"/>
              <w:right w:w="0" w:type="dxa"/>
            </w:tcMar>
          </w:tcPr>
          <w:p w14:paraId="58B4D132">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内外涂塑镀锌钢管</w:t>
            </w:r>
          </w:p>
        </w:tc>
        <w:tc>
          <w:tcPr>
            <w:tcW w:w="1970" w:type="pct"/>
            <w:shd w:val="clear" w:color="auto" w:fill="auto"/>
            <w:tcMar>
              <w:left w:w="0" w:type="dxa"/>
              <w:right w:w="0" w:type="dxa"/>
            </w:tcMar>
          </w:tcPr>
          <w:p w14:paraId="27A1A593">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广州钢管厂、珠江钢管厂、荣钢、广东华捷</w:t>
            </w:r>
          </w:p>
        </w:tc>
        <w:tc>
          <w:tcPr>
            <w:tcW w:w="872" w:type="pct"/>
            <w:shd w:val="clear" w:color="auto" w:fill="auto"/>
            <w:tcMar>
              <w:left w:w="0" w:type="dxa"/>
              <w:right w:w="0" w:type="dxa"/>
            </w:tcMar>
          </w:tcPr>
          <w:p w14:paraId="5783E51D">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40AD7F26">
            <w:pPr>
              <w:widowControl w:val="0"/>
              <w:adjustRightInd w:val="0"/>
              <w:snapToGrid w:val="0"/>
              <w:rPr>
                <w:rFonts w:hint="eastAsia" w:ascii="仿宋" w:hAnsi="仿宋" w:eastAsia="仿宋" w:cs="仿宋"/>
                <w:color w:val="auto"/>
                <w:sz w:val="24"/>
                <w:szCs w:val="24"/>
                <w:highlight w:val="none"/>
              </w:rPr>
            </w:pPr>
          </w:p>
        </w:tc>
      </w:tr>
      <w:tr w14:paraId="7A41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53DE419B">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p>
        </w:tc>
        <w:tc>
          <w:tcPr>
            <w:tcW w:w="1311" w:type="pct"/>
            <w:shd w:val="clear" w:color="auto" w:fill="auto"/>
            <w:tcMar>
              <w:left w:w="0" w:type="dxa"/>
              <w:right w:w="0" w:type="dxa"/>
            </w:tcMar>
          </w:tcPr>
          <w:p w14:paraId="6A837931">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PPR塑料管、PP静音排水塑料管、波纹管、UPVC雨水管</w:t>
            </w:r>
          </w:p>
        </w:tc>
        <w:tc>
          <w:tcPr>
            <w:tcW w:w="1970" w:type="pct"/>
            <w:shd w:val="clear" w:color="auto" w:fill="auto"/>
            <w:tcMar>
              <w:left w:w="0" w:type="dxa"/>
              <w:right w:w="0" w:type="dxa"/>
            </w:tcMar>
          </w:tcPr>
          <w:p w14:paraId="52B73D5C">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广东联塑（A管）、佛山日丰、上海逸通、上海瑞好、浙江尤尼克</w:t>
            </w:r>
          </w:p>
        </w:tc>
        <w:tc>
          <w:tcPr>
            <w:tcW w:w="872" w:type="pct"/>
            <w:shd w:val="clear" w:color="auto" w:fill="auto"/>
            <w:tcMar>
              <w:left w:w="0" w:type="dxa"/>
              <w:right w:w="0" w:type="dxa"/>
            </w:tcMar>
          </w:tcPr>
          <w:p w14:paraId="7F6B1D6A">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4C763827">
            <w:pPr>
              <w:widowControl w:val="0"/>
              <w:adjustRightInd w:val="0"/>
              <w:snapToGrid w:val="0"/>
              <w:rPr>
                <w:rFonts w:hint="eastAsia" w:ascii="仿宋" w:hAnsi="仿宋" w:eastAsia="仿宋" w:cs="仿宋"/>
                <w:color w:val="auto"/>
                <w:sz w:val="24"/>
                <w:szCs w:val="24"/>
                <w:highlight w:val="none"/>
              </w:rPr>
            </w:pPr>
          </w:p>
        </w:tc>
      </w:tr>
      <w:tr w14:paraId="6594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5F991AFA">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p>
        </w:tc>
        <w:tc>
          <w:tcPr>
            <w:tcW w:w="1311" w:type="pct"/>
            <w:shd w:val="clear" w:color="auto" w:fill="auto"/>
            <w:tcMar>
              <w:left w:w="0" w:type="dxa"/>
              <w:right w:w="0" w:type="dxa"/>
            </w:tcMar>
          </w:tcPr>
          <w:p w14:paraId="6DEA2460">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阀门、闸阀、止回阀、截止阀、浮球阀组</w:t>
            </w:r>
          </w:p>
        </w:tc>
        <w:tc>
          <w:tcPr>
            <w:tcW w:w="1970" w:type="pct"/>
            <w:shd w:val="clear" w:color="auto" w:fill="auto"/>
            <w:tcMar>
              <w:left w:w="0" w:type="dxa"/>
              <w:right w:w="0" w:type="dxa"/>
            </w:tcMar>
          </w:tcPr>
          <w:p w14:paraId="5AFDA168">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埃美柯、上海冠龙、永泉、正丰</w:t>
            </w:r>
          </w:p>
        </w:tc>
        <w:tc>
          <w:tcPr>
            <w:tcW w:w="872" w:type="pct"/>
            <w:shd w:val="clear" w:color="auto" w:fill="auto"/>
            <w:tcMar>
              <w:left w:w="0" w:type="dxa"/>
              <w:right w:w="0" w:type="dxa"/>
            </w:tcMar>
          </w:tcPr>
          <w:p w14:paraId="113F921D">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03FE219F">
            <w:pPr>
              <w:widowControl w:val="0"/>
              <w:adjustRightInd w:val="0"/>
              <w:snapToGrid w:val="0"/>
              <w:rPr>
                <w:rFonts w:hint="eastAsia" w:ascii="仿宋" w:hAnsi="仿宋" w:eastAsia="仿宋" w:cs="仿宋"/>
                <w:color w:val="auto"/>
                <w:sz w:val="24"/>
                <w:szCs w:val="24"/>
                <w:highlight w:val="none"/>
              </w:rPr>
            </w:pPr>
          </w:p>
        </w:tc>
      </w:tr>
      <w:tr w14:paraId="2632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2602AFA9">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w:t>
            </w:r>
          </w:p>
        </w:tc>
        <w:tc>
          <w:tcPr>
            <w:tcW w:w="1311" w:type="pct"/>
            <w:shd w:val="clear" w:color="auto" w:fill="auto"/>
            <w:tcMar>
              <w:left w:w="0" w:type="dxa"/>
              <w:right w:w="0" w:type="dxa"/>
            </w:tcMar>
          </w:tcPr>
          <w:p w14:paraId="37997BC0">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水、电表</w:t>
            </w:r>
          </w:p>
        </w:tc>
        <w:tc>
          <w:tcPr>
            <w:tcW w:w="1970" w:type="pct"/>
            <w:shd w:val="clear" w:color="auto" w:fill="auto"/>
            <w:tcMar>
              <w:left w:w="0" w:type="dxa"/>
              <w:right w:w="0" w:type="dxa"/>
            </w:tcMar>
          </w:tcPr>
          <w:p w14:paraId="0838F1C0">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与医院系统相匹配的数字远传表、埃美柯、三川、宁波水表</w:t>
            </w:r>
          </w:p>
        </w:tc>
        <w:tc>
          <w:tcPr>
            <w:tcW w:w="872" w:type="pct"/>
            <w:shd w:val="clear" w:color="auto" w:fill="auto"/>
            <w:tcMar>
              <w:left w:w="0" w:type="dxa"/>
              <w:right w:w="0" w:type="dxa"/>
            </w:tcMar>
          </w:tcPr>
          <w:p w14:paraId="59AA36B2">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02969209">
            <w:pPr>
              <w:widowControl w:val="0"/>
              <w:adjustRightInd w:val="0"/>
              <w:snapToGrid w:val="0"/>
              <w:rPr>
                <w:rFonts w:hint="eastAsia" w:ascii="仿宋" w:hAnsi="仿宋" w:eastAsia="仿宋" w:cs="仿宋"/>
                <w:color w:val="auto"/>
                <w:sz w:val="24"/>
                <w:szCs w:val="24"/>
                <w:highlight w:val="none"/>
              </w:rPr>
            </w:pPr>
          </w:p>
        </w:tc>
      </w:tr>
      <w:tr w14:paraId="6FD5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272FF192">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w:t>
            </w:r>
          </w:p>
        </w:tc>
        <w:tc>
          <w:tcPr>
            <w:tcW w:w="1311" w:type="pct"/>
            <w:shd w:val="clear" w:color="auto" w:fill="auto"/>
            <w:tcMar>
              <w:left w:w="0" w:type="dxa"/>
              <w:right w:w="0" w:type="dxa"/>
            </w:tcMar>
          </w:tcPr>
          <w:p w14:paraId="379A0DFA">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卫生洁具（含龙头、地漏等配件。感应龙头、部件使用220V供电）</w:t>
            </w:r>
          </w:p>
        </w:tc>
        <w:tc>
          <w:tcPr>
            <w:tcW w:w="1970" w:type="pct"/>
            <w:shd w:val="clear" w:color="auto" w:fill="auto"/>
            <w:tcMar>
              <w:left w:w="0" w:type="dxa"/>
              <w:right w:w="0" w:type="dxa"/>
            </w:tcMar>
          </w:tcPr>
          <w:p w14:paraId="597B7126">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科勒、TOTO、美标</w:t>
            </w:r>
          </w:p>
        </w:tc>
        <w:tc>
          <w:tcPr>
            <w:tcW w:w="872" w:type="pct"/>
            <w:shd w:val="clear" w:color="auto" w:fill="auto"/>
            <w:tcMar>
              <w:left w:w="0" w:type="dxa"/>
              <w:right w:w="0" w:type="dxa"/>
            </w:tcMar>
          </w:tcPr>
          <w:p w14:paraId="35BDF9BB">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1F63ADE6">
            <w:pPr>
              <w:widowControl w:val="0"/>
              <w:adjustRightInd w:val="0"/>
              <w:snapToGrid w:val="0"/>
              <w:rPr>
                <w:rFonts w:hint="eastAsia" w:ascii="仿宋" w:hAnsi="仿宋" w:eastAsia="仿宋" w:cs="仿宋"/>
                <w:color w:val="auto"/>
                <w:sz w:val="24"/>
                <w:szCs w:val="24"/>
                <w:highlight w:val="none"/>
              </w:rPr>
            </w:pPr>
          </w:p>
        </w:tc>
      </w:tr>
      <w:tr w14:paraId="19CF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3C9CCDC3">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w:t>
            </w:r>
          </w:p>
        </w:tc>
        <w:tc>
          <w:tcPr>
            <w:tcW w:w="1311" w:type="pct"/>
            <w:shd w:val="clear" w:color="auto" w:fill="auto"/>
            <w:tcMar>
              <w:left w:w="0" w:type="dxa"/>
              <w:right w:w="0" w:type="dxa"/>
            </w:tcMar>
          </w:tcPr>
          <w:p w14:paraId="0FA6D5C1">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热水铜管</w:t>
            </w:r>
          </w:p>
        </w:tc>
        <w:tc>
          <w:tcPr>
            <w:tcW w:w="1970" w:type="pct"/>
            <w:shd w:val="clear" w:color="auto" w:fill="auto"/>
            <w:tcMar>
              <w:left w:w="0" w:type="dxa"/>
              <w:right w:w="0" w:type="dxa"/>
            </w:tcMar>
          </w:tcPr>
          <w:p w14:paraId="5E0F25F3">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浙江天力、上海海量、尼必克、浙江海亮</w:t>
            </w:r>
          </w:p>
        </w:tc>
        <w:tc>
          <w:tcPr>
            <w:tcW w:w="872" w:type="pct"/>
            <w:shd w:val="clear" w:color="auto" w:fill="auto"/>
            <w:tcMar>
              <w:left w:w="0" w:type="dxa"/>
              <w:right w:w="0" w:type="dxa"/>
            </w:tcMar>
          </w:tcPr>
          <w:p w14:paraId="13115D6C">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626E6317">
            <w:pPr>
              <w:widowControl w:val="0"/>
              <w:adjustRightInd w:val="0"/>
              <w:snapToGrid w:val="0"/>
              <w:rPr>
                <w:rFonts w:hint="eastAsia" w:ascii="仿宋" w:hAnsi="仿宋" w:eastAsia="仿宋" w:cs="仿宋"/>
                <w:color w:val="auto"/>
                <w:sz w:val="24"/>
                <w:szCs w:val="24"/>
                <w:highlight w:val="none"/>
              </w:rPr>
            </w:pPr>
          </w:p>
        </w:tc>
      </w:tr>
      <w:tr w14:paraId="6FEA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3EC70FDF">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w:t>
            </w:r>
          </w:p>
        </w:tc>
        <w:tc>
          <w:tcPr>
            <w:tcW w:w="1311" w:type="pct"/>
            <w:shd w:val="clear" w:color="auto" w:fill="auto"/>
            <w:tcMar>
              <w:left w:w="0" w:type="dxa"/>
              <w:right w:w="0" w:type="dxa"/>
            </w:tcMar>
          </w:tcPr>
          <w:p w14:paraId="42EFCE9B">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水泵</w:t>
            </w:r>
          </w:p>
        </w:tc>
        <w:tc>
          <w:tcPr>
            <w:tcW w:w="1970" w:type="pct"/>
            <w:shd w:val="clear" w:color="auto" w:fill="auto"/>
            <w:tcMar>
              <w:left w:w="0" w:type="dxa"/>
              <w:right w:w="0" w:type="dxa"/>
            </w:tcMar>
          </w:tcPr>
          <w:p w14:paraId="0717B662">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格兰富、威乐、赛莱默、ITT</w:t>
            </w:r>
          </w:p>
        </w:tc>
        <w:tc>
          <w:tcPr>
            <w:tcW w:w="872" w:type="pct"/>
            <w:shd w:val="clear" w:color="auto" w:fill="auto"/>
            <w:tcMar>
              <w:left w:w="0" w:type="dxa"/>
              <w:right w:w="0" w:type="dxa"/>
            </w:tcMar>
          </w:tcPr>
          <w:p w14:paraId="264877C9">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7215DF30">
            <w:pPr>
              <w:widowControl w:val="0"/>
              <w:adjustRightInd w:val="0"/>
              <w:snapToGrid w:val="0"/>
              <w:rPr>
                <w:rFonts w:hint="eastAsia" w:ascii="仿宋" w:hAnsi="仿宋" w:eastAsia="仿宋" w:cs="仿宋"/>
                <w:color w:val="auto"/>
                <w:sz w:val="24"/>
                <w:szCs w:val="24"/>
                <w:highlight w:val="none"/>
              </w:rPr>
            </w:pPr>
          </w:p>
        </w:tc>
      </w:tr>
      <w:tr w14:paraId="07E8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23693697">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w:t>
            </w:r>
          </w:p>
        </w:tc>
        <w:tc>
          <w:tcPr>
            <w:tcW w:w="1311" w:type="pct"/>
            <w:shd w:val="clear" w:color="auto" w:fill="auto"/>
            <w:tcMar>
              <w:left w:w="0" w:type="dxa"/>
              <w:right w:w="0" w:type="dxa"/>
            </w:tcMar>
          </w:tcPr>
          <w:p w14:paraId="2693A6AC">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普通灯具、光源</w:t>
            </w:r>
          </w:p>
        </w:tc>
        <w:tc>
          <w:tcPr>
            <w:tcW w:w="1970" w:type="pct"/>
            <w:shd w:val="clear" w:color="auto" w:fill="auto"/>
            <w:tcMar>
              <w:left w:w="0" w:type="dxa"/>
              <w:right w:w="0" w:type="dxa"/>
            </w:tcMar>
          </w:tcPr>
          <w:p w14:paraId="71EAD8FD">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飞利浦、松下、欧司朗、三雄</w:t>
            </w:r>
          </w:p>
        </w:tc>
        <w:tc>
          <w:tcPr>
            <w:tcW w:w="872" w:type="pct"/>
            <w:shd w:val="clear" w:color="auto" w:fill="auto"/>
            <w:tcMar>
              <w:left w:w="0" w:type="dxa"/>
              <w:right w:w="0" w:type="dxa"/>
            </w:tcMar>
          </w:tcPr>
          <w:p w14:paraId="1C7C3750">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7AA039D2">
            <w:pPr>
              <w:widowControl w:val="0"/>
              <w:adjustRightInd w:val="0"/>
              <w:snapToGrid w:val="0"/>
              <w:rPr>
                <w:rFonts w:hint="eastAsia" w:ascii="仿宋" w:hAnsi="仿宋" w:eastAsia="仿宋" w:cs="仿宋"/>
                <w:color w:val="auto"/>
                <w:sz w:val="24"/>
                <w:szCs w:val="24"/>
                <w:highlight w:val="none"/>
              </w:rPr>
            </w:pPr>
          </w:p>
        </w:tc>
      </w:tr>
      <w:tr w14:paraId="53DC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0" w:type="pct"/>
            <w:gridSpan w:val="5"/>
            <w:shd w:val="clear" w:color="auto" w:fill="auto"/>
            <w:tcMar>
              <w:left w:w="0" w:type="dxa"/>
              <w:right w:w="0" w:type="dxa"/>
            </w:tcMar>
            <w:vAlign w:val="center"/>
          </w:tcPr>
          <w:p w14:paraId="7D4A70B2">
            <w:pPr>
              <w:widowControl w:val="0"/>
              <w:adjustRightInd w:val="0"/>
              <w:snapToGrid w:val="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、暖通空调系统</w:t>
            </w:r>
          </w:p>
        </w:tc>
      </w:tr>
      <w:tr w14:paraId="4C7E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72D177C4">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p>
        </w:tc>
        <w:tc>
          <w:tcPr>
            <w:tcW w:w="1311" w:type="pct"/>
            <w:shd w:val="clear" w:color="auto" w:fill="auto"/>
            <w:tcMar>
              <w:left w:w="0" w:type="dxa"/>
              <w:right w:w="0" w:type="dxa"/>
            </w:tcMar>
          </w:tcPr>
          <w:p w14:paraId="1C9EDCBE">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常规冷水机组：水冷冷水机组、风冷热泵机组</w:t>
            </w:r>
          </w:p>
        </w:tc>
        <w:tc>
          <w:tcPr>
            <w:tcW w:w="1970" w:type="pct"/>
            <w:shd w:val="clear" w:color="auto" w:fill="auto"/>
            <w:tcMar>
              <w:left w:w="0" w:type="dxa"/>
              <w:right w:w="0" w:type="dxa"/>
            </w:tcMar>
          </w:tcPr>
          <w:p w14:paraId="3729F9EB">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特灵、开利、约克、麦克维尔</w:t>
            </w:r>
          </w:p>
        </w:tc>
        <w:tc>
          <w:tcPr>
            <w:tcW w:w="872" w:type="pct"/>
            <w:shd w:val="clear" w:color="auto" w:fill="auto"/>
            <w:tcMar>
              <w:left w:w="0" w:type="dxa"/>
              <w:right w:w="0" w:type="dxa"/>
            </w:tcMar>
          </w:tcPr>
          <w:p w14:paraId="6FAE4A22">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635BE6EF">
            <w:pPr>
              <w:widowControl w:val="0"/>
              <w:adjustRightInd w:val="0"/>
              <w:snapToGrid w:val="0"/>
              <w:rPr>
                <w:rFonts w:hint="eastAsia" w:ascii="仿宋" w:hAnsi="仿宋" w:eastAsia="仿宋" w:cs="仿宋"/>
                <w:color w:val="auto"/>
                <w:sz w:val="24"/>
                <w:szCs w:val="24"/>
                <w:highlight w:val="none"/>
              </w:rPr>
            </w:pPr>
          </w:p>
        </w:tc>
      </w:tr>
      <w:tr w14:paraId="2A9C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7474823D">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p>
        </w:tc>
        <w:tc>
          <w:tcPr>
            <w:tcW w:w="1311" w:type="pct"/>
            <w:shd w:val="clear" w:color="auto" w:fill="auto"/>
            <w:tcMar>
              <w:left w:w="0" w:type="dxa"/>
              <w:right w:w="0" w:type="dxa"/>
            </w:tcMar>
            <w:vAlign w:val="top"/>
          </w:tcPr>
          <w:p w14:paraId="3769F8BE">
            <w:pPr>
              <w:widowControl w:val="0"/>
              <w:adjustRightInd w:val="0"/>
              <w:snapToGrid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洁净四管制风冷热泵机组（冷水式）</w:t>
            </w:r>
          </w:p>
        </w:tc>
        <w:tc>
          <w:tcPr>
            <w:tcW w:w="1970" w:type="pct"/>
            <w:shd w:val="clear" w:color="auto" w:fill="auto"/>
            <w:tcMar>
              <w:left w:w="0" w:type="dxa"/>
              <w:right w:w="0" w:type="dxa"/>
            </w:tcMar>
            <w:vAlign w:val="top"/>
          </w:tcPr>
          <w:p w14:paraId="3E622D4E">
            <w:pPr>
              <w:widowControl w:val="0"/>
              <w:adjustRightInd w:val="0"/>
              <w:snapToGrid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麦克维尔，欧科，开利</w:t>
            </w:r>
          </w:p>
        </w:tc>
        <w:tc>
          <w:tcPr>
            <w:tcW w:w="872" w:type="pct"/>
            <w:shd w:val="clear" w:color="auto" w:fill="auto"/>
            <w:tcMar>
              <w:left w:w="0" w:type="dxa"/>
              <w:right w:w="0" w:type="dxa"/>
            </w:tcMar>
            <w:vAlign w:val="top"/>
          </w:tcPr>
          <w:p w14:paraId="4E31E711">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vAlign w:val="top"/>
          </w:tcPr>
          <w:p w14:paraId="568514BA">
            <w:pPr>
              <w:widowControl w:val="0"/>
              <w:adjustRightInd w:val="0"/>
              <w:snapToGrid w:val="0"/>
              <w:rPr>
                <w:rFonts w:hint="eastAsia" w:ascii="仿宋" w:hAnsi="仿宋" w:eastAsia="仿宋" w:cs="仿宋"/>
                <w:color w:val="auto"/>
                <w:sz w:val="24"/>
                <w:szCs w:val="24"/>
                <w:highlight w:val="none"/>
              </w:rPr>
            </w:pPr>
          </w:p>
        </w:tc>
      </w:tr>
      <w:tr w14:paraId="345B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08A41C2D">
            <w:pPr>
              <w:widowControl w:val="0"/>
              <w:adjustRightInd w:val="0"/>
              <w:snapToGrid w:val="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3</w:t>
            </w:r>
          </w:p>
        </w:tc>
        <w:tc>
          <w:tcPr>
            <w:tcW w:w="1311" w:type="pct"/>
            <w:shd w:val="clear" w:color="auto" w:fill="auto"/>
            <w:tcMar>
              <w:left w:w="0" w:type="dxa"/>
              <w:right w:w="0" w:type="dxa"/>
            </w:tcMar>
            <w:vAlign w:val="top"/>
          </w:tcPr>
          <w:p w14:paraId="6AFACB24">
            <w:pPr>
              <w:widowControl w:val="0"/>
              <w:adjustRightInd w:val="0"/>
              <w:snapToGrid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洁净</w:t>
            </w:r>
            <w:r>
              <w:rPr>
                <w:rFonts w:hint="eastAsia" w:ascii="仿宋" w:hAnsi="仿宋" w:eastAsia="仿宋" w:cs="仿宋"/>
                <w:color w:val="auto"/>
                <w:sz w:val="24"/>
                <w:szCs w:val="24"/>
                <w:highlight w:val="none"/>
                <w:lang w:val="en-US" w:eastAsia="zh-CN"/>
              </w:rPr>
              <w:t>直膨机组（冷媒式）</w:t>
            </w:r>
          </w:p>
        </w:tc>
        <w:tc>
          <w:tcPr>
            <w:tcW w:w="1970" w:type="pct"/>
            <w:shd w:val="clear" w:color="auto" w:fill="auto"/>
            <w:tcMar>
              <w:left w:w="0" w:type="dxa"/>
              <w:right w:w="0" w:type="dxa"/>
            </w:tcMar>
            <w:vAlign w:val="top"/>
          </w:tcPr>
          <w:p w14:paraId="1A4B46D6">
            <w:pPr>
              <w:widowControl w:val="0"/>
              <w:adjustRightInd w:val="0"/>
              <w:snapToGrid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天加、雅士、维克</w:t>
            </w:r>
          </w:p>
        </w:tc>
        <w:tc>
          <w:tcPr>
            <w:tcW w:w="872" w:type="pct"/>
            <w:shd w:val="clear" w:color="auto" w:fill="auto"/>
            <w:tcMar>
              <w:left w:w="0" w:type="dxa"/>
              <w:right w:w="0" w:type="dxa"/>
            </w:tcMar>
            <w:vAlign w:val="top"/>
          </w:tcPr>
          <w:p w14:paraId="6826F79D">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vAlign w:val="top"/>
          </w:tcPr>
          <w:p w14:paraId="1D8B0AE9">
            <w:pPr>
              <w:widowControl w:val="0"/>
              <w:adjustRightInd w:val="0"/>
              <w:snapToGrid w:val="0"/>
              <w:rPr>
                <w:rFonts w:hint="eastAsia" w:ascii="仿宋" w:hAnsi="仿宋" w:eastAsia="仿宋" w:cs="仿宋"/>
                <w:color w:val="auto"/>
                <w:sz w:val="24"/>
                <w:szCs w:val="24"/>
                <w:highlight w:val="none"/>
              </w:rPr>
            </w:pPr>
          </w:p>
        </w:tc>
      </w:tr>
      <w:tr w14:paraId="08C7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97" w:type="pct"/>
            <w:shd w:val="clear" w:color="auto" w:fill="auto"/>
            <w:tcMar>
              <w:left w:w="0" w:type="dxa"/>
              <w:right w:w="0" w:type="dxa"/>
            </w:tcMar>
            <w:vAlign w:val="center"/>
          </w:tcPr>
          <w:p w14:paraId="33067723">
            <w:pPr>
              <w:widowControl w:val="0"/>
              <w:adjustRightInd w:val="0"/>
              <w:snapToGrid w:val="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rPr>
              <w:t>4</w:t>
            </w:r>
          </w:p>
        </w:tc>
        <w:tc>
          <w:tcPr>
            <w:tcW w:w="1311" w:type="pct"/>
            <w:shd w:val="clear" w:color="auto" w:fill="auto"/>
            <w:tcMar>
              <w:left w:w="0" w:type="dxa"/>
              <w:right w:w="0" w:type="dxa"/>
            </w:tcMar>
          </w:tcPr>
          <w:p w14:paraId="1E63EEA6">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循环水泵：冷冻水泵、冷却水泵</w:t>
            </w:r>
          </w:p>
        </w:tc>
        <w:tc>
          <w:tcPr>
            <w:tcW w:w="1970" w:type="pct"/>
            <w:shd w:val="clear" w:color="auto" w:fill="auto"/>
            <w:tcMar>
              <w:left w:w="0" w:type="dxa"/>
              <w:right w:w="0" w:type="dxa"/>
            </w:tcMar>
          </w:tcPr>
          <w:p w14:paraId="2CE32C4A">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荏原、格兰富、威乐、ITT</w:t>
            </w:r>
          </w:p>
        </w:tc>
        <w:tc>
          <w:tcPr>
            <w:tcW w:w="872" w:type="pct"/>
            <w:shd w:val="clear" w:color="auto" w:fill="auto"/>
            <w:tcMar>
              <w:left w:w="0" w:type="dxa"/>
              <w:right w:w="0" w:type="dxa"/>
            </w:tcMar>
          </w:tcPr>
          <w:p w14:paraId="49811BC9">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692E0778">
            <w:pPr>
              <w:widowControl w:val="0"/>
              <w:adjustRightInd w:val="0"/>
              <w:snapToGrid w:val="0"/>
              <w:rPr>
                <w:rFonts w:hint="eastAsia" w:ascii="仿宋" w:hAnsi="仿宋" w:eastAsia="仿宋" w:cs="仿宋"/>
                <w:color w:val="auto"/>
                <w:sz w:val="24"/>
                <w:szCs w:val="24"/>
                <w:highlight w:val="none"/>
              </w:rPr>
            </w:pPr>
          </w:p>
        </w:tc>
      </w:tr>
      <w:tr w14:paraId="44FF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0CD98031">
            <w:pPr>
              <w:widowControl w:val="0"/>
              <w:adjustRightInd w:val="0"/>
              <w:snapToGrid w:val="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rPr>
              <w:t>5</w:t>
            </w:r>
          </w:p>
        </w:tc>
        <w:tc>
          <w:tcPr>
            <w:tcW w:w="1311" w:type="pct"/>
            <w:shd w:val="clear" w:color="auto" w:fill="auto"/>
            <w:tcMar>
              <w:left w:w="0" w:type="dxa"/>
              <w:right w:w="0" w:type="dxa"/>
            </w:tcMar>
          </w:tcPr>
          <w:p w14:paraId="6509C0C1">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冷却塔</w:t>
            </w:r>
          </w:p>
        </w:tc>
        <w:tc>
          <w:tcPr>
            <w:tcW w:w="1970" w:type="pct"/>
            <w:shd w:val="clear" w:color="auto" w:fill="auto"/>
            <w:tcMar>
              <w:left w:w="0" w:type="dxa"/>
              <w:right w:w="0" w:type="dxa"/>
            </w:tcMar>
          </w:tcPr>
          <w:p w14:paraId="656FEC67">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B.A.C、新菱、HON MING（康明）、良机</w:t>
            </w:r>
          </w:p>
        </w:tc>
        <w:tc>
          <w:tcPr>
            <w:tcW w:w="872" w:type="pct"/>
            <w:shd w:val="clear" w:color="auto" w:fill="auto"/>
            <w:tcMar>
              <w:left w:w="0" w:type="dxa"/>
              <w:right w:w="0" w:type="dxa"/>
            </w:tcMar>
          </w:tcPr>
          <w:p w14:paraId="0F4E3BBA">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56BC7356">
            <w:pPr>
              <w:widowControl w:val="0"/>
              <w:adjustRightInd w:val="0"/>
              <w:snapToGrid w:val="0"/>
              <w:rPr>
                <w:rFonts w:hint="eastAsia" w:ascii="仿宋" w:hAnsi="仿宋" w:eastAsia="仿宋" w:cs="仿宋"/>
                <w:color w:val="auto"/>
                <w:sz w:val="24"/>
                <w:szCs w:val="24"/>
                <w:highlight w:val="none"/>
              </w:rPr>
            </w:pPr>
          </w:p>
        </w:tc>
      </w:tr>
      <w:tr w14:paraId="45881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5D1893D6">
            <w:pPr>
              <w:widowControl w:val="0"/>
              <w:adjustRightInd w:val="0"/>
              <w:snapToGrid w:val="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rPr>
              <w:t>6</w:t>
            </w:r>
          </w:p>
        </w:tc>
        <w:tc>
          <w:tcPr>
            <w:tcW w:w="1311" w:type="pct"/>
            <w:shd w:val="clear" w:color="auto" w:fill="auto"/>
            <w:tcMar>
              <w:left w:w="0" w:type="dxa"/>
              <w:right w:w="0" w:type="dxa"/>
            </w:tcMar>
          </w:tcPr>
          <w:p w14:paraId="702F6BF4">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电动碟阀\止回阀（缓闭型）、蝶阀（手轮式）、闸阀、Y隔</w:t>
            </w:r>
          </w:p>
        </w:tc>
        <w:tc>
          <w:tcPr>
            <w:tcW w:w="1970" w:type="pct"/>
            <w:shd w:val="clear" w:color="auto" w:fill="auto"/>
            <w:tcMar>
              <w:left w:w="0" w:type="dxa"/>
              <w:right w:w="0" w:type="dxa"/>
            </w:tcMar>
          </w:tcPr>
          <w:p w14:paraId="2B5E2789">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伯梅德、霍尼韦尔、TOZEN（东全）、KITZ（北泽）、KEYSTONE（凯斯通）、YAMATO（大和）  </w:t>
            </w:r>
          </w:p>
        </w:tc>
        <w:tc>
          <w:tcPr>
            <w:tcW w:w="872" w:type="pct"/>
            <w:shd w:val="clear" w:color="auto" w:fill="auto"/>
            <w:tcMar>
              <w:left w:w="0" w:type="dxa"/>
              <w:right w:w="0" w:type="dxa"/>
            </w:tcMar>
          </w:tcPr>
          <w:p w14:paraId="52FE8E52">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3FE1AF38">
            <w:pPr>
              <w:widowControl w:val="0"/>
              <w:adjustRightInd w:val="0"/>
              <w:snapToGrid w:val="0"/>
              <w:rPr>
                <w:rFonts w:hint="eastAsia" w:ascii="仿宋" w:hAnsi="仿宋" w:eastAsia="仿宋" w:cs="仿宋"/>
                <w:color w:val="auto"/>
                <w:sz w:val="24"/>
                <w:szCs w:val="24"/>
                <w:highlight w:val="none"/>
              </w:rPr>
            </w:pPr>
          </w:p>
        </w:tc>
      </w:tr>
      <w:tr w14:paraId="2821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45C3BF3A">
            <w:pPr>
              <w:widowControl w:val="0"/>
              <w:adjustRightInd w:val="0"/>
              <w:snapToGrid w:val="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rPr>
              <w:t>7</w:t>
            </w:r>
          </w:p>
        </w:tc>
        <w:tc>
          <w:tcPr>
            <w:tcW w:w="1311" w:type="pct"/>
            <w:shd w:val="clear" w:color="auto" w:fill="auto"/>
            <w:tcMar>
              <w:left w:w="0" w:type="dxa"/>
              <w:right w:w="0" w:type="dxa"/>
            </w:tcMar>
          </w:tcPr>
          <w:p w14:paraId="0517B1D5">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电动二通阀、比例积分阀、压差平衡装置、平衡阀</w:t>
            </w:r>
          </w:p>
        </w:tc>
        <w:tc>
          <w:tcPr>
            <w:tcW w:w="1970" w:type="pct"/>
            <w:shd w:val="clear" w:color="auto" w:fill="auto"/>
            <w:tcMar>
              <w:left w:w="0" w:type="dxa"/>
              <w:right w:w="0" w:type="dxa"/>
            </w:tcMar>
          </w:tcPr>
          <w:p w14:paraId="3325B3C2">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霍尼韦尔、搏力谋、江森（JCI）、TA</w:t>
            </w:r>
          </w:p>
        </w:tc>
        <w:tc>
          <w:tcPr>
            <w:tcW w:w="872" w:type="pct"/>
            <w:shd w:val="clear" w:color="auto" w:fill="auto"/>
            <w:tcMar>
              <w:left w:w="0" w:type="dxa"/>
              <w:right w:w="0" w:type="dxa"/>
            </w:tcMar>
          </w:tcPr>
          <w:p w14:paraId="3E62A109">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16CEB3AF">
            <w:pPr>
              <w:widowControl w:val="0"/>
              <w:adjustRightInd w:val="0"/>
              <w:snapToGrid w:val="0"/>
              <w:rPr>
                <w:rFonts w:hint="eastAsia" w:ascii="仿宋" w:hAnsi="仿宋" w:eastAsia="仿宋" w:cs="仿宋"/>
                <w:color w:val="auto"/>
                <w:sz w:val="24"/>
                <w:szCs w:val="24"/>
                <w:highlight w:val="none"/>
              </w:rPr>
            </w:pPr>
          </w:p>
        </w:tc>
      </w:tr>
      <w:tr w14:paraId="3E3C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14768B5D">
            <w:pPr>
              <w:widowControl w:val="0"/>
              <w:adjustRightInd w:val="0"/>
              <w:snapToGrid w:val="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rPr>
              <w:t>8</w:t>
            </w:r>
          </w:p>
        </w:tc>
        <w:tc>
          <w:tcPr>
            <w:tcW w:w="1311" w:type="pct"/>
            <w:shd w:val="clear" w:color="auto" w:fill="auto"/>
            <w:tcMar>
              <w:left w:w="0" w:type="dxa"/>
              <w:right w:w="0" w:type="dxa"/>
            </w:tcMar>
          </w:tcPr>
          <w:p w14:paraId="46EF1FB2">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新风机、空气处理机、风机盘管等空调末端</w:t>
            </w:r>
          </w:p>
        </w:tc>
        <w:tc>
          <w:tcPr>
            <w:tcW w:w="1970" w:type="pct"/>
            <w:shd w:val="clear" w:color="auto" w:fill="auto"/>
            <w:tcMar>
              <w:left w:w="0" w:type="dxa"/>
              <w:right w:w="0" w:type="dxa"/>
            </w:tcMar>
          </w:tcPr>
          <w:p w14:paraId="413B7829">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特灵、开利、麦克维尔、新晃、西屋康达</w:t>
            </w:r>
          </w:p>
        </w:tc>
        <w:tc>
          <w:tcPr>
            <w:tcW w:w="872" w:type="pct"/>
            <w:shd w:val="clear" w:color="auto" w:fill="auto"/>
            <w:tcMar>
              <w:left w:w="0" w:type="dxa"/>
              <w:right w:w="0" w:type="dxa"/>
            </w:tcMar>
          </w:tcPr>
          <w:p w14:paraId="3FA5406C">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216151A1">
            <w:pPr>
              <w:widowControl w:val="0"/>
              <w:adjustRightInd w:val="0"/>
              <w:snapToGrid w:val="0"/>
              <w:rPr>
                <w:rFonts w:hint="eastAsia" w:ascii="仿宋" w:hAnsi="仿宋" w:eastAsia="仿宋" w:cs="仿宋"/>
                <w:color w:val="auto"/>
                <w:sz w:val="24"/>
                <w:szCs w:val="24"/>
                <w:highlight w:val="none"/>
              </w:rPr>
            </w:pPr>
          </w:p>
        </w:tc>
      </w:tr>
      <w:tr w14:paraId="691B9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12DDE5A9">
            <w:pPr>
              <w:widowControl w:val="0"/>
              <w:adjustRightInd w:val="0"/>
              <w:snapToGrid w:val="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rPr>
              <w:t>9</w:t>
            </w:r>
          </w:p>
        </w:tc>
        <w:tc>
          <w:tcPr>
            <w:tcW w:w="1311" w:type="pct"/>
            <w:shd w:val="clear" w:color="auto" w:fill="auto"/>
            <w:tcMar>
              <w:left w:w="0" w:type="dxa"/>
              <w:right w:w="0" w:type="dxa"/>
            </w:tcMar>
          </w:tcPr>
          <w:p w14:paraId="1596FF88">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洁净层流空调风柜</w:t>
            </w:r>
          </w:p>
        </w:tc>
        <w:tc>
          <w:tcPr>
            <w:tcW w:w="1970" w:type="pct"/>
            <w:shd w:val="clear" w:color="auto" w:fill="auto"/>
            <w:tcMar>
              <w:left w:w="0" w:type="dxa"/>
              <w:right w:w="0" w:type="dxa"/>
            </w:tcMar>
          </w:tcPr>
          <w:p w14:paraId="38AE20F1">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天加、雅士、雅坤、高美</w:t>
            </w:r>
          </w:p>
        </w:tc>
        <w:tc>
          <w:tcPr>
            <w:tcW w:w="872" w:type="pct"/>
            <w:shd w:val="clear" w:color="auto" w:fill="auto"/>
            <w:tcMar>
              <w:left w:w="0" w:type="dxa"/>
              <w:right w:w="0" w:type="dxa"/>
            </w:tcMar>
          </w:tcPr>
          <w:p w14:paraId="77FD03DD">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188CBE88">
            <w:pPr>
              <w:widowControl w:val="0"/>
              <w:adjustRightInd w:val="0"/>
              <w:snapToGrid w:val="0"/>
              <w:rPr>
                <w:rFonts w:hint="eastAsia" w:ascii="仿宋" w:hAnsi="仿宋" w:eastAsia="仿宋" w:cs="仿宋"/>
                <w:color w:val="auto"/>
                <w:sz w:val="24"/>
                <w:szCs w:val="24"/>
                <w:highlight w:val="none"/>
              </w:rPr>
            </w:pPr>
          </w:p>
        </w:tc>
      </w:tr>
      <w:tr w14:paraId="35A0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27D0EC89">
            <w:pPr>
              <w:widowControl w:val="0"/>
              <w:adjustRightInd w:val="0"/>
              <w:snapToGrid w:val="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rPr>
              <w:t>10</w:t>
            </w:r>
          </w:p>
        </w:tc>
        <w:tc>
          <w:tcPr>
            <w:tcW w:w="1311" w:type="pct"/>
            <w:shd w:val="clear" w:color="auto" w:fill="auto"/>
            <w:tcMar>
              <w:left w:w="0" w:type="dxa"/>
              <w:right w:w="0" w:type="dxa"/>
            </w:tcMar>
          </w:tcPr>
          <w:p w14:paraId="414299CE">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精密空调机组</w:t>
            </w:r>
          </w:p>
        </w:tc>
        <w:tc>
          <w:tcPr>
            <w:tcW w:w="1970" w:type="pct"/>
            <w:shd w:val="clear" w:color="auto" w:fill="auto"/>
            <w:tcMar>
              <w:left w:w="0" w:type="dxa"/>
              <w:right w:w="0" w:type="dxa"/>
            </w:tcMar>
          </w:tcPr>
          <w:p w14:paraId="670EEA06">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世图兹、克莱门特、斯泰科、艾默生、雷诺威</w:t>
            </w:r>
          </w:p>
        </w:tc>
        <w:tc>
          <w:tcPr>
            <w:tcW w:w="872" w:type="pct"/>
            <w:shd w:val="clear" w:color="auto" w:fill="auto"/>
            <w:tcMar>
              <w:left w:w="0" w:type="dxa"/>
              <w:right w:w="0" w:type="dxa"/>
            </w:tcMar>
          </w:tcPr>
          <w:p w14:paraId="6EEB7B5E">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4200DC81">
            <w:pPr>
              <w:widowControl w:val="0"/>
              <w:adjustRightInd w:val="0"/>
              <w:snapToGrid w:val="0"/>
              <w:rPr>
                <w:rFonts w:hint="eastAsia" w:ascii="仿宋" w:hAnsi="仿宋" w:eastAsia="仿宋" w:cs="仿宋"/>
                <w:color w:val="auto"/>
                <w:sz w:val="24"/>
                <w:szCs w:val="24"/>
                <w:highlight w:val="none"/>
              </w:rPr>
            </w:pPr>
          </w:p>
        </w:tc>
      </w:tr>
      <w:tr w14:paraId="20A43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5D3C59CD">
            <w:pPr>
              <w:widowControl w:val="0"/>
              <w:adjustRightInd w:val="0"/>
              <w:snapToGrid w:val="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rPr>
              <w:t>11</w:t>
            </w:r>
          </w:p>
        </w:tc>
        <w:tc>
          <w:tcPr>
            <w:tcW w:w="1311" w:type="pct"/>
            <w:shd w:val="clear" w:color="auto" w:fill="auto"/>
            <w:tcMar>
              <w:left w:w="0" w:type="dxa"/>
              <w:right w:w="0" w:type="dxa"/>
            </w:tcMar>
          </w:tcPr>
          <w:p w14:paraId="245A8875">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温控器</w:t>
            </w:r>
          </w:p>
        </w:tc>
        <w:tc>
          <w:tcPr>
            <w:tcW w:w="1970" w:type="pct"/>
            <w:shd w:val="clear" w:color="auto" w:fill="auto"/>
            <w:tcMar>
              <w:left w:w="0" w:type="dxa"/>
              <w:right w:w="0" w:type="dxa"/>
            </w:tcMar>
          </w:tcPr>
          <w:p w14:paraId="2F12445A">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特灵、开利、江森、霍尼韦尔、西门子</w:t>
            </w:r>
          </w:p>
        </w:tc>
        <w:tc>
          <w:tcPr>
            <w:tcW w:w="872" w:type="pct"/>
            <w:shd w:val="clear" w:color="auto" w:fill="auto"/>
            <w:tcMar>
              <w:left w:w="0" w:type="dxa"/>
              <w:right w:w="0" w:type="dxa"/>
            </w:tcMar>
          </w:tcPr>
          <w:p w14:paraId="6A39F42D">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5650C805">
            <w:pPr>
              <w:widowControl w:val="0"/>
              <w:adjustRightInd w:val="0"/>
              <w:snapToGrid w:val="0"/>
              <w:rPr>
                <w:rFonts w:hint="eastAsia" w:ascii="仿宋" w:hAnsi="仿宋" w:eastAsia="仿宋" w:cs="仿宋"/>
                <w:color w:val="auto"/>
                <w:sz w:val="24"/>
                <w:szCs w:val="24"/>
                <w:highlight w:val="none"/>
              </w:rPr>
            </w:pPr>
          </w:p>
        </w:tc>
      </w:tr>
      <w:tr w14:paraId="30FD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0F4F482F">
            <w:pPr>
              <w:widowControl w:val="0"/>
              <w:adjustRightInd w:val="0"/>
              <w:snapToGrid w:val="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rPr>
              <w:t>12</w:t>
            </w:r>
          </w:p>
        </w:tc>
        <w:tc>
          <w:tcPr>
            <w:tcW w:w="1311" w:type="pct"/>
            <w:shd w:val="clear" w:color="auto" w:fill="auto"/>
            <w:tcMar>
              <w:left w:w="0" w:type="dxa"/>
              <w:right w:w="0" w:type="dxa"/>
            </w:tcMar>
          </w:tcPr>
          <w:p w14:paraId="6275986E">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排风机、排烟风机等风机</w:t>
            </w:r>
          </w:p>
        </w:tc>
        <w:tc>
          <w:tcPr>
            <w:tcW w:w="1970" w:type="pct"/>
            <w:shd w:val="clear" w:color="auto" w:fill="auto"/>
            <w:tcMar>
              <w:left w:w="0" w:type="dxa"/>
              <w:right w:w="0" w:type="dxa"/>
            </w:tcMar>
          </w:tcPr>
          <w:p w14:paraId="721FF96F">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科禄格、泰昌、亿利达、绿岛风</w:t>
            </w:r>
          </w:p>
        </w:tc>
        <w:tc>
          <w:tcPr>
            <w:tcW w:w="872" w:type="pct"/>
            <w:shd w:val="clear" w:color="auto" w:fill="auto"/>
            <w:tcMar>
              <w:left w:w="0" w:type="dxa"/>
              <w:right w:w="0" w:type="dxa"/>
            </w:tcMar>
          </w:tcPr>
          <w:p w14:paraId="593B04D0">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1A3F0586">
            <w:pPr>
              <w:widowControl w:val="0"/>
              <w:adjustRightInd w:val="0"/>
              <w:snapToGrid w:val="0"/>
              <w:rPr>
                <w:rFonts w:hint="eastAsia" w:ascii="仿宋" w:hAnsi="仿宋" w:eastAsia="仿宋" w:cs="仿宋"/>
                <w:color w:val="auto"/>
                <w:sz w:val="24"/>
                <w:szCs w:val="24"/>
                <w:highlight w:val="none"/>
              </w:rPr>
            </w:pPr>
          </w:p>
        </w:tc>
      </w:tr>
      <w:tr w14:paraId="390C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687E1E01">
            <w:pPr>
              <w:widowControl w:val="0"/>
              <w:adjustRightInd w:val="0"/>
              <w:snapToGrid w:val="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rPr>
              <w:t>13</w:t>
            </w:r>
          </w:p>
        </w:tc>
        <w:tc>
          <w:tcPr>
            <w:tcW w:w="1311" w:type="pct"/>
            <w:shd w:val="clear" w:color="auto" w:fill="auto"/>
            <w:tcMar>
              <w:left w:w="0" w:type="dxa"/>
              <w:right w:w="0" w:type="dxa"/>
            </w:tcMar>
          </w:tcPr>
          <w:p w14:paraId="112D3208">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排气扇、空气净化机、风幕机、全热换气机</w:t>
            </w:r>
          </w:p>
        </w:tc>
        <w:tc>
          <w:tcPr>
            <w:tcW w:w="1970" w:type="pct"/>
            <w:shd w:val="clear" w:color="auto" w:fill="auto"/>
            <w:tcMar>
              <w:left w:w="0" w:type="dxa"/>
              <w:right w:w="0" w:type="dxa"/>
            </w:tcMar>
          </w:tcPr>
          <w:p w14:paraId="5D99C468">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松下、BNN、沃森、金羚、正野、绿岛风</w:t>
            </w:r>
          </w:p>
        </w:tc>
        <w:tc>
          <w:tcPr>
            <w:tcW w:w="872" w:type="pct"/>
            <w:shd w:val="clear" w:color="auto" w:fill="auto"/>
            <w:tcMar>
              <w:left w:w="0" w:type="dxa"/>
              <w:right w:w="0" w:type="dxa"/>
            </w:tcMar>
          </w:tcPr>
          <w:p w14:paraId="58F07A57">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5EA48DC7">
            <w:pPr>
              <w:widowControl w:val="0"/>
              <w:adjustRightInd w:val="0"/>
              <w:snapToGrid w:val="0"/>
              <w:rPr>
                <w:rFonts w:hint="eastAsia" w:ascii="仿宋" w:hAnsi="仿宋" w:eastAsia="仿宋" w:cs="仿宋"/>
                <w:color w:val="auto"/>
                <w:sz w:val="24"/>
                <w:szCs w:val="24"/>
                <w:highlight w:val="none"/>
              </w:rPr>
            </w:pPr>
          </w:p>
        </w:tc>
      </w:tr>
      <w:tr w14:paraId="15EC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0615A9A6">
            <w:pPr>
              <w:widowControl w:val="0"/>
              <w:adjustRightInd w:val="0"/>
              <w:snapToGrid w:val="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rPr>
              <w:t>14</w:t>
            </w:r>
          </w:p>
        </w:tc>
        <w:tc>
          <w:tcPr>
            <w:tcW w:w="1311" w:type="pct"/>
            <w:shd w:val="clear" w:color="auto" w:fill="auto"/>
            <w:tcMar>
              <w:left w:w="0" w:type="dxa"/>
              <w:right w:w="0" w:type="dxa"/>
            </w:tcMar>
          </w:tcPr>
          <w:p w14:paraId="1A66099B">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螺旋电焊管、无缝钢管、镀锌钢管</w:t>
            </w:r>
          </w:p>
        </w:tc>
        <w:tc>
          <w:tcPr>
            <w:tcW w:w="1970" w:type="pct"/>
            <w:shd w:val="clear" w:color="auto" w:fill="auto"/>
            <w:tcMar>
              <w:left w:w="0" w:type="dxa"/>
              <w:right w:w="0" w:type="dxa"/>
            </w:tcMar>
          </w:tcPr>
          <w:p w14:paraId="67E8584A">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宝钢、鞍钢、武钢、珠江、首钢</w:t>
            </w:r>
          </w:p>
        </w:tc>
        <w:tc>
          <w:tcPr>
            <w:tcW w:w="872" w:type="pct"/>
            <w:shd w:val="clear" w:color="auto" w:fill="auto"/>
            <w:tcMar>
              <w:left w:w="0" w:type="dxa"/>
              <w:right w:w="0" w:type="dxa"/>
            </w:tcMar>
          </w:tcPr>
          <w:p w14:paraId="40048D09">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189CB38E">
            <w:pPr>
              <w:widowControl w:val="0"/>
              <w:adjustRightInd w:val="0"/>
              <w:snapToGrid w:val="0"/>
              <w:rPr>
                <w:rFonts w:hint="eastAsia" w:ascii="仿宋" w:hAnsi="仿宋" w:eastAsia="仿宋" w:cs="仿宋"/>
                <w:color w:val="auto"/>
                <w:sz w:val="24"/>
                <w:szCs w:val="24"/>
                <w:highlight w:val="none"/>
              </w:rPr>
            </w:pPr>
          </w:p>
        </w:tc>
      </w:tr>
      <w:tr w14:paraId="5082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7BC9BB27">
            <w:pPr>
              <w:widowControl w:val="0"/>
              <w:adjustRightInd w:val="0"/>
              <w:snapToGrid w:val="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rPr>
              <w:t>15</w:t>
            </w:r>
          </w:p>
        </w:tc>
        <w:tc>
          <w:tcPr>
            <w:tcW w:w="1311" w:type="pct"/>
            <w:shd w:val="clear" w:color="auto" w:fill="auto"/>
            <w:tcMar>
              <w:left w:w="0" w:type="dxa"/>
              <w:right w:w="0" w:type="dxa"/>
            </w:tcMar>
          </w:tcPr>
          <w:p w14:paraId="16F93CC0">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多联机、商用定频/变频分体空调</w:t>
            </w:r>
          </w:p>
        </w:tc>
        <w:tc>
          <w:tcPr>
            <w:tcW w:w="1970" w:type="pct"/>
            <w:shd w:val="clear" w:color="auto" w:fill="auto"/>
            <w:tcMar>
              <w:left w:w="0" w:type="dxa"/>
              <w:right w:w="0" w:type="dxa"/>
            </w:tcMar>
          </w:tcPr>
          <w:p w14:paraId="46354EB7">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国产优质：美的、格力、海尔、海信</w:t>
            </w:r>
          </w:p>
        </w:tc>
        <w:tc>
          <w:tcPr>
            <w:tcW w:w="872" w:type="pct"/>
            <w:shd w:val="clear" w:color="auto" w:fill="auto"/>
            <w:tcMar>
              <w:left w:w="0" w:type="dxa"/>
              <w:right w:w="0" w:type="dxa"/>
            </w:tcMar>
          </w:tcPr>
          <w:p w14:paraId="1E77DF63">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04A1F370">
            <w:pPr>
              <w:widowControl w:val="0"/>
              <w:adjustRightInd w:val="0"/>
              <w:snapToGrid w:val="0"/>
              <w:rPr>
                <w:rFonts w:hint="eastAsia" w:ascii="仿宋" w:hAnsi="仿宋" w:eastAsia="仿宋" w:cs="仿宋"/>
                <w:color w:val="auto"/>
                <w:sz w:val="24"/>
                <w:szCs w:val="24"/>
                <w:highlight w:val="none"/>
              </w:rPr>
            </w:pPr>
          </w:p>
        </w:tc>
      </w:tr>
      <w:tr w14:paraId="5E83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135C467F">
            <w:pPr>
              <w:widowControl w:val="0"/>
              <w:adjustRightInd w:val="0"/>
              <w:snapToGrid w:val="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rPr>
              <w:t>16</w:t>
            </w:r>
          </w:p>
        </w:tc>
        <w:tc>
          <w:tcPr>
            <w:tcW w:w="1311" w:type="pct"/>
            <w:shd w:val="clear" w:color="auto" w:fill="auto"/>
            <w:tcMar>
              <w:left w:w="0" w:type="dxa"/>
              <w:right w:w="0" w:type="dxa"/>
            </w:tcMar>
          </w:tcPr>
          <w:p w14:paraId="1760C8D8">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成品风管（仅排风）</w:t>
            </w:r>
          </w:p>
        </w:tc>
        <w:tc>
          <w:tcPr>
            <w:tcW w:w="1970" w:type="pct"/>
            <w:shd w:val="clear" w:color="auto" w:fill="auto"/>
            <w:tcMar>
              <w:left w:w="0" w:type="dxa"/>
              <w:right w:w="0" w:type="dxa"/>
            </w:tcMar>
          </w:tcPr>
          <w:p w14:paraId="20D60CF8">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康美风、联众、广东科风</w:t>
            </w:r>
          </w:p>
        </w:tc>
        <w:tc>
          <w:tcPr>
            <w:tcW w:w="872" w:type="pct"/>
            <w:shd w:val="clear" w:color="auto" w:fill="auto"/>
            <w:tcMar>
              <w:left w:w="0" w:type="dxa"/>
              <w:right w:w="0" w:type="dxa"/>
            </w:tcMar>
          </w:tcPr>
          <w:p w14:paraId="1F6A5B42">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77B71A70">
            <w:pPr>
              <w:widowControl w:val="0"/>
              <w:adjustRightInd w:val="0"/>
              <w:snapToGrid w:val="0"/>
              <w:rPr>
                <w:rFonts w:hint="eastAsia" w:ascii="仿宋" w:hAnsi="仿宋" w:eastAsia="仿宋" w:cs="仿宋"/>
                <w:color w:val="auto"/>
                <w:sz w:val="24"/>
                <w:szCs w:val="24"/>
                <w:highlight w:val="none"/>
              </w:rPr>
            </w:pPr>
          </w:p>
        </w:tc>
      </w:tr>
      <w:tr w14:paraId="5A5B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6B2D7631">
            <w:pPr>
              <w:widowControl w:val="0"/>
              <w:adjustRightInd w:val="0"/>
              <w:snapToGrid w:val="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rPr>
              <w:t>17</w:t>
            </w:r>
          </w:p>
        </w:tc>
        <w:tc>
          <w:tcPr>
            <w:tcW w:w="1311" w:type="pct"/>
            <w:shd w:val="clear" w:color="auto" w:fill="auto"/>
            <w:tcMar>
              <w:left w:w="0" w:type="dxa"/>
              <w:right w:w="0" w:type="dxa"/>
            </w:tcMar>
          </w:tcPr>
          <w:p w14:paraId="1519D43B">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防火阀、调节阀</w:t>
            </w:r>
          </w:p>
        </w:tc>
        <w:tc>
          <w:tcPr>
            <w:tcW w:w="1970" w:type="pct"/>
            <w:shd w:val="clear" w:color="auto" w:fill="auto"/>
            <w:tcMar>
              <w:left w:w="0" w:type="dxa"/>
              <w:right w:w="0" w:type="dxa"/>
            </w:tcMar>
          </w:tcPr>
          <w:p w14:paraId="2B9E69E3">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南海南方 、科禄格、东莞飞达、泰昌</w:t>
            </w:r>
          </w:p>
        </w:tc>
        <w:tc>
          <w:tcPr>
            <w:tcW w:w="872" w:type="pct"/>
            <w:shd w:val="clear" w:color="auto" w:fill="auto"/>
            <w:tcMar>
              <w:left w:w="0" w:type="dxa"/>
              <w:right w:w="0" w:type="dxa"/>
            </w:tcMar>
          </w:tcPr>
          <w:p w14:paraId="718BB811">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51522BFD">
            <w:pPr>
              <w:widowControl w:val="0"/>
              <w:adjustRightInd w:val="0"/>
              <w:snapToGrid w:val="0"/>
              <w:rPr>
                <w:rFonts w:hint="eastAsia" w:ascii="仿宋" w:hAnsi="仿宋" w:eastAsia="仿宋" w:cs="仿宋"/>
                <w:color w:val="auto"/>
                <w:sz w:val="24"/>
                <w:szCs w:val="24"/>
                <w:highlight w:val="none"/>
              </w:rPr>
            </w:pPr>
          </w:p>
        </w:tc>
      </w:tr>
      <w:tr w14:paraId="1F4B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002B2022">
            <w:pPr>
              <w:widowControl w:val="0"/>
              <w:adjustRightInd w:val="0"/>
              <w:snapToGrid w:val="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rPr>
              <w:t>18</w:t>
            </w:r>
          </w:p>
        </w:tc>
        <w:tc>
          <w:tcPr>
            <w:tcW w:w="1311" w:type="pct"/>
            <w:shd w:val="clear" w:color="auto" w:fill="auto"/>
            <w:tcMar>
              <w:left w:w="0" w:type="dxa"/>
              <w:right w:w="0" w:type="dxa"/>
            </w:tcMar>
          </w:tcPr>
          <w:p w14:paraId="2E3F458A">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消声器</w:t>
            </w:r>
          </w:p>
        </w:tc>
        <w:tc>
          <w:tcPr>
            <w:tcW w:w="1970" w:type="pct"/>
            <w:shd w:val="clear" w:color="auto" w:fill="auto"/>
            <w:tcMar>
              <w:left w:w="0" w:type="dxa"/>
              <w:right w:w="0" w:type="dxa"/>
            </w:tcMar>
          </w:tcPr>
          <w:p w14:paraId="2FD794A6">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东莞飞达、广东科风、科禄格</w:t>
            </w:r>
          </w:p>
        </w:tc>
        <w:tc>
          <w:tcPr>
            <w:tcW w:w="872" w:type="pct"/>
            <w:shd w:val="clear" w:color="auto" w:fill="auto"/>
            <w:tcMar>
              <w:left w:w="0" w:type="dxa"/>
              <w:right w:w="0" w:type="dxa"/>
            </w:tcMar>
          </w:tcPr>
          <w:p w14:paraId="11292E70">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7FD9DE8E">
            <w:pPr>
              <w:widowControl w:val="0"/>
              <w:adjustRightInd w:val="0"/>
              <w:snapToGrid w:val="0"/>
              <w:rPr>
                <w:rFonts w:hint="eastAsia" w:ascii="仿宋" w:hAnsi="仿宋" w:eastAsia="仿宋" w:cs="仿宋"/>
                <w:color w:val="auto"/>
                <w:sz w:val="24"/>
                <w:szCs w:val="24"/>
                <w:highlight w:val="none"/>
              </w:rPr>
            </w:pPr>
          </w:p>
        </w:tc>
      </w:tr>
      <w:tr w14:paraId="7CA2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67CD69A1">
            <w:pPr>
              <w:widowControl w:val="0"/>
              <w:adjustRightInd w:val="0"/>
              <w:snapToGrid w:val="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rPr>
              <w:t>19</w:t>
            </w:r>
          </w:p>
        </w:tc>
        <w:tc>
          <w:tcPr>
            <w:tcW w:w="1311" w:type="pct"/>
            <w:shd w:val="clear" w:color="auto" w:fill="auto"/>
            <w:tcMar>
              <w:left w:w="0" w:type="dxa"/>
              <w:right w:w="0" w:type="dxa"/>
            </w:tcMar>
          </w:tcPr>
          <w:p w14:paraId="04D748A5">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保温材料</w:t>
            </w:r>
          </w:p>
        </w:tc>
        <w:tc>
          <w:tcPr>
            <w:tcW w:w="1970" w:type="pct"/>
            <w:shd w:val="clear" w:color="auto" w:fill="auto"/>
            <w:tcMar>
              <w:left w:w="0" w:type="dxa"/>
              <w:right w:w="0" w:type="dxa"/>
            </w:tcMar>
          </w:tcPr>
          <w:p w14:paraId="15E167E7">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合资品牌：阿乐斯、凯门富乐斯、杜肯、欧文斯科宁</w:t>
            </w:r>
          </w:p>
        </w:tc>
        <w:tc>
          <w:tcPr>
            <w:tcW w:w="872" w:type="pct"/>
            <w:shd w:val="clear" w:color="auto" w:fill="auto"/>
            <w:tcMar>
              <w:left w:w="0" w:type="dxa"/>
              <w:right w:w="0" w:type="dxa"/>
            </w:tcMar>
          </w:tcPr>
          <w:p w14:paraId="711EAAD7">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61DBBB70">
            <w:pPr>
              <w:widowControl w:val="0"/>
              <w:adjustRightInd w:val="0"/>
              <w:snapToGrid w:val="0"/>
              <w:rPr>
                <w:rFonts w:hint="eastAsia" w:ascii="仿宋" w:hAnsi="仿宋" w:eastAsia="仿宋" w:cs="仿宋"/>
                <w:color w:val="auto"/>
                <w:sz w:val="24"/>
                <w:szCs w:val="24"/>
                <w:highlight w:val="none"/>
              </w:rPr>
            </w:pPr>
          </w:p>
        </w:tc>
      </w:tr>
      <w:tr w14:paraId="3285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3CA4B4AA">
            <w:pPr>
              <w:widowControl w:val="0"/>
              <w:adjustRightInd w:val="0"/>
              <w:snapToGrid w:val="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rPr>
              <w:t>20</w:t>
            </w:r>
          </w:p>
        </w:tc>
        <w:tc>
          <w:tcPr>
            <w:tcW w:w="1311" w:type="pct"/>
            <w:shd w:val="clear" w:color="auto" w:fill="auto"/>
            <w:tcMar>
              <w:left w:w="0" w:type="dxa"/>
              <w:right w:w="0" w:type="dxa"/>
            </w:tcMar>
          </w:tcPr>
          <w:p w14:paraId="4D5FBDFB">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镀锌薄钢板</w:t>
            </w:r>
          </w:p>
        </w:tc>
        <w:tc>
          <w:tcPr>
            <w:tcW w:w="1970" w:type="pct"/>
            <w:shd w:val="clear" w:color="auto" w:fill="auto"/>
            <w:tcMar>
              <w:left w:w="0" w:type="dxa"/>
              <w:right w:w="0" w:type="dxa"/>
            </w:tcMar>
          </w:tcPr>
          <w:p w14:paraId="035F4DA9">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宝钢、鞍钢、武钢</w:t>
            </w:r>
          </w:p>
        </w:tc>
        <w:tc>
          <w:tcPr>
            <w:tcW w:w="872" w:type="pct"/>
            <w:shd w:val="clear" w:color="auto" w:fill="auto"/>
            <w:tcMar>
              <w:left w:w="0" w:type="dxa"/>
              <w:right w:w="0" w:type="dxa"/>
            </w:tcMar>
          </w:tcPr>
          <w:p w14:paraId="1D73DC52">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4BD4D03E">
            <w:pPr>
              <w:widowControl w:val="0"/>
              <w:adjustRightInd w:val="0"/>
              <w:snapToGrid w:val="0"/>
              <w:rPr>
                <w:rFonts w:hint="eastAsia" w:ascii="仿宋" w:hAnsi="仿宋" w:eastAsia="仿宋" w:cs="仿宋"/>
                <w:color w:val="auto"/>
                <w:sz w:val="24"/>
                <w:szCs w:val="24"/>
                <w:highlight w:val="none"/>
              </w:rPr>
            </w:pPr>
          </w:p>
        </w:tc>
      </w:tr>
      <w:tr w14:paraId="6287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29EDF54F">
            <w:pPr>
              <w:widowControl w:val="0"/>
              <w:adjustRightInd w:val="0"/>
              <w:snapToGrid w:val="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rPr>
              <w:t>21</w:t>
            </w:r>
          </w:p>
        </w:tc>
        <w:tc>
          <w:tcPr>
            <w:tcW w:w="1311" w:type="pct"/>
            <w:shd w:val="clear" w:color="auto" w:fill="auto"/>
            <w:tcMar>
              <w:left w:w="0" w:type="dxa"/>
              <w:right w:w="0" w:type="dxa"/>
            </w:tcMar>
          </w:tcPr>
          <w:p w14:paraId="50037D6D">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定/变风量阀、电动风阀、空调喷口</w:t>
            </w:r>
          </w:p>
        </w:tc>
        <w:tc>
          <w:tcPr>
            <w:tcW w:w="1970" w:type="pct"/>
            <w:shd w:val="clear" w:color="auto" w:fill="auto"/>
            <w:tcMar>
              <w:left w:w="0" w:type="dxa"/>
              <w:right w:w="0" w:type="dxa"/>
            </w:tcMar>
          </w:tcPr>
          <w:p w14:paraId="33324A8D">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妥思、菲尼克斯、江森、皇家</w:t>
            </w:r>
          </w:p>
        </w:tc>
        <w:tc>
          <w:tcPr>
            <w:tcW w:w="872" w:type="pct"/>
            <w:shd w:val="clear" w:color="auto" w:fill="auto"/>
            <w:tcMar>
              <w:left w:w="0" w:type="dxa"/>
              <w:right w:w="0" w:type="dxa"/>
            </w:tcMar>
          </w:tcPr>
          <w:p w14:paraId="4F5E1979">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7518A5EB">
            <w:pPr>
              <w:widowControl w:val="0"/>
              <w:adjustRightInd w:val="0"/>
              <w:snapToGrid w:val="0"/>
              <w:rPr>
                <w:rFonts w:hint="eastAsia" w:ascii="仿宋" w:hAnsi="仿宋" w:eastAsia="仿宋" w:cs="仿宋"/>
                <w:color w:val="auto"/>
                <w:sz w:val="24"/>
                <w:szCs w:val="24"/>
                <w:highlight w:val="none"/>
              </w:rPr>
            </w:pPr>
          </w:p>
        </w:tc>
      </w:tr>
      <w:tr w14:paraId="3E7A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37910EC5">
            <w:pPr>
              <w:widowControl w:val="0"/>
              <w:adjustRightInd w:val="0"/>
              <w:snapToGrid w:val="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22</w:t>
            </w:r>
          </w:p>
        </w:tc>
        <w:tc>
          <w:tcPr>
            <w:tcW w:w="1311" w:type="pct"/>
            <w:shd w:val="clear" w:color="auto" w:fill="auto"/>
            <w:tcMar>
              <w:left w:w="0" w:type="dxa"/>
              <w:right w:w="0" w:type="dxa"/>
            </w:tcMar>
          </w:tcPr>
          <w:p w14:paraId="1024E302">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高效过滤器</w:t>
            </w:r>
          </w:p>
        </w:tc>
        <w:tc>
          <w:tcPr>
            <w:tcW w:w="1970" w:type="pct"/>
            <w:shd w:val="clear" w:color="auto" w:fill="auto"/>
            <w:tcMar>
              <w:left w:w="0" w:type="dxa"/>
              <w:right w:w="0" w:type="dxa"/>
            </w:tcMar>
          </w:tcPr>
          <w:p w14:paraId="735D4A3F">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AAF、金国、美埃、康菲尔、北京赛诺</w:t>
            </w:r>
          </w:p>
        </w:tc>
        <w:tc>
          <w:tcPr>
            <w:tcW w:w="872" w:type="pct"/>
            <w:shd w:val="clear" w:color="auto" w:fill="auto"/>
            <w:tcMar>
              <w:left w:w="0" w:type="dxa"/>
              <w:right w:w="0" w:type="dxa"/>
            </w:tcMar>
          </w:tcPr>
          <w:p w14:paraId="1D435BB8">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70585F13">
            <w:pPr>
              <w:widowControl w:val="0"/>
              <w:adjustRightInd w:val="0"/>
              <w:snapToGrid w:val="0"/>
              <w:rPr>
                <w:rFonts w:hint="eastAsia" w:ascii="仿宋" w:hAnsi="仿宋" w:eastAsia="仿宋" w:cs="仿宋"/>
                <w:color w:val="auto"/>
                <w:sz w:val="24"/>
                <w:szCs w:val="24"/>
                <w:highlight w:val="none"/>
              </w:rPr>
            </w:pPr>
          </w:p>
        </w:tc>
      </w:tr>
      <w:tr w14:paraId="1262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29670CB0">
            <w:pPr>
              <w:widowControl w:val="0"/>
              <w:adjustRightInd w:val="0"/>
              <w:snapToGrid w:val="0"/>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23</w:t>
            </w:r>
          </w:p>
        </w:tc>
        <w:tc>
          <w:tcPr>
            <w:tcW w:w="1311" w:type="pct"/>
            <w:shd w:val="clear" w:color="auto" w:fill="auto"/>
            <w:tcMar>
              <w:left w:w="0" w:type="dxa"/>
              <w:right w:w="0" w:type="dxa"/>
            </w:tcMar>
          </w:tcPr>
          <w:p w14:paraId="2FF0FB90">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冷凝器在线清洗装置(分体式)</w:t>
            </w:r>
          </w:p>
        </w:tc>
        <w:tc>
          <w:tcPr>
            <w:tcW w:w="1970" w:type="pct"/>
            <w:shd w:val="clear" w:color="auto" w:fill="auto"/>
            <w:tcMar>
              <w:left w:w="0" w:type="dxa"/>
              <w:right w:w="0" w:type="dxa"/>
            </w:tcMar>
          </w:tcPr>
          <w:p w14:paraId="46601F7E">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深圳勤达富、浙江古滨德、广州德清</w:t>
            </w:r>
          </w:p>
        </w:tc>
        <w:tc>
          <w:tcPr>
            <w:tcW w:w="872" w:type="pct"/>
            <w:shd w:val="clear" w:color="auto" w:fill="auto"/>
            <w:tcMar>
              <w:left w:w="0" w:type="dxa"/>
              <w:right w:w="0" w:type="dxa"/>
            </w:tcMar>
          </w:tcPr>
          <w:p w14:paraId="30382E06">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3BD136D6">
            <w:pPr>
              <w:widowControl w:val="0"/>
              <w:adjustRightInd w:val="0"/>
              <w:snapToGrid w:val="0"/>
              <w:rPr>
                <w:rFonts w:hint="eastAsia" w:ascii="仿宋" w:hAnsi="仿宋" w:eastAsia="仿宋" w:cs="仿宋"/>
                <w:color w:val="auto"/>
                <w:sz w:val="24"/>
                <w:szCs w:val="24"/>
                <w:highlight w:val="none"/>
              </w:rPr>
            </w:pPr>
          </w:p>
        </w:tc>
      </w:tr>
      <w:tr w14:paraId="2774E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73AFE517">
            <w:pPr>
              <w:widowControl w:val="0"/>
              <w:adjustRightInd w:val="0"/>
              <w:snapToGrid w:val="0"/>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24</w:t>
            </w:r>
          </w:p>
        </w:tc>
        <w:tc>
          <w:tcPr>
            <w:tcW w:w="1311" w:type="pct"/>
            <w:shd w:val="clear" w:color="auto" w:fill="auto"/>
            <w:tcMar>
              <w:left w:w="0" w:type="dxa"/>
              <w:right w:w="0" w:type="dxa"/>
            </w:tcMar>
          </w:tcPr>
          <w:p w14:paraId="7B1FD602">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加药装置、水处理设备</w:t>
            </w:r>
          </w:p>
        </w:tc>
        <w:tc>
          <w:tcPr>
            <w:tcW w:w="1970" w:type="pct"/>
            <w:shd w:val="clear" w:color="auto" w:fill="auto"/>
            <w:tcMar>
              <w:left w:w="0" w:type="dxa"/>
              <w:right w:w="0" w:type="dxa"/>
            </w:tcMar>
          </w:tcPr>
          <w:p w14:paraId="672B86E7">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上海洗霸、广州德清、上海富茵</w:t>
            </w:r>
          </w:p>
        </w:tc>
        <w:tc>
          <w:tcPr>
            <w:tcW w:w="872" w:type="pct"/>
            <w:shd w:val="clear" w:color="auto" w:fill="auto"/>
            <w:tcMar>
              <w:left w:w="0" w:type="dxa"/>
              <w:right w:w="0" w:type="dxa"/>
            </w:tcMar>
          </w:tcPr>
          <w:p w14:paraId="0D83C22A">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605CD6B6">
            <w:pPr>
              <w:widowControl w:val="0"/>
              <w:adjustRightInd w:val="0"/>
              <w:snapToGrid w:val="0"/>
              <w:rPr>
                <w:rFonts w:hint="eastAsia" w:ascii="仿宋" w:hAnsi="仿宋" w:eastAsia="仿宋" w:cs="仿宋"/>
                <w:color w:val="auto"/>
                <w:sz w:val="24"/>
                <w:szCs w:val="24"/>
                <w:highlight w:val="none"/>
              </w:rPr>
            </w:pPr>
          </w:p>
        </w:tc>
      </w:tr>
      <w:tr w14:paraId="3CE5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0" w:type="pct"/>
            <w:gridSpan w:val="5"/>
            <w:shd w:val="clear" w:color="auto" w:fill="auto"/>
            <w:tcMar>
              <w:left w:w="0" w:type="dxa"/>
              <w:right w:w="0" w:type="dxa"/>
            </w:tcMar>
            <w:vAlign w:val="center"/>
          </w:tcPr>
          <w:p w14:paraId="4DA1D3C0">
            <w:pPr>
              <w:widowControl w:val="0"/>
              <w:adjustRightInd w:val="0"/>
              <w:snapToGrid w:val="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、火灾自动报警系统</w:t>
            </w:r>
          </w:p>
        </w:tc>
      </w:tr>
      <w:tr w14:paraId="3892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3A6ADCE5">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p>
        </w:tc>
        <w:tc>
          <w:tcPr>
            <w:tcW w:w="1311" w:type="pct"/>
            <w:shd w:val="clear" w:color="auto" w:fill="auto"/>
            <w:tcMar>
              <w:left w:w="0" w:type="dxa"/>
              <w:right w:w="0" w:type="dxa"/>
            </w:tcMar>
          </w:tcPr>
          <w:p w14:paraId="3B74E003">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应急照明灯具、集中控制集中电源</w:t>
            </w:r>
          </w:p>
        </w:tc>
        <w:tc>
          <w:tcPr>
            <w:tcW w:w="1970" w:type="pct"/>
            <w:shd w:val="clear" w:color="auto" w:fill="auto"/>
            <w:tcMar>
              <w:left w:w="0" w:type="dxa"/>
              <w:right w:w="0" w:type="dxa"/>
            </w:tcMar>
          </w:tcPr>
          <w:p w14:paraId="5C351D8F">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西默、飞利浦、泛海三江、雷士</w:t>
            </w:r>
          </w:p>
        </w:tc>
        <w:tc>
          <w:tcPr>
            <w:tcW w:w="872" w:type="pct"/>
            <w:shd w:val="clear" w:color="auto" w:fill="auto"/>
            <w:tcMar>
              <w:left w:w="0" w:type="dxa"/>
              <w:right w:w="0" w:type="dxa"/>
            </w:tcMar>
          </w:tcPr>
          <w:p w14:paraId="4FBE419E">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6058471E">
            <w:pPr>
              <w:widowControl w:val="0"/>
              <w:adjustRightInd w:val="0"/>
              <w:snapToGrid w:val="0"/>
              <w:rPr>
                <w:rFonts w:hint="eastAsia" w:ascii="仿宋" w:hAnsi="仿宋" w:eastAsia="仿宋" w:cs="仿宋"/>
                <w:color w:val="auto"/>
                <w:sz w:val="24"/>
                <w:szCs w:val="24"/>
                <w:highlight w:val="none"/>
              </w:rPr>
            </w:pPr>
          </w:p>
        </w:tc>
      </w:tr>
      <w:tr w14:paraId="633EF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112162EB">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p>
        </w:tc>
        <w:tc>
          <w:tcPr>
            <w:tcW w:w="1311" w:type="pct"/>
            <w:shd w:val="clear" w:color="auto" w:fill="auto"/>
            <w:tcMar>
              <w:left w:w="0" w:type="dxa"/>
              <w:right w:w="0" w:type="dxa"/>
            </w:tcMar>
          </w:tcPr>
          <w:p w14:paraId="31BAF777">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镀锌钢管、电线管</w:t>
            </w:r>
          </w:p>
        </w:tc>
        <w:tc>
          <w:tcPr>
            <w:tcW w:w="1970" w:type="pct"/>
            <w:shd w:val="clear" w:color="auto" w:fill="auto"/>
            <w:tcMar>
              <w:left w:w="0" w:type="dxa"/>
              <w:right w:w="0" w:type="dxa"/>
            </w:tcMar>
          </w:tcPr>
          <w:p w14:paraId="6B54420B">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珠江、宏际、广州钢管厂</w:t>
            </w:r>
          </w:p>
        </w:tc>
        <w:tc>
          <w:tcPr>
            <w:tcW w:w="872" w:type="pct"/>
            <w:shd w:val="clear" w:color="auto" w:fill="auto"/>
            <w:tcMar>
              <w:left w:w="0" w:type="dxa"/>
              <w:right w:w="0" w:type="dxa"/>
            </w:tcMar>
          </w:tcPr>
          <w:p w14:paraId="0401D50F">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45FF62BA">
            <w:pPr>
              <w:widowControl w:val="0"/>
              <w:adjustRightInd w:val="0"/>
              <w:snapToGrid w:val="0"/>
              <w:rPr>
                <w:rFonts w:hint="eastAsia" w:ascii="仿宋" w:hAnsi="仿宋" w:eastAsia="仿宋" w:cs="仿宋"/>
                <w:color w:val="auto"/>
                <w:sz w:val="24"/>
                <w:szCs w:val="24"/>
                <w:highlight w:val="none"/>
              </w:rPr>
            </w:pPr>
          </w:p>
        </w:tc>
      </w:tr>
      <w:tr w14:paraId="2E11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77932DB0">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p>
        </w:tc>
        <w:tc>
          <w:tcPr>
            <w:tcW w:w="1311" w:type="pct"/>
            <w:shd w:val="clear" w:color="auto" w:fill="auto"/>
            <w:tcMar>
              <w:left w:w="0" w:type="dxa"/>
              <w:right w:w="0" w:type="dxa"/>
            </w:tcMar>
          </w:tcPr>
          <w:p w14:paraId="4E25D10C">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情景开关（I-BUS智能面板开关）</w:t>
            </w:r>
          </w:p>
        </w:tc>
        <w:tc>
          <w:tcPr>
            <w:tcW w:w="1970" w:type="pct"/>
            <w:shd w:val="clear" w:color="auto" w:fill="auto"/>
            <w:tcMar>
              <w:left w:w="0" w:type="dxa"/>
              <w:right w:w="0" w:type="dxa"/>
            </w:tcMar>
          </w:tcPr>
          <w:p w14:paraId="246236DC">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施耐德、ABB</w:t>
            </w:r>
            <w:r>
              <w:rPr>
                <w:rFonts w:hint="eastAsia"/>
                <w:color w:val="auto"/>
                <w:highlight w:val="none"/>
                <w:lang w:eastAsia="zh-CN"/>
              </w:rPr>
              <w:t>、</w:t>
            </w:r>
            <w:r>
              <w:rPr>
                <w:rFonts w:hint="eastAsia"/>
                <w:color w:val="auto"/>
                <w:highlight w:val="none"/>
                <w:lang w:val="en-US" w:eastAsia="zh-CN"/>
              </w:rPr>
              <w:t>西门子</w:t>
            </w:r>
          </w:p>
        </w:tc>
        <w:tc>
          <w:tcPr>
            <w:tcW w:w="872" w:type="pct"/>
            <w:shd w:val="clear" w:color="auto" w:fill="auto"/>
            <w:tcMar>
              <w:left w:w="0" w:type="dxa"/>
              <w:right w:w="0" w:type="dxa"/>
            </w:tcMar>
          </w:tcPr>
          <w:p w14:paraId="3D753605">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62E1EEF6">
            <w:pPr>
              <w:widowControl w:val="0"/>
              <w:adjustRightInd w:val="0"/>
              <w:snapToGrid w:val="0"/>
              <w:rPr>
                <w:rFonts w:hint="eastAsia" w:ascii="仿宋" w:hAnsi="仿宋" w:eastAsia="仿宋" w:cs="仿宋"/>
                <w:color w:val="auto"/>
                <w:sz w:val="24"/>
                <w:szCs w:val="24"/>
                <w:highlight w:val="none"/>
              </w:rPr>
            </w:pPr>
          </w:p>
        </w:tc>
      </w:tr>
      <w:tr w14:paraId="4EC7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7" w:type="pct"/>
            <w:shd w:val="clear" w:color="auto" w:fill="auto"/>
            <w:tcMar>
              <w:left w:w="0" w:type="dxa"/>
              <w:right w:w="0" w:type="dxa"/>
            </w:tcMar>
            <w:vAlign w:val="center"/>
          </w:tcPr>
          <w:p w14:paraId="5088FF04">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w:t>
            </w:r>
          </w:p>
        </w:tc>
        <w:tc>
          <w:tcPr>
            <w:tcW w:w="1311" w:type="pct"/>
            <w:shd w:val="clear" w:color="auto" w:fill="auto"/>
            <w:tcMar>
              <w:left w:w="0" w:type="dxa"/>
              <w:right w:w="0" w:type="dxa"/>
            </w:tcMar>
          </w:tcPr>
          <w:p w14:paraId="68E2C1F6">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UPS电源</w:t>
            </w:r>
          </w:p>
        </w:tc>
        <w:tc>
          <w:tcPr>
            <w:tcW w:w="1970" w:type="pct"/>
            <w:shd w:val="clear" w:color="auto" w:fill="auto"/>
            <w:tcMar>
              <w:left w:w="0" w:type="dxa"/>
              <w:right w:w="0" w:type="dxa"/>
            </w:tcMar>
          </w:tcPr>
          <w:p w14:paraId="46963B64">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艾默生、西门子、易事特</w:t>
            </w:r>
          </w:p>
        </w:tc>
        <w:tc>
          <w:tcPr>
            <w:tcW w:w="872" w:type="pct"/>
            <w:shd w:val="clear" w:color="auto" w:fill="auto"/>
            <w:tcMar>
              <w:left w:w="0" w:type="dxa"/>
              <w:right w:w="0" w:type="dxa"/>
            </w:tcMar>
          </w:tcPr>
          <w:p w14:paraId="301B6ED0">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400AE3C2">
            <w:pPr>
              <w:widowControl w:val="0"/>
              <w:adjustRightInd w:val="0"/>
              <w:snapToGrid w:val="0"/>
              <w:rPr>
                <w:rFonts w:hint="eastAsia" w:ascii="仿宋" w:hAnsi="仿宋" w:eastAsia="仿宋" w:cs="仿宋"/>
                <w:color w:val="auto"/>
                <w:sz w:val="24"/>
                <w:szCs w:val="24"/>
                <w:highlight w:val="none"/>
              </w:rPr>
            </w:pPr>
          </w:p>
        </w:tc>
      </w:tr>
      <w:tr w14:paraId="4978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29688B21">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w:t>
            </w:r>
          </w:p>
        </w:tc>
        <w:tc>
          <w:tcPr>
            <w:tcW w:w="1311" w:type="pct"/>
            <w:shd w:val="clear" w:color="auto" w:fill="auto"/>
            <w:tcMar>
              <w:left w:w="0" w:type="dxa"/>
              <w:right w:w="0" w:type="dxa"/>
            </w:tcMar>
          </w:tcPr>
          <w:p w14:paraId="57E8F5EE">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UPS间UPS输出配电柜元件</w:t>
            </w:r>
          </w:p>
        </w:tc>
        <w:tc>
          <w:tcPr>
            <w:tcW w:w="1970" w:type="pct"/>
            <w:shd w:val="clear" w:color="auto" w:fill="auto"/>
            <w:tcMar>
              <w:left w:w="0" w:type="dxa"/>
              <w:right w:w="0" w:type="dxa"/>
            </w:tcMar>
          </w:tcPr>
          <w:p w14:paraId="5F98E6AA">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西门子、ABB、施耐德</w:t>
            </w:r>
          </w:p>
        </w:tc>
        <w:tc>
          <w:tcPr>
            <w:tcW w:w="872" w:type="pct"/>
            <w:shd w:val="clear" w:color="auto" w:fill="auto"/>
            <w:tcMar>
              <w:left w:w="0" w:type="dxa"/>
              <w:right w:w="0" w:type="dxa"/>
            </w:tcMar>
          </w:tcPr>
          <w:p w14:paraId="471B1306">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06F563FF">
            <w:pPr>
              <w:widowControl w:val="0"/>
              <w:adjustRightInd w:val="0"/>
              <w:snapToGrid w:val="0"/>
              <w:rPr>
                <w:rFonts w:hint="eastAsia" w:ascii="仿宋" w:hAnsi="仿宋" w:eastAsia="仿宋" w:cs="仿宋"/>
                <w:color w:val="auto"/>
                <w:sz w:val="24"/>
                <w:szCs w:val="24"/>
                <w:highlight w:val="none"/>
              </w:rPr>
            </w:pPr>
          </w:p>
        </w:tc>
      </w:tr>
      <w:tr w14:paraId="196B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37522C12">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w:t>
            </w:r>
          </w:p>
        </w:tc>
        <w:tc>
          <w:tcPr>
            <w:tcW w:w="1311" w:type="pct"/>
            <w:shd w:val="clear" w:color="auto" w:fill="auto"/>
            <w:tcMar>
              <w:left w:w="0" w:type="dxa"/>
              <w:right w:w="0" w:type="dxa"/>
            </w:tcMar>
          </w:tcPr>
          <w:p w14:paraId="22ADFD10">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火灾自动报警系统主机</w:t>
            </w:r>
          </w:p>
        </w:tc>
        <w:tc>
          <w:tcPr>
            <w:tcW w:w="1970" w:type="pct"/>
            <w:shd w:val="clear" w:color="auto" w:fill="auto"/>
            <w:tcMar>
              <w:left w:w="0" w:type="dxa"/>
              <w:right w:w="0" w:type="dxa"/>
            </w:tcMar>
          </w:tcPr>
          <w:p w14:paraId="474EF856">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西门子、霍尼韦尔、海湾</w:t>
            </w:r>
          </w:p>
        </w:tc>
        <w:tc>
          <w:tcPr>
            <w:tcW w:w="872" w:type="pct"/>
            <w:shd w:val="clear" w:color="auto" w:fill="auto"/>
            <w:tcMar>
              <w:left w:w="0" w:type="dxa"/>
              <w:right w:w="0" w:type="dxa"/>
            </w:tcMar>
          </w:tcPr>
          <w:p w14:paraId="169D6E14">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18FAD43A">
            <w:pPr>
              <w:widowControl w:val="0"/>
              <w:adjustRightInd w:val="0"/>
              <w:snapToGrid w:val="0"/>
              <w:rPr>
                <w:rFonts w:hint="eastAsia" w:ascii="仿宋" w:hAnsi="仿宋" w:eastAsia="仿宋" w:cs="仿宋"/>
                <w:color w:val="auto"/>
                <w:sz w:val="24"/>
                <w:szCs w:val="24"/>
                <w:highlight w:val="none"/>
              </w:rPr>
            </w:pPr>
          </w:p>
        </w:tc>
      </w:tr>
      <w:tr w14:paraId="4125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1038D71E">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w:t>
            </w:r>
          </w:p>
        </w:tc>
        <w:tc>
          <w:tcPr>
            <w:tcW w:w="1311" w:type="pct"/>
            <w:shd w:val="clear" w:color="auto" w:fill="auto"/>
            <w:tcMar>
              <w:left w:w="0" w:type="dxa"/>
              <w:right w:w="0" w:type="dxa"/>
            </w:tcMar>
          </w:tcPr>
          <w:p w14:paraId="4E58C771">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类感探测器、短路隔离器</w:t>
            </w:r>
          </w:p>
        </w:tc>
        <w:tc>
          <w:tcPr>
            <w:tcW w:w="1970" w:type="pct"/>
            <w:shd w:val="clear" w:color="auto" w:fill="auto"/>
            <w:tcMar>
              <w:left w:w="0" w:type="dxa"/>
              <w:right w:w="0" w:type="dxa"/>
            </w:tcMar>
          </w:tcPr>
          <w:p w14:paraId="10EE124A">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西门子、霍尼韦尔、海湾</w:t>
            </w:r>
          </w:p>
        </w:tc>
        <w:tc>
          <w:tcPr>
            <w:tcW w:w="872" w:type="pct"/>
            <w:shd w:val="clear" w:color="auto" w:fill="auto"/>
            <w:tcMar>
              <w:left w:w="0" w:type="dxa"/>
              <w:right w:w="0" w:type="dxa"/>
            </w:tcMar>
          </w:tcPr>
          <w:p w14:paraId="45C242D4">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7E733C2E">
            <w:pPr>
              <w:widowControl w:val="0"/>
              <w:adjustRightInd w:val="0"/>
              <w:snapToGrid w:val="0"/>
              <w:rPr>
                <w:rFonts w:hint="eastAsia" w:ascii="仿宋" w:hAnsi="仿宋" w:eastAsia="仿宋" w:cs="仿宋"/>
                <w:color w:val="auto"/>
                <w:sz w:val="24"/>
                <w:szCs w:val="24"/>
                <w:highlight w:val="none"/>
              </w:rPr>
            </w:pPr>
          </w:p>
        </w:tc>
      </w:tr>
      <w:tr w14:paraId="7237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1DB96133">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w:t>
            </w:r>
          </w:p>
        </w:tc>
        <w:tc>
          <w:tcPr>
            <w:tcW w:w="1311" w:type="pct"/>
            <w:shd w:val="clear" w:color="auto" w:fill="auto"/>
            <w:tcMar>
              <w:left w:w="0" w:type="dxa"/>
              <w:right w:w="0" w:type="dxa"/>
            </w:tcMar>
          </w:tcPr>
          <w:p w14:paraId="221273E1">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消防专用电话分机</w:t>
            </w:r>
          </w:p>
        </w:tc>
        <w:tc>
          <w:tcPr>
            <w:tcW w:w="1970" w:type="pct"/>
            <w:shd w:val="clear" w:color="auto" w:fill="auto"/>
            <w:tcMar>
              <w:left w:w="0" w:type="dxa"/>
              <w:right w:w="0" w:type="dxa"/>
            </w:tcMar>
          </w:tcPr>
          <w:p w14:paraId="1A42E72C">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西门子、霍尼韦尔、海湾</w:t>
            </w:r>
          </w:p>
        </w:tc>
        <w:tc>
          <w:tcPr>
            <w:tcW w:w="872" w:type="pct"/>
            <w:shd w:val="clear" w:color="auto" w:fill="auto"/>
            <w:tcMar>
              <w:left w:w="0" w:type="dxa"/>
              <w:right w:w="0" w:type="dxa"/>
            </w:tcMar>
          </w:tcPr>
          <w:p w14:paraId="1A849F1E">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7B9D0522">
            <w:pPr>
              <w:widowControl w:val="0"/>
              <w:adjustRightInd w:val="0"/>
              <w:snapToGrid w:val="0"/>
              <w:rPr>
                <w:rFonts w:hint="eastAsia" w:ascii="仿宋" w:hAnsi="仿宋" w:eastAsia="仿宋" w:cs="仿宋"/>
                <w:color w:val="auto"/>
                <w:sz w:val="24"/>
                <w:szCs w:val="24"/>
                <w:highlight w:val="none"/>
              </w:rPr>
            </w:pPr>
          </w:p>
        </w:tc>
      </w:tr>
      <w:tr w14:paraId="0A79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4743F725">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w:t>
            </w:r>
          </w:p>
        </w:tc>
        <w:tc>
          <w:tcPr>
            <w:tcW w:w="1311" w:type="pct"/>
            <w:shd w:val="clear" w:color="auto" w:fill="auto"/>
            <w:tcMar>
              <w:left w:w="0" w:type="dxa"/>
              <w:right w:w="0" w:type="dxa"/>
            </w:tcMar>
          </w:tcPr>
          <w:p w14:paraId="650CE404">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火灾声光报警器</w:t>
            </w:r>
          </w:p>
        </w:tc>
        <w:tc>
          <w:tcPr>
            <w:tcW w:w="1970" w:type="pct"/>
            <w:shd w:val="clear" w:color="auto" w:fill="auto"/>
            <w:tcMar>
              <w:left w:w="0" w:type="dxa"/>
              <w:right w:w="0" w:type="dxa"/>
            </w:tcMar>
          </w:tcPr>
          <w:p w14:paraId="2E240929">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西门子、霍尼韦尔、海湾</w:t>
            </w:r>
          </w:p>
        </w:tc>
        <w:tc>
          <w:tcPr>
            <w:tcW w:w="872" w:type="pct"/>
            <w:shd w:val="clear" w:color="auto" w:fill="auto"/>
            <w:tcMar>
              <w:left w:w="0" w:type="dxa"/>
              <w:right w:w="0" w:type="dxa"/>
            </w:tcMar>
          </w:tcPr>
          <w:p w14:paraId="52711A83">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7E0E6207">
            <w:pPr>
              <w:widowControl w:val="0"/>
              <w:adjustRightInd w:val="0"/>
              <w:snapToGrid w:val="0"/>
              <w:rPr>
                <w:rFonts w:hint="eastAsia" w:ascii="仿宋" w:hAnsi="仿宋" w:eastAsia="仿宋" w:cs="仿宋"/>
                <w:color w:val="auto"/>
                <w:sz w:val="24"/>
                <w:szCs w:val="24"/>
                <w:highlight w:val="none"/>
              </w:rPr>
            </w:pPr>
          </w:p>
        </w:tc>
      </w:tr>
      <w:tr w14:paraId="67EF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65B6536B">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w:t>
            </w:r>
          </w:p>
        </w:tc>
        <w:tc>
          <w:tcPr>
            <w:tcW w:w="1311" w:type="pct"/>
            <w:shd w:val="clear" w:color="auto" w:fill="auto"/>
            <w:tcMar>
              <w:left w:w="0" w:type="dxa"/>
              <w:right w:w="0" w:type="dxa"/>
            </w:tcMar>
          </w:tcPr>
          <w:p w14:paraId="0EB71C9C">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单输入单输出模块、单输入模块、双输入双输出模块、隔离模块</w:t>
            </w:r>
          </w:p>
        </w:tc>
        <w:tc>
          <w:tcPr>
            <w:tcW w:w="1970" w:type="pct"/>
            <w:shd w:val="clear" w:color="auto" w:fill="auto"/>
            <w:tcMar>
              <w:left w:w="0" w:type="dxa"/>
              <w:right w:w="0" w:type="dxa"/>
            </w:tcMar>
          </w:tcPr>
          <w:p w14:paraId="49615955">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西门子、泛海三江、海湾</w:t>
            </w:r>
          </w:p>
        </w:tc>
        <w:tc>
          <w:tcPr>
            <w:tcW w:w="872" w:type="pct"/>
            <w:shd w:val="clear" w:color="auto" w:fill="auto"/>
            <w:tcMar>
              <w:left w:w="0" w:type="dxa"/>
              <w:right w:w="0" w:type="dxa"/>
            </w:tcMar>
          </w:tcPr>
          <w:p w14:paraId="4B49D287">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5B3E9DFC">
            <w:pPr>
              <w:widowControl w:val="0"/>
              <w:adjustRightInd w:val="0"/>
              <w:snapToGrid w:val="0"/>
              <w:rPr>
                <w:rFonts w:hint="eastAsia" w:ascii="仿宋" w:hAnsi="仿宋" w:eastAsia="仿宋" w:cs="仿宋"/>
                <w:color w:val="auto"/>
                <w:sz w:val="24"/>
                <w:szCs w:val="24"/>
                <w:highlight w:val="none"/>
              </w:rPr>
            </w:pPr>
          </w:p>
        </w:tc>
      </w:tr>
      <w:tr w14:paraId="1CDE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50EA4883">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w:t>
            </w:r>
          </w:p>
        </w:tc>
        <w:tc>
          <w:tcPr>
            <w:tcW w:w="1311" w:type="pct"/>
            <w:shd w:val="clear" w:color="auto" w:fill="auto"/>
            <w:tcMar>
              <w:left w:w="0" w:type="dxa"/>
              <w:right w:w="0" w:type="dxa"/>
            </w:tcMar>
          </w:tcPr>
          <w:p w14:paraId="20906913">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放气灯、手动报警按钮(带电话插孔)、紧急启停按钮、应急广播及背景音乐扬声器</w:t>
            </w:r>
          </w:p>
        </w:tc>
        <w:tc>
          <w:tcPr>
            <w:tcW w:w="1970" w:type="pct"/>
            <w:shd w:val="clear" w:color="auto" w:fill="auto"/>
            <w:tcMar>
              <w:left w:w="0" w:type="dxa"/>
              <w:right w:w="0" w:type="dxa"/>
            </w:tcMar>
          </w:tcPr>
          <w:p w14:paraId="66059662">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西门子、泛海三江、海湾</w:t>
            </w:r>
          </w:p>
        </w:tc>
        <w:tc>
          <w:tcPr>
            <w:tcW w:w="872" w:type="pct"/>
            <w:shd w:val="clear" w:color="auto" w:fill="auto"/>
            <w:tcMar>
              <w:left w:w="0" w:type="dxa"/>
              <w:right w:w="0" w:type="dxa"/>
            </w:tcMar>
          </w:tcPr>
          <w:p w14:paraId="281CF9C6">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73E50479">
            <w:pPr>
              <w:widowControl w:val="0"/>
              <w:adjustRightInd w:val="0"/>
              <w:snapToGrid w:val="0"/>
              <w:rPr>
                <w:rFonts w:hint="eastAsia" w:ascii="仿宋" w:hAnsi="仿宋" w:eastAsia="仿宋" w:cs="仿宋"/>
                <w:color w:val="auto"/>
                <w:sz w:val="24"/>
                <w:szCs w:val="24"/>
                <w:highlight w:val="none"/>
              </w:rPr>
            </w:pPr>
          </w:p>
        </w:tc>
      </w:tr>
      <w:tr w14:paraId="0C66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47D521CD">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w:t>
            </w:r>
          </w:p>
        </w:tc>
        <w:tc>
          <w:tcPr>
            <w:tcW w:w="1311" w:type="pct"/>
            <w:shd w:val="clear" w:color="auto" w:fill="auto"/>
            <w:tcMar>
              <w:left w:w="0" w:type="dxa"/>
              <w:right w:w="0" w:type="dxa"/>
            </w:tcMar>
          </w:tcPr>
          <w:p w14:paraId="517FD622">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消防接线箱</w:t>
            </w:r>
          </w:p>
        </w:tc>
        <w:tc>
          <w:tcPr>
            <w:tcW w:w="1970" w:type="pct"/>
            <w:shd w:val="clear" w:color="auto" w:fill="auto"/>
            <w:tcMar>
              <w:left w:w="0" w:type="dxa"/>
              <w:right w:w="0" w:type="dxa"/>
            </w:tcMar>
          </w:tcPr>
          <w:p w14:paraId="7FCE1F4D">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西门子、泛海三江、海湾</w:t>
            </w:r>
          </w:p>
        </w:tc>
        <w:tc>
          <w:tcPr>
            <w:tcW w:w="872" w:type="pct"/>
            <w:shd w:val="clear" w:color="auto" w:fill="auto"/>
            <w:tcMar>
              <w:left w:w="0" w:type="dxa"/>
              <w:right w:w="0" w:type="dxa"/>
            </w:tcMar>
          </w:tcPr>
          <w:p w14:paraId="31CA5780">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6B608A75">
            <w:pPr>
              <w:widowControl w:val="0"/>
              <w:adjustRightInd w:val="0"/>
              <w:snapToGrid w:val="0"/>
              <w:rPr>
                <w:rFonts w:hint="eastAsia" w:ascii="仿宋" w:hAnsi="仿宋" w:eastAsia="仿宋" w:cs="仿宋"/>
                <w:color w:val="auto"/>
                <w:sz w:val="24"/>
                <w:szCs w:val="24"/>
                <w:highlight w:val="none"/>
              </w:rPr>
            </w:pPr>
          </w:p>
        </w:tc>
      </w:tr>
      <w:tr w14:paraId="5BC3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08C09A01">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w:t>
            </w:r>
          </w:p>
        </w:tc>
        <w:tc>
          <w:tcPr>
            <w:tcW w:w="1311" w:type="pct"/>
            <w:shd w:val="clear" w:color="auto" w:fill="auto"/>
            <w:tcMar>
              <w:left w:w="0" w:type="dxa"/>
              <w:right w:w="0" w:type="dxa"/>
            </w:tcMar>
          </w:tcPr>
          <w:p w14:paraId="3F414F5C">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消防线缆</w:t>
            </w:r>
          </w:p>
        </w:tc>
        <w:tc>
          <w:tcPr>
            <w:tcW w:w="1970" w:type="pct"/>
            <w:shd w:val="clear" w:color="auto" w:fill="auto"/>
            <w:tcMar>
              <w:left w:w="0" w:type="dxa"/>
              <w:right w:w="0" w:type="dxa"/>
            </w:tcMar>
          </w:tcPr>
          <w:p w14:paraId="5145EA22">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西门子、泛海三江、海湾</w:t>
            </w:r>
          </w:p>
        </w:tc>
        <w:tc>
          <w:tcPr>
            <w:tcW w:w="872" w:type="pct"/>
            <w:shd w:val="clear" w:color="auto" w:fill="auto"/>
            <w:tcMar>
              <w:left w:w="0" w:type="dxa"/>
              <w:right w:w="0" w:type="dxa"/>
            </w:tcMar>
          </w:tcPr>
          <w:p w14:paraId="2969C712">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66D495A1">
            <w:pPr>
              <w:widowControl w:val="0"/>
              <w:adjustRightInd w:val="0"/>
              <w:snapToGrid w:val="0"/>
              <w:rPr>
                <w:rFonts w:hint="eastAsia" w:ascii="仿宋" w:hAnsi="仿宋" w:eastAsia="仿宋" w:cs="仿宋"/>
                <w:color w:val="auto"/>
                <w:sz w:val="24"/>
                <w:szCs w:val="24"/>
                <w:highlight w:val="none"/>
              </w:rPr>
            </w:pPr>
          </w:p>
        </w:tc>
      </w:tr>
      <w:tr w14:paraId="2A34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601875F4">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14</w:t>
            </w:r>
          </w:p>
        </w:tc>
        <w:tc>
          <w:tcPr>
            <w:tcW w:w="1311" w:type="pct"/>
            <w:shd w:val="clear" w:color="auto" w:fill="auto"/>
            <w:tcMar>
              <w:left w:w="0" w:type="dxa"/>
              <w:right w:w="0" w:type="dxa"/>
            </w:tcMar>
          </w:tcPr>
          <w:p w14:paraId="03B8A80D">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气体柜式灭火装置</w:t>
            </w:r>
          </w:p>
        </w:tc>
        <w:tc>
          <w:tcPr>
            <w:tcW w:w="1970" w:type="pct"/>
            <w:shd w:val="clear" w:color="auto" w:fill="auto"/>
            <w:tcMar>
              <w:left w:w="0" w:type="dxa"/>
              <w:right w:w="0" w:type="dxa"/>
            </w:tcMar>
          </w:tcPr>
          <w:p w14:paraId="72B556B6">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西门子、胜捷（中国）、泛海三江</w:t>
            </w:r>
          </w:p>
        </w:tc>
        <w:tc>
          <w:tcPr>
            <w:tcW w:w="872" w:type="pct"/>
            <w:shd w:val="clear" w:color="auto" w:fill="auto"/>
            <w:tcMar>
              <w:left w:w="0" w:type="dxa"/>
              <w:right w:w="0" w:type="dxa"/>
            </w:tcMar>
          </w:tcPr>
          <w:p w14:paraId="08DCA998">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26C20A3F">
            <w:pPr>
              <w:widowControl w:val="0"/>
              <w:adjustRightInd w:val="0"/>
              <w:snapToGrid w:val="0"/>
              <w:rPr>
                <w:rFonts w:hint="eastAsia" w:ascii="仿宋" w:hAnsi="仿宋" w:eastAsia="仿宋" w:cs="仿宋"/>
                <w:color w:val="auto"/>
                <w:sz w:val="24"/>
                <w:szCs w:val="24"/>
                <w:highlight w:val="none"/>
              </w:rPr>
            </w:pPr>
          </w:p>
        </w:tc>
      </w:tr>
      <w:tr w14:paraId="2DB2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5EF7BF42">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w:t>
            </w:r>
          </w:p>
        </w:tc>
        <w:tc>
          <w:tcPr>
            <w:tcW w:w="1311" w:type="pct"/>
            <w:shd w:val="clear" w:color="auto" w:fill="auto"/>
            <w:tcMar>
              <w:left w:w="0" w:type="dxa"/>
              <w:right w:w="0" w:type="dxa"/>
            </w:tcMar>
          </w:tcPr>
          <w:p w14:paraId="2FB556AD">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火灾集中报警控制器</w:t>
            </w:r>
          </w:p>
        </w:tc>
        <w:tc>
          <w:tcPr>
            <w:tcW w:w="1970" w:type="pct"/>
            <w:shd w:val="clear" w:color="auto" w:fill="auto"/>
            <w:tcMar>
              <w:left w:w="0" w:type="dxa"/>
              <w:right w:w="0" w:type="dxa"/>
            </w:tcMar>
          </w:tcPr>
          <w:p w14:paraId="590DB1B5">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海湾、泛海三江、西门子</w:t>
            </w:r>
          </w:p>
        </w:tc>
        <w:tc>
          <w:tcPr>
            <w:tcW w:w="872" w:type="pct"/>
            <w:shd w:val="clear" w:color="auto" w:fill="auto"/>
            <w:tcMar>
              <w:left w:w="0" w:type="dxa"/>
              <w:right w:w="0" w:type="dxa"/>
            </w:tcMar>
          </w:tcPr>
          <w:p w14:paraId="2B047807">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2F62A049">
            <w:pPr>
              <w:widowControl w:val="0"/>
              <w:adjustRightInd w:val="0"/>
              <w:snapToGrid w:val="0"/>
              <w:rPr>
                <w:rFonts w:hint="eastAsia" w:ascii="仿宋" w:hAnsi="仿宋" w:eastAsia="仿宋" w:cs="仿宋"/>
                <w:color w:val="auto"/>
                <w:sz w:val="24"/>
                <w:szCs w:val="24"/>
                <w:highlight w:val="none"/>
              </w:rPr>
            </w:pPr>
          </w:p>
        </w:tc>
      </w:tr>
      <w:tr w14:paraId="1B1ED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3DFF11BD">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16</w:t>
            </w:r>
          </w:p>
        </w:tc>
        <w:tc>
          <w:tcPr>
            <w:tcW w:w="1311" w:type="pct"/>
            <w:shd w:val="clear" w:color="auto" w:fill="auto"/>
            <w:tcMar>
              <w:left w:w="0" w:type="dxa"/>
              <w:right w:w="0" w:type="dxa"/>
            </w:tcMar>
          </w:tcPr>
          <w:p w14:paraId="46D55CB8">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消防电源监控系统设备</w:t>
            </w:r>
          </w:p>
        </w:tc>
        <w:tc>
          <w:tcPr>
            <w:tcW w:w="1970" w:type="pct"/>
            <w:shd w:val="clear" w:color="auto" w:fill="auto"/>
            <w:tcMar>
              <w:left w:w="0" w:type="dxa"/>
              <w:right w:w="0" w:type="dxa"/>
            </w:tcMar>
          </w:tcPr>
          <w:p w14:paraId="2A94E74E">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海湾、泛海三江、西门子</w:t>
            </w:r>
          </w:p>
        </w:tc>
        <w:tc>
          <w:tcPr>
            <w:tcW w:w="872" w:type="pct"/>
            <w:shd w:val="clear" w:color="auto" w:fill="auto"/>
            <w:tcMar>
              <w:left w:w="0" w:type="dxa"/>
              <w:right w:w="0" w:type="dxa"/>
            </w:tcMar>
          </w:tcPr>
          <w:p w14:paraId="78625B96">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48E00173">
            <w:pPr>
              <w:widowControl w:val="0"/>
              <w:adjustRightInd w:val="0"/>
              <w:snapToGrid w:val="0"/>
              <w:rPr>
                <w:rFonts w:hint="eastAsia" w:ascii="仿宋" w:hAnsi="仿宋" w:eastAsia="仿宋" w:cs="仿宋"/>
                <w:color w:val="auto"/>
                <w:sz w:val="24"/>
                <w:szCs w:val="24"/>
                <w:highlight w:val="none"/>
              </w:rPr>
            </w:pPr>
          </w:p>
        </w:tc>
      </w:tr>
      <w:tr w14:paraId="1F9E9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0" w:type="pct"/>
            <w:gridSpan w:val="5"/>
            <w:shd w:val="clear" w:color="auto" w:fill="auto"/>
            <w:tcMar>
              <w:left w:w="0" w:type="dxa"/>
              <w:right w:w="0" w:type="dxa"/>
            </w:tcMar>
            <w:vAlign w:val="center"/>
          </w:tcPr>
          <w:p w14:paraId="5A9E0A8E">
            <w:pPr>
              <w:widowControl w:val="0"/>
              <w:adjustRightInd w:val="0"/>
              <w:snapToGrid w:val="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rPr>
              <w:t>、卫生洁具</w:t>
            </w:r>
          </w:p>
        </w:tc>
      </w:tr>
      <w:tr w14:paraId="59A4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45071169">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p>
        </w:tc>
        <w:tc>
          <w:tcPr>
            <w:tcW w:w="1311" w:type="pct"/>
            <w:shd w:val="clear" w:color="auto" w:fill="auto"/>
            <w:tcMar>
              <w:left w:w="0" w:type="dxa"/>
              <w:right w:w="0" w:type="dxa"/>
            </w:tcMar>
          </w:tcPr>
          <w:p w14:paraId="58E2EDFD">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坐式大便器</w:t>
            </w:r>
          </w:p>
        </w:tc>
        <w:tc>
          <w:tcPr>
            <w:tcW w:w="1970" w:type="pct"/>
            <w:shd w:val="clear" w:color="auto" w:fill="auto"/>
            <w:tcMar>
              <w:left w:w="0" w:type="dxa"/>
              <w:right w:w="0" w:type="dxa"/>
            </w:tcMar>
          </w:tcPr>
          <w:p w14:paraId="13C9FEFD">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美标、科勒、TOTO</w:t>
            </w:r>
          </w:p>
        </w:tc>
        <w:tc>
          <w:tcPr>
            <w:tcW w:w="872" w:type="pct"/>
            <w:shd w:val="clear" w:color="auto" w:fill="auto"/>
            <w:tcMar>
              <w:left w:w="0" w:type="dxa"/>
              <w:right w:w="0" w:type="dxa"/>
            </w:tcMar>
          </w:tcPr>
          <w:p w14:paraId="378ABF53">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3F42D9A3">
            <w:pPr>
              <w:widowControl w:val="0"/>
              <w:adjustRightInd w:val="0"/>
              <w:snapToGrid w:val="0"/>
              <w:rPr>
                <w:rFonts w:hint="eastAsia" w:ascii="仿宋" w:hAnsi="仿宋" w:eastAsia="仿宋" w:cs="仿宋"/>
                <w:color w:val="auto"/>
                <w:sz w:val="24"/>
                <w:szCs w:val="24"/>
                <w:highlight w:val="none"/>
              </w:rPr>
            </w:pPr>
          </w:p>
        </w:tc>
      </w:tr>
      <w:tr w14:paraId="5B28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7" w:type="pct"/>
            <w:shd w:val="clear" w:color="auto" w:fill="auto"/>
            <w:tcMar>
              <w:left w:w="0" w:type="dxa"/>
              <w:right w:w="0" w:type="dxa"/>
            </w:tcMar>
            <w:vAlign w:val="center"/>
          </w:tcPr>
          <w:p w14:paraId="12D8E51A">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p>
        </w:tc>
        <w:tc>
          <w:tcPr>
            <w:tcW w:w="1311" w:type="pct"/>
            <w:shd w:val="clear" w:color="auto" w:fill="auto"/>
            <w:tcMar>
              <w:left w:w="0" w:type="dxa"/>
              <w:right w:w="0" w:type="dxa"/>
            </w:tcMar>
          </w:tcPr>
          <w:p w14:paraId="76FFA8AB">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地漏、清扫口</w:t>
            </w:r>
          </w:p>
        </w:tc>
        <w:tc>
          <w:tcPr>
            <w:tcW w:w="1970" w:type="pct"/>
            <w:shd w:val="clear" w:color="auto" w:fill="auto"/>
            <w:tcMar>
              <w:left w:w="0" w:type="dxa"/>
              <w:right w:w="0" w:type="dxa"/>
            </w:tcMar>
          </w:tcPr>
          <w:p w14:paraId="44B0FDAB">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美标、科勒、TOTO</w:t>
            </w:r>
          </w:p>
        </w:tc>
        <w:tc>
          <w:tcPr>
            <w:tcW w:w="872" w:type="pct"/>
            <w:shd w:val="clear" w:color="auto" w:fill="auto"/>
            <w:tcMar>
              <w:left w:w="0" w:type="dxa"/>
              <w:right w:w="0" w:type="dxa"/>
            </w:tcMar>
          </w:tcPr>
          <w:p w14:paraId="19BF612C">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6424E27D">
            <w:pPr>
              <w:widowControl w:val="0"/>
              <w:adjustRightInd w:val="0"/>
              <w:snapToGrid w:val="0"/>
              <w:rPr>
                <w:rFonts w:hint="eastAsia" w:ascii="仿宋" w:hAnsi="仿宋" w:eastAsia="仿宋" w:cs="仿宋"/>
                <w:color w:val="auto"/>
                <w:sz w:val="24"/>
                <w:szCs w:val="24"/>
                <w:highlight w:val="none"/>
              </w:rPr>
            </w:pPr>
          </w:p>
        </w:tc>
      </w:tr>
      <w:tr w14:paraId="5219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1BF300E5">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p>
        </w:tc>
        <w:tc>
          <w:tcPr>
            <w:tcW w:w="1311" w:type="pct"/>
            <w:shd w:val="clear" w:color="auto" w:fill="auto"/>
            <w:tcMar>
              <w:left w:w="0" w:type="dxa"/>
              <w:right w:w="0" w:type="dxa"/>
            </w:tcMar>
          </w:tcPr>
          <w:p w14:paraId="6A6E3E4D">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不锈钢管</w:t>
            </w:r>
          </w:p>
        </w:tc>
        <w:tc>
          <w:tcPr>
            <w:tcW w:w="1970" w:type="pct"/>
            <w:shd w:val="clear" w:color="auto" w:fill="auto"/>
            <w:tcMar>
              <w:left w:w="0" w:type="dxa"/>
              <w:right w:w="0" w:type="dxa"/>
            </w:tcMar>
          </w:tcPr>
          <w:p w14:paraId="5B61734E">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珠江、广州钢管厂、联塑</w:t>
            </w:r>
          </w:p>
        </w:tc>
        <w:tc>
          <w:tcPr>
            <w:tcW w:w="872" w:type="pct"/>
            <w:shd w:val="clear" w:color="auto" w:fill="auto"/>
            <w:tcMar>
              <w:left w:w="0" w:type="dxa"/>
              <w:right w:w="0" w:type="dxa"/>
            </w:tcMar>
          </w:tcPr>
          <w:p w14:paraId="607CE5D2">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47D25C64">
            <w:pPr>
              <w:widowControl w:val="0"/>
              <w:adjustRightInd w:val="0"/>
              <w:snapToGrid w:val="0"/>
              <w:rPr>
                <w:rFonts w:hint="eastAsia" w:ascii="仿宋" w:hAnsi="仿宋" w:eastAsia="仿宋" w:cs="仿宋"/>
                <w:color w:val="auto"/>
                <w:sz w:val="24"/>
                <w:szCs w:val="24"/>
                <w:highlight w:val="none"/>
              </w:rPr>
            </w:pPr>
          </w:p>
        </w:tc>
      </w:tr>
      <w:tr w14:paraId="6AA1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11B4B221">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w:t>
            </w:r>
          </w:p>
        </w:tc>
        <w:tc>
          <w:tcPr>
            <w:tcW w:w="1311" w:type="pct"/>
            <w:shd w:val="clear" w:color="auto" w:fill="auto"/>
            <w:tcMar>
              <w:left w:w="0" w:type="dxa"/>
              <w:right w:w="0" w:type="dxa"/>
            </w:tcMar>
          </w:tcPr>
          <w:p w14:paraId="103A48B8">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阀门</w:t>
            </w:r>
          </w:p>
        </w:tc>
        <w:tc>
          <w:tcPr>
            <w:tcW w:w="1970" w:type="pct"/>
            <w:shd w:val="clear" w:color="auto" w:fill="auto"/>
            <w:tcMar>
              <w:left w:w="0" w:type="dxa"/>
              <w:right w:w="0" w:type="dxa"/>
            </w:tcMar>
          </w:tcPr>
          <w:p w14:paraId="341D3895">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冠龙阀门 、良精、宁波埃美柯</w:t>
            </w:r>
          </w:p>
        </w:tc>
        <w:tc>
          <w:tcPr>
            <w:tcW w:w="872" w:type="pct"/>
            <w:shd w:val="clear" w:color="auto" w:fill="auto"/>
            <w:tcMar>
              <w:left w:w="0" w:type="dxa"/>
              <w:right w:w="0" w:type="dxa"/>
            </w:tcMar>
          </w:tcPr>
          <w:p w14:paraId="4DBE5F1B">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623A055B">
            <w:pPr>
              <w:widowControl w:val="0"/>
              <w:adjustRightInd w:val="0"/>
              <w:snapToGrid w:val="0"/>
              <w:rPr>
                <w:rFonts w:hint="eastAsia" w:ascii="仿宋" w:hAnsi="仿宋" w:eastAsia="仿宋" w:cs="仿宋"/>
                <w:color w:val="auto"/>
                <w:sz w:val="24"/>
                <w:szCs w:val="24"/>
                <w:highlight w:val="none"/>
              </w:rPr>
            </w:pPr>
          </w:p>
        </w:tc>
      </w:tr>
      <w:tr w14:paraId="7A49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6DB6BFBA">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w:t>
            </w:r>
          </w:p>
        </w:tc>
        <w:tc>
          <w:tcPr>
            <w:tcW w:w="1311" w:type="pct"/>
            <w:shd w:val="clear" w:color="auto" w:fill="auto"/>
            <w:tcMar>
              <w:left w:w="0" w:type="dxa"/>
              <w:right w:w="0" w:type="dxa"/>
            </w:tcMar>
          </w:tcPr>
          <w:p w14:paraId="62827341">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储水式电热水器</w:t>
            </w:r>
          </w:p>
        </w:tc>
        <w:tc>
          <w:tcPr>
            <w:tcW w:w="1970" w:type="pct"/>
            <w:shd w:val="clear" w:color="auto" w:fill="auto"/>
            <w:tcMar>
              <w:left w:w="0" w:type="dxa"/>
              <w:right w:w="0" w:type="dxa"/>
            </w:tcMar>
          </w:tcPr>
          <w:p w14:paraId="4E04CFCA">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A.O史密斯、美的、海尔、万和</w:t>
            </w:r>
          </w:p>
        </w:tc>
        <w:tc>
          <w:tcPr>
            <w:tcW w:w="872" w:type="pct"/>
            <w:shd w:val="clear" w:color="auto" w:fill="auto"/>
            <w:tcMar>
              <w:left w:w="0" w:type="dxa"/>
              <w:right w:w="0" w:type="dxa"/>
            </w:tcMar>
          </w:tcPr>
          <w:p w14:paraId="46AB0135">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12577230">
            <w:pPr>
              <w:widowControl w:val="0"/>
              <w:adjustRightInd w:val="0"/>
              <w:snapToGrid w:val="0"/>
              <w:rPr>
                <w:rFonts w:hint="eastAsia" w:ascii="仿宋" w:hAnsi="仿宋" w:eastAsia="仿宋" w:cs="仿宋"/>
                <w:color w:val="auto"/>
                <w:sz w:val="24"/>
                <w:szCs w:val="24"/>
                <w:highlight w:val="none"/>
              </w:rPr>
            </w:pPr>
          </w:p>
        </w:tc>
      </w:tr>
      <w:tr w14:paraId="297B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0" w:type="pct"/>
            <w:gridSpan w:val="5"/>
            <w:shd w:val="clear" w:color="auto" w:fill="auto"/>
            <w:tcMar>
              <w:left w:w="0" w:type="dxa"/>
              <w:right w:w="0" w:type="dxa"/>
            </w:tcMar>
            <w:vAlign w:val="center"/>
          </w:tcPr>
          <w:p w14:paraId="6E09516B">
            <w:pPr>
              <w:widowControl w:val="0"/>
              <w:adjustRightInd w:val="0"/>
              <w:snapToGrid w:val="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、消防水系统</w:t>
            </w:r>
          </w:p>
        </w:tc>
      </w:tr>
      <w:tr w14:paraId="28AD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18547F51">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p>
        </w:tc>
        <w:tc>
          <w:tcPr>
            <w:tcW w:w="1311" w:type="pct"/>
            <w:shd w:val="clear" w:color="auto" w:fill="auto"/>
            <w:tcMar>
              <w:left w:w="0" w:type="dxa"/>
              <w:right w:w="0" w:type="dxa"/>
            </w:tcMar>
          </w:tcPr>
          <w:p w14:paraId="3D3BE010">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阀门</w:t>
            </w:r>
          </w:p>
        </w:tc>
        <w:tc>
          <w:tcPr>
            <w:tcW w:w="1970" w:type="pct"/>
            <w:shd w:val="clear" w:color="auto" w:fill="auto"/>
            <w:tcMar>
              <w:left w:w="0" w:type="dxa"/>
              <w:right w:w="0" w:type="dxa"/>
            </w:tcMar>
          </w:tcPr>
          <w:p w14:paraId="73293FCE">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永泉、冠龙、广一、港合</w:t>
            </w:r>
          </w:p>
        </w:tc>
        <w:tc>
          <w:tcPr>
            <w:tcW w:w="872" w:type="pct"/>
            <w:shd w:val="clear" w:color="auto" w:fill="auto"/>
            <w:tcMar>
              <w:left w:w="0" w:type="dxa"/>
              <w:right w:w="0" w:type="dxa"/>
            </w:tcMar>
          </w:tcPr>
          <w:p w14:paraId="22064EAF">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71BE5CD3">
            <w:pPr>
              <w:widowControl w:val="0"/>
              <w:adjustRightInd w:val="0"/>
              <w:snapToGrid w:val="0"/>
              <w:rPr>
                <w:rFonts w:hint="eastAsia" w:ascii="仿宋" w:hAnsi="仿宋" w:eastAsia="仿宋" w:cs="仿宋"/>
                <w:color w:val="auto"/>
                <w:sz w:val="24"/>
                <w:szCs w:val="24"/>
                <w:highlight w:val="none"/>
              </w:rPr>
            </w:pPr>
          </w:p>
        </w:tc>
      </w:tr>
      <w:tr w14:paraId="3BB1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23F3AB16">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p>
        </w:tc>
        <w:tc>
          <w:tcPr>
            <w:tcW w:w="1311" w:type="pct"/>
            <w:shd w:val="clear" w:color="auto" w:fill="auto"/>
            <w:tcMar>
              <w:left w:w="0" w:type="dxa"/>
              <w:right w:w="0" w:type="dxa"/>
            </w:tcMar>
          </w:tcPr>
          <w:p w14:paraId="455EF540">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内外热浸镀锌钢管</w:t>
            </w:r>
          </w:p>
        </w:tc>
        <w:tc>
          <w:tcPr>
            <w:tcW w:w="1970" w:type="pct"/>
            <w:shd w:val="clear" w:color="auto" w:fill="auto"/>
            <w:tcMar>
              <w:left w:w="0" w:type="dxa"/>
              <w:right w:w="0" w:type="dxa"/>
            </w:tcMar>
          </w:tcPr>
          <w:p w14:paraId="336DC741">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广州钢管厂、珠江钢管厂、成都贝根</w:t>
            </w:r>
          </w:p>
        </w:tc>
        <w:tc>
          <w:tcPr>
            <w:tcW w:w="872" w:type="pct"/>
            <w:shd w:val="clear" w:color="auto" w:fill="auto"/>
            <w:tcMar>
              <w:left w:w="0" w:type="dxa"/>
              <w:right w:w="0" w:type="dxa"/>
            </w:tcMar>
          </w:tcPr>
          <w:p w14:paraId="692BF285">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2A212868">
            <w:pPr>
              <w:widowControl w:val="0"/>
              <w:adjustRightInd w:val="0"/>
              <w:snapToGrid w:val="0"/>
              <w:rPr>
                <w:rFonts w:hint="eastAsia" w:ascii="仿宋" w:hAnsi="仿宋" w:eastAsia="仿宋" w:cs="仿宋"/>
                <w:color w:val="auto"/>
                <w:sz w:val="24"/>
                <w:szCs w:val="24"/>
                <w:highlight w:val="none"/>
              </w:rPr>
            </w:pPr>
          </w:p>
        </w:tc>
      </w:tr>
      <w:tr w14:paraId="5289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035B1B8F">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p>
        </w:tc>
        <w:tc>
          <w:tcPr>
            <w:tcW w:w="1311" w:type="pct"/>
            <w:shd w:val="clear" w:color="auto" w:fill="auto"/>
            <w:tcMar>
              <w:left w:w="0" w:type="dxa"/>
              <w:right w:w="0" w:type="dxa"/>
            </w:tcMar>
          </w:tcPr>
          <w:p w14:paraId="181FA3CB">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消火栓、灭火器放置箱（内含灭火器）</w:t>
            </w:r>
          </w:p>
        </w:tc>
        <w:tc>
          <w:tcPr>
            <w:tcW w:w="1970" w:type="pct"/>
            <w:shd w:val="clear" w:color="auto" w:fill="auto"/>
            <w:tcMar>
              <w:left w:w="0" w:type="dxa"/>
              <w:right w:w="0" w:type="dxa"/>
            </w:tcMar>
          </w:tcPr>
          <w:p w14:paraId="7F287A45">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广州市番禺振兴 、广东平安消防、广东胜捷消防</w:t>
            </w:r>
          </w:p>
        </w:tc>
        <w:tc>
          <w:tcPr>
            <w:tcW w:w="872" w:type="pct"/>
            <w:shd w:val="clear" w:color="auto" w:fill="auto"/>
            <w:tcMar>
              <w:left w:w="0" w:type="dxa"/>
              <w:right w:w="0" w:type="dxa"/>
            </w:tcMar>
          </w:tcPr>
          <w:p w14:paraId="7AF77531">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7ED4C3C1">
            <w:pPr>
              <w:widowControl w:val="0"/>
              <w:adjustRightInd w:val="0"/>
              <w:snapToGrid w:val="0"/>
              <w:rPr>
                <w:rFonts w:hint="eastAsia" w:ascii="仿宋" w:hAnsi="仿宋" w:eastAsia="仿宋" w:cs="仿宋"/>
                <w:color w:val="auto"/>
                <w:sz w:val="24"/>
                <w:szCs w:val="24"/>
                <w:highlight w:val="none"/>
              </w:rPr>
            </w:pPr>
          </w:p>
        </w:tc>
      </w:tr>
      <w:tr w14:paraId="61F9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4E369BDA">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w:t>
            </w:r>
          </w:p>
        </w:tc>
        <w:tc>
          <w:tcPr>
            <w:tcW w:w="1311" w:type="pct"/>
            <w:shd w:val="clear" w:color="auto" w:fill="auto"/>
            <w:tcMar>
              <w:left w:w="0" w:type="dxa"/>
              <w:right w:w="0" w:type="dxa"/>
            </w:tcMar>
          </w:tcPr>
          <w:p w14:paraId="5419B51C">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喷头</w:t>
            </w:r>
          </w:p>
        </w:tc>
        <w:tc>
          <w:tcPr>
            <w:tcW w:w="1970" w:type="pct"/>
            <w:shd w:val="clear" w:color="auto" w:fill="auto"/>
            <w:tcMar>
              <w:left w:w="0" w:type="dxa"/>
              <w:right w:w="0" w:type="dxa"/>
            </w:tcMar>
          </w:tcPr>
          <w:p w14:paraId="5D38EC2B">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上海金盾、广东胜捷、广东平安消防</w:t>
            </w:r>
          </w:p>
        </w:tc>
        <w:tc>
          <w:tcPr>
            <w:tcW w:w="872" w:type="pct"/>
            <w:shd w:val="clear" w:color="auto" w:fill="auto"/>
            <w:tcMar>
              <w:left w:w="0" w:type="dxa"/>
              <w:right w:w="0" w:type="dxa"/>
            </w:tcMar>
          </w:tcPr>
          <w:p w14:paraId="177C394B">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4E22CCAB">
            <w:pPr>
              <w:widowControl w:val="0"/>
              <w:adjustRightInd w:val="0"/>
              <w:snapToGrid w:val="0"/>
              <w:rPr>
                <w:rFonts w:hint="eastAsia" w:ascii="仿宋" w:hAnsi="仿宋" w:eastAsia="仿宋" w:cs="仿宋"/>
                <w:color w:val="auto"/>
                <w:sz w:val="24"/>
                <w:szCs w:val="24"/>
                <w:highlight w:val="none"/>
              </w:rPr>
            </w:pPr>
          </w:p>
        </w:tc>
      </w:tr>
      <w:tr w14:paraId="2626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5000" w:type="pct"/>
            <w:gridSpan w:val="5"/>
            <w:shd w:val="clear" w:color="auto" w:fill="auto"/>
            <w:tcMar>
              <w:left w:w="0" w:type="dxa"/>
              <w:right w:w="0" w:type="dxa"/>
            </w:tcMar>
            <w:vAlign w:val="center"/>
          </w:tcPr>
          <w:p w14:paraId="4661DDEB">
            <w:pPr>
              <w:widowControl w:val="0"/>
              <w:adjustRightInd w:val="0"/>
              <w:snapToGrid w:val="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医用气体工程</w:t>
            </w:r>
          </w:p>
        </w:tc>
      </w:tr>
      <w:tr w14:paraId="64CAA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28115E82">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p>
        </w:tc>
        <w:tc>
          <w:tcPr>
            <w:tcW w:w="1311" w:type="pct"/>
            <w:shd w:val="clear" w:color="auto" w:fill="auto"/>
            <w:tcMar>
              <w:left w:w="0" w:type="dxa"/>
              <w:right w:w="0" w:type="dxa"/>
            </w:tcMar>
          </w:tcPr>
          <w:p w14:paraId="0047A597">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医气终端（国产德式）</w:t>
            </w:r>
          </w:p>
        </w:tc>
        <w:tc>
          <w:tcPr>
            <w:tcW w:w="1970" w:type="pct"/>
            <w:shd w:val="clear" w:color="auto" w:fill="auto"/>
            <w:tcMar>
              <w:left w:w="0" w:type="dxa"/>
              <w:right w:w="0" w:type="dxa"/>
            </w:tcMar>
          </w:tcPr>
          <w:p w14:paraId="0B545237">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捷锐、捷工、珠海奥吉赛</w:t>
            </w:r>
          </w:p>
        </w:tc>
        <w:tc>
          <w:tcPr>
            <w:tcW w:w="872" w:type="pct"/>
            <w:shd w:val="clear" w:color="auto" w:fill="auto"/>
            <w:tcMar>
              <w:left w:w="0" w:type="dxa"/>
              <w:right w:w="0" w:type="dxa"/>
            </w:tcMar>
          </w:tcPr>
          <w:p w14:paraId="0CF0A883">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1F11A6FB">
            <w:pPr>
              <w:widowControl w:val="0"/>
              <w:adjustRightInd w:val="0"/>
              <w:snapToGrid w:val="0"/>
              <w:rPr>
                <w:rFonts w:hint="eastAsia" w:ascii="仿宋" w:hAnsi="仿宋" w:eastAsia="仿宋" w:cs="仿宋"/>
                <w:color w:val="auto"/>
                <w:sz w:val="24"/>
                <w:szCs w:val="24"/>
                <w:highlight w:val="none"/>
              </w:rPr>
            </w:pPr>
          </w:p>
        </w:tc>
      </w:tr>
      <w:tr w14:paraId="22DE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1A60BC4B">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p>
        </w:tc>
        <w:tc>
          <w:tcPr>
            <w:tcW w:w="1311" w:type="pct"/>
            <w:shd w:val="clear" w:color="auto" w:fill="auto"/>
            <w:tcMar>
              <w:left w:w="0" w:type="dxa"/>
              <w:right w:w="0" w:type="dxa"/>
            </w:tcMar>
          </w:tcPr>
          <w:p w14:paraId="36B474E2">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医气终端（进口德式）</w:t>
            </w:r>
          </w:p>
        </w:tc>
        <w:tc>
          <w:tcPr>
            <w:tcW w:w="1970" w:type="pct"/>
            <w:shd w:val="clear" w:color="auto" w:fill="auto"/>
            <w:tcMar>
              <w:left w:w="0" w:type="dxa"/>
              <w:right w:w="0" w:type="dxa"/>
            </w:tcMar>
          </w:tcPr>
          <w:p w14:paraId="13911C52">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德尔格、必康美德、TLV、格尔森、萨伯曼</w:t>
            </w:r>
          </w:p>
        </w:tc>
        <w:tc>
          <w:tcPr>
            <w:tcW w:w="872" w:type="pct"/>
            <w:shd w:val="clear" w:color="auto" w:fill="auto"/>
            <w:tcMar>
              <w:left w:w="0" w:type="dxa"/>
              <w:right w:w="0" w:type="dxa"/>
            </w:tcMar>
          </w:tcPr>
          <w:p w14:paraId="22736C63">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545623B6">
            <w:pPr>
              <w:widowControl w:val="0"/>
              <w:adjustRightInd w:val="0"/>
              <w:snapToGrid w:val="0"/>
              <w:rPr>
                <w:rFonts w:hint="eastAsia" w:ascii="仿宋" w:hAnsi="仿宋" w:eastAsia="仿宋" w:cs="仿宋"/>
                <w:color w:val="auto"/>
                <w:sz w:val="24"/>
                <w:szCs w:val="24"/>
                <w:highlight w:val="none"/>
              </w:rPr>
            </w:pPr>
          </w:p>
        </w:tc>
      </w:tr>
      <w:tr w14:paraId="4128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69AEEAD9">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p>
        </w:tc>
        <w:tc>
          <w:tcPr>
            <w:tcW w:w="1311" w:type="pct"/>
            <w:shd w:val="clear" w:color="auto" w:fill="auto"/>
            <w:tcMar>
              <w:left w:w="0" w:type="dxa"/>
              <w:right w:w="0" w:type="dxa"/>
            </w:tcMar>
          </w:tcPr>
          <w:p w14:paraId="74BD4F06">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脱脂铜管</w:t>
            </w:r>
          </w:p>
        </w:tc>
        <w:tc>
          <w:tcPr>
            <w:tcW w:w="1970" w:type="pct"/>
            <w:shd w:val="clear" w:color="auto" w:fill="auto"/>
            <w:tcMar>
              <w:left w:w="0" w:type="dxa"/>
              <w:right w:w="0" w:type="dxa"/>
            </w:tcMar>
          </w:tcPr>
          <w:p w14:paraId="4CA7B314">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海亮、宁波永享、天力久田</w:t>
            </w:r>
          </w:p>
        </w:tc>
        <w:tc>
          <w:tcPr>
            <w:tcW w:w="872" w:type="pct"/>
            <w:shd w:val="clear" w:color="auto" w:fill="auto"/>
            <w:tcMar>
              <w:left w:w="0" w:type="dxa"/>
              <w:right w:w="0" w:type="dxa"/>
            </w:tcMar>
          </w:tcPr>
          <w:p w14:paraId="0034A7BB">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5BC0E3E8">
            <w:pPr>
              <w:widowControl w:val="0"/>
              <w:adjustRightInd w:val="0"/>
              <w:snapToGrid w:val="0"/>
              <w:rPr>
                <w:rFonts w:hint="eastAsia" w:ascii="仿宋" w:hAnsi="仿宋" w:eastAsia="仿宋" w:cs="仿宋"/>
                <w:color w:val="auto"/>
                <w:sz w:val="24"/>
                <w:szCs w:val="24"/>
                <w:highlight w:val="none"/>
              </w:rPr>
            </w:pPr>
          </w:p>
        </w:tc>
      </w:tr>
      <w:tr w14:paraId="4FAF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4EDE5D80">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w:t>
            </w:r>
          </w:p>
        </w:tc>
        <w:tc>
          <w:tcPr>
            <w:tcW w:w="1311" w:type="pct"/>
            <w:shd w:val="clear" w:color="auto" w:fill="auto"/>
            <w:tcMar>
              <w:left w:w="0" w:type="dxa"/>
              <w:right w:w="0" w:type="dxa"/>
            </w:tcMar>
          </w:tcPr>
          <w:p w14:paraId="1E364FD0">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设备带</w:t>
            </w:r>
          </w:p>
        </w:tc>
        <w:tc>
          <w:tcPr>
            <w:tcW w:w="1970" w:type="pct"/>
            <w:shd w:val="clear" w:color="auto" w:fill="auto"/>
            <w:tcMar>
              <w:left w:w="0" w:type="dxa"/>
              <w:right w:w="0" w:type="dxa"/>
            </w:tcMar>
          </w:tcPr>
          <w:p w14:paraId="23BC16FA">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晴杨、奥吉赛</w:t>
            </w:r>
            <w:r>
              <w:rPr>
                <w:rFonts w:hint="eastAsia"/>
                <w:color w:val="auto"/>
                <w:highlight w:val="none"/>
                <w:lang w:eastAsia="zh-CN"/>
              </w:rPr>
              <w:t>、</w:t>
            </w:r>
            <w:r>
              <w:rPr>
                <w:rFonts w:hint="eastAsia" w:ascii="仿宋" w:hAnsi="仿宋" w:eastAsia="仿宋" w:cs="仿宋"/>
                <w:color w:val="auto"/>
                <w:sz w:val="24"/>
                <w:highlight w:val="none"/>
              </w:rPr>
              <w:t>捷锐</w:t>
            </w:r>
          </w:p>
        </w:tc>
        <w:tc>
          <w:tcPr>
            <w:tcW w:w="872" w:type="pct"/>
            <w:shd w:val="clear" w:color="auto" w:fill="auto"/>
            <w:tcMar>
              <w:left w:w="0" w:type="dxa"/>
              <w:right w:w="0" w:type="dxa"/>
            </w:tcMar>
          </w:tcPr>
          <w:p w14:paraId="29BBA4B5">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75F9852A">
            <w:pPr>
              <w:widowControl w:val="0"/>
              <w:adjustRightInd w:val="0"/>
              <w:snapToGrid w:val="0"/>
              <w:rPr>
                <w:rFonts w:hint="eastAsia" w:ascii="仿宋" w:hAnsi="仿宋" w:eastAsia="仿宋" w:cs="仿宋"/>
                <w:color w:val="auto"/>
                <w:sz w:val="24"/>
                <w:szCs w:val="24"/>
                <w:highlight w:val="none"/>
              </w:rPr>
            </w:pPr>
          </w:p>
        </w:tc>
      </w:tr>
      <w:tr w14:paraId="17A9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07F8A03A">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w:t>
            </w:r>
          </w:p>
        </w:tc>
        <w:tc>
          <w:tcPr>
            <w:tcW w:w="1311" w:type="pct"/>
            <w:shd w:val="clear" w:color="auto" w:fill="auto"/>
            <w:tcMar>
              <w:left w:w="0" w:type="dxa"/>
              <w:right w:w="0" w:type="dxa"/>
            </w:tcMar>
          </w:tcPr>
          <w:p w14:paraId="096C43D6">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二级减压箱、阀门箱</w:t>
            </w:r>
          </w:p>
        </w:tc>
        <w:tc>
          <w:tcPr>
            <w:tcW w:w="1970" w:type="pct"/>
            <w:shd w:val="clear" w:color="auto" w:fill="auto"/>
            <w:tcMar>
              <w:left w:w="0" w:type="dxa"/>
              <w:right w:w="0" w:type="dxa"/>
            </w:tcMar>
          </w:tcPr>
          <w:p w14:paraId="475CF9B5">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捷锐、捷工、珠海奥吉赛、德尔格、必康美德</w:t>
            </w:r>
          </w:p>
        </w:tc>
        <w:tc>
          <w:tcPr>
            <w:tcW w:w="872" w:type="pct"/>
            <w:shd w:val="clear" w:color="auto" w:fill="auto"/>
            <w:tcMar>
              <w:left w:w="0" w:type="dxa"/>
              <w:right w:w="0" w:type="dxa"/>
            </w:tcMar>
          </w:tcPr>
          <w:p w14:paraId="5592598D">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4F2B3512">
            <w:pPr>
              <w:widowControl w:val="0"/>
              <w:adjustRightInd w:val="0"/>
              <w:snapToGrid w:val="0"/>
              <w:rPr>
                <w:rFonts w:hint="eastAsia" w:ascii="仿宋" w:hAnsi="仿宋" w:eastAsia="仿宋" w:cs="仿宋"/>
                <w:color w:val="auto"/>
                <w:sz w:val="24"/>
                <w:szCs w:val="24"/>
                <w:highlight w:val="none"/>
              </w:rPr>
            </w:pPr>
          </w:p>
        </w:tc>
      </w:tr>
      <w:tr w14:paraId="625C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041C9423">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w:t>
            </w:r>
          </w:p>
        </w:tc>
        <w:tc>
          <w:tcPr>
            <w:tcW w:w="1311" w:type="pct"/>
            <w:shd w:val="clear" w:color="auto" w:fill="auto"/>
            <w:tcMar>
              <w:left w:w="0" w:type="dxa"/>
              <w:right w:w="0" w:type="dxa"/>
            </w:tcMar>
          </w:tcPr>
          <w:p w14:paraId="5ACB4965">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阀门</w:t>
            </w:r>
          </w:p>
        </w:tc>
        <w:tc>
          <w:tcPr>
            <w:tcW w:w="1970" w:type="pct"/>
            <w:shd w:val="clear" w:color="auto" w:fill="auto"/>
            <w:tcMar>
              <w:left w:w="0" w:type="dxa"/>
              <w:right w:w="0" w:type="dxa"/>
            </w:tcMar>
          </w:tcPr>
          <w:p w14:paraId="34D93E8C">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埃美柯、伯特利阀门、上海阀门厂</w:t>
            </w:r>
          </w:p>
        </w:tc>
        <w:tc>
          <w:tcPr>
            <w:tcW w:w="872" w:type="pct"/>
            <w:shd w:val="clear" w:color="auto" w:fill="auto"/>
            <w:tcMar>
              <w:left w:w="0" w:type="dxa"/>
              <w:right w:w="0" w:type="dxa"/>
            </w:tcMar>
          </w:tcPr>
          <w:p w14:paraId="1428430F">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4DB5FE75">
            <w:pPr>
              <w:widowControl w:val="0"/>
              <w:adjustRightInd w:val="0"/>
              <w:snapToGrid w:val="0"/>
              <w:rPr>
                <w:rFonts w:hint="eastAsia" w:ascii="仿宋" w:hAnsi="仿宋" w:eastAsia="仿宋" w:cs="仿宋"/>
                <w:color w:val="auto"/>
                <w:sz w:val="24"/>
                <w:szCs w:val="24"/>
                <w:highlight w:val="none"/>
              </w:rPr>
            </w:pPr>
          </w:p>
        </w:tc>
      </w:tr>
      <w:tr w14:paraId="5DDE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039D23FD">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w:t>
            </w:r>
          </w:p>
        </w:tc>
        <w:tc>
          <w:tcPr>
            <w:tcW w:w="1311" w:type="pct"/>
            <w:shd w:val="clear" w:color="auto" w:fill="auto"/>
            <w:tcMar>
              <w:left w:w="0" w:type="dxa"/>
              <w:right w:w="0" w:type="dxa"/>
            </w:tcMar>
          </w:tcPr>
          <w:p w14:paraId="3311E78A">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汇流排</w:t>
            </w:r>
          </w:p>
        </w:tc>
        <w:tc>
          <w:tcPr>
            <w:tcW w:w="1970" w:type="pct"/>
            <w:shd w:val="clear" w:color="auto" w:fill="auto"/>
            <w:tcMar>
              <w:left w:w="0" w:type="dxa"/>
              <w:right w:w="0" w:type="dxa"/>
            </w:tcMar>
          </w:tcPr>
          <w:p w14:paraId="6BF7AE46">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德尔格、捷锐、必康美德、捷工、萨伯曼</w:t>
            </w:r>
          </w:p>
        </w:tc>
        <w:tc>
          <w:tcPr>
            <w:tcW w:w="872" w:type="pct"/>
            <w:shd w:val="clear" w:color="auto" w:fill="auto"/>
            <w:tcMar>
              <w:left w:w="0" w:type="dxa"/>
              <w:right w:w="0" w:type="dxa"/>
            </w:tcMar>
          </w:tcPr>
          <w:p w14:paraId="251043B7">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228D5A95">
            <w:pPr>
              <w:widowControl w:val="0"/>
              <w:adjustRightInd w:val="0"/>
              <w:snapToGrid w:val="0"/>
              <w:rPr>
                <w:rFonts w:hint="eastAsia" w:ascii="仿宋" w:hAnsi="仿宋" w:eastAsia="仿宋" w:cs="仿宋"/>
                <w:color w:val="auto"/>
                <w:sz w:val="24"/>
                <w:szCs w:val="24"/>
                <w:highlight w:val="none"/>
              </w:rPr>
            </w:pPr>
          </w:p>
        </w:tc>
      </w:tr>
      <w:tr w14:paraId="368D8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6B9C1F3C">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w:t>
            </w:r>
          </w:p>
        </w:tc>
        <w:tc>
          <w:tcPr>
            <w:tcW w:w="1311" w:type="pct"/>
            <w:shd w:val="clear" w:color="auto" w:fill="auto"/>
            <w:tcMar>
              <w:left w:w="0" w:type="dxa"/>
              <w:right w:w="0" w:type="dxa"/>
            </w:tcMar>
          </w:tcPr>
          <w:p w14:paraId="4474958C">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废气排放泵</w:t>
            </w:r>
          </w:p>
        </w:tc>
        <w:tc>
          <w:tcPr>
            <w:tcW w:w="1970" w:type="pct"/>
            <w:shd w:val="clear" w:color="auto" w:fill="auto"/>
            <w:tcMar>
              <w:left w:w="0" w:type="dxa"/>
              <w:right w:w="0" w:type="dxa"/>
            </w:tcMar>
          </w:tcPr>
          <w:p w14:paraId="712C71BF">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铭铉、捷锐、沈阳天航</w:t>
            </w:r>
          </w:p>
        </w:tc>
        <w:tc>
          <w:tcPr>
            <w:tcW w:w="872" w:type="pct"/>
            <w:shd w:val="clear" w:color="auto" w:fill="auto"/>
            <w:tcMar>
              <w:left w:w="0" w:type="dxa"/>
              <w:right w:w="0" w:type="dxa"/>
            </w:tcMar>
          </w:tcPr>
          <w:p w14:paraId="4229F258">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02B647C4">
            <w:pPr>
              <w:widowControl w:val="0"/>
              <w:adjustRightInd w:val="0"/>
              <w:snapToGrid w:val="0"/>
              <w:rPr>
                <w:rFonts w:hint="eastAsia" w:ascii="仿宋" w:hAnsi="仿宋" w:eastAsia="仿宋" w:cs="仿宋"/>
                <w:color w:val="auto"/>
                <w:sz w:val="24"/>
                <w:szCs w:val="24"/>
                <w:highlight w:val="none"/>
              </w:rPr>
            </w:pPr>
          </w:p>
        </w:tc>
      </w:tr>
      <w:tr w14:paraId="12E6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4D9EC386">
            <w:pPr>
              <w:widowControl w:val="0"/>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9</w:t>
            </w:r>
          </w:p>
        </w:tc>
        <w:tc>
          <w:tcPr>
            <w:tcW w:w="1311" w:type="pct"/>
            <w:shd w:val="clear" w:color="auto" w:fill="auto"/>
            <w:tcMar>
              <w:left w:w="0" w:type="dxa"/>
              <w:right w:w="0" w:type="dxa"/>
            </w:tcMar>
          </w:tcPr>
          <w:p w14:paraId="6CE01870">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医气报警系统</w:t>
            </w:r>
          </w:p>
        </w:tc>
        <w:tc>
          <w:tcPr>
            <w:tcW w:w="1970" w:type="pct"/>
            <w:shd w:val="clear" w:color="auto" w:fill="auto"/>
            <w:tcMar>
              <w:left w:w="0" w:type="dxa"/>
              <w:right w:w="0" w:type="dxa"/>
            </w:tcMar>
          </w:tcPr>
          <w:p w14:paraId="725D802C">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捷锐、捷工、珠海奥吉赛、德尔格、必康美德、萨伯曼</w:t>
            </w:r>
          </w:p>
        </w:tc>
        <w:tc>
          <w:tcPr>
            <w:tcW w:w="872" w:type="pct"/>
            <w:shd w:val="clear" w:color="auto" w:fill="auto"/>
            <w:tcMar>
              <w:left w:w="0" w:type="dxa"/>
              <w:right w:w="0" w:type="dxa"/>
            </w:tcMar>
          </w:tcPr>
          <w:p w14:paraId="3F1296F9">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2D3F0778">
            <w:pPr>
              <w:widowControl w:val="0"/>
              <w:adjustRightInd w:val="0"/>
              <w:snapToGrid w:val="0"/>
              <w:rPr>
                <w:rFonts w:hint="eastAsia" w:ascii="仿宋" w:hAnsi="仿宋" w:eastAsia="仿宋" w:cs="仿宋"/>
                <w:color w:val="auto"/>
                <w:sz w:val="24"/>
                <w:szCs w:val="24"/>
                <w:highlight w:val="none"/>
              </w:rPr>
            </w:pPr>
          </w:p>
        </w:tc>
      </w:tr>
      <w:tr w14:paraId="5E14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355A4779">
            <w:pPr>
              <w:widowControl w:val="0"/>
              <w:adjustRightInd w:val="0"/>
              <w:snapToGrid w:val="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10</w:t>
            </w:r>
          </w:p>
        </w:tc>
        <w:tc>
          <w:tcPr>
            <w:tcW w:w="1311" w:type="pct"/>
            <w:shd w:val="clear" w:color="auto" w:fill="auto"/>
            <w:tcMar>
              <w:left w:w="0" w:type="dxa"/>
              <w:right w:w="0" w:type="dxa"/>
            </w:tcMar>
          </w:tcPr>
          <w:p w14:paraId="4A343E4C">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牙科空负压机组（空气</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负压</w:t>
            </w:r>
            <w:r>
              <w:rPr>
                <w:rFonts w:hint="eastAsia" w:ascii="仿宋" w:hAnsi="仿宋" w:eastAsia="仿宋" w:cs="仿宋"/>
                <w:color w:val="auto"/>
                <w:sz w:val="24"/>
                <w:szCs w:val="24"/>
                <w:highlight w:val="none"/>
              </w:rPr>
              <w:t>压缩机、过滤器、储气罐、干燥机等）</w:t>
            </w:r>
          </w:p>
        </w:tc>
        <w:tc>
          <w:tcPr>
            <w:tcW w:w="1970" w:type="pct"/>
            <w:shd w:val="clear" w:color="auto" w:fill="auto"/>
            <w:tcMar>
              <w:left w:w="0" w:type="dxa"/>
              <w:right w:w="0" w:type="dxa"/>
            </w:tcMar>
          </w:tcPr>
          <w:p w14:paraId="437ED5C8">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迪珥、山东宏润、上海医诚</w:t>
            </w:r>
          </w:p>
        </w:tc>
        <w:tc>
          <w:tcPr>
            <w:tcW w:w="872" w:type="pct"/>
            <w:shd w:val="clear" w:color="auto" w:fill="auto"/>
            <w:tcMar>
              <w:left w:w="0" w:type="dxa"/>
              <w:right w:w="0" w:type="dxa"/>
            </w:tcMar>
          </w:tcPr>
          <w:p w14:paraId="065F6D2A">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tcPr>
          <w:p w14:paraId="1E5ADB52">
            <w:pPr>
              <w:widowControl w:val="0"/>
              <w:adjustRightInd w:val="0"/>
              <w:snapToGrid w:val="0"/>
              <w:rPr>
                <w:rFonts w:hint="eastAsia" w:ascii="仿宋" w:hAnsi="仿宋" w:eastAsia="仿宋" w:cs="仿宋"/>
                <w:color w:val="auto"/>
                <w:sz w:val="24"/>
                <w:szCs w:val="24"/>
                <w:highlight w:val="none"/>
              </w:rPr>
            </w:pPr>
          </w:p>
        </w:tc>
      </w:tr>
      <w:tr w14:paraId="7D70C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0" w:type="pct"/>
            <w:gridSpan w:val="5"/>
            <w:shd w:val="clear" w:color="auto" w:fill="auto"/>
            <w:tcMar>
              <w:left w:w="0" w:type="dxa"/>
              <w:right w:w="0" w:type="dxa"/>
            </w:tcMar>
            <w:vAlign w:val="center"/>
          </w:tcPr>
          <w:p w14:paraId="16FD1A66">
            <w:pPr>
              <w:widowControl w:val="0"/>
              <w:adjustRightInd w:val="0"/>
              <w:snapToGrid w:val="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八、物流系统</w:t>
            </w:r>
          </w:p>
        </w:tc>
      </w:tr>
      <w:tr w14:paraId="5088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795D4548">
            <w:pPr>
              <w:widowControl w:val="0"/>
              <w:adjustRightInd w:val="0"/>
              <w:snapToGrid w:val="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w:t>
            </w:r>
          </w:p>
        </w:tc>
        <w:tc>
          <w:tcPr>
            <w:tcW w:w="1311" w:type="pct"/>
            <w:shd w:val="clear" w:color="auto" w:fill="auto"/>
            <w:tcMar>
              <w:left w:w="0" w:type="dxa"/>
              <w:right w:w="0" w:type="dxa"/>
            </w:tcMar>
            <w:vAlign w:val="top"/>
          </w:tcPr>
          <w:p w14:paraId="528DA4FE">
            <w:pPr>
              <w:widowControl w:val="0"/>
              <w:adjustRightInd w:val="0"/>
              <w:snapToGrid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气动物流系统</w:t>
            </w:r>
          </w:p>
        </w:tc>
        <w:tc>
          <w:tcPr>
            <w:tcW w:w="1970" w:type="pct"/>
            <w:shd w:val="clear" w:color="auto" w:fill="auto"/>
            <w:tcMar>
              <w:left w:w="0" w:type="dxa"/>
              <w:right w:w="0" w:type="dxa"/>
            </w:tcMar>
            <w:vAlign w:val="top"/>
          </w:tcPr>
          <w:p w14:paraId="1D58AAB0">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瑞仕格、德列孚、</w:t>
            </w:r>
            <w:r>
              <w:rPr>
                <w:rFonts w:hint="eastAsia" w:ascii="仿宋" w:hAnsi="仿宋" w:eastAsia="仿宋" w:cs="仿宋"/>
                <w:color w:val="auto"/>
                <w:sz w:val="24"/>
                <w:szCs w:val="24"/>
                <w:highlight w:val="none"/>
                <w:lang w:val="en-US" w:eastAsia="zh-CN"/>
              </w:rPr>
              <w:t>银翼</w:t>
            </w:r>
          </w:p>
        </w:tc>
        <w:tc>
          <w:tcPr>
            <w:tcW w:w="872" w:type="pct"/>
            <w:shd w:val="clear" w:color="auto" w:fill="auto"/>
            <w:tcMar>
              <w:left w:w="0" w:type="dxa"/>
              <w:right w:w="0" w:type="dxa"/>
            </w:tcMar>
            <w:vAlign w:val="top"/>
          </w:tcPr>
          <w:p w14:paraId="32CFA5F0">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vAlign w:val="top"/>
          </w:tcPr>
          <w:p w14:paraId="2A0F11BC">
            <w:pPr>
              <w:widowControl w:val="0"/>
              <w:adjustRightInd w:val="0"/>
              <w:snapToGrid w:val="0"/>
              <w:rPr>
                <w:rFonts w:hint="eastAsia" w:ascii="仿宋" w:hAnsi="仿宋" w:eastAsia="仿宋" w:cs="仿宋"/>
                <w:color w:val="auto"/>
                <w:sz w:val="24"/>
                <w:szCs w:val="24"/>
                <w:highlight w:val="none"/>
              </w:rPr>
            </w:pPr>
          </w:p>
        </w:tc>
      </w:tr>
      <w:tr w14:paraId="0B3FD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5000" w:type="pct"/>
            <w:gridSpan w:val="5"/>
            <w:shd w:val="clear" w:color="auto" w:fill="auto"/>
            <w:tcMar>
              <w:left w:w="0" w:type="dxa"/>
              <w:right w:w="0" w:type="dxa"/>
            </w:tcMar>
            <w:vAlign w:val="center"/>
          </w:tcPr>
          <w:p w14:paraId="3A96CCA2">
            <w:pPr>
              <w:widowControl w:val="0"/>
              <w:adjustRightInd w:val="0"/>
              <w:snapToGrid w:val="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九、纯水机组</w:t>
            </w:r>
          </w:p>
        </w:tc>
      </w:tr>
      <w:tr w14:paraId="3EDE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0585E9AB">
            <w:pPr>
              <w:widowControl w:val="0"/>
              <w:adjustRightInd w:val="0"/>
              <w:snapToGrid w:val="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w:t>
            </w:r>
          </w:p>
        </w:tc>
        <w:tc>
          <w:tcPr>
            <w:tcW w:w="1311" w:type="pct"/>
            <w:shd w:val="clear" w:color="auto" w:fill="auto"/>
            <w:tcMar>
              <w:left w:w="0" w:type="dxa"/>
              <w:right w:w="0" w:type="dxa"/>
            </w:tcMar>
            <w:vAlign w:val="top"/>
          </w:tcPr>
          <w:p w14:paraId="49D89257">
            <w:pPr>
              <w:widowControl w:val="0"/>
              <w:adjustRightInd w:val="0"/>
              <w:snapToGrid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纯水机组</w:t>
            </w:r>
          </w:p>
        </w:tc>
        <w:tc>
          <w:tcPr>
            <w:tcW w:w="1970" w:type="pct"/>
            <w:shd w:val="clear" w:color="auto" w:fill="auto"/>
            <w:tcMar>
              <w:left w:w="0" w:type="dxa"/>
              <w:right w:w="0" w:type="dxa"/>
            </w:tcMar>
            <w:vAlign w:val="top"/>
          </w:tcPr>
          <w:p w14:paraId="2E9BE30E">
            <w:pPr>
              <w:widowControl w:val="0"/>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广州优普环保、上海创洋水处理、成都本可科技</w:t>
            </w:r>
          </w:p>
        </w:tc>
        <w:tc>
          <w:tcPr>
            <w:tcW w:w="872" w:type="pct"/>
            <w:shd w:val="clear" w:color="auto" w:fill="auto"/>
            <w:tcMar>
              <w:left w:w="0" w:type="dxa"/>
              <w:right w:w="0" w:type="dxa"/>
            </w:tcMar>
            <w:vAlign w:val="top"/>
          </w:tcPr>
          <w:p w14:paraId="2A24505E">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vAlign w:val="top"/>
          </w:tcPr>
          <w:p w14:paraId="1E18AA32">
            <w:pPr>
              <w:widowControl w:val="0"/>
              <w:adjustRightInd w:val="0"/>
              <w:snapToGrid w:val="0"/>
              <w:rPr>
                <w:rFonts w:hint="eastAsia" w:ascii="仿宋" w:hAnsi="仿宋" w:eastAsia="仿宋" w:cs="仿宋"/>
                <w:color w:val="auto"/>
                <w:sz w:val="24"/>
                <w:szCs w:val="24"/>
                <w:highlight w:val="none"/>
              </w:rPr>
            </w:pPr>
          </w:p>
        </w:tc>
      </w:tr>
      <w:tr w14:paraId="6C15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0" w:type="pct"/>
            <w:gridSpan w:val="5"/>
            <w:shd w:val="clear" w:color="auto" w:fill="auto"/>
            <w:tcMar>
              <w:left w:w="0" w:type="dxa"/>
              <w:right w:w="0" w:type="dxa"/>
            </w:tcMar>
            <w:vAlign w:val="center"/>
          </w:tcPr>
          <w:p w14:paraId="5BF46F47">
            <w:pPr>
              <w:widowControl w:val="0"/>
              <w:adjustRightInd w:val="0"/>
              <w:snapToGrid w:val="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十、MICU吊塔</w:t>
            </w:r>
          </w:p>
        </w:tc>
      </w:tr>
      <w:tr w14:paraId="1F2E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shd w:val="clear" w:color="auto" w:fill="auto"/>
            <w:tcMar>
              <w:left w:w="0" w:type="dxa"/>
              <w:right w:w="0" w:type="dxa"/>
            </w:tcMar>
            <w:vAlign w:val="center"/>
          </w:tcPr>
          <w:p w14:paraId="01381F8B">
            <w:pPr>
              <w:widowControl w:val="0"/>
              <w:adjustRightInd w:val="0"/>
              <w:snapToGrid w:val="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w:t>
            </w:r>
          </w:p>
        </w:tc>
        <w:tc>
          <w:tcPr>
            <w:tcW w:w="1311" w:type="pct"/>
            <w:shd w:val="clear" w:color="auto" w:fill="auto"/>
            <w:tcMar>
              <w:left w:w="0" w:type="dxa"/>
              <w:right w:w="0" w:type="dxa"/>
            </w:tcMar>
            <w:vAlign w:val="top"/>
          </w:tcPr>
          <w:p w14:paraId="69CA0E03">
            <w:pPr>
              <w:widowControl w:val="0"/>
              <w:adjustRightInd w:val="0"/>
              <w:snapToGrid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MICU吊塔</w:t>
            </w:r>
          </w:p>
        </w:tc>
        <w:tc>
          <w:tcPr>
            <w:tcW w:w="1970" w:type="pct"/>
            <w:shd w:val="clear" w:color="auto" w:fill="auto"/>
            <w:tcMar>
              <w:left w:w="0" w:type="dxa"/>
              <w:right w:w="0" w:type="dxa"/>
            </w:tcMar>
            <w:vAlign w:val="top"/>
          </w:tcPr>
          <w:p w14:paraId="11BA4C10">
            <w:pPr>
              <w:widowControl w:val="0"/>
              <w:adjustRightInd w:val="0"/>
              <w:snapToGrid w:val="0"/>
              <w:rPr>
                <w:rFonts w:hint="eastAsia" w:ascii="仿宋" w:hAnsi="仿宋" w:cs="仿宋" w:eastAsiaTheme="minorEastAsia"/>
                <w:color w:val="auto"/>
                <w:sz w:val="24"/>
                <w:szCs w:val="24"/>
                <w:highlight w:val="none"/>
                <w:lang w:eastAsia="zh-CN"/>
              </w:rPr>
            </w:pPr>
            <w:r>
              <w:rPr>
                <w:rFonts w:hint="eastAsia" w:ascii="仿宋" w:hAnsi="仿宋" w:eastAsia="仿宋" w:cs="仿宋"/>
                <w:color w:val="auto"/>
                <w:sz w:val="24"/>
                <w:szCs w:val="24"/>
                <w:highlight w:val="none"/>
              </w:rPr>
              <w:t>德尔格、迈柯唯</w:t>
            </w:r>
            <w:r>
              <w:rPr>
                <w:rFonts w:hint="eastAsia" w:ascii="仿宋" w:hAnsi="仿宋" w:eastAsia="仿宋" w:cs="仿宋"/>
                <w:color w:val="auto"/>
                <w:sz w:val="24"/>
                <w:szCs w:val="24"/>
                <w:highlight w:val="none"/>
                <w:lang w:eastAsia="zh-CN"/>
              </w:rPr>
              <w:t>、迈瑞、科曼</w:t>
            </w:r>
          </w:p>
        </w:tc>
        <w:tc>
          <w:tcPr>
            <w:tcW w:w="872" w:type="pct"/>
            <w:shd w:val="clear" w:color="auto" w:fill="auto"/>
            <w:tcMar>
              <w:left w:w="0" w:type="dxa"/>
              <w:right w:w="0" w:type="dxa"/>
            </w:tcMar>
            <w:vAlign w:val="top"/>
          </w:tcPr>
          <w:p w14:paraId="133E9F0B">
            <w:pPr>
              <w:widowControl w:val="0"/>
              <w:adjustRightInd w:val="0"/>
              <w:snapToGrid w:val="0"/>
              <w:rPr>
                <w:rFonts w:hint="eastAsia" w:ascii="仿宋" w:hAnsi="仿宋" w:eastAsia="仿宋" w:cs="仿宋"/>
                <w:color w:val="auto"/>
                <w:sz w:val="24"/>
                <w:szCs w:val="24"/>
                <w:highlight w:val="none"/>
              </w:rPr>
            </w:pPr>
          </w:p>
        </w:tc>
        <w:tc>
          <w:tcPr>
            <w:tcW w:w="548" w:type="pct"/>
            <w:shd w:val="clear" w:color="auto" w:fill="auto"/>
            <w:tcMar>
              <w:left w:w="0" w:type="dxa"/>
              <w:right w:w="0" w:type="dxa"/>
            </w:tcMar>
            <w:vAlign w:val="top"/>
          </w:tcPr>
          <w:p w14:paraId="644E3E56">
            <w:pPr>
              <w:widowControl w:val="0"/>
              <w:adjustRightInd w:val="0"/>
              <w:snapToGrid w:val="0"/>
              <w:rPr>
                <w:rFonts w:hint="eastAsia" w:ascii="仿宋" w:hAnsi="仿宋" w:eastAsia="仿宋" w:cs="仿宋"/>
                <w:color w:val="auto"/>
                <w:sz w:val="24"/>
                <w:szCs w:val="24"/>
                <w:highlight w:val="none"/>
              </w:rPr>
            </w:pPr>
          </w:p>
        </w:tc>
      </w:tr>
    </w:tbl>
    <w:tbl>
      <w:tblPr>
        <w:tblStyle w:val="27"/>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9"/>
        <w:gridCol w:w="418"/>
        <w:gridCol w:w="798"/>
        <w:gridCol w:w="1110"/>
        <w:gridCol w:w="1216"/>
        <w:gridCol w:w="1216"/>
        <w:gridCol w:w="1218"/>
        <w:gridCol w:w="1615"/>
        <w:gridCol w:w="959"/>
      </w:tblGrid>
      <w:tr w14:paraId="16807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5000" w:type="pct"/>
            <w:gridSpan w:val="9"/>
            <w:tcBorders>
              <w:top w:val="nil"/>
              <w:left w:val="nil"/>
              <w:bottom w:val="nil"/>
              <w:right w:val="nil"/>
            </w:tcBorders>
            <w:shd w:val="clear" w:color="auto" w:fill="auto"/>
            <w:vAlign w:val="center"/>
          </w:tcPr>
          <w:p w14:paraId="6A29B241">
            <w:pPr>
              <w:keepNext w:val="0"/>
              <w:keepLines w:val="0"/>
              <w:widowControl/>
              <w:suppressLineNumbers w:val="0"/>
              <w:jc w:val="center"/>
              <w:textAlignment w:val="center"/>
              <w:rPr>
                <w:rFonts w:hint="eastAsia" w:ascii="仿宋" w:hAnsi="仿宋" w:eastAsia="仿宋" w:cs="仿宋"/>
                <w:b/>
                <w:bCs/>
                <w:i w:val="0"/>
                <w:iCs w:val="0"/>
                <w:color w:val="auto"/>
                <w:kern w:val="0"/>
                <w:sz w:val="32"/>
                <w:szCs w:val="32"/>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智能化工程部分</w:t>
            </w:r>
          </w:p>
        </w:tc>
      </w:tr>
      <w:tr w14:paraId="4D974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392" w:type="pct"/>
            <w:vMerge w:val="restart"/>
            <w:tcBorders>
              <w:top w:val="single" w:color="000000" w:sz="4" w:space="0"/>
              <w:left w:val="single" w:color="000000" w:sz="4" w:space="0"/>
              <w:right w:val="single" w:color="000000" w:sz="4" w:space="0"/>
            </w:tcBorders>
            <w:shd w:val="clear" w:color="auto" w:fill="auto"/>
            <w:vAlign w:val="center"/>
          </w:tcPr>
          <w:p w14:paraId="2B2CC0DF">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编号</w:t>
            </w:r>
          </w:p>
        </w:tc>
        <w:tc>
          <w:tcPr>
            <w:tcW w:w="225" w:type="pct"/>
            <w:vMerge w:val="restart"/>
            <w:tcBorders>
              <w:top w:val="single" w:color="000000" w:sz="4" w:space="0"/>
              <w:left w:val="single" w:color="000000" w:sz="4" w:space="0"/>
              <w:right w:val="single" w:color="000000" w:sz="4" w:space="0"/>
            </w:tcBorders>
            <w:shd w:val="clear" w:color="auto" w:fill="auto"/>
            <w:vAlign w:val="center"/>
          </w:tcPr>
          <w:p w14:paraId="287E3433">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主系统</w:t>
            </w:r>
          </w:p>
        </w:tc>
        <w:tc>
          <w:tcPr>
            <w:tcW w:w="430" w:type="pct"/>
            <w:vMerge w:val="restart"/>
            <w:tcBorders>
              <w:top w:val="single" w:color="000000" w:sz="4" w:space="0"/>
              <w:left w:val="single" w:color="000000" w:sz="4" w:space="0"/>
              <w:right w:val="single" w:color="000000" w:sz="4" w:space="0"/>
            </w:tcBorders>
            <w:shd w:val="clear" w:color="auto" w:fill="auto"/>
            <w:vAlign w:val="center"/>
          </w:tcPr>
          <w:p w14:paraId="4EF0CBC6">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子系统</w:t>
            </w:r>
          </w:p>
        </w:tc>
        <w:tc>
          <w:tcPr>
            <w:tcW w:w="598" w:type="pct"/>
            <w:vMerge w:val="restart"/>
            <w:tcBorders>
              <w:top w:val="single" w:color="000000" w:sz="4" w:space="0"/>
              <w:left w:val="single" w:color="000000" w:sz="4" w:space="0"/>
              <w:right w:val="single" w:color="000000" w:sz="4" w:space="0"/>
            </w:tcBorders>
            <w:shd w:val="clear" w:color="auto" w:fill="auto"/>
            <w:vAlign w:val="center"/>
          </w:tcPr>
          <w:p w14:paraId="6B4BA864">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主要产品</w:t>
            </w:r>
          </w:p>
        </w:tc>
        <w:tc>
          <w:tcPr>
            <w:tcW w:w="1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43454D">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推荐品牌/厂家（相当于参考品牌/厂家）</w:t>
            </w:r>
          </w:p>
        </w:tc>
        <w:tc>
          <w:tcPr>
            <w:tcW w:w="870" w:type="pct"/>
            <w:vMerge w:val="restart"/>
            <w:tcBorders>
              <w:top w:val="single" w:color="000000" w:sz="4" w:space="0"/>
              <w:left w:val="single" w:color="000000" w:sz="4" w:space="0"/>
              <w:right w:val="single" w:color="000000" w:sz="4" w:space="0"/>
            </w:tcBorders>
            <w:shd w:val="clear" w:color="auto" w:fill="auto"/>
            <w:vAlign w:val="center"/>
          </w:tcPr>
          <w:p w14:paraId="1B66EF12">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投标人拟选用品牌/厂家</w:t>
            </w:r>
          </w:p>
        </w:tc>
        <w:tc>
          <w:tcPr>
            <w:tcW w:w="516" w:type="pct"/>
            <w:vMerge w:val="restart"/>
            <w:tcBorders>
              <w:top w:val="single" w:color="000000" w:sz="4" w:space="0"/>
              <w:left w:val="single" w:color="000000" w:sz="4" w:space="0"/>
              <w:right w:val="single" w:color="000000" w:sz="4" w:space="0"/>
            </w:tcBorders>
            <w:shd w:val="clear" w:color="auto" w:fill="auto"/>
            <w:vAlign w:val="center"/>
          </w:tcPr>
          <w:p w14:paraId="2AD512EB">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备  注</w:t>
            </w:r>
          </w:p>
        </w:tc>
      </w:tr>
      <w:tr w14:paraId="7B972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392" w:type="pct"/>
            <w:vMerge w:val="continue"/>
            <w:tcBorders>
              <w:left w:val="single" w:color="000000" w:sz="4" w:space="0"/>
              <w:bottom w:val="single" w:color="000000" w:sz="4" w:space="0"/>
              <w:right w:val="single" w:color="000000" w:sz="4" w:space="0"/>
            </w:tcBorders>
            <w:shd w:val="clear" w:color="auto" w:fill="auto"/>
            <w:vAlign w:val="center"/>
          </w:tcPr>
          <w:p w14:paraId="234EC677">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p>
        </w:tc>
        <w:tc>
          <w:tcPr>
            <w:tcW w:w="225" w:type="pct"/>
            <w:vMerge w:val="continue"/>
            <w:tcBorders>
              <w:left w:val="single" w:color="000000" w:sz="4" w:space="0"/>
              <w:bottom w:val="single" w:color="000000" w:sz="4" w:space="0"/>
              <w:right w:val="single" w:color="000000" w:sz="4" w:space="0"/>
            </w:tcBorders>
            <w:shd w:val="clear" w:color="auto" w:fill="auto"/>
            <w:vAlign w:val="center"/>
          </w:tcPr>
          <w:p w14:paraId="78A8756A">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p>
        </w:tc>
        <w:tc>
          <w:tcPr>
            <w:tcW w:w="430" w:type="pct"/>
            <w:vMerge w:val="continue"/>
            <w:tcBorders>
              <w:left w:val="single" w:color="000000" w:sz="4" w:space="0"/>
              <w:bottom w:val="single" w:color="000000" w:sz="4" w:space="0"/>
              <w:right w:val="single" w:color="000000" w:sz="4" w:space="0"/>
            </w:tcBorders>
            <w:shd w:val="clear" w:color="auto" w:fill="auto"/>
            <w:vAlign w:val="center"/>
          </w:tcPr>
          <w:p w14:paraId="74FEE532">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p>
        </w:tc>
        <w:tc>
          <w:tcPr>
            <w:tcW w:w="598" w:type="pct"/>
            <w:vMerge w:val="continue"/>
            <w:tcBorders>
              <w:left w:val="single" w:color="000000" w:sz="4" w:space="0"/>
              <w:bottom w:val="single" w:color="000000" w:sz="4" w:space="0"/>
              <w:right w:val="single" w:color="000000" w:sz="4" w:space="0"/>
            </w:tcBorders>
            <w:shd w:val="clear" w:color="auto" w:fill="auto"/>
            <w:vAlign w:val="center"/>
          </w:tcPr>
          <w:p w14:paraId="5C47C706">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CA45A">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参考品牌1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87CF1">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参考品牌2</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FAF1C">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参考品牌3</w:t>
            </w:r>
          </w:p>
        </w:tc>
        <w:tc>
          <w:tcPr>
            <w:tcW w:w="870" w:type="pct"/>
            <w:vMerge w:val="continue"/>
            <w:tcBorders>
              <w:left w:val="single" w:color="000000" w:sz="4" w:space="0"/>
              <w:bottom w:val="single" w:color="000000" w:sz="4" w:space="0"/>
              <w:right w:val="single" w:color="000000" w:sz="4" w:space="0"/>
            </w:tcBorders>
            <w:shd w:val="clear" w:color="auto" w:fill="auto"/>
            <w:vAlign w:val="center"/>
          </w:tcPr>
          <w:p w14:paraId="06F0AFAC">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p>
        </w:tc>
        <w:tc>
          <w:tcPr>
            <w:tcW w:w="516" w:type="pct"/>
            <w:vMerge w:val="continue"/>
            <w:tcBorders>
              <w:left w:val="single" w:color="000000" w:sz="4" w:space="0"/>
              <w:bottom w:val="single" w:color="000000" w:sz="4" w:space="0"/>
              <w:right w:val="single" w:color="000000" w:sz="4" w:space="0"/>
            </w:tcBorders>
            <w:shd w:val="clear" w:color="auto" w:fill="auto"/>
            <w:vAlign w:val="center"/>
          </w:tcPr>
          <w:p w14:paraId="175930FB">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p>
        </w:tc>
      </w:tr>
      <w:tr w14:paraId="18861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FC806">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1.1</w:t>
            </w: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F3888">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信息设施系统</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2869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综合布线系统</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（含弱电综合管槽系统）</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BE2F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综合布线产品</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0EE9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耐克森</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6FE8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美国西蒙</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A3EC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康普</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AFE8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15FD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14E0E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7CCCA">
            <w:pPr>
              <w:jc w:val="center"/>
              <w:rPr>
                <w:rFonts w:hint="eastAsia" w:ascii="仿宋" w:hAnsi="仿宋" w:eastAsia="仿宋" w:cs="仿宋"/>
                <w:b/>
                <w:bCs/>
                <w:i w:val="0"/>
                <w:iCs w:val="0"/>
                <w:color w:val="auto"/>
                <w:sz w:val="22"/>
                <w:szCs w:val="22"/>
                <w:highlight w:val="none"/>
                <w:u w:val="none"/>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5ADFE">
            <w:pPr>
              <w:jc w:val="center"/>
              <w:rPr>
                <w:rFonts w:hint="eastAsia" w:ascii="仿宋" w:hAnsi="仿宋" w:eastAsia="仿宋" w:cs="仿宋"/>
                <w:b/>
                <w:bCs/>
                <w:i w:val="0"/>
                <w:iCs w:val="0"/>
                <w:color w:val="auto"/>
                <w:sz w:val="22"/>
                <w:szCs w:val="22"/>
                <w:highlight w:val="none"/>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85BFB">
            <w:pPr>
              <w:jc w:val="center"/>
              <w:rPr>
                <w:rFonts w:hint="eastAsia" w:ascii="仿宋" w:hAnsi="仿宋" w:eastAsia="仿宋" w:cs="仿宋"/>
                <w:i w:val="0"/>
                <w:iCs w:val="0"/>
                <w:color w:val="auto"/>
                <w:sz w:val="22"/>
                <w:szCs w:val="22"/>
                <w:highlight w:val="none"/>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A2C1C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弱电线缆</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DF46C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宇洪</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C3832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华亿</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540C4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天诚</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5F0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B9641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53FBC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85B3A">
            <w:pPr>
              <w:jc w:val="center"/>
              <w:rPr>
                <w:rFonts w:hint="eastAsia" w:ascii="仿宋" w:hAnsi="仿宋" w:eastAsia="仿宋" w:cs="仿宋"/>
                <w:b/>
                <w:bCs/>
                <w:i w:val="0"/>
                <w:iCs w:val="0"/>
                <w:color w:val="auto"/>
                <w:sz w:val="22"/>
                <w:szCs w:val="22"/>
                <w:highlight w:val="none"/>
                <w:u w:val="none"/>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7F242">
            <w:pPr>
              <w:jc w:val="center"/>
              <w:rPr>
                <w:rFonts w:hint="eastAsia" w:ascii="仿宋" w:hAnsi="仿宋" w:eastAsia="仿宋" w:cs="仿宋"/>
                <w:b/>
                <w:bCs/>
                <w:i w:val="0"/>
                <w:iCs w:val="0"/>
                <w:color w:val="auto"/>
                <w:sz w:val="22"/>
                <w:szCs w:val="22"/>
                <w:highlight w:val="none"/>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E0DBC">
            <w:pPr>
              <w:jc w:val="center"/>
              <w:rPr>
                <w:rFonts w:hint="eastAsia" w:ascii="仿宋" w:hAnsi="仿宋" w:eastAsia="仿宋" w:cs="仿宋"/>
                <w:i w:val="0"/>
                <w:iCs w:val="0"/>
                <w:color w:val="auto"/>
                <w:sz w:val="22"/>
                <w:szCs w:val="22"/>
                <w:highlight w:val="none"/>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C2A0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强电线缆</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3A0EA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广州电缆</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FE74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广东电缆</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DF4E0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番禺电缆</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D8B9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A3FA2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33DDB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76287">
            <w:pPr>
              <w:jc w:val="center"/>
              <w:rPr>
                <w:rFonts w:hint="eastAsia" w:ascii="仿宋" w:hAnsi="仿宋" w:eastAsia="仿宋" w:cs="仿宋"/>
                <w:b/>
                <w:bCs/>
                <w:i w:val="0"/>
                <w:iCs w:val="0"/>
                <w:color w:val="auto"/>
                <w:sz w:val="22"/>
                <w:szCs w:val="22"/>
                <w:highlight w:val="none"/>
                <w:u w:val="none"/>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8A384">
            <w:pPr>
              <w:jc w:val="center"/>
              <w:rPr>
                <w:rFonts w:hint="eastAsia" w:ascii="仿宋" w:hAnsi="仿宋" w:eastAsia="仿宋" w:cs="仿宋"/>
                <w:b/>
                <w:bCs/>
                <w:i w:val="0"/>
                <w:iCs w:val="0"/>
                <w:color w:val="auto"/>
                <w:sz w:val="22"/>
                <w:szCs w:val="22"/>
                <w:highlight w:val="none"/>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F05EA">
            <w:pPr>
              <w:jc w:val="center"/>
              <w:rPr>
                <w:rFonts w:hint="eastAsia" w:ascii="仿宋" w:hAnsi="仿宋" w:eastAsia="仿宋" w:cs="仿宋"/>
                <w:i w:val="0"/>
                <w:iCs w:val="0"/>
                <w:color w:val="auto"/>
                <w:sz w:val="22"/>
                <w:szCs w:val="22"/>
                <w:highlight w:val="none"/>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72F6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镀锌线管</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6FFD0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珠江</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BEFF9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一通</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88F0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同亿</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EB27D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8A8B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7EF2E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B5EA1">
            <w:pPr>
              <w:jc w:val="center"/>
              <w:rPr>
                <w:rFonts w:hint="eastAsia" w:ascii="仿宋" w:hAnsi="仿宋" w:eastAsia="仿宋" w:cs="仿宋"/>
                <w:b/>
                <w:bCs/>
                <w:i w:val="0"/>
                <w:iCs w:val="0"/>
                <w:color w:val="auto"/>
                <w:sz w:val="22"/>
                <w:szCs w:val="22"/>
                <w:highlight w:val="none"/>
                <w:u w:val="none"/>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48C5B">
            <w:pPr>
              <w:jc w:val="center"/>
              <w:rPr>
                <w:rFonts w:hint="eastAsia" w:ascii="仿宋" w:hAnsi="仿宋" w:eastAsia="仿宋" w:cs="仿宋"/>
                <w:b/>
                <w:bCs/>
                <w:i w:val="0"/>
                <w:iCs w:val="0"/>
                <w:color w:val="auto"/>
                <w:sz w:val="22"/>
                <w:szCs w:val="22"/>
                <w:highlight w:val="none"/>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016FD">
            <w:pPr>
              <w:jc w:val="center"/>
              <w:rPr>
                <w:rFonts w:hint="eastAsia" w:ascii="仿宋" w:hAnsi="仿宋" w:eastAsia="仿宋" w:cs="仿宋"/>
                <w:i w:val="0"/>
                <w:iCs w:val="0"/>
                <w:color w:val="auto"/>
                <w:sz w:val="22"/>
                <w:szCs w:val="22"/>
                <w:highlight w:val="none"/>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C53D9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镀锌线槽</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189C4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珠江</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3133D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一通</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CB7ED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同亿</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8BCD7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2D72F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386F1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86DA0">
            <w:pPr>
              <w:jc w:val="center"/>
              <w:rPr>
                <w:rFonts w:hint="eastAsia" w:ascii="仿宋" w:hAnsi="仿宋" w:eastAsia="仿宋" w:cs="仿宋"/>
                <w:b/>
                <w:bCs/>
                <w:i w:val="0"/>
                <w:iCs w:val="0"/>
                <w:color w:val="auto"/>
                <w:sz w:val="22"/>
                <w:szCs w:val="22"/>
                <w:highlight w:val="none"/>
                <w:u w:val="none"/>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4A232">
            <w:pPr>
              <w:jc w:val="center"/>
              <w:rPr>
                <w:rFonts w:hint="eastAsia" w:ascii="仿宋" w:hAnsi="仿宋" w:eastAsia="仿宋" w:cs="仿宋"/>
                <w:b/>
                <w:bCs/>
                <w:i w:val="0"/>
                <w:iCs w:val="0"/>
                <w:color w:val="auto"/>
                <w:sz w:val="22"/>
                <w:szCs w:val="22"/>
                <w:highlight w:val="none"/>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9639E">
            <w:pPr>
              <w:jc w:val="center"/>
              <w:rPr>
                <w:rFonts w:hint="eastAsia" w:ascii="仿宋" w:hAnsi="仿宋" w:eastAsia="仿宋" w:cs="仿宋"/>
                <w:i w:val="0"/>
                <w:iCs w:val="0"/>
                <w:color w:val="auto"/>
                <w:sz w:val="22"/>
                <w:szCs w:val="22"/>
                <w:highlight w:val="none"/>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023F7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弱电机柜</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A851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金盾</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50D1C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威图</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2C37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华为</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53846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DDA6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7DF43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384BE">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1.2</w:t>
            </w: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986DE">
            <w:pPr>
              <w:jc w:val="center"/>
              <w:rPr>
                <w:rFonts w:hint="eastAsia" w:ascii="仿宋" w:hAnsi="仿宋" w:eastAsia="仿宋" w:cs="仿宋"/>
                <w:b/>
                <w:bCs/>
                <w:i w:val="0"/>
                <w:iCs w:val="0"/>
                <w:color w:val="auto"/>
                <w:sz w:val="22"/>
                <w:szCs w:val="22"/>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FCEB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有线电视系统</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BE0B7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IPTV</w:t>
            </w:r>
          </w:p>
        </w:tc>
        <w:tc>
          <w:tcPr>
            <w:tcW w:w="196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5B869A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不涉及</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BAF6B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lang w:val="en-US" w:eastAsia="zh-CN"/>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0BFC2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lang w:val="en-US" w:eastAsia="zh-CN"/>
              </w:rPr>
            </w:pPr>
          </w:p>
        </w:tc>
      </w:tr>
      <w:tr w14:paraId="48D64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70A71">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2.1</w:t>
            </w: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43F4C">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专业业务系统</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A183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候诊呼叫信号系统</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1EAC8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全套系统</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4AB67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神州视翰</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29C6D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来邦</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67D58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群创</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57C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60C8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282B7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86E24">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2.2</w:t>
            </w: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F76EB">
            <w:pPr>
              <w:jc w:val="center"/>
              <w:rPr>
                <w:rFonts w:hint="eastAsia" w:ascii="仿宋" w:hAnsi="仿宋" w:eastAsia="仿宋" w:cs="仿宋"/>
                <w:b/>
                <w:bCs/>
                <w:i w:val="0"/>
                <w:iCs w:val="0"/>
                <w:color w:val="auto"/>
                <w:sz w:val="22"/>
                <w:szCs w:val="22"/>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3F25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信息发布与查询系统</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85BBA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全套系统</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A2A49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神州视翰</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94CE4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来邦</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165D6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群创</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A91FB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35837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ADF9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77E09">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2.3</w:t>
            </w: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37838">
            <w:pPr>
              <w:jc w:val="center"/>
              <w:rPr>
                <w:rFonts w:hint="eastAsia" w:ascii="仿宋" w:hAnsi="仿宋" w:eastAsia="仿宋" w:cs="仿宋"/>
                <w:b/>
                <w:bCs/>
                <w:i w:val="0"/>
                <w:iCs w:val="0"/>
                <w:color w:val="auto"/>
                <w:sz w:val="22"/>
                <w:szCs w:val="22"/>
                <w:highlight w:val="none"/>
                <w:u w:val="none"/>
              </w:rPr>
            </w:pPr>
          </w:p>
        </w:tc>
        <w:tc>
          <w:tcPr>
            <w:tcW w:w="430" w:type="pct"/>
            <w:vMerge w:val="restart"/>
            <w:tcBorders>
              <w:top w:val="single" w:color="000000" w:sz="4" w:space="0"/>
              <w:left w:val="single" w:color="000000" w:sz="4" w:space="0"/>
              <w:right w:val="single" w:color="000000" w:sz="4" w:space="0"/>
            </w:tcBorders>
            <w:shd w:val="clear" w:color="auto" w:fill="auto"/>
            <w:vAlign w:val="center"/>
          </w:tcPr>
          <w:p w14:paraId="70DEAAF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护理呼叫信号系统</w:t>
            </w:r>
          </w:p>
        </w:tc>
        <w:tc>
          <w:tcPr>
            <w:tcW w:w="598" w:type="pct"/>
            <w:vMerge w:val="restart"/>
            <w:tcBorders>
              <w:top w:val="single" w:color="000000" w:sz="4" w:space="0"/>
              <w:left w:val="single" w:color="000000" w:sz="4" w:space="0"/>
              <w:right w:val="single" w:color="000000" w:sz="4" w:space="0"/>
            </w:tcBorders>
            <w:shd w:val="clear" w:color="auto" w:fill="FFFFFF"/>
            <w:vAlign w:val="center"/>
          </w:tcPr>
          <w:p w14:paraId="1701238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全套系统</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4CA80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神州视翰</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1654F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来邦</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1E1FD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群创</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FDFD9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EE43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4A1C1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E8101">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02163">
            <w:pPr>
              <w:jc w:val="center"/>
              <w:rPr>
                <w:rFonts w:hint="eastAsia" w:ascii="仿宋" w:hAnsi="仿宋" w:eastAsia="仿宋" w:cs="仿宋"/>
                <w:b/>
                <w:bCs/>
                <w:i w:val="0"/>
                <w:iCs w:val="0"/>
                <w:color w:val="auto"/>
                <w:sz w:val="22"/>
                <w:szCs w:val="22"/>
                <w:highlight w:val="none"/>
                <w:u w:val="none"/>
              </w:rPr>
            </w:pPr>
          </w:p>
        </w:tc>
        <w:tc>
          <w:tcPr>
            <w:tcW w:w="430" w:type="pct"/>
            <w:vMerge w:val="continue"/>
            <w:tcBorders>
              <w:left w:val="single" w:color="000000" w:sz="4" w:space="0"/>
              <w:bottom w:val="single" w:color="000000" w:sz="4" w:space="0"/>
              <w:right w:val="single" w:color="000000" w:sz="4" w:space="0"/>
            </w:tcBorders>
            <w:shd w:val="clear" w:color="auto" w:fill="auto"/>
            <w:vAlign w:val="center"/>
          </w:tcPr>
          <w:p w14:paraId="7FCA8F8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98" w:type="pct"/>
            <w:vMerge w:val="continue"/>
            <w:tcBorders>
              <w:left w:val="single" w:color="000000" w:sz="4" w:space="0"/>
              <w:bottom w:val="single" w:color="000000" w:sz="4" w:space="0"/>
              <w:right w:val="single" w:color="000000" w:sz="4" w:space="0"/>
            </w:tcBorders>
            <w:shd w:val="clear" w:color="auto" w:fill="FFFFFF"/>
            <w:vAlign w:val="center"/>
          </w:tcPr>
          <w:p w14:paraId="2EDF28C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DD6C1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color w:val="auto"/>
                <w:sz w:val="24"/>
                <w:highlight w:val="none"/>
              </w:rPr>
              <w:t>飞星</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0728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color w:val="auto"/>
                <w:sz w:val="24"/>
                <w:highlight w:val="none"/>
              </w:rPr>
              <w:t>鑫德亮</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A1C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6EC01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FD7EB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D936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2AE2E">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2.4</w:t>
            </w: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F1F1F">
            <w:pPr>
              <w:jc w:val="center"/>
              <w:rPr>
                <w:rFonts w:hint="eastAsia" w:ascii="仿宋" w:hAnsi="仿宋" w:eastAsia="仿宋" w:cs="仿宋"/>
                <w:b/>
                <w:bCs/>
                <w:i w:val="0"/>
                <w:iCs w:val="0"/>
                <w:color w:val="auto"/>
                <w:sz w:val="22"/>
                <w:szCs w:val="22"/>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BEA9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院区标准化时钟系统</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4980B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全套系统</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6DA81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烟台北极星</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1AA7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烟台持久</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EB715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斯泰科</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20A7D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05E2D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3142F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9"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FF3DC">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3.1</w:t>
            </w: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F8544">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建筑设备管理系统</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3D36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建筑设备控制系统</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F0EA9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全套系统</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CC2BD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江森自控（ADX系统及FACIP系列）</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AFE6D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Honeywell（WEB系列）</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E58BE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施耐德EBO系统及RPC系列控制器</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9B3CB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C86A0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6B5D3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D9C7B">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3.2</w:t>
            </w: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7D3FC">
            <w:pPr>
              <w:jc w:val="center"/>
              <w:rPr>
                <w:rFonts w:hint="eastAsia" w:ascii="仿宋" w:hAnsi="仿宋" w:eastAsia="仿宋" w:cs="仿宋"/>
                <w:b/>
                <w:bCs/>
                <w:i w:val="0"/>
                <w:iCs w:val="0"/>
                <w:color w:val="auto"/>
                <w:sz w:val="22"/>
                <w:szCs w:val="22"/>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F811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建筑能耗系统</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DCA53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全套系统</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83A8D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天溯</w:t>
            </w:r>
          </w:p>
        </w:tc>
        <w:tc>
          <w:tcPr>
            <w:tcW w:w="6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B4E2C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博锐尚格</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AB9F9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冈柏</w:t>
            </w:r>
          </w:p>
        </w:tc>
        <w:tc>
          <w:tcPr>
            <w:tcW w:w="8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616D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5C4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231FD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CDECB">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3.3</w:t>
            </w: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434A9">
            <w:pPr>
              <w:jc w:val="center"/>
              <w:rPr>
                <w:rFonts w:hint="eastAsia" w:ascii="仿宋" w:hAnsi="仿宋" w:eastAsia="仿宋" w:cs="仿宋"/>
                <w:b/>
                <w:bCs/>
                <w:i w:val="0"/>
                <w:iCs w:val="0"/>
                <w:color w:val="auto"/>
                <w:sz w:val="22"/>
                <w:szCs w:val="22"/>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4AF2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风机盘管联网节能系统</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E3D5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全套系统</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2618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江森自控</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2D47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Honeywell</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BE1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施耐德</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12C5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D955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78E7E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8E5F7">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4.1</w:t>
            </w: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33CA6">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公共安全防范工程</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AA4E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数字视频安防监控系统</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050D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全套系统</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F7A9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宇视</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4D8F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罗捷</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E9D9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华为</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A4B5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4051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58737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84110">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4.2</w:t>
            </w: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3020F">
            <w:pPr>
              <w:jc w:val="center"/>
              <w:rPr>
                <w:rFonts w:hint="eastAsia" w:ascii="仿宋" w:hAnsi="仿宋" w:eastAsia="仿宋" w:cs="仿宋"/>
                <w:b/>
                <w:bCs/>
                <w:i w:val="0"/>
                <w:iCs w:val="0"/>
                <w:color w:val="auto"/>
                <w:sz w:val="22"/>
                <w:szCs w:val="22"/>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BF4B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出入口控制系统</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56FC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全套系统</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09E6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达实</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2C53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英特韦特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43D7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HID</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0D4B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B121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60076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80DE1">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4.3</w:t>
            </w: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EC312">
            <w:pPr>
              <w:jc w:val="center"/>
              <w:rPr>
                <w:rFonts w:hint="eastAsia" w:ascii="仿宋" w:hAnsi="仿宋" w:eastAsia="仿宋" w:cs="仿宋"/>
                <w:b/>
                <w:bCs/>
                <w:i w:val="0"/>
                <w:iCs w:val="0"/>
                <w:color w:val="auto"/>
                <w:sz w:val="22"/>
                <w:szCs w:val="22"/>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E22F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可视对讲系统</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D64D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全套系统</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E03E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来邦</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7A4B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安居宝</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7542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冠林</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7BF5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CE59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2522F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BE8AD">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4.4</w:t>
            </w: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8267E">
            <w:pPr>
              <w:jc w:val="center"/>
              <w:rPr>
                <w:rFonts w:hint="eastAsia" w:ascii="仿宋" w:hAnsi="仿宋" w:eastAsia="仿宋" w:cs="仿宋"/>
                <w:b/>
                <w:bCs/>
                <w:i w:val="0"/>
                <w:iCs w:val="0"/>
                <w:color w:val="auto"/>
                <w:sz w:val="22"/>
                <w:szCs w:val="22"/>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112C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入侵报警系统</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2D0B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全套系统</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22C2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博世</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7006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Honeywell</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8E8E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泰科</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E670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63D5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5D3C4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73FA1">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4.5</w:t>
            </w: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A314B">
            <w:pPr>
              <w:jc w:val="center"/>
              <w:rPr>
                <w:rFonts w:hint="eastAsia" w:ascii="仿宋" w:hAnsi="仿宋" w:eastAsia="仿宋" w:cs="仿宋"/>
                <w:b/>
                <w:bCs/>
                <w:i w:val="0"/>
                <w:iCs w:val="0"/>
                <w:color w:val="auto"/>
                <w:sz w:val="22"/>
                <w:szCs w:val="22"/>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FEA8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公共广播系统</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DCCD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全套系统</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94EC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ITC</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2900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Honeywell</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47B9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迪士普</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8149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5A55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40D3C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395C0">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5.1</w:t>
            </w:r>
          </w:p>
        </w:tc>
        <w:tc>
          <w:tcPr>
            <w:tcW w:w="65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4A64B">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通用设备</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78D8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打印机</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1BFA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HP</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D8A9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CANON</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19CE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EPSON</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B46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ECB1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19069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jc w:val="center"/>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10E74">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5.2</w:t>
            </w:r>
          </w:p>
        </w:tc>
        <w:tc>
          <w:tcPr>
            <w:tcW w:w="65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04D12">
            <w:pPr>
              <w:jc w:val="center"/>
              <w:rPr>
                <w:rFonts w:hint="eastAsia" w:ascii="仿宋" w:hAnsi="仿宋" w:eastAsia="仿宋" w:cs="仿宋"/>
                <w:b/>
                <w:bCs/>
                <w:i w:val="0"/>
                <w:iCs w:val="0"/>
                <w:color w:val="auto"/>
                <w:sz w:val="22"/>
                <w:szCs w:val="22"/>
                <w:highlight w:val="none"/>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A8C9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工作站</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EF65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DELL</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FE3E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Lenovo thinkcentre</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1D04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HP</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F768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98AE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bl>
    <w:p w14:paraId="7E50E633">
      <w:pPr>
        <w:adjustRightInd w:val="0"/>
        <w:snapToGrid w:val="0"/>
        <w:spacing w:line="540" w:lineRule="exact"/>
        <w:ind w:firstLine="420" w:firstLineChars="200"/>
        <w:jc w:val="left"/>
        <w:rPr>
          <w:rFonts w:ascii="仿宋_GB2312" w:eastAsia="仿宋_GB2312"/>
          <w:b/>
          <w:color w:val="auto"/>
          <w:sz w:val="44"/>
          <w:szCs w:val="44"/>
          <w:highlight w:val="none"/>
        </w:rPr>
      </w:pPr>
      <w:r>
        <w:rPr>
          <w:rFonts w:hint="eastAsia" w:ascii="仿宋" w:hAnsi="仿宋" w:eastAsia="仿宋" w:cs="仿宋"/>
          <w:color w:val="auto"/>
          <w:highlight w:val="none"/>
          <w:lang w:val="en-US" w:eastAsia="zh-CN"/>
        </w:rPr>
        <w:t>注：主要材料应选用上表中优于推荐品牌或同一级别的品牌。在投标文件中已选定的本工程主要材料、设备品牌无特别原因，不予变更。在材料、设备采购前，需报监理、发包人审核、定版后方可采购，对承包人选定的、非上表中推荐品牌的材料、设备若不满足发包人要求，发包人有权在推荐品牌中择优选择其中一种，价格按投标报价不作调整。具体详见合同条款。</w:t>
      </w:r>
    </w:p>
    <w:p w14:paraId="02D8FBC8">
      <w:pPr>
        <w:jc w:val="center"/>
        <w:rPr>
          <w:rFonts w:hint="eastAsia" w:ascii="宋体" w:hAnsi="宋体" w:cs="宋体"/>
          <w:b/>
          <w:color w:val="auto"/>
          <w:spacing w:val="4"/>
          <w:kern w:val="0"/>
          <w:sz w:val="28"/>
          <w:szCs w:val="28"/>
          <w:highlight w:val="none"/>
        </w:rPr>
      </w:pPr>
    </w:p>
    <w:p w14:paraId="01E52CC5">
      <w:pPr>
        <w:pStyle w:val="9"/>
        <w:rPr>
          <w:rFonts w:hint="eastAsia"/>
          <w:color w:val="auto"/>
          <w:highlight w:val="none"/>
        </w:rPr>
      </w:pPr>
      <w:r>
        <w:rPr>
          <w:rFonts w:hint="eastAsia"/>
          <w:color w:val="auto"/>
          <w:highlight w:val="none"/>
        </w:rPr>
        <w:br w:type="page"/>
      </w:r>
      <w:r>
        <w:rPr>
          <w:rFonts w:hint="eastAsia"/>
          <w:color w:val="auto"/>
          <w:highlight w:val="none"/>
        </w:rPr>
        <w:t>技术部分格式1</w:t>
      </w:r>
      <w:r>
        <w:rPr>
          <w:rFonts w:hint="eastAsia"/>
          <w:color w:val="auto"/>
          <w:highlight w:val="none"/>
          <w:lang w:val="en-US" w:eastAsia="zh-CN"/>
        </w:rPr>
        <w:t>3</w:t>
      </w:r>
      <w:r>
        <w:rPr>
          <w:rFonts w:hint="eastAsia"/>
          <w:color w:val="auto"/>
          <w:highlight w:val="none"/>
        </w:rPr>
        <w:t>：</w:t>
      </w:r>
    </w:p>
    <w:p w14:paraId="0F613043">
      <w:pPr>
        <w:jc w:val="center"/>
        <w:rPr>
          <w:rFonts w:hint="eastAsia" w:ascii="宋体" w:hAnsi="宋体" w:cs="宋体"/>
          <w:b/>
          <w:color w:val="auto"/>
          <w:spacing w:val="4"/>
          <w:kern w:val="0"/>
          <w:sz w:val="28"/>
          <w:szCs w:val="28"/>
          <w:highlight w:val="none"/>
        </w:rPr>
      </w:pPr>
    </w:p>
    <w:p w14:paraId="1B9AAEBA">
      <w:pPr>
        <w:jc w:val="center"/>
        <w:rPr>
          <w:color w:val="auto"/>
          <w:highlight w:val="none"/>
        </w:rPr>
      </w:pPr>
      <w:r>
        <w:rPr>
          <w:rFonts w:hint="eastAsia" w:ascii="宋体" w:hAnsi="宋体" w:cs="宋体"/>
          <w:b/>
          <w:color w:val="auto"/>
          <w:spacing w:val="4"/>
          <w:kern w:val="0"/>
          <w:sz w:val="28"/>
          <w:szCs w:val="28"/>
          <w:highlight w:val="none"/>
        </w:rPr>
        <w:t>其他投标人认为须提交的资料</w:t>
      </w:r>
    </w:p>
    <w:p w14:paraId="5F16F07C">
      <w:pPr>
        <w:spacing w:line="360" w:lineRule="auto"/>
        <w:ind w:firstLine="4440" w:firstLineChars="1850"/>
        <w:jc w:val="right"/>
        <w:rPr>
          <w:rFonts w:ascii="宋体" w:hAnsi="宋体" w:cs="宋体"/>
          <w:b/>
          <w:bCs/>
          <w:color w:val="auto"/>
          <w:szCs w:val="21"/>
          <w:highlight w:val="none"/>
          <w:lang w:val="zh-CN"/>
        </w:rPr>
      </w:pPr>
      <w:r>
        <w:rPr>
          <w:rFonts w:hint="eastAsia" w:ascii="宋体" w:hAnsi="宋体" w:cs="宋体"/>
          <w:color w:val="auto"/>
          <w:sz w:val="24"/>
          <w:szCs w:val="24"/>
          <w:highlight w:val="none"/>
        </w:rPr>
        <w:t xml:space="preserve">       </w:t>
      </w:r>
    </w:p>
    <w:p w14:paraId="02759A5C">
      <w:pPr>
        <w:tabs>
          <w:tab w:val="left" w:pos="720"/>
        </w:tabs>
        <w:snapToGrid w:val="0"/>
        <w:spacing w:line="360" w:lineRule="auto"/>
        <w:rPr>
          <w:rFonts w:ascii="宋体" w:hAnsi="宋体" w:cs="宋体"/>
          <w:color w:val="auto"/>
          <w:szCs w:val="21"/>
          <w:highlight w:val="none"/>
        </w:rPr>
      </w:pPr>
    </w:p>
    <w:p w14:paraId="0D06E52E">
      <w:pPr>
        <w:rPr>
          <w:rFonts w:ascii="宋体" w:hAnsi="宋体" w:cs="宋体"/>
          <w:color w:val="auto"/>
          <w:sz w:val="32"/>
          <w:szCs w:val="32"/>
          <w:highlight w:val="none"/>
        </w:rPr>
      </w:pPr>
    </w:p>
    <w:p w14:paraId="0CCC2D9D">
      <w:pPr>
        <w:pStyle w:val="124"/>
        <w:ind w:firstLine="896"/>
        <w:rPr>
          <w:rFonts w:ascii="宋体" w:hAnsi="宋体" w:cs="宋体"/>
          <w:b/>
          <w:bCs/>
          <w:color w:val="auto"/>
          <w:sz w:val="44"/>
          <w:szCs w:val="44"/>
          <w:highlight w:val="none"/>
        </w:rPr>
      </w:pPr>
    </w:p>
    <w:p w14:paraId="655541DE">
      <w:pPr>
        <w:pStyle w:val="124"/>
        <w:ind w:firstLine="896"/>
        <w:rPr>
          <w:rFonts w:ascii="宋体" w:hAnsi="宋体" w:cs="宋体"/>
          <w:b/>
          <w:bCs/>
          <w:color w:val="auto"/>
          <w:sz w:val="44"/>
          <w:szCs w:val="44"/>
          <w:highlight w:val="none"/>
        </w:rPr>
      </w:pPr>
    </w:p>
    <w:p w14:paraId="01721F3A">
      <w:pP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br w:type="page"/>
      </w:r>
    </w:p>
    <w:p w14:paraId="3D11DFA6">
      <w:pPr>
        <w:rPr>
          <w:rFonts w:hint="eastAsia" w:ascii="宋体" w:hAnsi="宋体" w:cs="宋体"/>
          <w:b/>
          <w:bCs/>
          <w:color w:val="auto"/>
          <w:sz w:val="44"/>
          <w:szCs w:val="44"/>
          <w:highlight w:val="none"/>
        </w:rPr>
      </w:pPr>
    </w:p>
    <w:p w14:paraId="11572093">
      <w:pPr>
        <w:rPr>
          <w:rFonts w:hint="eastAsia" w:ascii="宋体" w:hAnsi="宋体" w:cs="宋体"/>
          <w:b/>
          <w:bCs/>
          <w:color w:val="auto"/>
          <w:sz w:val="44"/>
          <w:szCs w:val="44"/>
          <w:highlight w:val="none"/>
        </w:rPr>
      </w:pPr>
    </w:p>
    <w:p w14:paraId="4FDBF34B">
      <w:pPr>
        <w:rPr>
          <w:rFonts w:hint="eastAsia" w:ascii="宋体" w:hAnsi="宋体" w:cs="宋体"/>
          <w:b/>
          <w:bCs/>
          <w:color w:val="auto"/>
          <w:sz w:val="44"/>
          <w:szCs w:val="44"/>
          <w:highlight w:val="none"/>
        </w:rPr>
      </w:pPr>
    </w:p>
    <w:p w14:paraId="792CC42D">
      <w:pPr>
        <w:rPr>
          <w:rFonts w:hint="eastAsia" w:ascii="宋体" w:hAnsi="宋体" w:cs="宋体"/>
          <w:b/>
          <w:bCs/>
          <w:color w:val="auto"/>
          <w:sz w:val="44"/>
          <w:szCs w:val="44"/>
          <w:highlight w:val="none"/>
        </w:rPr>
      </w:pPr>
    </w:p>
    <w:p w14:paraId="30184EE1">
      <w:pPr>
        <w:rPr>
          <w:rFonts w:ascii="宋体" w:hAnsi="宋体" w:cs="宋体"/>
          <w:b/>
          <w:color w:val="auto"/>
          <w:sz w:val="24"/>
          <w:szCs w:val="24"/>
          <w:highlight w:val="none"/>
        </w:rPr>
      </w:pPr>
      <w:r>
        <w:rPr>
          <w:rFonts w:hint="eastAsia" w:ascii="宋体" w:hAnsi="宋体" w:cs="宋体"/>
          <w:b/>
          <w:bCs/>
          <w:color w:val="auto"/>
          <w:sz w:val="44"/>
          <w:szCs w:val="44"/>
          <w:highlight w:val="none"/>
        </w:rPr>
        <w:t>第二部分  投标文件经济标部分（部分格式）</w:t>
      </w:r>
      <w:r>
        <w:rPr>
          <w:rFonts w:hint="eastAsia" w:ascii="宋体" w:hAnsi="宋体" w:cs="宋体"/>
          <w:b/>
          <w:color w:val="auto"/>
          <w:highlight w:val="none"/>
        </w:rPr>
        <w:br w:type="page"/>
      </w:r>
      <w:r>
        <w:rPr>
          <w:rFonts w:hint="eastAsia" w:ascii="宋体" w:hAnsi="宋体" w:cs="宋体"/>
          <w:b/>
          <w:color w:val="auto"/>
          <w:sz w:val="24"/>
          <w:szCs w:val="24"/>
          <w:highlight w:val="none"/>
        </w:rPr>
        <w:t>经济部分格式1：经济标封面</w:t>
      </w:r>
    </w:p>
    <w:p w14:paraId="2C1EFEA4">
      <w:pPr>
        <w:pStyle w:val="124"/>
        <w:ind w:firstLine="496"/>
        <w:rPr>
          <w:rFonts w:ascii="宋体" w:hAnsi="宋体" w:cs="宋体"/>
          <w:color w:val="auto"/>
          <w:highlight w:val="none"/>
        </w:rPr>
      </w:pPr>
    </w:p>
    <w:p w14:paraId="7D284F09">
      <w:pPr>
        <w:pStyle w:val="124"/>
        <w:ind w:firstLine="496"/>
        <w:rPr>
          <w:rFonts w:ascii="宋体" w:hAnsi="宋体" w:cs="宋体"/>
          <w:color w:val="auto"/>
          <w:highlight w:val="none"/>
        </w:rPr>
      </w:pPr>
    </w:p>
    <w:p w14:paraId="72B6D4B3">
      <w:pPr>
        <w:pStyle w:val="172"/>
        <w:rPr>
          <w:rFonts w:ascii="宋体" w:hAnsi="宋体" w:eastAsia="宋体" w:cs="宋体"/>
          <w:b w:val="0"/>
          <w:color w:val="auto"/>
          <w:highlight w:val="none"/>
          <w:u w:val="single"/>
        </w:rPr>
      </w:pPr>
      <w:r>
        <w:rPr>
          <w:rFonts w:hint="eastAsia" w:ascii="宋体" w:hAnsi="宋体" w:eastAsia="宋体" w:cs="宋体"/>
          <w:b w:val="0"/>
          <w:color w:val="auto"/>
          <w:highlight w:val="none"/>
          <w:u w:val="single"/>
        </w:rPr>
        <w:t xml:space="preserve">[工程名称] </w:t>
      </w:r>
    </w:p>
    <w:p w14:paraId="19347864">
      <w:pPr>
        <w:pStyle w:val="124"/>
        <w:ind w:firstLine="496"/>
        <w:rPr>
          <w:rFonts w:ascii="宋体" w:hAnsi="宋体" w:cs="宋体"/>
          <w:color w:val="auto"/>
          <w:highlight w:val="none"/>
        </w:rPr>
      </w:pPr>
    </w:p>
    <w:p w14:paraId="312C103E">
      <w:pPr>
        <w:pStyle w:val="124"/>
        <w:ind w:firstLine="496"/>
        <w:rPr>
          <w:rFonts w:ascii="宋体" w:hAnsi="宋体" w:cs="宋体"/>
          <w:color w:val="auto"/>
          <w:highlight w:val="none"/>
        </w:rPr>
      </w:pPr>
    </w:p>
    <w:p w14:paraId="24E41A21">
      <w:pPr>
        <w:pStyle w:val="124"/>
        <w:ind w:firstLine="496"/>
        <w:rPr>
          <w:rFonts w:ascii="宋体" w:hAnsi="宋体" w:cs="宋体"/>
          <w:color w:val="auto"/>
          <w:highlight w:val="none"/>
        </w:rPr>
      </w:pPr>
    </w:p>
    <w:p w14:paraId="1299EA13">
      <w:pPr>
        <w:pStyle w:val="124"/>
        <w:ind w:firstLine="496"/>
        <w:rPr>
          <w:rFonts w:ascii="宋体" w:hAnsi="宋体" w:cs="宋体"/>
          <w:color w:val="auto"/>
          <w:highlight w:val="none"/>
        </w:rPr>
      </w:pPr>
    </w:p>
    <w:p w14:paraId="73A8165B">
      <w:pPr>
        <w:pStyle w:val="132"/>
        <w:rPr>
          <w:rFonts w:ascii="宋体" w:hAnsi="宋体" w:eastAsia="宋体" w:cs="宋体"/>
          <w:b w:val="0"/>
          <w:color w:val="auto"/>
          <w:highlight w:val="none"/>
        </w:rPr>
      </w:pPr>
      <w:r>
        <w:rPr>
          <w:rFonts w:hint="eastAsia" w:ascii="宋体" w:hAnsi="宋体" w:eastAsia="宋体" w:cs="宋体"/>
          <w:b w:val="0"/>
          <w:color w:val="auto"/>
          <w:highlight w:val="none"/>
        </w:rPr>
        <w:t>投标文件</w:t>
      </w:r>
    </w:p>
    <w:p w14:paraId="2C29E39B">
      <w:pPr>
        <w:pStyle w:val="172"/>
        <w:rPr>
          <w:rFonts w:ascii="宋体" w:hAnsi="宋体" w:eastAsia="宋体" w:cs="宋体"/>
          <w:b w:val="0"/>
          <w:color w:val="auto"/>
          <w:highlight w:val="none"/>
        </w:rPr>
      </w:pPr>
      <w:r>
        <w:rPr>
          <w:rFonts w:hint="eastAsia" w:ascii="宋体" w:hAnsi="宋体" w:eastAsia="宋体" w:cs="宋体"/>
          <w:b w:val="0"/>
          <w:color w:val="auto"/>
          <w:highlight w:val="none"/>
        </w:rPr>
        <w:t>第二册 经济标书</w:t>
      </w:r>
    </w:p>
    <w:p w14:paraId="64212A2B">
      <w:pPr>
        <w:pStyle w:val="124"/>
        <w:ind w:firstLine="496"/>
        <w:rPr>
          <w:rFonts w:ascii="宋体" w:hAnsi="宋体" w:cs="宋体"/>
          <w:color w:val="auto"/>
          <w:highlight w:val="none"/>
        </w:rPr>
      </w:pPr>
    </w:p>
    <w:p w14:paraId="6882229B">
      <w:pPr>
        <w:pStyle w:val="124"/>
        <w:ind w:firstLine="496"/>
        <w:rPr>
          <w:rFonts w:ascii="宋体" w:hAnsi="宋体" w:cs="宋体"/>
          <w:color w:val="auto"/>
          <w:highlight w:val="none"/>
        </w:rPr>
      </w:pPr>
    </w:p>
    <w:p w14:paraId="2DF1352A">
      <w:pPr>
        <w:pStyle w:val="124"/>
        <w:ind w:firstLine="496"/>
        <w:rPr>
          <w:rFonts w:ascii="宋体" w:hAnsi="宋体" w:cs="宋体"/>
          <w:color w:val="auto"/>
          <w:highlight w:val="none"/>
        </w:rPr>
      </w:pPr>
    </w:p>
    <w:p w14:paraId="4639A70F">
      <w:pPr>
        <w:pStyle w:val="124"/>
        <w:ind w:firstLine="496"/>
        <w:rPr>
          <w:rFonts w:ascii="宋体" w:hAnsi="宋体" w:cs="宋体"/>
          <w:color w:val="auto"/>
          <w:highlight w:val="none"/>
        </w:rPr>
      </w:pPr>
    </w:p>
    <w:p w14:paraId="1AEBFCFB">
      <w:pPr>
        <w:pStyle w:val="124"/>
        <w:ind w:firstLine="496"/>
        <w:rPr>
          <w:rFonts w:ascii="宋体" w:hAnsi="宋体" w:cs="宋体"/>
          <w:color w:val="auto"/>
          <w:highlight w:val="none"/>
        </w:rPr>
      </w:pPr>
    </w:p>
    <w:p w14:paraId="1F46649C">
      <w:pPr>
        <w:pStyle w:val="124"/>
        <w:ind w:firstLine="496"/>
        <w:rPr>
          <w:rFonts w:ascii="宋体" w:hAnsi="宋体" w:cs="宋体"/>
          <w:color w:val="auto"/>
          <w:highlight w:val="none"/>
        </w:rPr>
      </w:pPr>
    </w:p>
    <w:p w14:paraId="2BDDF13C">
      <w:pPr>
        <w:pStyle w:val="158"/>
        <w:ind w:firstLine="616"/>
        <w:rPr>
          <w:rFonts w:hint="eastAsia" w:ascii="宋体" w:hAnsi="宋体" w:cs="宋体"/>
          <w:color w:val="auto"/>
          <w:highlight w:val="none"/>
        </w:rPr>
      </w:pPr>
      <w:r>
        <w:rPr>
          <w:rFonts w:hint="eastAsia" w:ascii="宋体" w:hAnsi="宋体"/>
          <w:color w:val="auto"/>
          <w:highlight w:val="none"/>
        </w:rPr>
        <w:t>投标人：</w:t>
      </w:r>
      <w:r>
        <w:rPr>
          <w:rFonts w:ascii="宋体" w:hAnsi="宋体"/>
          <w:color w:val="auto"/>
          <w:highlight w:val="none"/>
          <w:u w:val="single"/>
        </w:rPr>
        <w:t xml:space="preserve">       （填写投标人单位名称）       （盖章）</w:t>
      </w:r>
      <w:r>
        <w:rPr>
          <w:rFonts w:hint="eastAsia" w:ascii="宋体" w:hAnsi="宋体" w:cs="宋体"/>
          <w:color w:val="auto"/>
          <w:highlight w:val="none"/>
          <w:u w:val="single"/>
        </w:rPr>
        <w:t xml:space="preserve">        </w:t>
      </w:r>
    </w:p>
    <w:p w14:paraId="740357C3">
      <w:pPr>
        <w:pStyle w:val="158"/>
        <w:ind w:firstLine="616"/>
        <w:rPr>
          <w:rFonts w:ascii="宋体" w:hAnsi="宋体" w:cs="宋体"/>
          <w:color w:val="auto"/>
          <w:highlight w:val="none"/>
        </w:rPr>
      </w:pPr>
      <w:r>
        <w:rPr>
          <w:rFonts w:hint="eastAsia" w:ascii="宋体" w:hAnsi="宋体" w:cs="宋体"/>
          <w:color w:val="auto"/>
          <w:highlight w:val="none"/>
        </w:rPr>
        <w:t>日  期：</w:t>
      </w:r>
    </w:p>
    <w:p w14:paraId="1D0C371A">
      <w:pPr>
        <w:rPr>
          <w:rFonts w:ascii="宋体" w:hAnsi="宋体" w:cs="宋体"/>
          <w:color w:val="auto"/>
          <w:highlight w:val="none"/>
        </w:rPr>
      </w:pPr>
    </w:p>
    <w:p w14:paraId="579FCBD2">
      <w:pPr>
        <w:rPr>
          <w:rFonts w:ascii="宋体" w:hAnsi="宋体" w:cs="宋体"/>
          <w:color w:val="auto"/>
          <w:highlight w:val="none"/>
        </w:rPr>
      </w:pPr>
    </w:p>
    <w:p w14:paraId="51D091B4">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188F772A">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目  录</w:t>
      </w:r>
    </w:p>
    <w:p w14:paraId="45C29FB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一、广州建设工程施工招标投标书</w:t>
      </w:r>
    </w:p>
    <w:p w14:paraId="307901F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二、工程量清单计价表</w:t>
      </w:r>
    </w:p>
    <w:p w14:paraId="623BBFF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三、参与编制经济标投标文件人员名单</w:t>
      </w:r>
    </w:p>
    <w:p w14:paraId="4E1E243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四、对投标文件编制的承诺</w:t>
      </w:r>
    </w:p>
    <w:p w14:paraId="5E85B91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五、其他投标人认为须提交的资料</w:t>
      </w:r>
    </w:p>
    <w:p w14:paraId="3CDB481B">
      <w:pPr>
        <w:rPr>
          <w:rFonts w:ascii="宋体" w:hAnsi="宋体" w:cs="宋体"/>
          <w:color w:val="auto"/>
          <w:highlight w:val="none"/>
        </w:rPr>
      </w:pPr>
    </w:p>
    <w:p w14:paraId="74DFA84D">
      <w:pPr>
        <w:rPr>
          <w:rFonts w:ascii="宋体" w:hAnsi="宋体" w:cs="宋体"/>
          <w:b/>
          <w:bCs/>
          <w:color w:val="auto"/>
          <w:sz w:val="24"/>
          <w:szCs w:val="24"/>
          <w:highlight w:val="none"/>
          <w:lang w:val="zh-CN"/>
        </w:rPr>
      </w:pPr>
      <w:r>
        <w:rPr>
          <w:rFonts w:hint="eastAsia" w:ascii="宋体" w:hAnsi="宋体" w:cs="宋体"/>
          <w:color w:val="auto"/>
          <w:highlight w:val="none"/>
        </w:rPr>
        <w:br w:type="page"/>
      </w:r>
      <w:r>
        <w:rPr>
          <w:rFonts w:hint="eastAsia" w:ascii="宋体" w:hAnsi="宋体" w:cs="宋体"/>
          <w:bCs/>
          <w:color w:val="auto"/>
          <w:sz w:val="24"/>
          <w:szCs w:val="24"/>
          <w:highlight w:val="none"/>
        </w:rPr>
        <w:t>★经济部分格式2：广州建设工程施工招标投标书</w:t>
      </w:r>
    </w:p>
    <w:p w14:paraId="2F90E1C9">
      <w:pPr>
        <w:autoSpaceDE w:val="0"/>
        <w:autoSpaceDN w:val="0"/>
        <w:adjustRightInd w:val="0"/>
        <w:ind w:left="-539" w:leftChars="-257" w:firstLine="1130" w:firstLineChars="257"/>
        <w:jc w:val="center"/>
        <w:rPr>
          <w:rFonts w:ascii="宋体" w:hAnsi="宋体" w:cs="宋体"/>
          <w:b/>
          <w:bCs/>
          <w:color w:val="auto"/>
          <w:sz w:val="44"/>
          <w:szCs w:val="44"/>
          <w:highlight w:val="none"/>
          <w:lang w:val="zh-CN"/>
        </w:rPr>
      </w:pPr>
    </w:p>
    <w:p w14:paraId="61ED3558">
      <w:pPr>
        <w:autoSpaceDE w:val="0"/>
        <w:autoSpaceDN w:val="0"/>
        <w:adjustRightInd w:val="0"/>
        <w:ind w:left="-539" w:leftChars="-257" w:firstLine="1130" w:firstLineChars="257"/>
        <w:jc w:val="center"/>
        <w:rPr>
          <w:rFonts w:ascii="宋体" w:hAnsi="宋体" w:cs="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27"/>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1"/>
        <w:gridCol w:w="4548"/>
      </w:tblGrid>
      <w:tr w14:paraId="37E6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noWrap w:val="0"/>
            <w:vAlign w:val="center"/>
          </w:tcPr>
          <w:p w14:paraId="265BDE59">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工 程 名 称</w:t>
            </w:r>
          </w:p>
        </w:tc>
        <w:tc>
          <w:tcPr>
            <w:tcW w:w="4548" w:type="dxa"/>
            <w:tcBorders>
              <w:top w:val="single" w:color="auto" w:sz="4" w:space="0"/>
              <w:left w:val="single" w:color="auto" w:sz="4" w:space="0"/>
              <w:bottom w:val="single" w:color="auto" w:sz="4" w:space="0"/>
              <w:right w:val="single" w:color="auto" w:sz="4" w:space="0"/>
            </w:tcBorders>
            <w:noWrap w:val="0"/>
            <w:vAlign w:val="top"/>
          </w:tcPr>
          <w:p w14:paraId="489FD140">
            <w:pPr>
              <w:autoSpaceDE w:val="0"/>
              <w:autoSpaceDN w:val="0"/>
              <w:adjustRightInd w:val="0"/>
              <w:rPr>
                <w:rFonts w:ascii="宋体" w:hAnsi="宋体" w:cs="宋体"/>
                <w:b/>
                <w:bCs/>
                <w:color w:val="auto"/>
                <w:sz w:val="24"/>
                <w:szCs w:val="24"/>
                <w:highlight w:val="none"/>
                <w:lang w:val="zh-CN"/>
              </w:rPr>
            </w:pPr>
          </w:p>
        </w:tc>
      </w:tr>
      <w:tr w14:paraId="6D6F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noWrap w:val="0"/>
            <w:vAlign w:val="center"/>
          </w:tcPr>
          <w:p w14:paraId="42261238">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4548" w:type="dxa"/>
            <w:tcBorders>
              <w:top w:val="single" w:color="auto" w:sz="4" w:space="0"/>
              <w:left w:val="single" w:color="auto" w:sz="4" w:space="0"/>
              <w:bottom w:val="single" w:color="auto" w:sz="4" w:space="0"/>
              <w:right w:val="single" w:color="auto" w:sz="4" w:space="0"/>
            </w:tcBorders>
            <w:noWrap w:val="0"/>
            <w:vAlign w:val="center"/>
          </w:tcPr>
          <w:p w14:paraId="1DA9D885">
            <w:pPr>
              <w:autoSpaceDE w:val="0"/>
              <w:autoSpaceDN w:val="0"/>
              <w:adjustRightInd w:val="0"/>
              <w:rPr>
                <w:rFonts w:ascii="宋体" w:hAnsi="宋体" w:cs="宋体"/>
                <w:b/>
                <w:bCs/>
                <w:color w:val="auto"/>
                <w:sz w:val="24"/>
                <w:szCs w:val="24"/>
                <w:highlight w:val="none"/>
                <w:lang w:val="zh-CN"/>
              </w:rPr>
            </w:pPr>
          </w:p>
        </w:tc>
      </w:tr>
      <w:tr w14:paraId="5268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noWrap w:val="0"/>
            <w:vAlign w:val="center"/>
          </w:tcPr>
          <w:p w14:paraId="256550FF">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4548" w:type="dxa"/>
            <w:tcBorders>
              <w:top w:val="single" w:color="auto" w:sz="4" w:space="0"/>
              <w:left w:val="single" w:color="auto" w:sz="4" w:space="0"/>
              <w:bottom w:val="single" w:color="auto" w:sz="4" w:space="0"/>
              <w:right w:val="single" w:color="auto" w:sz="4" w:space="0"/>
            </w:tcBorders>
            <w:noWrap w:val="0"/>
            <w:vAlign w:val="center"/>
          </w:tcPr>
          <w:p w14:paraId="09E5F825">
            <w:pPr>
              <w:autoSpaceDE w:val="0"/>
              <w:autoSpaceDN w:val="0"/>
              <w:adjustRightInd w:val="0"/>
              <w:rPr>
                <w:rFonts w:ascii="宋体" w:hAnsi="宋体" w:cs="宋体"/>
                <w:b/>
                <w:bCs/>
                <w:color w:val="auto"/>
                <w:sz w:val="24"/>
                <w:szCs w:val="24"/>
                <w:highlight w:val="none"/>
                <w:lang w:val="zh-CN"/>
              </w:rPr>
            </w:pPr>
          </w:p>
        </w:tc>
      </w:tr>
      <w:tr w14:paraId="4150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noWrap w:val="0"/>
            <w:vAlign w:val="center"/>
          </w:tcPr>
          <w:p w14:paraId="16106DDC">
            <w:pPr>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安全生产措施费（元）</w:t>
            </w:r>
          </w:p>
        </w:tc>
        <w:tc>
          <w:tcPr>
            <w:tcW w:w="4548" w:type="dxa"/>
            <w:tcBorders>
              <w:top w:val="single" w:color="auto" w:sz="4" w:space="0"/>
              <w:left w:val="single" w:color="auto" w:sz="4" w:space="0"/>
              <w:bottom w:val="single" w:color="auto" w:sz="4" w:space="0"/>
              <w:right w:val="single" w:color="auto" w:sz="4" w:space="0"/>
            </w:tcBorders>
            <w:noWrap w:val="0"/>
            <w:vAlign w:val="center"/>
          </w:tcPr>
          <w:p w14:paraId="3F0BF9FC">
            <w:pPr>
              <w:autoSpaceDE w:val="0"/>
              <w:autoSpaceDN w:val="0"/>
              <w:adjustRightInd w:val="0"/>
              <w:rPr>
                <w:rFonts w:ascii="宋体" w:hAnsi="宋体" w:cs="宋体"/>
                <w:b/>
                <w:bCs/>
                <w:color w:val="auto"/>
                <w:sz w:val="24"/>
                <w:szCs w:val="24"/>
                <w:highlight w:val="none"/>
                <w:lang w:val="zh-CN"/>
              </w:rPr>
            </w:pPr>
          </w:p>
        </w:tc>
      </w:tr>
      <w:tr w14:paraId="4C15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noWrap w:val="0"/>
            <w:vAlign w:val="center"/>
          </w:tcPr>
          <w:p w14:paraId="59719EDB">
            <w:pPr>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投 标 总</w:t>
            </w:r>
            <w:r>
              <w:rPr>
                <w:rFonts w:hint="eastAsia" w:ascii="宋体" w:hAnsi="宋体" w:cs="宋体"/>
                <w:b/>
                <w:color w:val="auto"/>
                <w:sz w:val="24"/>
                <w:szCs w:val="24"/>
                <w:highlight w:val="none"/>
              </w:rPr>
              <w:t xml:space="preserve"> </w:t>
            </w:r>
            <w:r>
              <w:rPr>
                <w:rFonts w:hint="eastAsia" w:ascii="宋体" w:hAnsi="宋体" w:cs="宋体"/>
                <w:b/>
                <w:color w:val="auto"/>
                <w:sz w:val="24"/>
                <w:szCs w:val="24"/>
                <w:highlight w:val="none"/>
                <w:lang w:val="zh-CN"/>
              </w:rPr>
              <w:t>工 期</w:t>
            </w:r>
          </w:p>
        </w:tc>
        <w:tc>
          <w:tcPr>
            <w:tcW w:w="4548" w:type="dxa"/>
            <w:tcBorders>
              <w:top w:val="single" w:color="auto" w:sz="4" w:space="0"/>
              <w:left w:val="single" w:color="auto" w:sz="4" w:space="0"/>
              <w:bottom w:val="single" w:color="auto" w:sz="4" w:space="0"/>
              <w:right w:val="single" w:color="auto" w:sz="4" w:space="0"/>
            </w:tcBorders>
            <w:noWrap w:val="0"/>
            <w:vAlign w:val="top"/>
          </w:tcPr>
          <w:p w14:paraId="34BC0264">
            <w:pPr>
              <w:autoSpaceDE w:val="0"/>
              <w:autoSpaceDN w:val="0"/>
              <w:adjustRightInd w:val="0"/>
              <w:rPr>
                <w:rFonts w:ascii="宋体" w:hAnsi="宋体" w:cs="宋体"/>
                <w:b/>
                <w:bCs/>
                <w:color w:val="auto"/>
                <w:sz w:val="24"/>
                <w:szCs w:val="24"/>
                <w:highlight w:val="none"/>
                <w:lang w:val="zh-CN"/>
              </w:rPr>
            </w:pPr>
          </w:p>
        </w:tc>
      </w:tr>
      <w:tr w14:paraId="6B0D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noWrap w:val="0"/>
            <w:vAlign w:val="center"/>
          </w:tcPr>
          <w:p w14:paraId="17DFB4C2">
            <w:pPr>
              <w:jc w:val="center"/>
              <w:rPr>
                <w:rFonts w:ascii="宋体" w:hAnsi="宋体" w:cs="宋体"/>
                <w:b/>
                <w:color w:val="auto"/>
                <w:sz w:val="24"/>
                <w:szCs w:val="24"/>
                <w:highlight w:val="none"/>
              </w:rPr>
            </w:pPr>
            <w:r>
              <w:rPr>
                <w:rFonts w:hint="eastAsia" w:ascii="宋体" w:hAnsi="宋体" w:cs="宋体"/>
                <w:b/>
                <w:color w:val="auto"/>
                <w:sz w:val="24"/>
                <w:szCs w:val="24"/>
                <w:highlight w:val="none"/>
                <w:lang w:val="zh-CN"/>
              </w:rPr>
              <w:t>工程质量标准</w:t>
            </w:r>
          </w:p>
        </w:tc>
        <w:tc>
          <w:tcPr>
            <w:tcW w:w="4548" w:type="dxa"/>
            <w:tcBorders>
              <w:top w:val="single" w:color="auto" w:sz="4" w:space="0"/>
              <w:left w:val="single" w:color="auto" w:sz="4" w:space="0"/>
              <w:bottom w:val="single" w:color="auto" w:sz="4" w:space="0"/>
              <w:right w:val="single" w:color="auto" w:sz="4" w:space="0"/>
            </w:tcBorders>
            <w:noWrap w:val="0"/>
            <w:vAlign w:val="top"/>
          </w:tcPr>
          <w:p w14:paraId="3374FE0A">
            <w:pPr>
              <w:autoSpaceDE w:val="0"/>
              <w:autoSpaceDN w:val="0"/>
              <w:adjustRightInd w:val="0"/>
              <w:rPr>
                <w:rFonts w:ascii="宋体" w:hAnsi="宋体" w:cs="宋体"/>
                <w:b/>
                <w:bCs/>
                <w:color w:val="auto"/>
                <w:sz w:val="24"/>
                <w:szCs w:val="24"/>
                <w:highlight w:val="none"/>
                <w:lang w:val="zh-CN"/>
              </w:rPr>
            </w:pPr>
          </w:p>
        </w:tc>
      </w:tr>
      <w:tr w14:paraId="01C7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noWrap w:val="0"/>
            <w:vAlign w:val="center"/>
          </w:tcPr>
          <w:p w14:paraId="0019BB38">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保 修 期 限</w:t>
            </w:r>
          </w:p>
        </w:tc>
        <w:tc>
          <w:tcPr>
            <w:tcW w:w="4548" w:type="dxa"/>
            <w:tcBorders>
              <w:top w:val="single" w:color="auto" w:sz="4" w:space="0"/>
              <w:left w:val="single" w:color="auto" w:sz="4" w:space="0"/>
              <w:bottom w:val="single" w:color="auto" w:sz="4" w:space="0"/>
              <w:right w:val="single" w:color="auto" w:sz="4" w:space="0"/>
            </w:tcBorders>
            <w:noWrap w:val="0"/>
            <w:vAlign w:val="top"/>
          </w:tcPr>
          <w:p w14:paraId="0F98C7F7">
            <w:pPr>
              <w:autoSpaceDE w:val="0"/>
              <w:autoSpaceDN w:val="0"/>
              <w:adjustRightInd w:val="0"/>
              <w:rPr>
                <w:rFonts w:ascii="宋体" w:hAnsi="宋体" w:cs="宋体"/>
                <w:b/>
                <w:bCs/>
                <w:color w:val="auto"/>
                <w:sz w:val="24"/>
                <w:szCs w:val="24"/>
                <w:highlight w:val="none"/>
                <w:lang w:val="zh-CN"/>
              </w:rPr>
            </w:pPr>
          </w:p>
        </w:tc>
      </w:tr>
    </w:tbl>
    <w:p w14:paraId="1B96E9AC">
      <w:pPr>
        <w:rPr>
          <w:rFonts w:ascii="宋体" w:hAnsi="宋体" w:cs="宋体"/>
          <w:color w:val="auto"/>
          <w:highlight w:val="none"/>
        </w:rPr>
      </w:pPr>
    </w:p>
    <w:p w14:paraId="7A34D935">
      <w:pPr>
        <w:pStyle w:val="16"/>
        <w:rPr>
          <w:rFonts w:hAnsi="宋体" w:cs="宋体"/>
          <w:color w:val="auto"/>
          <w:highlight w:val="none"/>
        </w:rPr>
      </w:pPr>
    </w:p>
    <w:p w14:paraId="3410DD12">
      <w:pPr>
        <w:pStyle w:val="16"/>
        <w:rPr>
          <w:rFonts w:hAnsi="宋体" w:cs="宋体"/>
          <w:color w:val="auto"/>
          <w:highlight w:val="none"/>
        </w:rPr>
      </w:pPr>
    </w:p>
    <w:p w14:paraId="2A8CF241">
      <w:pPr>
        <w:pStyle w:val="16"/>
        <w:rPr>
          <w:rFonts w:hAnsi="宋体" w:cs="宋体"/>
          <w:color w:val="auto"/>
          <w:highlight w:val="none"/>
        </w:rPr>
      </w:pPr>
    </w:p>
    <w:p w14:paraId="673D4222">
      <w:pPr>
        <w:rPr>
          <w:rFonts w:ascii="宋体" w:hAnsi="宋体" w:cs="宋体"/>
          <w:b/>
          <w:color w:val="auto"/>
          <w:sz w:val="24"/>
          <w:szCs w:val="24"/>
          <w:highlight w:val="none"/>
        </w:rPr>
      </w:pPr>
      <w:r>
        <w:rPr>
          <w:rFonts w:hAnsi="宋体" w:cs="宋体"/>
          <w:color w:val="auto"/>
          <w:highlight w:val="none"/>
        </w:rPr>
        <w:br w:type="page"/>
      </w:r>
      <w:r>
        <w:rPr>
          <w:rFonts w:hint="eastAsia" w:ascii="宋体" w:hAnsi="宋体" w:cs="宋体"/>
          <w:b/>
          <w:color w:val="auto"/>
          <w:sz w:val="24"/>
          <w:szCs w:val="24"/>
          <w:highlight w:val="none"/>
        </w:rPr>
        <w:t>经济部分格式3：工程量清单计价表</w:t>
      </w:r>
    </w:p>
    <w:p w14:paraId="5B1B283D">
      <w:pPr>
        <w:pStyle w:val="165"/>
        <w:spacing w:before="100" w:beforeAutospacing="1" w:after="100" w:afterAutospacing="1" w:line="24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工程量清单计价表</w:t>
      </w:r>
    </w:p>
    <w:p w14:paraId="2BA8A92E">
      <w:pPr>
        <w:pStyle w:val="124"/>
        <w:ind w:firstLine="0" w:firstLineChars="0"/>
        <w:jc w:val="center"/>
        <w:rPr>
          <w:rFonts w:ascii="宋体" w:hAnsi="宋体" w:cs="宋体"/>
          <w:b/>
          <w:color w:val="auto"/>
          <w:highlight w:val="none"/>
        </w:rPr>
      </w:pPr>
      <w:r>
        <w:rPr>
          <w:rFonts w:hint="eastAsia" w:ascii="宋体" w:hAnsi="宋体" w:cs="宋体"/>
          <w:b/>
          <w:color w:val="auto"/>
          <w:highlight w:val="none"/>
        </w:rPr>
        <w:t>本部分内容详见招标文件第七章工程量清单。</w:t>
      </w:r>
    </w:p>
    <w:p w14:paraId="41E5EF08">
      <w:pPr>
        <w:pStyle w:val="124"/>
        <w:ind w:firstLine="496"/>
        <w:rPr>
          <w:rFonts w:ascii="宋体" w:hAnsi="宋体" w:cs="宋体"/>
          <w:color w:val="auto"/>
          <w:highlight w:val="none"/>
        </w:rPr>
      </w:pPr>
    </w:p>
    <w:p w14:paraId="75042349">
      <w:pPr>
        <w:rPr>
          <w:rFonts w:ascii="宋体" w:hAnsi="宋体" w:cs="宋体"/>
          <w:b/>
          <w:color w:val="auto"/>
          <w:sz w:val="24"/>
          <w:szCs w:val="24"/>
          <w:highlight w:val="none"/>
        </w:rPr>
      </w:pPr>
      <w:r>
        <w:rPr>
          <w:rFonts w:hint="eastAsia" w:ascii="宋体" w:hAnsi="宋体" w:cs="宋体"/>
          <w:color w:val="auto"/>
          <w:highlight w:val="none"/>
        </w:rPr>
        <w:br w:type="page"/>
      </w:r>
      <w:r>
        <w:rPr>
          <w:rFonts w:hint="eastAsia" w:ascii="宋体" w:hAnsi="宋体" w:cs="宋体"/>
          <w:color w:val="auto"/>
          <w:highlight w:val="none"/>
        </w:rPr>
        <w:t>★</w:t>
      </w:r>
      <w:r>
        <w:rPr>
          <w:rFonts w:hint="eastAsia" w:ascii="宋体" w:hAnsi="宋体" w:cs="宋体"/>
          <w:b/>
          <w:color w:val="auto"/>
          <w:sz w:val="24"/>
          <w:szCs w:val="24"/>
          <w:highlight w:val="none"/>
        </w:rPr>
        <w:t>经济部分格式4：参与编制经济标投标文件人员名单</w:t>
      </w:r>
    </w:p>
    <w:p w14:paraId="3EFF94B1">
      <w:pPr>
        <w:pStyle w:val="165"/>
        <w:spacing w:before="100" w:beforeAutospacing="1" w:after="100" w:afterAutospacing="1" w:line="24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参与编制经济标投标文件人员名单</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2"/>
        <w:gridCol w:w="2341"/>
        <w:gridCol w:w="2245"/>
        <w:gridCol w:w="2304"/>
      </w:tblGrid>
      <w:tr w14:paraId="239A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464" w:type="dxa"/>
            <w:gridSpan w:val="5"/>
            <w:noWrap w:val="0"/>
            <w:vAlign w:val="center"/>
          </w:tcPr>
          <w:p w14:paraId="14CD40C5">
            <w:pPr>
              <w:tabs>
                <w:tab w:val="left" w:pos="720"/>
              </w:tabs>
              <w:snapToGrid w:val="0"/>
              <w:jc w:val="center"/>
              <w:rPr>
                <w:rFonts w:ascii="宋体" w:hAnsi="宋体" w:cs="宋体"/>
                <w:color w:val="auto"/>
                <w:sz w:val="24"/>
                <w:highlight w:val="none"/>
              </w:rPr>
            </w:pPr>
            <w:r>
              <w:rPr>
                <w:rFonts w:hint="eastAsia" w:ascii="宋体" w:hAnsi="宋体" w:cs="宋体"/>
                <w:color w:val="auto"/>
                <w:szCs w:val="21"/>
                <w:highlight w:val="none"/>
              </w:rPr>
              <w:t>投标人名称</w:t>
            </w:r>
          </w:p>
        </w:tc>
      </w:tr>
      <w:tr w14:paraId="3ED6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2" w:type="dxa"/>
            <w:noWrap w:val="0"/>
            <w:vAlign w:val="center"/>
          </w:tcPr>
          <w:p w14:paraId="7DE4F1FD">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382" w:type="dxa"/>
            <w:noWrap w:val="0"/>
            <w:vAlign w:val="center"/>
          </w:tcPr>
          <w:p w14:paraId="1FCAB029">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2341" w:type="dxa"/>
            <w:noWrap w:val="0"/>
            <w:vAlign w:val="center"/>
          </w:tcPr>
          <w:p w14:paraId="2EEA7255">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所承担工作</w:t>
            </w:r>
          </w:p>
        </w:tc>
        <w:tc>
          <w:tcPr>
            <w:tcW w:w="2245" w:type="dxa"/>
            <w:noWrap w:val="0"/>
            <w:vAlign w:val="center"/>
          </w:tcPr>
          <w:p w14:paraId="76FED4D3">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身份证号码</w:t>
            </w:r>
          </w:p>
        </w:tc>
        <w:tc>
          <w:tcPr>
            <w:tcW w:w="2304" w:type="dxa"/>
            <w:noWrap w:val="0"/>
            <w:vAlign w:val="center"/>
          </w:tcPr>
          <w:p w14:paraId="38E62708">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本人签名栏</w:t>
            </w:r>
          </w:p>
        </w:tc>
      </w:tr>
      <w:tr w14:paraId="38E3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92" w:type="dxa"/>
            <w:noWrap w:val="0"/>
            <w:vAlign w:val="center"/>
          </w:tcPr>
          <w:p w14:paraId="443A34FC">
            <w:pPr>
              <w:tabs>
                <w:tab w:val="left" w:pos="720"/>
              </w:tabs>
              <w:snapToGrid w:val="0"/>
              <w:jc w:val="center"/>
              <w:rPr>
                <w:rFonts w:ascii="宋体" w:hAnsi="宋体" w:cs="宋体"/>
                <w:color w:val="auto"/>
                <w:sz w:val="24"/>
                <w:highlight w:val="none"/>
              </w:rPr>
            </w:pPr>
          </w:p>
        </w:tc>
        <w:tc>
          <w:tcPr>
            <w:tcW w:w="1382" w:type="dxa"/>
            <w:noWrap w:val="0"/>
            <w:vAlign w:val="center"/>
          </w:tcPr>
          <w:p w14:paraId="0D6F2B34">
            <w:pPr>
              <w:tabs>
                <w:tab w:val="left" w:pos="720"/>
              </w:tabs>
              <w:snapToGrid w:val="0"/>
              <w:jc w:val="center"/>
              <w:rPr>
                <w:rFonts w:ascii="宋体" w:hAnsi="宋体" w:cs="宋体"/>
                <w:color w:val="auto"/>
                <w:sz w:val="24"/>
                <w:highlight w:val="none"/>
              </w:rPr>
            </w:pPr>
          </w:p>
        </w:tc>
        <w:tc>
          <w:tcPr>
            <w:tcW w:w="2341" w:type="dxa"/>
            <w:noWrap w:val="0"/>
            <w:vAlign w:val="center"/>
          </w:tcPr>
          <w:p w14:paraId="43BD7C26">
            <w:pPr>
              <w:tabs>
                <w:tab w:val="left" w:pos="720"/>
              </w:tabs>
              <w:snapToGrid w:val="0"/>
              <w:jc w:val="center"/>
              <w:rPr>
                <w:rFonts w:ascii="宋体" w:hAnsi="宋体" w:cs="宋体"/>
                <w:color w:val="auto"/>
                <w:sz w:val="24"/>
                <w:highlight w:val="none"/>
              </w:rPr>
            </w:pPr>
          </w:p>
        </w:tc>
        <w:tc>
          <w:tcPr>
            <w:tcW w:w="2245" w:type="dxa"/>
            <w:noWrap w:val="0"/>
            <w:vAlign w:val="center"/>
          </w:tcPr>
          <w:p w14:paraId="3BE63E98">
            <w:pPr>
              <w:tabs>
                <w:tab w:val="left" w:pos="720"/>
              </w:tabs>
              <w:snapToGrid w:val="0"/>
              <w:jc w:val="center"/>
              <w:rPr>
                <w:rFonts w:ascii="宋体" w:hAnsi="宋体" w:cs="宋体"/>
                <w:color w:val="auto"/>
                <w:sz w:val="24"/>
                <w:highlight w:val="none"/>
              </w:rPr>
            </w:pPr>
          </w:p>
        </w:tc>
        <w:tc>
          <w:tcPr>
            <w:tcW w:w="2304" w:type="dxa"/>
            <w:noWrap w:val="0"/>
            <w:vAlign w:val="center"/>
          </w:tcPr>
          <w:p w14:paraId="476AE572">
            <w:pPr>
              <w:tabs>
                <w:tab w:val="left" w:pos="720"/>
              </w:tabs>
              <w:snapToGrid w:val="0"/>
              <w:jc w:val="center"/>
              <w:rPr>
                <w:rFonts w:ascii="宋体" w:hAnsi="宋体" w:cs="宋体"/>
                <w:color w:val="auto"/>
                <w:sz w:val="24"/>
                <w:highlight w:val="none"/>
              </w:rPr>
            </w:pPr>
          </w:p>
        </w:tc>
      </w:tr>
      <w:tr w14:paraId="01A3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noWrap w:val="0"/>
            <w:vAlign w:val="center"/>
          </w:tcPr>
          <w:p w14:paraId="4130C8C8">
            <w:pPr>
              <w:tabs>
                <w:tab w:val="left" w:pos="720"/>
              </w:tabs>
              <w:snapToGrid w:val="0"/>
              <w:jc w:val="center"/>
              <w:rPr>
                <w:rFonts w:ascii="宋体" w:hAnsi="宋体" w:cs="宋体"/>
                <w:color w:val="auto"/>
                <w:sz w:val="24"/>
                <w:highlight w:val="none"/>
              </w:rPr>
            </w:pPr>
          </w:p>
        </w:tc>
        <w:tc>
          <w:tcPr>
            <w:tcW w:w="1382" w:type="dxa"/>
            <w:noWrap w:val="0"/>
            <w:vAlign w:val="center"/>
          </w:tcPr>
          <w:p w14:paraId="61BDCC29">
            <w:pPr>
              <w:tabs>
                <w:tab w:val="left" w:pos="720"/>
              </w:tabs>
              <w:snapToGrid w:val="0"/>
              <w:jc w:val="center"/>
              <w:rPr>
                <w:rFonts w:ascii="宋体" w:hAnsi="宋体" w:cs="宋体"/>
                <w:color w:val="auto"/>
                <w:sz w:val="24"/>
                <w:highlight w:val="none"/>
              </w:rPr>
            </w:pPr>
          </w:p>
        </w:tc>
        <w:tc>
          <w:tcPr>
            <w:tcW w:w="2341" w:type="dxa"/>
            <w:noWrap w:val="0"/>
            <w:vAlign w:val="center"/>
          </w:tcPr>
          <w:p w14:paraId="19E4F305">
            <w:pPr>
              <w:tabs>
                <w:tab w:val="left" w:pos="720"/>
              </w:tabs>
              <w:snapToGrid w:val="0"/>
              <w:jc w:val="center"/>
              <w:rPr>
                <w:rFonts w:ascii="宋体" w:hAnsi="宋体" w:cs="宋体"/>
                <w:color w:val="auto"/>
                <w:sz w:val="24"/>
                <w:highlight w:val="none"/>
              </w:rPr>
            </w:pPr>
          </w:p>
        </w:tc>
        <w:tc>
          <w:tcPr>
            <w:tcW w:w="2245" w:type="dxa"/>
            <w:noWrap w:val="0"/>
            <w:vAlign w:val="center"/>
          </w:tcPr>
          <w:p w14:paraId="08D07052">
            <w:pPr>
              <w:tabs>
                <w:tab w:val="left" w:pos="720"/>
              </w:tabs>
              <w:snapToGrid w:val="0"/>
              <w:jc w:val="center"/>
              <w:rPr>
                <w:rFonts w:ascii="宋体" w:hAnsi="宋体" w:cs="宋体"/>
                <w:color w:val="auto"/>
                <w:sz w:val="24"/>
                <w:highlight w:val="none"/>
              </w:rPr>
            </w:pPr>
          </w:p>
        </w:tc>
        <w:tc>
          <w:tcPr>
            <w:tcW w:w="2304" w:type="dxa"/>
            <w:noWrap w:val="0"/>
            <w:vAlign w:val="center"/>
          </w:tcPr>
          <w:p w14:paraId="2111F2E6">
            <w:pPr>
              <w:tabs>
                <w:tab w:val="left" w:pos="720"/>
              </w:tabs>
              <w:snapToGrid w:val="0"/>
              <w:jc w:val="center"/>
              <w:rPr>
                <w:rFonts w:ascii="宋体" w:hAnsi="宋体" w:cs="宋体"/>
                <w:color w:val="auto"/>
                <w:sz w:val="24"/>
                <w:highlight w:val="none"/>
              </w:rPr>
            </w:pPr>
          </w:p>
        </w:tc>
      </w:tr>
      <w:tr w14:paraId="7E564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noWrap w:val="0"/>
            <w:vAlign w:val="center"/>
          </w:tcPr>
          <w:p w14:paraId="7A81F525">
            <w:pPr>
              <w:tabs>
                <w:tab w:val="left" w:pos="720"/>
              </w:tabs>
              <w:snapToGrid w:val="0"/>
              <w:jc w:val="center"/>
              <w:rPr>
                <w:rFonts w:ascii="宋体" w:hAnsi="宋体" w:cs="宋体"/>
                <w:color w:val="auto"/>
                <w:sz w:val="24"/>
                <w:highlight w:val="none"/>
              </w:rPr>
            </w:pPr>
          </w:p>
        </w:tc>
        <w:tc>
          <w:tcPr>
            <w:tcW w:w="1382" w:type="dxa"/>
            <w:noWrap w:val="0"/>
            <w:vAlign w:val="center"/>
          </w:tcPr>
          <w:p w14:paraId="132D53D2">
            <w:pPr>
              <w:tabs>
                <w:tab w:val="left" w:pos="720"/>
              </w:tabs>
              <w:snapToGrid w:val="0"/>
              <w:jc w:val="center"/>
              <w:rPr>
                <w:rFonts w:ascii="宋体" w:hAnsi="宋体" w:cs="宋体"/>
                <w:color w:val="auto"/>
                <w:sz w:val="24"/>
                <w:highlight w:val="none"/>
              </w:rPr>
            </w:pPr>
          </w:p>
        </w:tc>
        <w:tc>
          <w:tcPr>
            <w:tcW w:w="2341" w:type="dxa"/>
            <w:noWrap w:val="0"/>
            <w:vAlign w:val="center"/>
          </w:tcPr>
          <w:p w14:paraId="1DAAF81A">
            <w:pPr>
              <w:tabs>
                <w:tab w:val="left" w:pos="720"/>
              </w:tabs>
              <w:snapToGrid w:val="0"/>
              <w:jc w:val="center"/>
              <w:rPr>
                <w:rFonts w:ascii="宋体" w:hAnsi="宋体" w:cs="宋体"/>
                <w:color w:val="auto"/>
                <w:sz w:val="24"/>
                <w:highlight w:val="none"/>
              </w:rPr>
            </w:pPr>
          </w:p>
        </w:tc>
        <w:tc>
          <w:tcPr>
            <w:tcW w:w="2245" w:type="dxa"/>
            <w:noWrap w:val="0"/>
            <w:vAlign w:val="center"/>
          </w:tcPr>
          <w:p w14:paraId="4C669DF5">
            <w:pPr>
              <w:tabs>
                <w:tab w:val="left" w:pos="720"/>
              </w:tabs>
              <w:snapToGrid w:val="0"/>
              <w:jc w:val="center"/>
              <w:rPr>
                <w:rFonts w:ascii="宋体" w:hAnsi="宋体" w:cs="宋体"/>
                <w:color w:val="auto"/>
                <w:sz w:val="24"/>
                <w:highlight w:val="none"/>
              </w:rPr>
            </w:pPr>
          </w:p>
        </w:tc>
        <w:tc>
          <w:tcPr>
            <w:tcW w:w="2304" w:type="dxa"/>
            <w:noWrap w:val="0"/>
            <w:vAlign w:val="center"/>
          </w:tcPr>
          <w:p w14:paraId="6749533D">
            <w:pPr>
              <w:tabs>
                <w:tab w:val="left" w:pos="720"/>
              </w:tabs>
              <w:snapToGrid w:val="0"/>
              <w:jc w:val="center"/>
              <w:rPr>
                <w:rFonts w:ascii="宋体" w:hAnsi="宋体" w:cs="宋体"/>
                <w:color w:val="auto"/>
                <w:sz w:val="24"/>
                <w:highlight w:val="none"/>
              </w:rPr>
            </w:pPr>
          </w:p>
        </w:tc>
      </w:tr>
      <w:tr w14:paraId="1E87D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noWrap w:val="0"/>
            <w:vAlign w:val="center"/>
          </w:tcPr>
          <w:p w14:paraId="2FC1D3AA">
            <w:pPr>
              <w:tabs>
                <w:tab w:val="left" w:pos="720"/>
              </w:tabs>
              <w:snapToGrid w:val="0"/>
              <w:jc w:val="center"/>
              <w:rPr>
                <w:rFonts w:ascii="宋体" w:hAnsi="宋体" w:cs="宋体"/>
                <w:color w:val="auto"/>
                <w:sz w:val="24"/>
                <w:highlight w:val="none"/>
              </w:rPr>
            </w:pPr>
          </w:p>
        </w:tc>
        <w:tc>
          <w:tcPr>
            <w:tcW w:w="1382" w:type="dxa"/>
            <w:noWrap w:val="0"/>
            <w:vAlign w:val="center"/>
          </w:tcPr>
          <w:p w14:paraId="3F408946">
            <w:pPr>
              <w:tabs>
                <w:tab w:val="left" w:pos="720"/>
              </w:tabs>
              <w:snapToGrid w:val="0"/>
              <w:jc w:val="center"/>
              <w:rPr>
                <w:rFonts w:ascii="宋体" w:hAnsi="宋体" w:cs="宋体"/>
                <w:color w:val="auto"/>
                <w:sz w:val="24"/>
                <w:highlight w:val="none"/>
              </w:rPr>
            </w:pPr>
          </w:p>
        </w:tc>
        <w:tc>
          <w:tcPr>
            <w:tcW w:w="2341" w:type="dxa"/>
            <w:noWrap w:val="0"/>
            <w:vAlign w:val="center"/>
          </w:tcPr>
          <w:p w14:paraId="3B94B349">
            <w:pPr>
              <w:tabs>
                <w:tab w:val="left" w:pos="720"/>
              </w:tabs>
              <w:snapToGrid w:val="0"/>
              <w:jc w:val="center"/>
              <w:rPr>
                <w:rFonts w:ascii="宋体" w:hAnsi="宋体" w:cs="宋体"/>
                <w:color w:val="auto"/>
                <w:sz w:val="24"/>
                <w:highlight w:val="none"/>
              </w:rPr>
            </w:pPr>
          </w:p>
        </w:tc>
        <w:tc>
          <w:tcPr>
            <w:tcW w:w="2245" w:type="dxa"/>
            <w:noWrap w:val="0"/>
            <w:vAlign w:val="center"/>
          </w:tcPr>
          <w:p w14:paraId="7ADED4F9">
            <w:pPr>
              <w:tabs>
                <w:tab w:val="left" w:pos="720"/>
              </w:tabs>
              <w:snapToGrid w:val="0"/>
              <w:jc w:val="center"/>
              <w:rPr>
                <w:rFonts w:ascii="宋体" w:hAnsi="宋体" w:cs="宋体"/>
                <w:color w:val="auto"/>
                <w:sz w:val="24"/>
                <w:highlight w:val="none"/>
              </w:rPr>
            </w:pPr>
          </w:p>
        </w:tc>
        <w:tc>
          <w:tcPr>
            <w:tcW w:w="2304" w:type="dxa"/>
            <w:noWrap w:val="0"/>
            <w:vAlign w:val="center"/>
          </w:tcPr>
          <w:p w14:paraId="56F8CBDA">
            <w:pPr>
              <w:tabs>
                <w:tab w:val="left" w:pos="720"/>
              </w:tabs>
              <w:snapToGrid w:val="0"/>
              <w:jc w:val="center"/>
              <w:rPr>
                <w:rFonts w:ascii="宋体" w:hAnsi="宋体" w:cs="宋体"/>
                <w:color w:val="auto"/>
                <w:sz w:val="24"/>
                <w:highlight w:val="none"/>
              </w:rPr>
            </w:pPr>
          </w:p>
        </w:tc>
      </w:tr>
      <w:tr w14:paraId="635F0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noWrap w:val="0"/>
            <w:vAlign w:val="center"/>
          </w:tcPr>
          <w:p w14:paraId="5B0C6512">
            <w:pPr>
              <w:tabs>
                <w:tab w:val="left" w:pos="720"/>
              </w:tabs>
              <w:snapToGrid w:val="0"/>
              <w:jc w:val="center"/>
              <w:rPr>
                <w:rFonts w:ascii="宋体" w:hAnsi="宋体" w:cs="宋体"/>
                <w:color w:val="auto"/>
                <w:sz w:val="24"/>
                <w:highlight w:val="none"/>
              </w:rPr>
            </w:pPr>
          </w:p>
        </w:tc>
        <w:tc>
          <w:tcPr>
            <w:tcW w:w="1382" w:type="dxa"/>
            <w:noWrap w:val="0"/>
            <w:vAlign w:val="center"/>
          </w:tcPr>
          <w:p w14:paraId="21DD17DA">
            <w:pPr>
              <w:tabs>
                <w:tab w:val="left" w:pos="720"/>
              </w:tabs>
              <w:snapToGrid w:val="0"/>
              <w:jc w:val="center"/>
              <w:rPr>
                <w:rFonts w:ascii="宋体" w:hAnsi="宋体" w:cs="宋体"/>
                <w:color w:val="auto"/>
                <w:sz w:val="24"/>
                <w:highlight w:val="none"/>
              </w:rPr>
            </w:pPr>
          </w:p>
        </w:tc>
        <w:tc>
          <w:tcPr>
            <w:tcW w:w="2341" w:type="dxa"/>
            <w:noWrap w:val="0"/>
            <w:vAlign w:val="center"/>
          </w:tcPr>
          <w:p w14:paraId="21A2FAC1">
            <w:pPr>
              <w:tabs>
                <w:tab w:val="left" w:pos="720"/>
              </w:tabs>
              <w:snapToGrid w:val="0"/>
              <w:jc w:val="center"/>
              <w:rPr>
                <w:rFonts w:ascii="宋体" w:hAnsi="宋体" w:cs="宋体"/>
                <w:color w:val="auto"/>
                <w:sz w:val="24"/>
                <w:highlight w:val="none"/>
              </w:rPr>
            </w:pPr>
          </w:p>
        </w:tc>
        <w:tc>
          <w:tcPr>
            <w:tcW w:w="2245" w:type="dxa"/>
            <w:noWrap w:val="0"/>
            <w:vAlign w:val="center"/>
          </w:tcPr>
          <w:p w14:paraId="58E06AB8">
            <w:pPr>
              <w:tabs>
                <w:tab w:val="left" w:pos="720"/>
              </w:tabs>
              <w:snapToGrid w:val="0"/>
              <w:jc w:val="center"/>
              <w:rPr>
                <w:rFonts w:ascii="宋体" w:hAnsi="宋体" w:cs="宋体"/>
                <w:color w:val="auto"/>
                <w:sz w:val="24"/>
                <w:highlight w:val="none"/>
              </w:rPr>
            </w:pPr>
          </w:p>
        </w:tc>
        <w:tc>
          <w:tcPr>
            <w:tcW w:w="2304" w:type="dxa"/>
            <w:noWrap w:val="0"/>
            <w:vAlign w:val="center"/>
          </w:tcPr>
          <w:p w14:paraId="3D8B08E2">
            <w:pPr>
              <w:tabs>
                <w:tab w:val="left" w:pos="720"/>
              </w:tabs>
              <w:snapToGrid w:val="0"/>
              <w:jc w:val="center"/>
              <w:rPr>
                <w:rFonts w:ascii="宋体" w:hAnsi="宋体" w:cs="宋体"/>
                <w:color w:val="auto"/>
                <w:sz w:val="24"/>
                <w:highlight w:val="none"/>
              </w:rPr>
            </w:pPr>
          </w:p>
        </w:tc>
      </w:tr>
      <w:tr w14:paraId="7618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noWrap w:val="0"/>
            <w:vAlign w:val="center"/>
          </w:tcPr>
          <w:p w14:paraId="3ACBA5F8">
            <w:pPr>
              <w:tabs>
                <w:tab w:val="left" w:pos="720"/>
              </w:tabs>
              <w:snapToGrid w:val="0"/>
              <w:jc w:val="center"/>
              <w:rPr>
                <w:rFonts w:ascii="宋体" w:hAnsi="宋体" w:cs="宋体"/>
                <w:color w:val="auto"/>
                <w:sz w:val="24"/>
                <w:highlight w:val="none"/>
              </w:rPr>
            </w:pPr>
          </w:p>
        </w:tc>
        <w:tc>
          <w:tcPr>
            <w:tcW w:w="1382" w:type="dxa"/>
            <w:noWrap w:val="0"/>
            <w:vAlign w:val="center"/>
          </w:tcPr>
          <w:p w14:paraId="32F3B20C">
            <w:pPr>
              <w:tabs>
                <w:tab w:val="left" w:pos="720"/>
              </w:tabs>
              <w:snapToGrid w:val="0"/>
              <w:jc w:val="center"/>
              <w:rPr>
                <w:rFonts w:ascii="宋体" w:hAnsi="宋体" w:cs="宋体"/>
                <w:color w:val="auto"/>
                <w:sz w:val="24"/>
                <w:highlight w:val="none"/>
              </w:rPr>
            </w:pPr>
          </w:p>
        </w:tc>
        <w:tc>
          <w:tcPr>
            <w:tcW w:w="2341" w:type="dxa"/>
            <w:noWrap w:val="0"/>
            <w:vAlign w:val="center"/>
          </w:tcPr>
          <w:p w14:paraId="1481DAFA">
            <w:pPr>
              <w:tabs>
                <w:tab w:val="left" w:pos="720"/>
              </w:tabs>
              <w:snapToGrid w:val="0"/>
              <w:jc w:val="center"/>
              <w:rPr>
                <w:rFonts w:ascii="宋体" w:hAnsi="宋体" w:cs="宋体"/>
                <w:color w:val="auto"/>
                <w:sz w:val="24"/>
                <w:highlight w:val="none"/>
              </w:rPr>
            </w:pPr>
          </w:p>
        </w:tc>
        <w:tc>
          <w:tcPr>
            <w:tcW w:w="2245" w:type="dxa"/>
            <w:noWrap w:val="0"/>
            <w:vAlign w:val="center"/>
          </w:tcPr>
          <w:p w14:paraId="0ADC9496">
            <w:pPr>
              <w:tabs>
                <w:tab w:val="left" w:pos="720"/>
              </w:tabs>
              <w:snapToGrid w:val="0"/>
              <w:jc w:val="center"/>
              <w:rPr>
                <w:rFonts w:ascii="宋体" w:hAnsi="宋体" w:cs="宋体"/>
                <w:color w:val="auto"/>
                <w:sz w:val="24"/>
                <w:highlight w:val="none"/>
              </w:rPr>
            </w:pPr>
          </w:p>
        </w:tc>
        <w:tc>
          <w:tcPr>
            <w:tcW w:w="2304" w:type="dxa"/>
            <w:noWrap w:val="0"/>
            <w:vAlign w:val="center"/>
          </w:tcPr>
          <w:p w14:paraId="1093098C">
            <w:pPr>
              <w:tabs>
                <w:tab w:val="left" w:pos="720"/>
              </w:tabs>
              <w:snapToGrid w:val="0"/>
              <w:jc w:val="center"/>
              <w:rPr>
                <w:rFonts w:ascii="宋体" w:hAnsi="宋体" w:cs="宋体"/>
                <w:color w:val="auto"/>
                <w:sz w:val="24"/>
                <w:highlight w:val="none"/>
              </w:rPr>
            </w:pPr>
          </w:p>
        </w:tc>
      </w:tr>
      <w:tr w14:paraId="17D30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2" w:type="dxa"/>
            <w:noWrap w:val="0"/>
            <w:vAlign w:val="center"/>
          </w:tcPr>
          <w:p w14:paraId="46FCF09E">
            <w:pPr>
              <w:tabs>
                <w:tab w:val="left" w:pos="720"/>
              </w:tabs>
              <w:snapToGrid w:val="0"/>
              <w:jc w:val="center"/>
              <w:rPr>
                <w:rFonts w:ascii="宋体" w:hAnsi="宋体" w:cs="宋体"/>
                <w:color w:val="auto"/>
                <w:sz w:val="24"/>
                <w:highlight w:val="none"/>
              </w:rPr>
            </w:pPr>
          </w:p>
        </w:tc>
        <w:tc>
          <w:tcPr>
            <w:tcW w:w="1382" w:type="dxa"/>
            <w:noWrap w:val="0"/>
            <w:vAlign w:val="center"/>
          </w:tcPr>
          <w:p w14:paraId="5AD99A6E">
            <w:pPr>
              <w:tabs>
                <w:tab w:val="left" w:pos="720"/>
              </w:tabs>
              <w:snapToGrid w:val="0"/>
              <w:jc w:val="center"/>
              <w:rPr>
                <w:rFonts w:ascii="宋体" w:hAnsi="宋体" w:cs="宋体"/>
                <w:color w:val="auto"/>
                <w:sz w:val="24"/>
                <w:highlight w:val="none"/>
              </w:rPr>
            </w:pPr>
          </w:p>
        </w:tc>
        <w:tc>
          <w:tcPr>
            <w:tcW w:w="2341" w:type="dxa"/>
            <w:noWrap w:val="0"/>
            <w:vAlign w:val="center"/>
          </w:tcPr>
          <w:p w14:paraId="2E9CE39D">
            <w:pPr>
              <w:tabs>
                <w:tab w:val="left" w:pos="720"/>
              </w:tabs>
              <w:snapToGrid w:val="0"/>
              <w:jc w:val="center"/>
              <w:rPr>
                <w:rFonts w:ascii="宋体" w:hAnsi="宋体" w:cs="宋体"/>
                <w:color w:val="auto"/>
                <w:sz w:val="24"/>
                <w:highlight w:val="none"/>
              </w:rPr>
            </w:pPr>
          </w:p>
        </w:tc>
        <w:tc>
          <w:tcPr>
            <w:tcW w:w="2245" w:type="dxa"/>
            <w:noWrap w:val="0"/>
            <w:vAlign w:val="center"/>
          </w:tcPr>
          <w:p w14:paraId="7F873CED">
            <w:pPr>
              <w:tabs>
                <w:tab w:val="left" w:pos="720"/>
              </w:tabs>
              <w:snapToGrid w:val="0"/>
              <w:jc w:val="center"/>
              <w:rPr>
                <w:rFonts w:ascii="宋体" w:hAnsi="宋体" w:cs="宋体"/>
                <w:color w:val="auto"/>
                <w:sz w:val="24"/>
                <w:highlight w:val="none"/>
              </w:rPr>
            </w:pPr>
          </w:p>
        </w:tc>
        <w:tc>
          <w:tcPr>
            <w:tcW w:w="2304" w:type="dxa"/>
            <w:noWrap w:val="0"/>
            <w:vAlign w:val="center"/>
          </w:tcPr>
          <w:p w14:paraId="35EC3890">
            <w:pPr>
              <w:tabs>
                <w:tab w:val="left" w:pos="720"/>
              </w:tabs>
              <w:snapToGrid w:val="0"/>
              <w:jc w:val="center"/>
              <w:rPr>
                <w:rFonts w:ascii="宋体" w:hAnsi="宋体" w:cs="宋体"/>
                <w:color w:val="auto"/>
                <w:sz w:val="24"/>
                <w:highlight w:val="none"/>
              </w:rPr>
            </w:pPr>
          </w:p>
        </w:tc>
      </w:tr>
      <w:tr w14:paraId="3615A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92" w:type="dxa"/>
            <w:noWrap w:val="0"/>
            <w:vAlign w:val="center"/>
          </w:tcPr>
          <w:p w14:paraId="52E732B1">
            <w:pPr>
              <w:tabs>
                <w:tab w:val="left" w:pos="720"/>
              </w:tabs>
              <w:snapToGrid w:val="0"/>
              <w:jc w:val="center"/>
              <w:rPr>
                <w:rFonts w:ascii="宋体" w:hAnsi="宋体" w:cs="宋体"/>
                <w:color w:val="auto"/>
                <w:sz w:val="24"/>
                <w:highlight w:val="none"/>
              </w:rPr>
            </w:pPr>
          </w:p>
        </w:tc>
        <w:tc>
          <w:tcPr>
            <w:tcW w:w="1382" w:type="dxa"/>
            <w:noWrap w:val="0"/>
            <w:vAlign w:val="center"/>
          </w:tcPr>
          <w:p w14:paraId="0D805179">
            <w:pPr>
              <w:tabs>
                <w:tab w:val="left" w:pos="720"/>
              </w:tabs>
              <w:snapToGrid w:val="0"/>
              <w:jc w:val="center"/>
              <w:rPr>
                <w:rFonts w:ascii="宋体" w:hAnsi="宋体" w:cs="宋体"/>
                <w:color w:val="auto"/>
                <w:sz w:val="24"/>
                <w:highlight w:val="none"/>
              </w:rPr>
            </w:pPr>
          </w:p>
        </w:tc>
        <w:tc>
          <w:tcPr>
            <w:tcW w:w="2341" w:type="dxa"/>
            <w:noWrap w:val="0"/>
            <w:vAlign w:val="center"/>
          </w:tcPr>
          <w:p w14:paraId="2554777E">
            <w:pPr>
              <w:tabs>
                <w:tab w:val="left" w:pos="720"/>
              </w:tabs>
              <w:snapToGrid w:val="0"/>
              <w:jc w:val="center"/>
              <w:rPr>
                <w:rFonts w:ascii="宋体" w:hAnsi="宋体" w:cs="宋体"/>
                <w:color w:val="auto"/>
                <w:sz w:val="24"/>
                <w:highlight w:val="none"/>
              </w:rPr>
            </w:pPr>
          </w:p>
        </w:tc>
        <w:tc>
          <w:tcPr>
            <w:tcW w:w="2245" w:type="dxa"/>
            <w:noWrap w:val="0"/>
            <w:vAlign w:val="center"/>
          </w:tcPr>
          <w:p w14:paraId="4A1ECA2A">
            <w:pPr>
              <w:tabs>
                <w:tab w:val="left" w:pos="720"/>
              </w:tabs>
              <w:snapToGrid w:val="0"/>
              <w:jc w:val="center"/>
              <w:rPr>
                <w:rFonts w:ascii="宋体" w:hAnsi="宋体" w:cs="宋体"/>
                <w:color w:val="auto"/>
                <w:sz w:val="24"/>
                <w:highlight w:val="none"/>
              </w:rPr>
            </w:pPr>
          </w:p>
        </w:tc>
        <w:tc>
          <w:tcPr>
            <w:tcW w:w="2304" w:type="dxa"/>
            <w:noWrap w:val="0"/>
            <w:vAlign w:val="center"/>
          </w:tcPr>
          <w:p w14:paraId="57D1F876">
            <w:pPr>
              <w:tabs>
                <w:tab w:val="left" w:pos="720"/>
              </w:tabs>
              <w:snapToGrid w:val="0"/>
              <w:jc w:val="center"/>
              <w:rPr>
                <w:rFonts w:ascii="宋体" w:hAnsi="宋体" w:cs="宋体"/>
                <w:color w:val="auto"/>
                <w:sz w:val="24"/>
                <w:highlight w:val="none"/>
              </w:rPr>
            </w:pPr>
          </w:p>
        </w:tc>
      </w:tr>
    </w:tbl>
    <w:p w14:paraId="541A282E">
      <w:pPr>
        <w:autoSpaceDE w:val="0"/>
        <w:autoSpaceDN w:val="0"/>
        <w:adjustRightInd w:val="0"/>
        <w:spacing w:line="360" w:lineRule="auto"/>
        <w:rPr>
          <w:rFonts w:ascii="宋体" w:hAnsi="宋体" w:cs="宋体"/>
          <w:color w:val="auto"/>
          <w:szCs w:val="21"/>
          <w:highlight w:val="none"/>
        </w:rPr>
      </w:pPr>
      <w:r>
        <w:rPr>
          <w:rFonts w:hint="eastAsia" w:ascii="宋体" w:hAnsi="宋体" w:cs="宋体"/>
          <w:color w:val="auto"/>
          <w:highlight w:val="none"/>
        </w:rPr>
        <w:t>注：参与编制经济标书所有人员名单应包括如编制各种专业工程量清单投标报价、负责清样校对、负责打印及复印等所有人员在内的人员名单。</w:t>
      </w:r>
    </w:p>
    <w:p w14:paraId="671F5E56">
      <w:pPr>
        <w:pStyle w:val="4"/>
        <w:spacing w:after="0" w:line="360" w:lineRule="auto"/>
        <w:ind w:firstLine="0"/>
        <w:jc w:val="left"/>
        <w:rPr>
          <w:rFonts w:ascii="宋体" w:hAnsi="宋体" w:cs="宋体"/>
          <w:b/>
          <w:color w:val="auto"/>
          <w:sz w:val="24"/>
          <w:szCs w:val="24"/>
          <w:highlight w:val="none"/>
        </w:rPr>
      </w:pPr>
      <w:r>
        <w:rPr>
          <w:rFonts w:hint="eastAsia" w:ascii="宋体" w:hAnsi="宋体" w:cs="宋体"/>
          <w:color w:val="auto"/>
          <w:sz w:val="24"/>
          <w:highlight w:val="none"/>
        </w:rPr>
        <w:br w:type="page"/>
      </w:r>
      <w:r>
        <w:rPr>
          <w:rFonts w:hint="eastAsia" w:ascii="宋体" w:hAnsi="宋体" w:cs="宋体"/>
          <w:b/>
          <w:color w:val="auto"/>
          <w:sz w:val="24"/>
          <w:szCs w:val="24"/>
          <w:highlight w:val="none"/>
        </w:rPr>
        <w:t>★经济部分格式5：对投标文件编制的承诺</w:t>
      </w:r>
    </w:p>
    <w:p w14:paraId="0E4E4717">
      <w:pPr>
        <w:pStyle w:val="165"/>
        <w:spacing w:before="100" w:beforeAutospacing="1" w:after="100" w:afterAutospacing="1" w:line="24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对投标文件编制的承诺</w:t>
      </w:r>
    </w:p>
    <w:p w14:paraId="163345CA">
      <w:pPr>
        <w:pStyle w:val="4"/>
        <w:spacing w:after="0" w:line="360" w:lineRule="auto"/>
        <w:ind w:left="-2" w:leftChars="-1" w:firstLine="540" w:firstLineChars="225"/>
        <w:rPr>
          <w:rFonts w:ascii="宋体" w:hAnsi="宋体" w:cs="宋体"/>
          <w:color w:val="auto"/>
          <w:sz w:val="24"/>
          <w:highlight w:val="none"/>
        </w:rPr>
      </w:pPr>
      <w:r>
        <w:rPr>
          <w:rFonts w:hint="eastAsia" w:ascii="宋体" w:hAnsi="宋体" w:cs="宋体"/>
          <w:color w:val="auto"/>
          <w:sz w:val="24"/>
          <w:highlight w:val="none"/>
        </w:rPr>
        <w:t>本公司授权</w:t>
      </w:r>
      <w:r>
        <w:rPr>
          <w:rFonts w:hint="eastAsia" w:ascii="宋体" w:hAnsi="宋体" w:cs="宋体"/>
          <w:color w:val="auto"/>
          <w:sz w:val="24"/>
          <w:highlight w:val="none"/>
          <w:u w:val="single"/>
        </w:rPr>
        <w:t xml:space="preserve">         （身份证号：               ）</w:t>
      </w:r>
      <w:r>
        <w:rPr>
          <w:rFonts w:hint="eastAsia" w:ascii="宋体" w:hAnsi="宋体" w:cs="宋体"/>
          <w:color w:val="auto"/>
          <w:sz w:val="24"/>
          <w:highlight w:val="none"/>
        </w:rPr>
        <w:t>负责对投标文件的编制及内容进行解释、说明，并承诺以下事项：</w:t>
      </w:r>
    </w:p>
    <w:p w14:paraId="630F8B22">
      <w:pPr>
        <w:pStyle w:val="4"/>
        <w:spacing w:after="0" w:line="360" w:lineRule="auto"/>
        <w:ind w:left="-2" w:leftChars="-1" w:firstLine="540" w:firstLineChars="225"/>
        <w:rPr>
          <w:rFonts w:ascii="宋体" w:hAnsi="宋体" w:cs="宋体"/>
          <w:color w:val="auto"/>
          <w:sz w:val="24"/>
          <w:highlight w:val="none"/>
        </w:rPr>
      </w:pPr>
      <w:r>
        <w:rPr>
          <w:rFonts w:hint="eastAsia" w:ascii="宋体" w:hAnsi="宋体" w:cs="宋体"/>
          <w:color w:val="auto"/>
          <w:sz w:val="24"/>
          <w:highlight w:val="none"/>
        </w:rPr>
        <w:t>1.被授权人清楚投标文件编制的具体情况，包括技术方案文件、工程量清单、以及投标文件的加密打包的理解；</w:t>
      </w:r>
    </w:p>
    <w:p w14:paraId="56F56068">
      <w:pPr>
        <w:pStyle w:val="4"/>
        <w:spacing w:after="0" w:line="360" w:lineRule="auto"/>
        <w:ind w:left="-2" w:leftChars="-1" w:firstLine="540" w:firstLineChars="225"/>
        <w:rPr>
          <w:rFonts w:ascii="宋体" w:hAnsi="宋体" w:cs="宋体"/>
          <w:color w:val="auto"/>
          <w:sz w:val="24"/>
          <w:highlight w:val="none"/>
        </w:rPr>
      </w:pPr>
      <w:r>
        <w:rPr>
          <w:rFonts w:hint="eastAsia" w:ascii="宋体" w:hAnsi="宋体" w:cs="宋体"/>
          <w:color w:val="auto"/>
          <w:sz w:val="24"/>
          <w:highlight w:val="none"/>
        </w:rPr>
        <w:t>2.在本项目开标至评标结束前，努力确保被授权人在项目评标所在地附近；</w:t>
      </w:r>
    </w:p>
    <w:p w14:paraId="6C18F949">
      <w:pPr>
        <w:pStyle w:val="4"/>
        <w:spacing w:after="0" w:line="360" w:lineRule="auto"/>
        <w:ind w:left="-2" w:leftChars="-1" w:firstLine="540" w:firstLineChars="225"/>
        <w:rPr>
          <w:rFonts w:ascii="宋体" w:hAnsi="宋体" w:cs="宋体"/>
          <w:color w:val="auto"/>
          <w:sz w:val="24"/>
          <w:highlight w:val="none"/>
        </w:rPr>
      </w:pPr>
      <w:r>
        <w:rPr>
          <w:rFonts w:hint="eastAsia" w:ascii="宋体" w:hAnsi="宋体" w:cs="宋体"/>
          <w:color w:val="auto"/>
          <w:sz w:val="24"/>
          <w:highlight w:val="none"/>
        </w:rPr>
        <w:t>3.从评标委员会要求澄清起二小时内，被授权人应如实地书面澄清。</w:t>
      </w:r>
    </w:p>
    <w:p w14:paraId="4D87A3DE">
      <w:pPr>
        <w:pStyle w:val="4"/>
        <w:spacing w:after="0" w:line="360" w:lineRule="auto"/>
        <w:ind w:left="-2" w:leftChars="-1" w:firstLine="540" w:firstLineChars="225"/>
        <w:rPr>
          <w:rFonts w:ascii="宋体" w:hAnsi="宋体" w:cs="宋体"/>
          <w:color w:val="auto"/>
          <w:sz w:val="24"/>
          <w:highlight w:val="none"/>
        </w:rPr>
      </w:pPr>
      <w:r>
        <w:rPr>
          <w:rFonts w:hint="eastAsia" w:ascii="宋体" w:hAnsi="宋体" w:cs="宋体"/>
          <w:color w:val="auto"/>
          <w:sz w:val="24"/>
          <w:highlight w:val="none"/>
        </w:rPr>
        <w:t xml:space="preserve">如由于未遵守上述承诺内容之一导致无法进行澄清的，我公司认可和接受评标委员会作出的评审结论。                                 </w:t>
      </w:r>
    </w:p>
    <w:p w14:paraId="4B1796F4">
      <w:pPr>
        <w:pStyle w:val="4"/>
        <w:spacing w:after="0" w:line="360" w:lineRule="auto"/>
        <w:ind w:firstLine="360" w:firstLineChars="150"/>
        <w:rPr>
          <w:rFonts w:ascii="宋体" w:hAnsi="宋体" w:cs="宋体"/>
          <w:color w:val="auto"/>
          <w:sz w:val="24"/>
          <w:highlight w:val="none"/>
        </w:rPr>
      </w:pPr>
    </w:p>
    <w:p w14:paraId="5A721489">
      <w:pPr>
        <w:pStyle w:val="4"/>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附件：《投标文件编制情况》</w:t>
      </w:r>
    </w:p>
    <w:p w14:paraId="7470303C">
      <w:pPr>
        <w:spacing w:line="360" w:lineRule="auto"/>
        <w:ind w:right="90" w:firstLine="3240" w:firstLineChars="135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投标人名称：</w:t>
      </w:r>
    </w:p>
    <w:p w14:paraId="4863FCE8">
      <w:pPr>
        <w:spacing w:line="360" w:lineRule="auto"/>
        <w:ind w:firstLine="3360" w:firstLineChars="1400"/>
        <w:rPr>
          <w:rFonts w:ascii="宋体" w:hAnsi="宋体" w:cs="宋体"/>
          <w:color w:val="auto"/>
          <w:sz w:val="24"/>
          <w:szCs w:val="24"/>
          <w:highlight w:val="none"/>
        </w:rPr>
      </w:pPr>
      <w:r>
        <w:rPr>
          <w:rFonts w:hint="eastAsia" w:ascii="宋体" w:hAnsi="宋体" w:cs="宋体"/>
          <w:color w:val="auto"/>
          <w:sz w:val="24"/>
          <w:szCs w:val="24"/>
          <w:highlight w:val="none"/>
        </w:rPr>
        <w:t xml:space="preserve">日期：      年   月   日 </w:t>
      </w:r>
    </w:p>
    <w:p w14:paraId="02E305B2">
      <w:pPr>
        <w:pStyle w:val="165"/>
        <w:spacing w:before="100" w:beforeAutospacing="1" w:after="100" w:afterAutospacing="1" w:line="24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投标文件编制情况</w:t>
      </w:r>
    </w:p>
    <w:tbl>
      <w:tblPr>
        <w:tblStyle w:val="27"/>
        <w:tblW w:w="0" w:type="auto"/>
        <w:tblInd w:w="0" w:type="dxa"/>
        <w:tblLayout w:type="fixed"/>
        <w:tblCellMar>
          <w:top w:w="0" w:type="dxa"/>
          <w:left w:w="108" w:type="dxa"/>
          <w:bottom w:w="0" w:type="dxa"/>
          <w:right w:w="108" w:type="dxa"/>
        </w:tblCellMar>
      </w:tblPr>
      <w:tblGrid>
        <w:gridCol w:w="9170"/>
      </w:tblGrid>
      <w:tr w14:paraId="03A6F545">
        <w:tblPrEx>
          <w:tblCellMar>
            <w:top w:w="0" w:type="dxa"/>
            <w:left w:w="108" w:type="dxa"/>
            <w:bottom w:w="0" w:type="dxa"/>
            <w:right w:w="108" w:type="dxa"/>
          </w:tblCellMar>
        </w:tblPrEx>
        <w:trPr>
          <w:trHeight w:val="2819" w:hRule="atLeast"/>
        </w:trPr>
        <w:tc>
          <w:tcPr>
            <w:tcW w:w="9170" w:type="dxa"/>
            <w:noWrap w:val="0"/>
            <w:vAlign w:val="top"/>
          </w:tcPr>
          <w:p w14:paraId="14DB95B4">
            <w:pPr>
              <w:pStyle w:val="4"/>
              <w:spacing w:after="0" w:line="360" w:lineRule="auto"/>
              <w:ind w:firstLine="480" w:firstLineChars="200"/>
              <w:rPr>
                <w:rFonts w:ascii="宋体" w:hAnsi="宋体" w:cs="宋体"/>
                <w:color w:val="auto"/>
                <w:kern w:val="2"/>
                <w:sz w:val="24"/>
                <w:highlight w:val="none"/>
              </w:rPr>
            </w:pPr>
            <w:r>
              <w:rPr>
                <w:rFonts w:hint="eastAsia" w:ascii="宋体" w:hAnsi="宋体" w:cs="宋体"/>
                <w:color w:val="auto"/>
                <w:kern w:val="2"/>
                <w:sz w:val="24"/>
                <w:highlight w:val="none"/>
              </w:rPr>
              <w:t>1.投标文件报价编制方式: □自行编制的，编制的负责人：</w:t>
            </w:r>
            <w:r>
              <w:rPr>
                <w:rFonts w:hint="eastAsia" w:ascii="宋体" w:hAnsi="宋体" w:cs="宋体"/>
                <w:color w:val="auto"/>
                <w:kern w:val="2"/>
                <w:sz w:val="24"/>
                <w:highlight w:val="none"/>
                <w:u w:val="single"/>
              </w:rPr>
              <w:t xml:space="preserve"> （盖造价工程师执业专用章或全国建设工程造价员章，执业单位应与投标人一致） </w:t>
            </w:r>
            <w:r>
              <w:rPr>
                <w:rFonts w:hint="eastAsia" w:ascii="宋体" w:hAnsi="宋体" w:cs="宋体"/>
                <w:color w:val="auto"/>
                <w:kern w:val="2"/>
                <w:sz w:val="24"/>
                <w:highlight w:val="none"/>
              </w:rPr>
              <w:t>。□委托编制的，受委托单位，编制的负责人：</w:t>
            </w:r>
            <w:r>
              <w:rPr>
                <w:rFonts w:hint="eastAsia" w:ascii="宋体" w:hAnsi="宋体" w:cs="宋体"/>
                <w:color w:val="auto"/>
                <w:kern w:val="2"/>
                <w:sz w:val="24"/>
                <w:highlight w:val="none"/>
                <w:u w:val="single"/>
              </w:rPr>
              <w:t xml:space="preserve"> （盖造价工程师执业专用章或全国建设工程造价员章，执业单位应与受委托单位一致） </w:t>
            </w:r>
            <w:r>
              <w:rPr>
                <w:rFonts w:hint="eastAsia" w:ascii="宋体" w:hAnsi="宋体" w:cs="宋体"/>
                <w:color w:val="auto"/>
                <w:kern w:val="2"/>
                <w:sz w:val="24"/>
                <w:highlight w:val="none"/>
              </w:rPr>
              <w:t>。</w:t>
            </w:r>
          </w:p>
          <w:p w14:paraId="367B47D1">
            <w:pPr>
              <w:pStyle w:val="4"/>
              <w:spacing w:after="0" w:line="360" w:lineRule="auto"/>
              <w:ind w:firstLine="480" w:firstLineChars="200"/>
              <w:rPr>
                <w:rFonts w:ascii="宋体" w:hAnsi="宋体" w:cs="宋体"/>
                <w:color w:val="auto"/>
                <w:kern w:val="2"/>
                <w:sz w:val="24"/>
                <w:highlight w:val="none"/>
              </w:rPr>
            </w:pPr>
            <w:r>
              <w:rPr>
                <w:rFonts w:hint="eastAsia" w:ascii="宋体" w:hAnsi="宋体" w:cs="宋体"/>
                <w:color w:val="auto"/>
                <w:kern w:val="2"/>
                <w:sz w:val="24"/>
                <w:highlight w:val="none"/>
              </w:rPr>
              <w:t>2.投标文件加密打包的电脑情况</w:t>
            </w:r>
          </w:p>
          <w:p w14:paraId="682F06E7">
            <w:pPr>
              <w:pStyle w:val="4"/>
              <w:spacing w:after="0" w:line="360" w:lineRule="auto"/>
              <w:ind w:firstLine="0"/>
              <w:rPr>
                <w:rFonts w:ascii="宋体" w:hAnsi="宋体" w:cs="宋体"/>
                <w:color w:val="auto"/>
                <w:kern w:val="2"/>
                <w:sz w:val="24"/>
                <w:highlight w:val="none"/>
              </w:rPr>
            </w:pPr>
            <w:r>
              <w:rPr>
                <w:rFonts w:hint="eastAsia" w:ascii="宋体" w:hAnsi="宋体" w:cs="宋体"/>
                <w:color w:val="auto"/>
                <w:kern w:val="2"/>
                <w:sz w:val="24"/>
                <w:highlight w:val="none"/>
              </w:rPr>
              <w:t>投标文件加密打包的电脑     自有    □      外包    □     其他    □</w:t>
            </w:r>
          </w:p>
          <w:p w14:paraId="4C527098">
            <w:pPr>
              <w:pStyle w:val="4"/>
              <w:spacing w:after="0" w:line="360" w:lineRule="auto"/>
              <w:ind w:firstLine="0"/>
              <w:rPr>
                <w:rFonts w:ascii="宋体" w:hAnsi="宋体" w:cs="宋体"/>
                <w:color w:val="auto"/>
                <w:kern w:val="2"/>
                <w:sz w:val="24"/>
                <w:highlight w:val="none"/>
              </w:rPr>
            </w:pPr>
            <w:r>
              <w:rPr>
                <w:rFonts w:hint="eastAsia" w:ascii="宋体" w:hAnsi="宋体" w:cs="宋体"/>
                <w:color w:val="auto"/>
                <w:kern w:val="2"/>
                <w:sz w:val="24"/>
                <w:highlight w:val="none"/>
              </w:rPr>
              <w:t>电脑类型</w:t>
            </w:r>
          </w:p>
          <w:p w14:paraId="1A3628EB">
            <w:pPr>
              <w:pStyle w:val="4"/>
              <w:spacing w:after="0" w:line="360" w:lineRule="auto"/>
              <w:ind w:firstLine="0"/>
              <w:rPr>
                <w:rFonts w:ascii="宋体" w:hAnsi="宋体" w:cs="宋体"/>
                <w:color w:val="auto"/>
                <w:kern w:val="2"/>
                <w:sz w:val="24"/>
                <w:highlight w:val="none"/>
              </w:rPr>
            </w:pPr>
            <w:r>
              <w:rPr>
                <w:rFonts w:hint="eastAsia" w:ascii="宋体" w:hAnsi="宋体" w:cs="宋体"/>
                <w:color w:val="auto"/>
                <w:kern w:val="2"/>
                <w:sz w:val="24"/>
                <w:highlight w:val="none"/>
              </w:rPr>
              <w:t>电脑所属单位</w:t>
            </w:r>
          </w:p>
          <w:p w14:paraId="5DDF0BC5">
            <w:pPr>
              <w:pStyle w:val="4"/>
              <w:spacing w:after="0" w:line="360" w:lineRule="auto"/>
              <w:ind w:firstLine="0"/>
              <w:rPr>
                <w:rFonts w:ascii="宋体" w:hAnsi="宋体" w:cs="宋体"/>
                <w:color w:val="auto"/>
                <w:kern w:val="2"/>
                <w:sz w:val="24"/>
                <w:highlight w:val="none"/>
              </w:rPr>
            </w:pPr>
            <w:r>
              <w:rPr>
                <w:rFonts w:hint="eastAsia" w:ascii="宋体" w:hAnsi="宋体" w:cs="宋体"/>
                <w:color w:val="auto"/>
                <w:kern w:val="2"/>
                <w:sz w:val="24"/>
                <w:highlight w:val="none"/>
              </w:rPr>
              <w:t>电脑所在地址     （如××市××区(县) ××街（路）××号××大厦××房）</w:t>
            </w:r>
          </w:p>
        </w:tc>
      </w:tr>
    </w:tbl>
    <w:p w14:paraId="2C17808C">
      <w:pPr>
        <w:rPr>
          <w:rStyle w:val="127"/>
          <w:bCs/>
          <w:color w:val="auto"/>
          <w:highlight w:val="none"/>
        </w:rPr>
      </w:pPr>
      <w:bookmarkStart w:id="41" w:name="_Toc4740"/>
      <w:r>
        <w:rPr>
          <w:rStyle w:val="127"/>
          <w:bCs/>
          <w:color w:val="auto"/>
          <w:highlight w:val="none"/>
        </w:rPr>
        <w:br w:type="page"/>
      </w:r>
    </w:p>
    <w:p w14:paraId="3F09BD73">
      <w:pPr>
        <w:pStyle w:val="134"/>
        <w:outlineLvl w:val="0"/>
        <w:rPr>
          <w:rStyle w:val="78"/>
          <w:rFonts w:ascii="宋体" w:hAnsi="宋体"/>
          <w:b/>
          <w:bCs/>
          <w:color w:val="auto"/>
          <w:highlight w:val="none"/>
        </w:rPr>
      </w:pPr>
      <w:r>
        <w:rPr>
          <w:rStyle w:val="127"/>
          <w:bCs/>
          <w:color w:val="auto"/>
          <w:highlight w:val="none"/>
        </w:rPr>
        <w:t>第五章  技术条件（工程建设标准）</w:t>
      </w:r>
      <w:bookmarkEnd w:id="38"/>
      <w:bookmarkEnd w:id="41"/>
    </w:p>
    <w:p w14:paraId="3CBB02A0">
      <w:pPr>
        <w:topLinePunct/>
        <w:adjustRightInd w:val="0"/>
        <w:spacing w:line="360" w:lineRule="auto"/>
        <w:ind w:firstLine="496" w:firstLineChars="20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下列文件应被认为是组成本章内容的一部分，并互为补充和解释，如各文件存在冲突之处，以如下排列次序在前者优先适用：</w:t>
      </w:r>
    </w:p>
    <w:p w14:paraId="608B6785">
      <w:pPr>
        <w:topLinePunct/>
        <w:adjustRightInd w:val="0"/>
        <w:snapToGrid w:val="0"/>
        <w:spacing w:line="360" w:lineRule="auto"/>
        <w:ind w:firstLine="496" w:firstLineChars="20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1、遵照招标人相关管理规定要求；</w:t>
      </w:r>
    </w:p>
    <w:p w14:paraId="27E20CE3">
      <w:pPr>
        <w:topLinePunct/>
        <w:adjustRightInd w:val="0"/>
        <w:snapToGrid w:val="0"/>
        <w:spacing w:line="360" w:lineRule="auto"/>
        <w:ind w:firstLine="496" w:firstLineChars="20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2、采用图纸中规定的其它技术和验收标准；</w:t>
      </w:r>
    </w:p>
    <w:p w14:paraId="22981AA5">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3、采用中华人民共和国现行技术和验收规范。</w:t>
      </w:r>
    </w:p>
    <w:p w14:paraId="22A7A3E8">
      <w:pPr>
        <w:keepNext w:val="0"/>
        <w:keepLines w:val="0"/>
        <w:pageBreakBefore w:val="0"/>
        <w:widowControl/>
        <w:kinsoku/>
        <w:wordWrap/>
        <w:overflowPunct/>
        <w:topLinePunct w:val="0"/>
        <w:autoSpaceDE/>
        <w:autoSpaceDN/>
        <w:bidi w:val="0"/>
        <w:adjustRightInd/>
        <w:snapToGrid/>
        <w:spacing w:before="313" w:beforeLines="100" w:line="360" w:lineRule="auto"/>
        <w:ind w:firstLine="480" w:firstLineChars="200"/>
        <w:textAlignment w:val="baseline"/>
        <w:rPr>
          <w:rFonts w:hint="eastAsia" w:ascii="宋体" w:hAnsi="宋体" w:eastAsia="宋体" w:cs="宋体"/>
          <w:b/>
          <w:color w:val="auto"/>
          <w:sz w:val="24"/>
          <w:szCs w:val="24"/>
          <w:highlight w:val="none"/>
          <w:u w:val="singl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计划总工期：</w:t>
      </w:r>
      <w:r>
        <w:rPr>
          <w:rFonts w:hint="eastAsia" w:ascii="宋体" w:hAnsi="宋体" w:eastAsia="宋体" w:cs="宋体"/>
          <w:bCs/>
          <w:color w:val="auto"/>
          <w:sz w:val="24"/>
          <w:szCs w:val="24"/>
          <w:highlight w:val="none"/>
          <w:u w:val="single"/>
        </w:rPr>
        <w:t>工期由监理单位</w:t>
      </w:r>
      <w:r>
        <w:rPr>
          <w:rFonts w:hint="eastAsia" w:ascii="宋体" w:hAnsi="宋体" w:cs="宋体"/>
          <w:bCs/>
          <w:color w:val="auto"/>
          <w:sz w:val="24"/>
          <w:szCs w:val="24"/>
          <w:highlight w:val="none"/>
          <w:u w:val="single"/>
          <w:lang w:val="en-US" w:eastAsia="zh-CN"/>
        </w:rPr>
        <w:t>/发包人</w:t>
      </w:r>
      <w:r>
        <w:rPr>
          <w:rFonts w:hint="eastAsia" w:ascii="宋体" w:hAnsi="宋体" w:eastAsia="宋体" w:cs="宋体"/>
          <w:bCs/>
          <w:color w:val="auto"/>
          <w:sz w:val="24"/>
          <w:szCs w:val="24"/>
          <w:highlight w:val="none"/>
          <w:u w:val="single"/>
        </w:rPr>
        <w:t>发出开工令之日起计算，至验收合格之日止</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暂定</w:t>
      </w:r>
      <w:r>
        <w:rPr>
          <w:rFonts w:hint="eastAsia" w:ascii="宋体" w:hAnsi="宋体" w:eastAsia="宋体" w:cs="宋体"/>
          <w:bCs/>
          <w:color w:val="auto"/>
          <w:sz w:val="24"/>
          <w:szCs w:val="24"/>
          <w:highlight w:val="none"/>
          <w:u w:val="single"/>
          <w:lang w:val="en-US" w:eastAsia="zh-CN"/>
        </w:rPr>
        <w:t>731</w:t>
      </w:r>
      <w:r>
        <w:rPr>
          <w:rFonts w:hint="eastAsia" w:ascii="宋体" w:hAnsi="宋体" w:eastAsia="宋体" w:cs="宋体"/>
          <w:bCs/>
          <w:color w:val="auto"/>
          <w:sz w:val="24"/>
          <w:szCs w:val="24"/>
          <w:highlight w:val="none"/>
          <w:u w:val="single"/>
        </w:rPr>
        <w:t>日历天</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lang w:val="en-US" w:eastAsia="zh-CN"/>
        </w:rPr>
        <w:t>2025年11月30日~2027年12月31日</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w:t>
      </w:r>
      <w:r>
        <w:rPr>
          <w:rFonts w:hint="eastAsia" w:ascii="宋体" w:hAnsi="宋体" w:eastAsia="宋体" w:cs="宋体"/>
          <w:color w:val="auto"/>
          <w:sz w:val="24"/>
          <w:szCs w:val="24"/>
          <w:highlight w:val="none"/>
          <w:u w:val="single"/>
        </w:rPr>
        <w:t>本工程正式签署合同时，施工工期按中标投标文件承诺工期。）</w:t>
      </w:r>
    </w:p>
    <w:p w14:paraId="5D05506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注：包含施工实施建设阶段、竣工验收、资料编制归档、交付使用手续办理等以及各阶段的相关报批、检验、审查、备案等时间。具体以招标人实际要求通知为准。</w:t>
      </w:r>
    </w:p>
    <w:p w14:paraId="096CCD5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1.1本项目分批次腾挪施工，每批次自场地移交至完工施工时间不得超过2.5个月（腾挪计划详见本章附件1《</w:t>
      </w:r>
      <w:r>
        <w:rPr>
          <w:rFonts w:hint="eastAsia" w:ascii="宋体" w:hAnsi="宋体" w:cs="宋体"/>
          <w:color w:val="auto"/>
          <w:sz w:val="24"/>
          <w:szCs w:val="24"/>
          <w:highlight w:val="none"/>
          <w:lang w:val="en-US" w:eastAsia="zh-CN"/>
        </w:rPr>
        <w:t>1号楼门诊区域腾挪施工形象进度计划</w:t>
      </w:r>
      <w:r>
        <w:rPr>
          <w:rFonts w:hint="eastAsia" w:ascii="宋体" w:hAnsi="宋体" w:eastAsia="宋体" w:cs="宋体"/>
          <w:color w:val="auto"/>
          <w:sz w:val="24"/>
          <w:szCs w:val="24"/>
          <w:highlight w:val="none"/>
          <w:lang w:val="en-US" w:eastAsia="zh-CN"/>
        </w:rPr>
        <w:t>》，特别说明：腾挪计划将视项目实际推进情况会做出调整，承包人应无条件响应及执行）。</w:t>
      </w:r>
    </w:p>
    <w:p w14:paraId="079ED6F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 本项目法定节假日期间需保障正常施工，承包人需提交与施工计划匹配的法定节假日（含春节、国庆节、劳动节等）期间管理人员、施工作业人员安排表。</w:t>
      </w:r>
    </w:p>
    <w:p w14:paraId="1679EE2B">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lang w:val="en-US" w:eastAsia="zh-CN"/>
        </w:rPr>
        <w:t>2.施工</w:t>
      </w:r>
      <w:r>
        <w:rPr>
          <w:rFonts w:hint="eastAsia" w:ascii="宋体" w:hAnsi="宋体" w:eastAsia="宋体" w:cs="宋体"/>
          <w:b/>
          <w:bCs/>
          <w:color w:val="auto"/>
          <w:sz w:val="24"/>
          <w:szCs w:val="24"/>
          <w:highlight w:val="none"/>
        </w:rPr>
        <w:t>质量要求</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u w:val="single"/>
        </w:rPr>
        <w:t>合格，符合设计图纸</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设计文件</w:t>
      </w:r>
      <w:r>
        <w:rPr>
          <w:rFonts w:hint="eastAsia" w:ascii="宋体" w:hAnsi="宋体" w:eastAsia="宋体" w:cs="宋体"/>
          <w:color w:val="auto"/>
          <w:sz w:val="24"/>
          <w:szCs w:val="24"/>
          <w:highlight w:val="none"/>
          <w:u w:val="single"/>
        </w:rPr>
        <w:t>要求和国家、省、市相关法律法规规定要求及行业颁发的工程质量验收标准。</w:t>
      </w:r>
    </w:p>
    <w:p w14:paraId="52BB6B3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按照国家最新颁布《建筑工程施工质量验收统一标准》（GB 50300-2013）及相应配套的各专业验收规范，一次验收合格。</w:t>
      </w:r>
    </w:p>
    <w:p w14:paraId="52737F77">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安全及文明施工目标：</w:t>
      </w:r>
      <w:r>
        <w:rPr>
          <w:rFonts w:hint="eastAsia" w:ascii="宋体" w:hAnsi="宋体" w:eastAsia="宋体" w:cs="宋体"/>
          <w:color w:val="auto"/>
          <w:sz w:val="24"/>
          <w:szCs w:val="24"/>
          <w:highlight w:val="none"/>
          <w:u w:val="single"/>
        </w:rPr>
        <w:t>文明施工措施要符合广州市的“六个百分百”规定，保证施工场地清洁、扬尘及噪音管理符合环境卫生管理的有关规定</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且施工期间满足医院正常运营需要</w:t>
      </w:r>
      <w:r>
        <w:rPr>
          <w:rFonts w:hint="eastAsia" w:ascii="宋体" w:hAnsi="宋体" w:eastAsia="宋体" w:cs="宋体"/>
          <w:color w:val="auto"/>
          <w:sz w:val="24"/>
          <w:szCs w:val="24"/>
          <w:highlight w:val="none"/>
          <w:u w:val="single"/>
        </w:rPr>
        <w:t>，确保不发生一般事故等级及以上的安全生产事故且死亡人数为零。</w:t>
      </w:r>
    </w:p>
    <w:p w14:paraId="46856A09">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标段划分及各标段招标内容：</w:t>
      </w:r>
    </w:p>
    <w:p w14:paraId="59C87CCB">
      <w:pPr>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.1标段划分：</w:t>
      </w:r>
      <w:r>
        <w:rPr>
          <w:rFonts w:hint="eastAsia" w:ascii="宋体" w:hAnsi="宋体" w:eastAsia="宋体" w:cs="宋体"/>
          <w:color w:val="auto"/>
          <w:kern w:val="0"/>
          <w:sz w:val="24"/>
          <w:szCs w:val="24"/>
          <w:highlight w:val="none"/>
          <w:u w:val="single"/>
        </w:rPr>
        <w:t>本工程设为一个标段。</w:t>
      </w:r>
    </w:p>
    <w:p w14:paraId="3D676521">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招标内容：</w:t>
      </w:r>
      <w:r>
        <w:rPr>
          <w:rFonts w:hint="eastAsia" w:ascii="宋体" w:hAnsi="宋体" w:eastAsia="宋体" w:cs="宋体"/>
          <w:color w:val="auto"/>
          <w:sz w:val="24"/>
          <w:szCs w:val="24"/>
          <w:highlight w:val="none"/>
          <w:u w:val="single"/>
        </w:rPr>
        <w:t>中山大学附属第一医院病房改造建设及能力提升项目1号楼门诊区域改造项目施工总承包，包括但不限于以下内容</w:t>
      </w:r>
      <w:r>
        <w:rPr>
          <w:rFonts w:hint="eastAsia" w:ascii="宋体" w:hAnsi="宋体" w:eastAsia="宋体" w:cs="宋体"/>
          <w:color w:val="auto"/>
          <w:sz w:val="24"/>
          <w:szCs w:val="24"/>
          <w:highlight w:val="none"/>
        </w:rPr>
        <w:t>：</w:t>
      </w:r>
    </w:p>
    <w:p w14:paraId="7C4BC133">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.2.1工程前期阶段：</w:t>
      </w:r>
    </w:p>
    <w:p w14:paraId="7890708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现状摸查，包括但不限于</w:t>
      </w:r>
      <w:r>
        <w:rPr>
          <w:rFonts w:hint="eastAsia" w:ascii="宋体" w:hAnsi="宋体" w:eastAsia="宋体" w:cs="宋体"/>
          <w:color w:val="auto"/>
          <w:sz w:val="24"/>
          <w:szCs w:val="24"/>
          <w:highlight w:val="none"/>
          <w:lang w:val="en-US" w:eastAsia="zh-CN"/>
        </w:rPr>
        <w:t>施工范围内的土建、装修、电气、给排水、暖通空调、弱电智能化、医用气体、消防设施等现有房屋设备设施的摸查</w:t>
      </w:r>
      <w:r>
        <w:rPr>
          <w:rFonts w:hint="eastAsia" w:ascii="宋体" w:hAnsi="宋体" w:eastAsia="宋体" w:cs="宋体"/>
          <w:color w:val="auto"/>
          <w:sz w:val="24"/>
          <w:szCs w:val="24"/>
          <w:highlight w:val="none"/>
        </w:rPr>
        <w:t>工作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并根据摸查情况出具摸查报告和拆除、施工方案</w:t>
      </w:r>
      <w:r>
        <w:rPr>
          <w:rFonts w:hint="eastAsia" w:ascii="宋体" w:hAnsi="宋体" w:eastAsia="宋体" w:cs="宋体"/>
          <w:color w:val="auto"/>
          <w:sz w:val="24"/>
          <w:szCs w:val="24"/>
          <w:highlight w:val="none"/>
        </w:rPr>
        <w:t>。</w:t>
      </w:r>
    </w:p>
    <w:p w14:paraId="3FE9B09D">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.2.2工程实施阶段</w:t>
      </w:r>
    </w:p>
    <w:p w14:paraId="2EC4194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项目设计范围内所有工程内容的施工（包工、包料、包税、包工期、包质量、包安全生产、包文明施工、包劳保、包验收、包保修。包承包范围内工程验收通过、包移交、包结算、包资料整理、包施工承包管理和现场整体组织、包专业协调及配合、包保修等），施工范围包括但不限于：</w:t>
      </w:r>
      <w:r>
        <w:rPr>
          <w:rFonts w:hint="eastAsia" w:ascii="宋体" w:hAnsi="宋体" w:eastAsia="宋体" w:cs="宋体"/>
          <w:color w:val="auto"/>
          <w:sz w:val="24"/>
          <w:szCs w:val="24"/>
          <w:highlight w:val="none"/>
          <w:lang w:val="en-US" w:eastAsia="zh-CN"/>
        </w:rPr>
        <w:t>拆除工程、</w:t>
      </w:r>
      <w:r>
        <w:rPr>
          <w:rFonts w:hint="eastAsia" w:ascii="宋体" w:hAnsi="宋体" w:eastAsia="宋体" w:cs="宋体"/>
          <w:color w:val="auto"/>
          <w:sz w:val="24"/>
          <w:szCs w:val="24"/>
          <w:highlight w:val="none"/>
        </w:rPr>
        <w:t>土方工程、土建工程、装饰工程、安装工程、电气工程、给排水工程、消防工程（含消防弱电工程）、通风防排烟工程、弱电工程、</w:t>
      </w:r>
      <w:r>
        <w:rPr>
          <w:rFonts w:hint="eastAsia" w:ascii="宋体" w:hAnsi="宋体" w:eastAsia="宋体" w:cs="宋体"/>
          <w:color w:val="auto"/>
          <w:sz w:val="24"/>
          <w:szCs w:val="24"/>
          <w:highlight w:val="none"/>
          <w:lang w:val="en-US" w:eastAsia="zh-CN"/>
        </w:rPr>
        <w:t>医用气体工程</w:t>
      </w:r>
      <w:r>
        <w:rPr>
          <w:rFonts w:hint="eastAsia" w:ascii="宋体" w:hAnsi="宋体" w:eastAsia="宋体" w:cs="宋体"/>
          <w:color w:val="auto"/>
          <w:sz w:val="24"/>
          <w:szCs w:val="24"/>
          <w:highlight w:val="none"/>
        </w:rPr>
        <w:t>等。</w:t>
      </w:r>
    </w:p>
    <w:p w14:paraId="68B3387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如有需要，需</w:t>
      </w:r>
      <w:r>
        <w:rPr>
          <w:rFonts w:hint="eastAsia" w:ascii="宋体" w:hAnsi="宋体" w:eastAsia="宋体" w:cs="宋体"/>
          <w:color w:val="auto"/>
          <w:sz w:val="24"/>
          <w:szCs w:val="24"/>
          <w:highlight w:val="none"/>
        </w:rPr>
        <w:t>积极配合办理工程开工及验收所需的各项报监、报建、报验手续，并支付办理上述工作中应由承包人承担的费用。</w:t>
      </w:r>
    </w:p>
    <w:p w14:paraId="48A2503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（2）BIM技术运用：本项目要求充分运用BIM</w:t>
      </w:r>
      <w:r>
        <w:rPr>
          <w:rFonts w:hint="eastAsia" w:ascii="宋体" w:hAnsi="宋体" w:eastAsia="宋体" w:cs="宋体"/>
          <w:color w:val="auto"/>
          <w:sz w:val="24"/>
          <w:szCs w:val="24"/>
          <w:highlight w:val="none"/>
          <w:lang w:val="en-US" w:eastAsia="zh-CN"/>
        </w:rPr>
        <w:t>模型指导施工</w:t>
      </w:r>
      <w:r>
        <w:rPr>
          <w:rFonts w:hint="eastAsia" w:ascii="宋体" w:hAnsi="宋体" w:eastAsia="宋体" w:cs="宋体"/>
          <w:color w:val="auto"/>
          <w:sz w:val="24"/>
          <w:szCs w:val="24"/>
          <w:highlight w:val="none"/>
        </w:rPr>
        <w:t>。</w:t>
      </w:r>
    </w:p>
    <w:p w14:paraId="5F84FC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（3）完成按有关规定应由承包人负责的检验监测工作，及配合发包人委托的第三方检测工作，由此发生的附属工程及工作费用承包人在投标报价时综合考虑，发包人不再另行支付。</w:t>
      </w:r>
    </w:p>
    <w:p w14:paraId="1CE8780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负责施工期间至移交前的场地管理、保安、保洁、防噪音、防扬尘等管理工作；负责设置卫生垃圾池和建筑垃圾外运工作；负责设置施工污水收集过滤系统，保证污水排放不得影响周边环境；配合发包人做好各项迎检工作，对场地进行清扫和布置。</w:t>
      </w:r>
    </w:p>
    <w:p w14:paraId="65A7E8A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（5）项目范围内的场地围蔽施工及至本合同项下全部工程移交前的保修维护工作（该部分费用包含在承包人合同价款中）。</w:t>
      </w:r>
    </w:p>
    <w:p w14:paraId="6979DA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（6）组织本项目的整体竣工验收和整体工程资料汇总及整理归档工作，包括</w:t>
      </w:r>
      <w:r>
        <w:rPr>
          <w:rFonts w:hint="eastAsia" w:ascii="宋体" w:hAnsi="宋体" w:eastAsia="宋体" w:cs="宋体"/>
          <w:color w:val="auto"/>
          <w:sz w:val="24"/>
          <w:szCs w:val="24"/>
          <w:highlight w:val="none"/>
          <w:lang w:val="en-US" w:eastAsia="zh-CN"/>
        </w:rPr>
        <w:t>项目实施过程及验收资料整理汇总、</w:t>
      </w:r>
      <w:r>
        <w:rPr>
          <w:rFonts w:hint="eastAsia" w:ascii="宋体" w:hAnsi="宋体" w:eastAsia="宋体" w:cs="宋体"/>
          <w:color w:val="auto"/>
          <w:sz w:val="24"/>
          <w:szCs w:val="24"/>
          <w:highlight w:val="none"/>
        </w:rPr>
        <w:t>结算资料整理汇总；在本工程范围内工程资料正式移交给发包人及相关建设主管部门之前所产生的费用均包括在承包人合同价款中。</w:t>
      </w:r>
    </w:p>
    <w:p w14:paraId="0250225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每周/每两周/每月召开一次工程例会（具体频率可根据项目需要确定），会议内容包括但不限于：工程进度检查、质量分析、安全状况通报、下一阶段工作安排、协调解决工程中的问题等。例会纪要由乙方负责整理，经双方确认后作为合同履行的参考依据。</w:t>
      </w:r>
    </w:p>
    <w:p w14:paraId="76188720">
      <w:pPr>
        <w:spacing w:line="460" w:lineRule="exact"/>
        <w:ind w:firstLine="540" w:firstLineChars="22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.2.3工程建设其他服务</w:t>
      </w:r>
    </w:p>
    <w:p w14:paraId="23FAF81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包括但不限于：场地准备及临时设施、工程保险、深化设计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白蚁防治、室内空气检测、室内声环境质量检测、</w:t>
      </w:r>
      <w:r>
        <w:rPr>
          <w:rFonts w:hint="eastAsia" w:ascii="宋体" w:hAnsi="宋体" w:eastAsia="宋体" w:cs="宋体"/>
          <w:color w:val="auto"/>
          <w:sz w:val="24"/>
          <w:szCs w:val="24"/>
          <w:highlight w:val="none"/>
        </w:rPr>
        <w:t>高可靠性供电、测量测绘、劳动安全卫生评价、专项评价及验收等。</w:t>
      </w:r>
    </w:p>
    <w:p w14:paraId="1BCB8A3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.2.4如承包人不具备项目中各专业部分的相应资质，承包人应在征得发包人同意后专业分包给具备相关资质的单位并签订分包合同。</w:t>
      </w:r>
    </w:p>
    <w:p w14:paraId="4593918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.2.5根据发包人</w:t>
      </w:r>
      <w:r>
        <w:rPr>
          <w:rFonts w:hint="eastAsia" w:ascii="宋体" w:hAnsi="宋体" w:eastAsia="宋体" w:cs="宋体"/>
          <w:color w:val="auto"/>
          <w:sz w:val="24"/>
          <w:szCs w:val="24"/>
          <w:highlight w:val="none"/>
          <w:lang w:val="en-US" w:eastAsia="zh-CN"/>
        </w:rPr>
        <w:t>要求、施工图、设计文件</w:t>
      </w:r>
      <w:r>
        <w:rPr>
          <w:rFonts w:hint="eastAsia" w:ascii="宋体" w:hAnsi="宋体" w:eastAsia="宋体" w:cs="宋体"/>
          <w:color w:val="auto"/>
          <w:sz w:val="24"/>
          <w:szCs w:val="24"/>
          <w:highlight w:val="none"/>
        </w:rPr>
        <w:t>等要求进行限额施工。</w:t>
      </w:r>
    </w:p>
    <w:p w14:paraId="0FFCB25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.2.6本次招标范围不含</w:t>
      </w:r>
      <w:r>
        <w:rPr>
          <w:rFonts w:hint="eastAsia" w:ascii="宋体" w:hAnsi="宋体" w:eastAsia="宋体" w:cs="宋体"/>
          <w:color w:val="auto"/>
          <w:sz w:val="24"/>
          <w:szCs w:val="24"/>
          <w:highlight w:val="none"/>
        </w:rPr>
        <w:t>：由招标人实施的对本工程的建设管理、项目前期咨询、</w:t>
      </w:r>
      <w:r>
        <w:rPr>
          <w:rFonts w:hint="eastAsia" w:ascii="宋体" w:hAnsi="宋体" w:eastAsia="宋体" w:cs="宋体"/>
          <w:color w:val="auto"/>
          <w:sz w:val="24"/>
          <w:szCs w:val="24"/>
          <w:highlight w:val="none"/>
          <w:lang w:val="en-US" w:eastAsia="zh-CN"/>
        </w:rPr>
        <w:t>工程设计、</w:t>
      </w:r>
      <w:r>
        <w:rPr>
          <w:rFonts w:hint="eastAsia" w:ascii="宋体" w:hAnsi="宋体" w:eastAsia="宋体" w:cs="宋体"/>
          <w:color w:val="auto"/>
          <w:sz w:val="24"/>
          <w:szCs w:val="24"/>
          <w:highlight w:val="none"/>
        </w:rPr>
        <w:t>工程招标、工程建设监理、造价咨询服务、结算审核；本建设项目的其他工程建设内容均纳入本次招标范围。</w:t>
      </w:r>
    </w:p>
    <w:p w14:paraId="51706DB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承包人负责本项目施工临时用水、用电设备及管网的接驳，并服从发包人、监理人在工地范围内施工现场的管理，发包人提供接驳点。施工水电费已在合同总价中综合考虑，施工过程中发包人不另行收取承包人施工水电费，承包人须在施工区域安装水、电计量设施（费用在合同总价中综合考虑，发包人不另行支付费用），施工水电费按实际发生费用在结算时扣回。</w:t>
      </w:r>
    </w:p>
    <w:p w14:paraId="5B3AE57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医院内场地紧张，且施工期间需确保施工场地周边区域的正常运营，本项目发包人不提供办公、住宿、用餐等临时活动板房搭设场地，承包人需自行在医院周边解决办公、住宿、用餐等临时用房，相关价款已包含在承包人投标报价内，发包人不另行支付任何相关费用。</w:t>
      </w:r>
    </w:p>
    <w:p w14:paraId="33756E27">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7.在投标文件中承诺并经选定的工程项目经理及相应资质的专业技术、管理人员，在工程实施过程中应依时到场，未经招标人（发包人）同意，承包人不得擅自调换和撤离。</w:t>
      </w:r>
    </w:p>
    <w:p w14:paraId="776592A1">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施工必须采取严格措施确保本单位人员的安全，并不对</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本单位人员工作产生影响。施工现场必须全封闭，施工人员及材料运输应走专用式通道。施工过程中需要无条件执行</w:t>
      </w:r>
      <w:r>
        <w:rPr>
          <w:rFonts w:hint="eastAsia" w:ascii="宋体" w:hAnsi="宋体" w:eastAsia="宋体" w:cs="宋体"/>
          <w:color w:val="auto"/>
          <w:sz w:val="24"/>
          <w:szCs w:val="24"/>
          <w:highlight w:val="none"/>
          <w:lang w:val="en-US" w:eastAsia="zh-CN"/>
        </w:rPr>
        <w:t>招标人（承包人）</w:t>
      </w:r>
      <w:r>
        <w:rPr>
          <w:rFonts w:hint="eastAsia" w:ascii="宋体" w:hAnsi="宋体" w:eastAsia="宋体" w:cs="宋体"/>
          <w:color w:val="auto"/>
          <w:sz w:val="24"/>
          <w:szCs w:val="24"/>
          <w:highlight w:val="none"/>
        </w:rPr>
        <w:t>工作安排的需要做出阶段性停开工指令</w:t>
      </w:r>
      <w:r>
        <w:rPr>
          <w:rFonts w:hint="eastAsia" w:ascii="宋体" w:hAnsi="宋体" w:eastAsia="宋体" w:cs="宋体"/>
          <w:color w:val="auto"/>
          <w:sz w:val="24"/>
          <w:szCs w:val="24"/>
          <w:highlight w:val="none"/>
          <w:lang w:eastAsia="zh-CN"/>
        </w:rPr>
        <w:t>。</w:t>
      </w:r>
    </w:p>
    <w:p w14:paraId="233704E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9.开工前，承包人需提交施工组织方案。施工组织方案需列明保证施工进度计划实施及保证质量、安全生产、文明施工、环境保护的措施。施工期间</w:t>
      </w:r>
      <w:r>
        <w:rPr>
          <w:rFonts w:hint="eastAsia" w:ascii="宋体" w:hAnsi="宋体" w:eastAsia="宋体" w:cs="宋体"/>
          <w:color w:val="auto"/>
          <w:sz w:val="24"/>
          <w:szCs w:val="24"/>
          <w:highlight w:val="none"/>
        </w:rPr>
        <w:t>须严格按照已经</w:t>
      </w:r>
      <w:r>
        <w:rPr>
          <w:rFonts w:hint="eastAsia" w:ascii="宋体" w:hAnsi="宋体" w:eastAsia="宋体" w:cs="宋体"/>
          <w:color w:val="auto"/>
          <w:sz w:val="24"/>
          <w:szCs w:val="24"/>
          <w:highlight w:val="none"/>
          <w:lang w:val="en-US" w:eastAsia="zh-CN"/>
        </w:rPr>
        <w:t>审核</w:t>
      </w:r>
      <w:r>
        <w:rPr>
          <w:rFonts w:hint="eastAsia" w:ascii="宋体" w:hAnsi="宋体" w:eastAsia="宋体" w:cs="宋体"/>
          <w:color w:val="auto"/>
          <w:sz w:val="24"/>
          <w:szCs w:val="24"/>
          <w:highlight w:val="none"/>
        </w:rPr>
        <w:t>确认的施工方案组织施工，并应接受</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lang w:val="en-US" w:eastAsia="zh-CN"/>
        </w:rPr>
        <w:t>（发包人）</w:t>
      </w:r>
      <w:r>
        <w:rPr>
          <w:rFonts w:hint="eastAsia" w:ascii="宋体" w:hAnsi="宋体" w:eastAsia="宋体" w:cs="宋体"/>
          <w:color w:val="auto"/>
          <w:sz w:val="24"/>
          <w:szCs w:val="24"/>
          <w:highlight w:val="none"/>
        </w:rPr>
        <w:t>委托的监理单位对工程质量、工期、安全、文明施工、环保及工地纪律的管制。</w:t>
      </w:r>
    </w:p>
    <w:p w14:paraId="34B060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在工程施工期间，须严格遵守当地政府职能部门的各项规章制度，由于管理不善，导致政府职能部门的罚款和停工整改，由此发生的费用与损失由</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自行承担，且</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lang w:val="en-US" w:eastAsia="zh-CN"/>
        </w:rPr>
        <w:t>发包人）</w:t>
      </w:r>
      <w:r>
        <w:rPr>
          <w:rFonts w:hint="eastAsia" w:ascii="宋体" w:hAnsi="宋体" w:eastAsia="宋体" w:cs="宋体"/>
          <w:color w:val="auto"/>
          <w:sz w:val="24"/>
          <w:szCs w:val="24"/>
          <w:highlight w:val="none"/>
        </w:rPr>
        <w:t>保留暂缓支付工程款的权利，以确保文明施工有效实行。</w:t>
      </w:r>
    </w:p>
    <w:p w14:paraId="4A9EAA3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承包人必须积极配合本项目子项与病房改造项目其他子项承包界面的管线接驳、洞口预留、水电点位预留、施工配合、施工围蔽、防尘降噪、安全文明管理等施工配合等事项，费用不再另行计取，报价中需综合考虑。</w:t>
      </w:r>
    </w:p>
    <w:p w14:paraId="24F608E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承包人负责1号楼负一层制冷机房内设备基础及排水沟改造。其中，设备基础的建设完工是子项1（中央空调冷源机房节能采暖升级改造(1号楼、6号楼)货物采购及安装服务）设备进场的先决条件，承包人必须根据“子项1设备预计于2026年春节前15天进场”这一节点，无条件确保在2026年2月1日前完成该项工作，严禁延误。若以上时间有调整，承包人有义务确保不影响子项1的开展。机房排水沟改造待子项1设备及管线安装完成后实施。相关深化图纸由子项1中标人提供。</w:t>
      </w:r>
    </w:p>
    <w:p w14:paraId="3B593669">
      <w:pPr>
        <w:pStyle w:val="134"/>
        <w:jc w:val="both"/>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13.承包人负责1号楼负一层制冷机房墙地面翻新及自流平(含控制室及配电间)施工，待该机房内设备及管线全部完成后实施。</w:t>
      </w:r>
    </w:p>
    <w:p w14:paraId="177E612B">
      <w:pPr>
        <w:pStyle w:val="134"/>
        <w:jc w:val="both"/>
        <w:outlineLvl w:val="0"/>
        <w:rPr>
          <w:rStyle w:val="29"/>
          <w:rFonts w:hint="eastAsia" w:ascii="宋体" w:hAnsi="宋体" w:eastAsia="宋体" w:cs="宋体"/>
          <w:bCs w:val="0"/>
          <w:color w:val="auto"/>
          <w:sz w:val="24"/>
          <w:szCs w:val="24"/>
          <w:highlight w:val="none"/>
          <w:lang w:val="en-US" w:eastAsia="zh-CN"/>
        </w:rPr>
      </w:pPr>
      <w:r>
        <w:rPr>
          <w:rStyle w:val="29"/>
          <w:rFonts w:hint="eastAsia" w:ascii="宋体" w:hAnsi="宋体" w:eastAsia="宋体" w:cs="宋体"/>
          <w:bCs w:val="0"/>
          <w:color w:val="auto"/>
          <w:sz w:val="24"/>
          <w:szCs w:val="24"/>
          <w:highlight w:val="none"/>
          <w:lang w:val="en-US" w:eastAsia="zh-CN"/>
        </w:rPr>
        <w:t>14.</w:t>
      </w:r>
      <w:r>
        <w:rPr>
          <w:rFonts w:hint="eastAsia" w:ascii="宋体" w:hAnsi="宋体" w:eastAsia="宋体" w:cs="宋体"/>
          <w:bCs w:val="0"/>
          <w:color w:val="auto"/>
          <w:sz w:val="24"/>
          <w:szCs w:val="24"/>
          <w:highlight w:val="none"/>
          <w:lang w:val="en-US" w:eastAsia="zh-CN"/>
        </w:rPr>
        <w:t>项目管理机构人员配置要求详见本招标文件“第二章开标、评标及定标办法”</w:t>
      </w:r>
      <w:r>
        <w:rPr>
          <w:rStyle w:val="29"/>
          <w:rFonts w:hint="eastAsia" w:ascii="宋体" w:hAnsi="宋体" w:eastAsia="宋体" w:cs="宋体"/>
          <w:bCs w:val="0"/>
          <w:color w:val="auto"/>
          <w:sz w:val="24"/>
          <w:szCs w:val="24"/>
          <w:highlight w:val="none"/>
          <w:lang w:val="en-US" w:eastAsia="zh-CN"/>
        </w:rPr>
        <w:t>附表：《项目管理机构人员配置要求表》</w:t>
      </w:r>
      <w:r>
        <w:rPr>
          <w:rFonts w:hint="eastAsia" w:ascii="宋体" w:hAnsi="宋体" w:eastAsia="宋体" w:cs="宋体"/>
          <w:bCs w:val="0"/>
          <w:color w:val="auto"/>
          <w:sz w:val="24"/>
          <w:szCs w:val="24"/>
          <w:highlight w:val="none"/>
          <w:lang w:val="en-US" w:eastAsia="zh-CN"/>
        </w:rPr>
        <w:t>。</w:t>
      </w:r>
    </w:p>
    <w:p w14:paraId="09FD3F2F">
      <w:pPr>
        <w:spacing w:line="360" w:lineRule="auto"/>
        <w:ind w:firstLine="0" w:firstLineChars="0"/>
        <w:rPr>
          <w:rFonts w:hint="eastAsia" w:ascii="宋体" w:hAnsi="宋体" w:cs="宋体"/>
          <w:b/>
          <w:bCs w:val="0"/>
          <w:color w:val="auto"/>
          <w:kern w:val="0"/>
          <w:sz w:val="20"/>
          <w:szCs w:val="20"/>
          <w:highlight w:val="none"/>
        </w:rPr>
      </w:pPr>
    </w:p>
    <w:p w14:paraId="117FD598">
      <w:pPr>
        <w:spacing w:line="360" w:lineRule="auto"/>
        <w:ind w:firstLine="0" w:firstLineChars="0"/>
        <w:rPr>
          <w:rFonts w:hint="eastAsia" w:ascii="宋体" w:hAnsi="宋体" w:eastAsia="宋体" w:cs="宋体"/>
          <w:color w:val="auto"/>
          <w:sz w:val="24"/>
          <w:szCs w:val="24"/>
          <w:highlight w:val="none"/>
          <w:lang w:val="en-US" w:eastAsia="zh-CN"/>
        </w:rPr>
      </w:pPr>
    </w:p>
    <w:p w14:paraId="28748410">
      <w:pPr>
        <w:spacing w:line="36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r>
        <w:rPr>
          <w:rFonts w:hint="eastAsia" w:ascii="宋体" w:hAnsi="宋体" w:eastAsia="宋体" w:cs="宋体"/>
          <w:color w:val="auto"/>
          <w:sz w:val="24"/>
          <w:szCs w:val="24"/>
          <w:highlight w:val="none"/>
          <w:lang w:val="en-US" w:eastAsia="zh-CN"/>
        </w:rPr>
        <w:t>附件1：</w:t>
      </w:r>
    </w:p>
    <w:p w14:paraId="1C88F4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eastAsia="zh-CN"/>
        </w:rPr>
        <w:t>1号楼门诊区域腾挪施工形象进度计划</w:t>
      </w:r>
    </w:p>
    <w:p w14:paraId="1128314E">
      <w:pPr>
        <w:numPr>
          <w:ilvl w:val="0"/>
          <w:numId w:val="0"/>
        </w:numPr>
        <w:spacing w:line="240" w:lineRule="auto"/>
        <w:ind w:firstLine="420" w:firstLineChars="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门诊大楼</w:t>
      </w:r>
      <w:r>
        <w:rPr>
          <w:rFonts w:hint="eastAsia" w:ascii="宋体" w:hAnsi="宋体" w:eastAsia="宋体" w:cs="宋体"/>
          <w:color w:val="auto"/>
          <w:sz w:val="21"/>
          <w:szCs w:val="21"/>
          <w:highlight w:val="none"/>
          <w:lang w:val="en-US" w:eastAsia="zh-CN"/>
        </w:rPr>
        <w:t>1~8层门诊</w:t>
      </w:r>
      <w:r>
        <w:rPr>
          <w:rFonts w:hint="eastAsia" w:ascii="宋体" w:hAnsi="宋体" w:eastAsia="宋体" w:cs="宋体"/>
          <w:color w:val="auto"/>
          <w:sz w:val="21"/>
          <w:szCs w:val="21"/>
          <w:highlight w:val="none"/>
          <w:lang w:eastAsia="zh-CN"/>
        </w:rPr>
        <w:t>区域以</w:t>
      </w:r>
      <w:r>
        <w:rPr>
          <w:rFonts w:hint="eastAsia" w:ascii="宋体" w:hAnsi="宋体" w:eastAsia="宋体" w:cs="宋体"/>
          <w:color w:val="auto"/>
          <w:sz w:val="21"/>
          <w:szCs w:val="21"/>
          <w:highlight w:val="none"/>
          <w:lang w:val="en-US" w:eastAsia="zh-CN"/>
        </w:rPr>
        <w:t>4层主楼作为腾挪中转层，4层主楼腾空后临时改造为标准门诊，用于各层门诊中转</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实施期间的门诊腾挪顺序，具体如下：</w:t>
      </w:r>
    </w:p>
    <w:tbl>
      <w:tblPr>
        <w:tblStyle w:val="27"/>
        <w:tblW w:w="95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18"/>
        <w:gridCol w:w="1629"/>
        <w:gridCol w:w="5377"/>
        <w:gridCol w:w="1675"/>
      </w:tblGrid>
      <w:tr w14:paraId="17EDF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4" w:hRule="atLeast"/>
          <w:jc w:val="center"/>
        </w:trPr>
        <w:tc>
          <w:tcPr>
            <w:tcW w:w="918"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72" w:type="dxa"/>
              <w:left w:w="144" w:type="dxa"/>
              <w:bottom w:w="72" w:type="dxa"/>
              <w:right w:w="144" w:type="dxa"/>
            </w:tcMar>
            <w:vAlign w:val="top"/>
          </w:tcPr>
          <w:p w14:paraId="5F8274EC">
            <w:pPr>
              <w:pStyle w:val="24"/>
              <w:keepNext w:val="0"/>
              <w:keepLines w:val="0"/>
              <w:widowControl/>
              <w:suppressLineNumbers w:val="0"/>
              <w:kinsoku/>
              <w:wordWrap/>
              <w:overflowPun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629"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72" w:type="dxa"/>
              <w:left w:w="144" w:type="dxa"/>
              <w:bottom w:w="72" w:type="dxa"/>
              <w:right w:w="144" w:type="dxa"/>
            </w:tcMar>
            <w:vAlign w:val="top"/>
          </w:tcPr>
          <w:p w14:paraId="642246F5">
            <w:pPr>
              <w:pStyle w:val="24"/>
              <w:keepNext w:val="0"/>
              <w:keepLines w:val="0"/>
              <w:widowControl/>
              <w:suppressLineNumbers w:val="0"/>
              <w:kinsoku/>
              <w:wordWrap/>
              <w:overflowPun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时间</w:t>
            </w:r>
          </w:p>
        </w:tc>
        <w:tc>
          <w:tcPr>
            <w:tcW w:w="5377"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72" w:type="dxa"/>
              <w:left w:w="144" w:type="dxa"/>
              <w:bottom w:w="72" w:type="dxa"/>
              <w:right w:w="144" w:type="dxa"/>
            </w:tcMar>
            <w:vAlign w:val="top"/>
          </w:tcPr>
          <w:p w14:paraId="0F6757CA">
            <w:pPr>
              <w:pStyle w:val="24"/>
              <w:keepNext w:val="0"/>
              <w:keepLines w:val="0"/>
              <w:widowControl/>
              <w:suppressLineNumbers w:val="0"/>
              <w:kinsoku/>
              <w:wordWrap/>
              <w:overflowPunct/>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形象进度</w:t>
            </w:r>
          </w:p>
        </w:tc>
        <w:tc>
          <w:tcPr>
            <w:tcW w:w="1675"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72" w:type="dxa"/>
              <w:left w:w="144" w:type="dxa"/>
              <w:bottom w:w="72" w:type="dxa"/>
              <w:right w:w="144" w:type="dxa"/>
            </w:tcMar>
            <w:vAlign w:val="top"/>
          </w:tcPr>
          <w:p w14:paraId="3CA8C0C6">
            <w:pPr>
              <w:pStyle w:val="24"/>
              <w:keepNext w:val="0"/>
              <w:keepLines w:val="0"/>
              <w:widowControl/>
              <w:suppressLineNumbers w:val="0"/>
              <w:kinsoku/>
              <w:wordWrap/>
              <w:overflowPunct/>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工期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含搬家</w:t>
            </w:r>
            <w:r>
              <w:rPr>
                <w:rFonts w:hint="eastAsia" w:ascii="宋体" w:hAnsi="宋体" w:eastAsia="宋体" w:cs="宋体"/>
                <w:b/>
                <w:bCs/>
                <w:color w:val="auto"/>
                <w:sz w:val="21"/>
                <w:szCs w:val="21"/>
                <w:highlight w:val="none"/>
                <w:lang w:eastAsia="zh-CN"/>
              </w:rPr>
              <w:t>）</w:t>
            </w:r>
          </w:p>
        </w:tc>
      </w:tr>
      <w:tr w14:paraId="28F2C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91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1F381CAE">
            <w:pPr>
              <w:pStyle w:val="24"/>
              <w:keepNext w:val="0"/>
              <w:keepLines w:val="0"/>
              <w:widowControl/>
              <w:suppressLineNumbers w:val="0"/>
              <w:kinsoku/>
              <w:wordWrap/>
              <w:overflow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5AB73DA5">
            <w:pPr>
              <w:pStyle w:val="24"/>
              <w:keepNext w:val="0"/>
              <w:keepLines w:val="0"/>
              <w:widowControl/>
              <w:suppressLineNumbers w:val="0"/>
              <w:kinsoku/>
              <w:wordWrap/>
              <w:overflow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2025年11月~2026年2月</w:t>
            </w:r>
          </w:p>
        </w:tc>
        <w:tc>
          <w:tcPr>
            <w:tcW w:w="537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206DB411">
            <w:pPr>
              <w:pStyle w:val="24"/>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首层大堂、挂号处于春节期间原位施工</w:t>
            </w:r>
          </w:p>
        </w:tc>
        <w:tc>
          <w:tcPr>
            <w:tcW w:w="1675"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6B4FAA5F">
            <w:pPr>
              <w:pStyle w:val="24"/>
              <w:keepNext w:val="0"/>
              <w:keepLines w:val="0"/>
              <w:widowControl/>
              <w:suppressLineNumbers w:val="0"/>
              <w:kinsoku/>
              <w:wordWrap/>
              <w:overflowPun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3个月  实际施工2个月</w:t>
            </w:r>
          </w:p>
        </w:tc>
      </w:tr>
      <w:tr w14:paraId="042E3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91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68958EB6">
            <w:pPr>
              <w:pStyle w:val="24"/>
              <w:keepNext w:val="0"/>
              <w:keepLines w:val="0"/>
              <w:widowControl/>
              <w:suppressLineNumbers w:val="0"/>
              <w:kinsoku/>
              <w:wordWrap/>
              <w:overflow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54546E78">
            <w:pPr>
              <w:pStyle w:val="24"/>
              <w:keepNext w:val="0"/>
              <w:keepLines w:val="0"/>
              <w:widowControl/>
              <w:suppressLineNumbers w:val="0"/>
              <w:kinsoku/>
              <w:wordWrap/>
              <w:overflow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2025年11月~2026年2月</w:t>
            </w:r>
          </w:p>
        </w:tc>
        <w:tc>
          <w:tcPr>
            <w:tcW w:w="537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013791B1">
            <w:pPr>
              <w:pStyle w:val="24"/>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4层附楼腾空，改造为听力检测中心，原8层东侧听力检测室腾挪至4层附楼</w:t>
            </w:r>
          </w:p>
        </w:tc>
        <w:tc>
          <w:tcPr>
            <w:tcW w:w="1675"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13744BAB">
            <w:pPr>
              <w:pStyle w:val="24"/>
              <w:keepNext w:val="0"/>
              <w:keepLines w:val="0"/>
              <w:widowControl/>
              <w:suppressLineNumbers w:val="0"/>
              <w:kinsoku/>
              <w:wordWrap/>
              <w:overflowPun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3个月</w:t>
            </w:r>
          </w:p>
        </w:tc>
      </w:tr>
      <w:tr w14:paraId="03D0A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8" w:hRule="atLeast"/>
          <w:jc w:val="center"/>
        </w:trPr>
        <w:tc>
          <w:tcPr>
            <w:tcW w:w="91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44D10DB9">
            <w:pPr>
              <w:pStyle w:val="24"/>
              <w:keepNext w:val="0"/>
              <w:keepLines w:val="0"/>
              <w:widowControl/>
              <w:suppressLineNumbers w:val="0"/>
              <w:kinsoku/>
              <w:wordWrap/>
              <w:overflow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7C3FADB9">
            <w:pPr>
              <w:pStyle w:val="24"/>
              <w:keepNext w:val="0"/>
              <w:keepLines w:val="0"/>
              <w:widowControl/>
              <w:suppressLineNumbers w:val="0"/>
              <w:kinsoku/>
              <w:wordWrap/>
              <w:overflow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2026年</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月~2026年</w:t>
            </w:r>
            <w:r>
              <w:rPr>
                <w:rFonts w:hint="eastAsia" w:ascii="宋体" w:hAnsi="宋体" w:eastAsia="宋体" w:cs="宋体"/>
                <w:color w:val="auto"/>
                <w:sz w:val="21"/>
                <w:szCs w:val="21"/>
                <w:highlight w:val="none"/>
                <w:lang w:val="en-US" w:eastAsia="zh-CN"/>
              </w:rPr>
              <w:t>4月</w:t>
            </w:r>
          </w:p>
        </w:tc>
        <w:tc>
          <w:tcPr>
            <w:tcW w:w="537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214FAA3C">
            <w:pPr>
              <w:pStyle w:val="24"/>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负一层原污水站拆除及新建气动物流机房及机电安装</w:t>
            </w:r>
          </w:p>
        </w:tc>
        <w:tc>
          <w:tcPr>
            <w:tcW w:w="1675"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55F6780A">
            <w:pPr>
              <w:pStyle w:val="24"/>
              <w:keepNext w:val="0"/>
              <w:keepLines w:val="0"/>
              <w:widowControl/>
              <w:suppressLineNumbers w:val="0"/>
              <w:kinsoku/>
              <w:wordWrap/>
              <w:overflowPun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2个月</w:t>
            </w:r>
          </w:p>
        </w:tc>
      </w:tr>
      <w:tr w14:paraId="44BD4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91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7E4BEC3C">
            <w:pPr>
              <w:pStyle w:val="24"/>
              <w:keepNext w:val="0"/>
              <w:keepLines w:val="0"/>
              <w:widowControl/>
              <w:suppressLineNumbers w:val="0"/>
              <w:kinsoku/>
              <w:wordWrap/>
              <w:overflow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18666D8A">
            <w:pPr>
              <w:pStyle w:val="24"/>
              <w:keepNext w:val="0"/>
              <w:keepLines w:val="0"/>
              <w:widowControl/>
              <w:suppressLineNumbers w:val="0"/>
              <w:kinsoku/>
              <w:wordWrap/>
              <w:overflow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2026年</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月~2026年</w:t>
            </w:r>
            <w:r>
              <w:rPr>
                <w:rFonts w:hint="eastAsia" w:ascii="宋体" w:hAnsi="宋体" w:eastAsia="宋体" w:cs="宋体"/>
                <w:color w:val="auto"/>
                <w:sz w:val="21"/>
                <w:szCs w:val="21"/>
                <w:highlight w:val="none"/>
                <w:lang w:val="en-US" w:eastAsia="zh-CN"/>
              </w:rPr>
              <w:t>5月</w:t>
            </w:r>
          </w:p>
        </w:tc>
        <w:tc>
          <w:tcPr>
            <w:tcW w:w="537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1F89D0CD">
            <w:pPr>
              <w:pStyle w:val="24"/>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负一层制冷机房装修及机电安装、消防水泵及生活水泵更新</w:t>
            </w:r>
          </w:p>
        </w:tc>
        <w:tc>
          <w:tcPr>
            <w:tcW w:w="1675"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54EFD4C0">
            <w:pPr>
              <w:pStyle w:val="24"/>
              <w:keepNext w:val="0"/>
              <w:keepLines w:val="0"/>
              <w:widowControl/>
              <w:suppressLineNumbers w:val="0"/>
              <w:kinsoku/>
              <w:wordWrap/>
              <w:overflowPun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2个月</w:t>
            </w:r>
          </w:p>
        </w:tc>
      </w:tr>
      <w:tr w14:paraId="5CDBA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91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2D7C3B14">
            <w:pPr>
              <w:pStyle w:val="24"/>
              <w:keepNext w:val="0"/>
              <w:keepLines w:val="0"/>
              <w:widowControl/>
              <w:suppressLineNumbers w:val="0"/>
              <w:kinsoku/>
              <w:wordWrap/>
              <w:overflow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710BCEBF">
            <w:pPr>
              <w:pStyle w:val="24"/>
              <w:keepNext w:val="0"/>
              <w:keepLines w:val="0"/>
              <w:widowControl/>
              <w:suppressLineNumbers w:val="0"/>
              <w:kinsoku/>
              <w:wordWrap/>
              <w:overflow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2026年3月~2026年5</w:t>
            </w:r>
            <w:r>
              <w:rPr>
                <w:rFonts w:hint="eastAsia" w:ascii="宋体" w:hAnsi="宋体" w:eastAsia="宋体" w:cs="宋体"/>
                <w:color w:val="auto"/>
                <w:sz w:val="21"/>
                <w:szCs w:val="21"/>
                <w:highlight w:val="none"/>
                <w:lang w:val="en-US" w:eastAsia="zh-CN"/>
              </w:rPr>
              <w:t>月</w:t>
            </w:r>
          </w:p>
        </w:tc>
        <w:tc>
          <w:tcPr>
            <w:tcW w:w="537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6242417D">
            <w:pPr>
              <w:pStyle w:val="24"/>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8层东侧腾空，改造为标准门诊，4层东侧</w:t>
            </w:r>
            <w:r>
              <w:rPr>
                <w:rFonts w:hint="eastAsia" w:ascii="宋体" w:hAnsi="宋体" w:eastAsia="宋体" w:cs="宋体"/>
                <w:color w:val="auto"/>
                <w:sz w:val="21"/>
                <w:szCs w:val="21"/>
                <w:highlight w:val="none"/>
              </w:rPr>
              <w:t>中医科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正骨</w:t>
            </w:r>
            <w:r>
              <w:rPr>
                <w:rFonts w:hint="eastAsia" w:ascii="宋体" w:hAnsi="宋体" w:eastAsia="宋体" w:cs="宋体"/>
                <w:color w:val="auto"/>
                <w:sz w:val="21"/>
                <w:szCs w:val="21"/>
                <w:highlight w:val="none"/>
                <w:lang w:eastAsia="zh-CN"/>
              </w:rPr>
              <w:t>科腾挪至</w:t>
            </w:r>
            <w:r>
              <w:rPr>
                <w:rFonts w:hint="eastAsia" w:ascii="宋体" w:hAnsi="宋体" w:eastAsia="宋体" w:cs="宋体"/>
                <w:color w:val="auto"/>
                <w:sz w:val="21"/>
                <w:szCs w:val="21"/>
                <w:highlight w:val="none"/>
                <w:lang w:val="en-US" w:eastAsia="zh-CN"/>
              </w:rPr>
              <w:t>8层东侧</w:t>
            </w:r>
          </w:p>
        </w:tc>
        <w:tc>
          <w:tcPr>
            <w:tcW w:w="1675"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657202CD">
            <w:pPr>
              <w:pStyle w:val="24"/>
              <w:keepNext w:val="0"/>
              <w:keepLines w:val="0"/>
              <w:widowControl/>
              <w:suppressLineNumbers w:val="0"/>
              <w:kinsoku/>
              <w:wordWrap/>
              <w:overflow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3个月</w:t>
            </w:r>
          </w:p>
        </w:tc>
      </w:tr>
      <w:tr w14:paraId="35320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8" w:hRule="atLeast"/>
          <w:jc w:val="center"/>
        </w:trPr>
        <w:tc>
          <w:tcPr>
            <w:tcW w:w="91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2F091807">
            <w:pPr>
              <w:pStyle w:val="24"/>
              <w:keepNext w:val="0"/>
              <w:keepLines w:val="0"/>
              <w:widowControl/>
              <w:suppressLineNumbers w:val="0"/>
              <w:kinsoku/>
              <w:wordWrap/>
              <w:overflowPun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6</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1FA0A56D">
            <w:pPr>
              <w:pStyle w:val="24"/>
              <w:keepNext w:val="0"/>
              <w:keepLines w:val="0"/>
              <w:widowControl/>
              <w:suppressLineNumbers w:val="0"/>
              <w:kinsoku/>
              <w:wordWrap/>
              <w:overflowPun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2026年6月~2026年8月</w:t>
            </w:r>
          </w:p>
        </w:tc>
        <w:tc>
          <w:tcPr>
            <w:tcW w:w="537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6CF11D37">
            <w:pPr>
              <w:pStyle w:val="24"/>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4层</w:t>
            </w:r>
            <w:r>
              <w:rPr>
                <w:rFonts w:hint="eastAsia" w:ascii="宋体" w:hAnsi="宋体" w:eastAsia="宋体" w:cs="宋体"/>
                <w:color w:val="auto"/>
                <w:sz w:val="21"/>
                <w:szCs w:val="21"/>
                <w:highlight w:val="none"/>
                <w:lang w:eastAsia="zh-CN"/>
              </w:rPr>
              <w:t>主楼</w:t>
            </w:r>
            <w:r>
              <w:rPr>
                <w:rFonts w:hint="eastAsia" w:ascii="宋体" w:hAnsi="宋体" w:eastAsia="宋体" w:cs="宋体"/>
                <w:color w:val="auto"/>
                <w:sz w:val="21"/>
                <w:szCs w:val="21"/>
                <w:highlight w:val="none"/>
              </w:rPr>
              <w:t>东侧、西侧腾空，改造为标准</w:t>
            </w:r>
            <w:r>
              <w:rPr>
                <w:rFonts w:hint="eastAsia" w:ascii="宋体" w:hAnsi="宋体" w:eastAsia="宋体" w:cs="宋体"/>
                <w:color w:val="auto"/>
                <w:sz w:val="21"/>
                <w:szCs w:val="21"/>
                <w:highlight w:val="none"/>
                <w:lang w:val="en-US" w:eastAsia="zh-CN"/>
              </w:rPr>
              <w:t>诊室用于中转</w:t>
            </w:r>
          </w:p>
        </w:tc>
        <w:tc>
          <w:tcPr>
            <w:tcW w:w="1675"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56CB7046">
            <w:pPr>
              <w:pStyle w:val="24"/>
              <w:keepNext w:val="0"/>
              <w:keepLines w:val="0"/>
              <w:widowControl/>
              <w:suppressLineNumbers w:val="0"/>
              <w:kinsoku/>
              <w:wordWrap/>
              <w:overflowPun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3个月</w:t>
            </w:r>
          </w:p>
        </w:tc>
      </w:tr>
      <w:tr w14:paraId="3CF38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8" w:hRule="atLeast"/>
          <w:jc w:val="center"/>
        </w:trPr>
        <w:tc>
          <w:tcPr>
            <w:tcW w:w="91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60CC783C">
            <w:pPr>
              <w:pStyle w:val="24"/>
              <w:keepNext w:val="0"/>
              <w:keepLines w:val="0"/>
              <w:widowControl/>
              <w:suppressLineNumbers w:val="0"/>
              <w:kinsoku/>
              <w:wordWrap/>
              <w:overflowPun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7</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34AC7BF2">
            <w:pPr>
              <w:pStyle w:val="24"/>
              <w:keepNext w:val="0"/>
              <w:keepLines w:val="0"/>
              <w:widowControl/>
              <w:suppressLineNumbers w:val="0"/>
              <w:kinsoku/>
              <w:wordWrap/>
              <w:overflow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2026年9月~2026年1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月</w:t>
            </w:r>
          </w:p>
        </w:tc>
        <w:tc>
          <w:tcPr>
            <w:tcW w:w="537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7EDA8157">
            <w:pPr>
              <w:pStyle w:val="24"/>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T层竖向排风、牙科负压机房施工</w:t>
            </w:r>
          </w:p>
        </w:tc>
        <w:tc>
          <w:tcPr>
            <w:tcW w:w="1675"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0D23AF33">
            <w:pPr>
              <w:pStyle w:val="24"/>
              <w:keepNext w:val="0"/>
              <w:keepLines w:val="0"/>
              <w:widowControl/>
              <w:suppressLineNumbers w:val="0"/>
              <w:kinsoku/>
              <w:wordWrap/>
              <w:overflowPun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2个月</w:t>
            </w:r>
          </w:p>
        </w:tc>
      </w:tr>
      <w:tr w14:paraId="4A2A8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91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0F82EF91">
            <w:pPr>
              <w:pStyle w:val="24"/>
              <w:keepNext w:val="0"/>
              <w:keepLines w:val="0"/>
              <w:widowControl/>
              <w:suppressLineNumbers w:val="0"/>
              <w:kinsoku/>
              <w:wordWrap/>
              <w:overflowPun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8</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1EB8A754">
            <w:pPr>
              <w:pStyle w:val="24"/>
              <w:keepNext w:val="0"/>
              <w:keepLines w:val="0"/>
              <w:widowControl/>
              <w:suppressLineNumbers w:val="0"/>
              <w:kinsoku/>
              <w:wordWrap/>
              <w:overflowPun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2026年9月~2026年11月</w:t>
            </w:r>
          </w:p>
        </w:tc>
        <w:tc>
          <w:tcPr>
            <w:tcW w:w="537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5AD73F76">
            <w:pPr>
              <w:pStyle w:val="24"/>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5层西侧外科门诊</w:t>
            </w:r>
            <w:r>
              <w:rPr>
                <w:rFonts w:hint="eastAsia" w:ascii="宋体" w:hAnsi="宋体" w:eastAsia="宋体" w:cs="宋体"/>
                <w:color w:val="auto"/>
                <w:sz w:val="21"/>
                <w:szCs w:val="21"/>
                <w:highlight w:val="none"/>
                <w:lang w:eastAsia="zh-CN"/>
              </w:rPr>
              <w:t>腾挪</w:t>
            </w:r>
            <w:r>
              <w:rPr>
                <w:rFonts w:hint="eastAsia" w:ascii="宋体" w:hAnsi="宋体" w:eastAsia="宋体" w:cs="宋体"/>
                <w:color w:val="auto"/>
                <w:sz w:val="21"/>
                <w:szCs w:val="21"/>
                <w:highlight w:val="none"/>
              </w:rPr>
              <w:t>4层西侧</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转，5层</w:t>
            </w:r>
            <w:r>
              <w:rPr>
                <w:rFonts w:hint="eastAsia" w:ascii="宋体" w:hAnsi="宋体" w:eastAsia="宋体" w:cs="宋体"/>
                <w:color w:val="auto"/>
                <w:sz w:val="21"/>
                <w:szCs w:val="21"/>
                <w:highlight w:val="none"/>
                <w:lang w:val="en-US" w:eastAsia="zh-CN"/>
              </w:rPr>
              <w:t>东侧</w:t>
            </w:r>
            <w:r>
              <w:rPr>
                <w:rFonts w:hint="eastAsia" w:ascii="宋体" w:hAnsi="宋体" w:eastAsia="宋体" w:cs="宋体"/>
                <w:color w:val="auto"/>
                <w:sz w:val="21"/>
                <w:szCs w:val="21"/>
                <w:highlight w:val="none"/>
              </w:rPr>
              <w:t>眼科、创面</w:t>
            </w:r>
            <w:r>
              <w:rPr>
                <w:rFonts w:hint="eastAsia" w:ascii="宋体" w:hAnsi="宋体" w:eastAsia="宋体" w:cs="宋体"/>
                <w:color w:val="auto"/>
                <w:sz w:val="21"/>
                <w:szCs w:val="21"/>
                <w:highlight w:val="none"/>
                <w:lang w:eastAsia="zh-CN"/>
              </w:rPr>
              <w:t>腾挪</w:t>
            </w:r>
            <w:r>
              <w:rPr>
                <w:rFonts w:hint="eastAsia" w:ascii="宋体" w:hAnsi="宋体" w:eastAsia="宋体" w:cs="宋体"/>
                <w:color w:val="auto"/>
                <w:sz w:val="21"/>
                <w:szCs w:val="21"/>
                <w:highlight w:val="none"/>
              </w:rPr>
              <w:t>至4层东侧</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转，5层东西</w:t>
            </w:r>
            <w:r>
              <w:rPr>
                <w:rFonts w:hint="eastAsia" w:ascii="宋体" w:hAnsi="宋体" w:eastAsia="宋体" w:cs="宋体"/>
                <w:color w:val="auto"/>
                <w:sz w:val="21"/>
                <w:szCs w:val="21"/>
                <w:highlight w:val="none"/>
                <w:lang w:eastAsia="zh-CN"/>
              </w:rPr>
              <w:t>两</w:t>
            </w:r>
            <w:r>
              <w:rPr>
                <w:rFonts w:hint="eastAsia" w:ascii="宋体" w:hAnsi="宋体" w:eastAsia="宋体" w:cs="宋体"/>
                <w:color w:val="auto"/>
                <w:sz w:val="21"/>
                <w:szCs w:val="21"/>
                <w:highlight w:val="none"/>
              </w:rPr>
              <w:t>侧腾空改造</w:t>
            </w:r>
            <w:r>
              <w:rPr>
                <w:rFonts w:hint="eastAsia" w:ascii="宋体" w:hAnsi="宋体" w:eastAsia="宋体" w:cs="宋体"/>
                <w:color w:val="auto"/>
                <w:sz w:val="21"/>
                <w:szCs w:val="21"/>
                <w:highlight w:val="none"/>
                <w:lang w:eastAsia="zh-CN"/>
              </w:rPr>
              <w:t>后</w:t>
            </w:r>
            <w:r>
              <w:rPr>
                <w:rFonts w:hint="eastAsia" w:ascii="宋体" w:hAnsi="宋体" w:eastAsia="宋体" w:cs="宋体"/>
                <w:color w:val="auto"/>
                <w:sz w:val="21"/>
                <w:szCs w:val="21"/>
                <w:highlight w:val="none"/>
              </w:rPr>
              <w:t>回迁</w:t>
            </w:r>
          </w:p>
        </w:tc>
        <w:tc>
          <w:tcPr>
            <w:tcW w:w="1675"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3E4F7931">
            <w:pPr>
              <w:pStyle w:val="24"/>
              <w:keepNext w:val="0"/>
              <w:keepLines w:val="0"/>
              <w:widowControl/>
              <w:suppressLineNumbers w:val="0"/>
              <w:kinsoku/>
              <w:wordWrap/>
              <w:overflow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3个月</w:t>
            </w:r>
          </w:p>
        </w:tc>
      </w:tr>
      <w:tr w14:paraId="6EBBB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2" w:hRule="atLeast"/>
          <w:jc w:val="center"/>
        </w:trPr>
        <w:tc>
          <w:tcPr>
            <w:tcW w:w="91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5B304A22">
            <w:pPr>
              <w:pStyle w:val="24"/>
              <w:keepNext w:val="0"/>
              <w:keepLines w:val="0"/>
              <w:widowControl/>
              <w:suppressLineNumbers w:val="0"/>
              <w:kinsoku/>
              <w:wordWrap/>
              <w:overflowPun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9</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0E86D402">
            <w:pPr>
              <w:pStyle w:val="24"/>
              <w:keepNext w:val="0"/>
              <w:keepLines w:val="0"/>
              <w:widowControl/>
              <w:suppressLineNumbers w:val="0"/>
              <w:kinsoku/>
              <w:wordWrap/>
              <w:overflowPun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2026年12月~2027年2月</w:t>
            </w:r>
          </w:p>
        </w:tc>
        <w:tc>
          <w:tcPr>
            <w:tcW w:w="537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6193EABC">
            <w:pPr>
              <w:pStyle w:val="24"/>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3层附楼延伸区域（内分泌门诊）</w:t>
            </w:r>
            <w:r>
              <w:rPr>
                <w:rFonts w:hint="eastAsia" w:ascii="宋体" w:hAnsi="宋体" w:eastAsia="宋体" w:cs="宋体"/>
                <w:color w:val="auto"/>
                <w:sz w:val="21"/>
                <w:szCs w:val="21"/>
                <w:highlight w:val="none"/>
                <w:lang w:eastAsia="zh-CN"/>
              </w:rPr>
              <w:t>腾挪</w:t>
            </w:r>
            <w:r>
              <w:rPr>
                <w:rFonts w:hint="eastAsia" w:ascii="宋体" w:hAnsi="宋体" w:eastAsia="宋体" w:cs="宋体"/>
                <w:color w:val="auto"/>
                <w:sz w:val="21"/>
                <w:szCs w:val="21"/>
                <w:highlight w:val="none"/>
              </w:rPr>
              <w:t>至4层西侧</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转，3层附楼内科</w:t>
            </w:r>
            <w:r>
              <w:rPr>
                <w:rFonts w:hint="eastAsia" w:ascii="宋体" w:hAnsi="宋体" w:eastAsia="宋体" w:cs="宋体"/>
                <w:color w:val="auto"/>
                <w:sz w:val="21"/>
                <w:szCs w:val="21"/>
                <w:highlight w:val="none"/>
                <w:lang w:eastAsia="zh-CN"/>
              </w:rPr>
              <w:t>腾挪</w:t>
            </w:r>
            <w:r>
              <w:rPr>
                <w:rFonts w:hint="eastAsia" w:ascii="宋体" w:hAnsi="宋体" w:eastAsia="宋体" w:cs="宋体"/>
                <w:color w:val="auto"/>
                <w:sz w:val="21"/>
                <w:szCs w:val="21"/>
                <w:highlight w:val="none"/>
              </w:rPr>
              <w:t>至4层东侧</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转，</w:t>
            </w:r>
            <w:r>
              <w:rPr>
                <w:rFonts w:hint="eastAsia" w:ascii="宋体" w:hAnsi="宋体" w:eastAsia="宋体" w:cs="宋体"/>
                <w:color w:val="auto"/>
                <w:sz w:val="21"/>
                <w:szCs w:val="21"/>
                <w:highlight w:val="none"/>
                <w:lang w:val="en-US" w:eastAsia="zh-CN"/>
              </w:rPr>
              <w:t>3层附楼、3层附楼延伸区域</w:t>
            </w:r>
            <w:r>
              <w:rPr>
                <w:rFonts w:hint="eastAsia" w:ascii="宋体" w:hAnsi="宋体" w:eastAsia="宋体" w:cs="宋体"/>
                <w:color w:val="auto"/>
                <w:sz w:val="21"/>
                <w:szCs w:val="21"/>
                <w:highlight w:val="none"/>
              </w:rPr>
              <w:t>腾空改造</w:t>
            </w:r>
            <w:r>
              <w:rPr>
                <w:rFonts w:hint="eastAsia" w:ascii="宋体" w:hAnsi="宋体" w:eastAsia="宋体" w:cs="宋体"/>
                <w:color w:val="auto"/>
                <w:sz w:val="21"/>
                <w:szCs w:val="21"/>
                <w:highlight w:val="none"/>
                <w:lang w:eastAsia="zh-CN"/>
              </w:rPr>
              <w:t>后</w:t>
            </w:r>
            <w:r>
              <w:rPr>
                <w:rFonts w:hint="eastAsia" w:ascii="宋体" w:hAnsi="宋体" w:eastAsia="宋体" w:cs="宋体"/>
                <w:color w:val="auto"/>
                <w:sz w:val="21"/>
                <w:szCs w:val="21"/>
                <w:highlight w:val="none"/>
              </w:rPr>
              <w:t>回迁</w:t>
            </w:r>
          </w:p>
        </w:tc>
        <w:tc>
          <w:tcPr>
            <w:tcW w:w="1675"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16DC9522">
            <w:pPr>
              <w:pStyle w:val="24"/>
              <w:keepNext w:val="0"/>
              <w:keepLines w:val="0"/>
              <w:widowControl/>
              <w:suppressLineNumbers w:val="0"/>
              <w:kinsoku/>
              <w:wordWrap/>
              <w:overflow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3个月</w:t>
            </w:r>
          </w:p>
        </w:tc>
      </w:tr>
      <w:tr w14:paraId="10A70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2" w:hRule="atLeast"/>
          <w:jc w:val="center"/>
        </w:trPr>
        <w:tc>
          <w:tcPr>
            <w:tcW w:w="91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34FDAE6E">
            <w:pPr>
              <w:pStyle w:val="24"/>
              <w:keepNext w:val="0"/>
              <w:keepLines w:val="0"/>
              <w:widowControl/>
              <w:suppressLineNumbers w:val="0"/>
              <w:kinsoku/>
              <w:wordWrap/>
              <w:overflowPun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10</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3AC7EAD8">
            <w:pPr>
              <w:pStyle w:val="24"/>
              <w:keepNext w:val="0"/>
              <w:keepLines w:val="0"/>
              <w:widowControl/>
              <w:suppressLineNumbers w:val="0"/>
              <w:kinsoku/>
              <w:wordWrap/>
              <w:overflowPun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2027年3月~2027年5月</w:t>
            </w:r>
          </w:p>
        </w:tc>
        <w:tc>
          <w:tcPr>
            <w:tcW w:w="537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19ED140E">
            <w:pPr>
              <w:pStyle w:val="24"/>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4层附楼延伸区域(</w:t>
            </w:r>
            <w:r>
              <w:rPr>
                <w:rFonts w:hint="eastAsia" w:ascii="宋体" w:hAnsi="宋体" w:eastAsia="宋体" w:cs="宋体"/>
                <w:color w:val="auto"/>
                <w:sz w:val="21"/>
                <w:szCs w:val="21"/>
                <w:highlight w:val="none"/>
                <w:lang w:val="en-US" w:eastAsia="zh-CN"/>
              </w:rPr>
              <w:t>保健、</w:t>
            </w:r>
            <w:r>
              <w:rPr>
                <w:rFonts w:hint="eastAsia" w:ascii="宋体" w:hAnsi="宋体" w:eastAsia="宋体" w:cs="宋体"/>
                <w:color w:val="auto"/>
                <w:sz w:val="21"/>
                <w:szCs w:val="21"/>
                <w:highlight w:val="none"/>
              </w:rPr>
              <w:t>疼痛、肿瘤</w:t>
            </w:r>
            <w:r>
              <w:rPr>
                <w:rFonts w:hint="eastAsia" w:ascii="宋体" w:hAnsi="宋体" w:eastAsia="宋体" w:cs="宋体"/>
                <w:color w:val="auto"/>
                <w:sz w:val="21"/>
                <w:szCs w:val="21"/>
                <w:highlight w:val="none"/>
                <w:lang w:val="en-US" w:eastAsia="zh-CN"/>
              </w:rPr>
              <w:t>门诊</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腾挪</w:t>
            </w:r>
            <w:r>
              <w:rPr>
                <w:rFonts w:hint="eastAsia" w:ascii="宋体" w:hAnsi="宋体" w:eastAsia="宋体" w:cs="宋体"/>
                <w:color w:val="auto"/>
                <w:sz w:val="21"/>
                <w:szCs w:val="21"/>
                <w:highlight w:val="none"/>
              </w:rPr>
              <w:t>至4层西侧</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转</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5层附楼B超保留临时扩容并腾挪至4层东侧</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转</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4层附楼延伸</w:t>
            </w:r>
            <w:r>
              <w:rPr>
                <w:rFonts w:hint="eastAsia" w:ascii="宋体" w:hAnsi="宋体" w:eastAsia="宋体" w:cs="宋体"/>
                <w:color w:val="auto"/>
                <w:sz w:val="21"/>
                <w:szCs w:val="21"/>
                <w:highlight w:val="none"/>
              </w:rPr>
              <w:t>区域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5层附楼</w:t>
            </w:r>
            <w:r>
              <w:rPr>
                <w:rFonts w:hint="eastAsia" w:ascii="宋体" w:hAnsi="宋体" w:eastAsia="宋体" w:cs="宋体"/>
                <w:color w:val="auto"/>
                <w:sz w:val="21"/>
                <w:szCs w:val="21"/>
                <w:highlight w:val="none"/>
              </w:rPr>
              <w:t>腾空改造</w:t>
            </w:r>
            <w:r>
              <w:rPr>
                <w:rFonts w:hint="eastAsia" w:ascii="宋体" w:hAnsi="宋体" w:eastAsia="宋体" w:cs="宋体"/>
                <w:color w:val="auto"/>
                <w:sz w:val="21"/>
                <w:szCs w:val="21"/>
                <w:highlight w:val="none"/>
                <w:lang w:eastAsia="zh-CN"/>
              </w:rPr>
              <w:t>后</w:t>
            </w:r>
            <w:r>
              <w:rPr>
                <w:rFonts w:hint="eastAsia" w:ascii="宋体" w:hAnsi="宋体" w:eastAsia="宋体" w:cs="宋体"/>
                <w:color w:val="auto"/>
                <w:sz w:val="21"/>
                <w:szCs w:val="21"/>
                <w:highlight w:val="none"/>
              </w:rPr>
              <w:t>回迁</w:t>
            </w:r>
          </w:p>
        </w:tc>
        <w:tc>
          <w:tcPr>
            <w:tcW w:w="1675"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00F8EA7A">
            <w:pPr>
              <w:pStyle w:val="24"/>
              <w:keepNext w:val="0"/>
              <w:keepLines w:val="0"/>
              <w:widowControl/>
              <w:suppressLineNumbers w:val="0"/>
              <w:kinsoku/>
              <w:wordWrap/>
              <w:overflow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3个月</w:t>
            </w:r>
          </w:p>
        </w:tc>
      </w:tr>
      <w:tr w14:paraId="59B11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91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501991DD">
            <w:pPr>
              <w:pStyle w:val="24"/>
              <w:keepNext w:val="0"/>
              <w:keepLines w:val="0"/>
              <w:widowControl/>
              <w:suppressLineNumbers w:val="0"/>
              <w:kinsoku/>
              <w:wordWrap/>
              <w:overflowPun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51879EE8">
            <w:pPr>
              <w:pStyle w:val="24"/>
              <w:keepNext w:val="0"/>
              <w:keepLines w:val="0"/>
              <w:widowControl/>
              <w:suppressLineNumbers w:val="0"/>
              <w:kinsoku/>
              <w:wordWrap/>
              <w:overflowPun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2027年6月~2027年8月</w:t>
            </w:r>
          </w:p>
        </w:tc>
        <w:tc>
          <w:tcPr>
            <w:tcW w:w="537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2D66546E">
            <w:pPr>
              <w:pStyle w:val="24"/>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6层西侧皮肤科搬至4层西侧</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转，</w:t>
            </w:r>
            <w:r>
              <w:rPr>
                <w:rFonts w:hint="eastAsia" w:ascii="宋体" w:hAnsi="宋体" w:eastAsia="宋体" w:cs="宋体"/>
                <w:color w:val="auto"/>
                <w:sz w:val="21"/>
                <w:szCs w:val="21"/>
                <w:highlight w:val="none"/>
                <w:lang w:val="en-US" w:eastAsia="zh-CN"/>
              </w:rPr>
              <w:t>7层西北侧心电图室</w:t>
            </w:r>
            <w:r>
              <w:rPr>
                <w:rFonts w:hint="eastAsia" w:ascii="宋体" w:hAnsi="宋体" w:eastAsia="宋体" w:cs="宋体"/>
                <w:color w:val="auto"/>
                <w:sz w:val="21"/>
                <w:szCs w:val="21"/>
                <w:highlight w:val="none"/>
              </w:rPr>
              <w:t>搬至4层</w:t>
            </w:r>
            <w:r>
              <w:rPr>
                <w:rFonts w:hint="eastAsia" w:ascii="宋体" w:hAnsi="宋体" w:eastAsia="宋体" w:cs="宋体"/>
                <w:color w:val="auto"/>
                <w:sz w:val="21"/>
                <w:szCs w:val="21"/>
                <w:highlight w:val="none"/>
                <w:lang w:eastAsia="zh-CN"/>
              </w:rPr>
              <w:t>东</w:t>
            </w:r>
            <w:r>
              <w:rPr>
                <w:rFonts w:hint="eastAsia" w:ascii="宋体" w:hAnsi="宋体" w:eastAsia="宋体" w:cs="宋体"/>
                <w:color w:val="auto"/>
                <w:sz w:val="21"/>
                <w:szCs w:val="21"/>
                <w:highlight w:val="none"/>
              </w:rPr>
              <w:t>侧</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转</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6层西侧</w:t>
            </w:r>
            <w:r>
              <w:rPr>
                <w:rFonts w:hint="eastAsia" w:ascii="宋体" w:hAnsi="宋体" w:eastAsia="宋体" w:cs="宋体"/>
                <w:color w:val="auto"/>
                <w:sz w:val="21"/>
                <w:szCs w:val="21"/>
                <w:highlight w:val="none"/>
                <w:lang w:val="en-US" w:eastAsia="zh-CN"/>
              </w:rPr>
              <w:t>7层西北侧</w:t>
            </w:r>
            <w:r>
              <w:rPr>
                <w:rFonts w:hint="eastAsia" w:ascii="宋体" w:hAnsi="宋体" w:eastAsia="宋体" w:cs="宋体"/>
                <w:color w:val="auto"/>
                <w:sz w:val="21"/>
                <w:szCs w:val="21"/>
                <w:highlight w:val="none"/>
              </w:rPr>
              <w:t>腾空改造</w:t>
            </w:r>
            <w:r>
              <w:rPr>
                <w:rFonts w:hint="eastAsia" w:ascii="宋体" w:hAnsi="宋体" w:eastAsia="宋体" w:cs="宋体"/>
                <w:color w:val="auto"/>
                <w:sz w:val="21"/>
                <w:szCs w:val="21"/>
                <w:highlight w:val="none"/>
                <w:lang w:eastAsia="zh-CN"/>
              </w:rPr>
              <w:t>后</w:t>
            </w:r>
            <w:r>
              <w:rPr>
                <w:rFonts w:hint="eastAsia" w:ascii="宋体" w:hAnsi="宋体" w:eastAsia="宋体" w:cs="宋体"/>
                <w:color w:val="auto"/>
                <w:sz w:val="21"/>
                <w:szCs w:val="21"/>
                <w:highlight w:val="none"/>
              </w:rPr>
              <w:t>回迁</w:t>
            </w:r>
            <w:r>
              <w:rPr>
                <w:rFonts w:hint="eastAsia" w:ascii="宋体" w:hAnsi="宋体" w:eastAsia="宋体" w:cs="宋体"/>
                <w:color w:val="auto"/>
                <w:sz w:val="21"/>
                <w:szCs w:val="21"/>
                <w:highlight w:val="none"/>
                <w:lang w:eastAsia="zh-CN"/>
              </w:rPr>
              <w:t>。</w:t>
            </w:r>
          </w:p>
        </w:tc>
        <w:tc>
          <w:tcPr>
            <w:tcW w:w="1675"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26BB2085">
            <w:pPr>
              <w:pStyle w:val="24"/>
              <w:keepNext w:val="0"/>
              <w:keepLines w:val="0"/>
              <w:widowControl/>
              <w:suppressLineNumbers w:val="0"/>
              <w:kinsoku/>
              <w:wordWrap/>
              <w:overflow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3个月</w:t>
            </w:r>
          </w:p>
        </w:tc>
      </w:tr>
      <w:tr w14:paraId="071BA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8" w:hRule="atLeast"/>
          <w:jc w:val="center"/>
        </w:trPr>
        <w:tc>
          <w:tcPr>
            <w:tcW w:w="91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72E599CD">
            <w:pPr>
              <w:pStyle w:val="24"/>
              <w:keepNext w:val="0"/>
              <w:keepLines w:val="0"/>
              <w:widowControl/>
              <w:suppressLineNumbers w:val="0"/>
              <w:kinsoku/>
              <w:wordWrap/>
              <w:overflowPun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68FC89CA">
            <w:pPr>
              <w:pStyle w:val="24"/>
              <w:keepNext w:val="0"/>
              <w:keepLines w:val="0"/>
              <w:widowControl/>
              <w:suppressLineNumbers w:val="0"/>
              <w:kinsoku/>
              <w:wordWrap/>
              <w:overflowPun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2027年</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月~2027年</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月</w:t>
            </w:r>
          </w:p>
        </w:tc>
        <w:tc>
          <w:tcPr>
            <w:tcW w:w="537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2D347461">
            <w:pPr>
              <w:pStyle w:val="24"/>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3层西侧神经科</w:t>
            </w:r>
            <w:r>
              <w:rPr>
                <w:rFonts w:hint="eastAsia" w:ascii="宋体" w:hAnsi="宋体" w:eastAsia="宋体" w:cs="宋体"/>
                <w:color w:val="auto"/>
                <w:sz w:val="21"/>
                <w:szCs w:val="21"/>
                <w:highlight w:val="none"/>
                <w:lang w:eastAsia="zh-CN"/>
              </w:rPr>
              <w:t>针灸科</w:t>
            </w:r>
            <w:r>
              <w:rPr>
                <w:rFonts w:hint="eastAsia" w:ascii="宋体" w:hAnsi="宋体" w:eastAsia="宋体" w:cs="宋体"/>
                <w:color w:val="auto"/>
                <w:sz w:val="21"/>
                <w:szCs w:val="21"/>
                <w:highlight w:val="none"/>
              </w:rPr>
              <w:t>门诊</w:t>
            </w:r>
            <w:r>
              <w:rPr>
                <w:rFonts w:hint="eastAsia" w:ascii="宋体" w:hAnsi="宋体" w:eastAsia="宋体" w:cs="宋体"/>
                <w:color w:val="auto"/>
                <w:sz w:val="21"/>
                <w:szCs w:val="21"/>
                <w:highlight w:val="none"/>
                <w:lang w:eastAsia="zh-CN"/>
              </w:rPr>
              <w:t>腾挪</w:t>
            </w:r>
            <w:r>
              <w:rPr>
                <w:rFonts w:hint="eastAsia" w:ascii="宋体" w:hAnsi="宋体" w:eastAsia="宋体" w:cs="宋体"/>
                <w:color w:val="auto"/>
                <w:sz w:val="21"/>
                <w:szCs w:val="21"/>
                <w:highlight w:val="none"/>
              </w:rPr>
              <w:t>至4层西侧</w:t>
            </w:r>
            <w:r>
              <w:rPr>
                <w:rFonts w:hint="eastAsia" w:ascii="宋体" w:hAnsi="宋体" w:eastAsia="宋体" w:cs="宋体"/>
                <w:color w:val="auto"/>
                <w:sz w:val="21"/>
                <w:szCs w:val="21"/>
                <w:highlight w:val="none"/>
                <w:lang w:val="en-US" w:eastAsia="zh-CN"/>
              </w:rPr>
              <w:t>中转</w:t>
            </w:r>
            <w:r>
              <w:rPr>
                <w:rFonts w:hint="eastAsia" w:ascii="宋体" w:hAnsi="宋体" w:eastAsia="宋体" w:cs="宋体"/>
                <w:color w:val="auto"/>
                <w:sz w:val="21"/>
                <w:szCs w:val="21"/>
                <w:highlight w:val="none"/>
              </w:rPr>
              <w:t>；3层东侧内科门诊</w:t>
            </w:r>
            <w:r>
              <w:rPr>
                <w:rFonts w:hint="eastAsia" w:ascii="宋体" w:hAnsi="宋体" w:eastAsia="宋体" w:cs="宋体"/>
                <w:color w:val="auto"/>
                <w:sz w:val="21"/>
                <w:szCs w:val="21"/>
                <w:highlight w:val="none"/>
                <w:lang w:eastAsia="zh-CN"/>
              </w:rPr>
              <w:t>腾挪</w:t>
            </w:r>
            <w:r>
              <w:rPr>
                <w:rFonts w:hint="eastAsia" w:ascii="宋体" w:hAnsi="宋体" w:eastAsia="宋体" w:cs="宋体"/>
                <w:color w:val="auto"/>
                <w:sz w:val="21"/>
                <w:szCs w:val="21"/>
                <w:highlight w:val="none"/>
              </w:rPr>
              <w:t>至4层东侧</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转</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3层东西两侧腾空改造</w:t>
            </w:r>
            <w:r>
              <w:rPr>
                <w:rFonts w:hint="eastAsia" w:ascii="宋体" w:hAnsi="宋体" w:eastAsia="宋体" w:cs="宋体"/>
                <w:color w:val="auto"/>
                <w:sz w:val="21"/>
                <w:szCs w:val="21"/>
                <w:highlight w:val="none"/>
                <w:lang w:eastAsia="zh-CN"/>
              </w:rPr>
              <w:t>后回迁（针灸科除外）</w:t>
            </w:r>
          </w:p>
        </w:tc>
        <w:tc>
          <w:tcPr>
            <w:tcW w:w="1675"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491B7640">
            <w:pPr>
              <w:pStyle w:val="24"/>
              <w:keepNext w:val="0"/>
              <w:keepLines w:val="0"/>
              <w:widowControl/>
              <w:suppressLineNumbers w:val="0"/>
              <w:kinsoku/>
              <w:wordWrap/>
              <w:overflow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3个月</w:t>
            </w:r>
          </w:p>
        </w:tc>
      </w:tr>
      <w:tr w14:paraId="6A9E9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2" w:hRule="atLeast"/>
          <w:jc w:val="center"/>
        </w:trPr>
        <w:tc>
          <w:tcPr>
            <w:tcW w:w="91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5A98997F">
            <w:pPr>
              <w:pStyle w:val="24"/>
              <w:keepNext w:val="0"/>
              <w:keepLines w:val="0"/>
              <w:widowControl/>
              <w:suppressLineNumbers w:val="0"/>
              <w:kinsoku/>
              <w:wordWrap/>
              <w:overflowPun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13</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62AC6080">
            <w:pPr>
              <w:pStyle w:val="24"/>
              <w:keepNext w:val="0"/>
              <w:keepLines w:val="0"/>
              <w:widowControl/>
              <w:suppressLineNumbers w:val="0"/>
              <w:kinsoku/>
              <w:wordWrap/>
              <w:overflowPun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p>
        </w:tc>
        <w:tc>
          <w:tcPr>
            <w:tcW w:w="537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5B384039">
            <w:pPr>
              <w:pStyle w:val="24"/>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总体</w:t>
            </w:r>
            <w:r>
              <w:rPr>
                <w:rFonts w:hint="eastAsia" w:ascii="宋体" w:hAnsi="宋体" w:eastAsia="宋体" w:cs="宋体"/>
                <w:b/>
                <w:bCs/>
                <w:color w:val="auto"/>
                <w:sz w:val="21"/>
                <w:szCs w:val="21"/>
                <w:highlight w:val="none"/>
                <w:lang w:val="en-US" w:eastAsia="zh-CN"/>
              </w:rPr>
              <w:t>中转完成，4层东西两侧再作简单修缮</w:t>
            </w:r>
          </w:p>
          <w:p w14:paraId="529BAA01">
            <w:pPr>
              <w:pStyle w:val="24"/>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中医科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正骨</w:t>
            </w:r>
            <w:r>
              <w:rPr>
                <w:rFonts w:hint="eastAsia" w:ascii="宋体" w:hAnsi="宋体" w:eastAsia="宋体" w:cs="宋体"/>
                <w:color w:val="auto"/>
                <w:sz w:val="21"/>
                <w:szCs w:val="21"/>
                <w:highlight w:val="none"/>
                <w:lang w:eastAsia="zh-CN"/>
              </w:rPr>
              <w:t>科从</w:t>
            </w:r>
            <w:r>
              <w:rPr>
                <w:rFonts w:hint="eastAsia" w:ascii="宋体" w:hAnsi="宋体" w:eastAsia="宋体" w:cs="宋体"/>
                <w:color w:val="auto"/>
                <w:sz w:val="21"/>
                <w:szCs w:val="21"/>
                <w:highlight w:val="none"/>
                <w:lang w:val="en-US" w:eastAsia="zh-CN"/>
              </w:rPr>
              <w:t>8层东侧</w:t>
            </w:r>
            <w:r>
              <w:rPr>
                <w:rFonts w:hint="eastAsia" w:ascii="宋体" w:hAnsi="宋体" w:eastAsia="宋体" w:cs="宋体"/>
                <w:color w:val="auto"/>
                <w:sz w:val="21"/>
                <w:szCs w:val="21"/>
                <w:highlight w:val="none"/>
              </w:rPr>
              <w:t>回迁</w:t>
            </w:r>
            <w:r>
              <w:rPr>
                <w:rFonts w:hint="eastAsia" w:ascii="宋体" w:hAnsi="宋体" w:eastAsia="宋体" w:cs="宋体"/>
                <w:color w:val="auto"/>
                <w:sz w:val="21"/>
                <w:szCs w:val="21"/>
                <w:highlight w:val="none"/>
                <w:lang w:eastAsia="zh-CN"/>
              </w:rPr>
              <w:t>至</w:t>
            </w:r>
            <w:r>
              <w:rPr>
                <w:rFonts w:hint="eastAsia" w:ascii="宋体" w:hAnsi="宋体" w:eastAsia="宋体" w:cs="宋体"/>
                <w:color w:val="auto"/>
                <w:sz w:val="21"/>
                <w:szCs w:val="21"/>
                <w:highlight w:val="none"/>
              </w:rPr>
              <w:t>4层东侧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4层西侧用于外科门诊扩容和针灸科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8层东侧</w:t>
            </w:r>
            <w:r>
              <w:rPr>
                <w:rFonts w:hint="eastAsia" w:ascii="宋体" w:hAnsi="宋体" w:eastAsia="宋体" w:cs="宋体"/>
                <w:color w:val="auto"/>
                <w:sz w:val="21"/>
                <w:szCs w:val="21"/>
                <w:highlight w:val="none"/>
                <w:lang w:eastAsia="zh-CN"/>
              </w:rPr>
              <w:t>再</w:t>
            </w:r>
            <w:r>
              <w:rPr>
                <w:rFonts w:hint="eastAsia" w:ascii="宋体" w:hAnsi="宋体" w:eastAsia="宋体" w:cs="宋体"/>
                <w:color w:val="auto"/>
                <w:sz w:val="21"/>
                <w:szCs w:val="21"/>
                <w:highlight w:val="none"/>
                <w:lang w:val="en-US" w:eastAsia="zh-CN"/>
              </w:rPr>
              <w:t>简单修缮后用于标准门诊扩容；</w:t>
            </w:r>
          </w:p>
        </w:tc>
        <w:tc>
          <w:tcPr>
            <w:tcW w:w="1675"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28419D6F">
            <w:pPr>
              <w:pStyle w:val="24"/>
              <w:keepNext w:val="0"/>
              <w:keepLines w:val="0"/>
              <w:widowControl/>
              <w:suppressLineNumbers w:val="0"/>
              <w:kinsoku/>
              <w:wordWrap/>
              <w:overflow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个月</w:t>
            </w:r>
          </w:p>
        </w:tc>
      </w:tr>
      <w:tr w14:paraId="4E27D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91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5717C175">
            <w:pPr>
              <w:pStyle w:val="24"/>
              <w:keepNext w:val="0"/>
              <w:keepLines w:val="0"/>
              <w:widowControl/>
              <w:suppressLineNumbers w:val="0"/>
              <w:kinsoku/>
              <w:wordWrap/>
              <w:overflowPun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14</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1C03EEFD">
            <w:pPr>
              <w:pStyle w:val="24"/>
              <w:keepNext w:val="0"/>
              <w:keepLines w:val="0"/>
              <w:widowControl/>
              <w:suppressLineNumbers w:val="0"/>
              <w:kinsoku/>
              <w:wordWrap/>
              <w:overflowPun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2026年3月~2027年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p>
        </w:tc>
        <w:tc>
          <w:tcPr>
            <w:tcW w:w="537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78EA19B8">
            <w:pPr>
              <w:pStyle w:val="24"/>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口腔</w:t>
            </w:r>
            <w:r>
              <w:rPr>
                <w:rFonts w:hint="eastAsia" w:ascii="宋体" w:hAnsi="宋体" w:eastAsia="宋体" w:cs="宋体"/>
                <w:color w:val="auto"/>
                <w:sz w:val="21"/>
                <w:szCs w:val="21"/>
                <w:highlight w:val="none"/>
                <w:lang w:eastAsia="zh-CN"/>
              </w:rPr>
              <w:t>科</w:t>
            </w:r>
            <w:r>
              <w:rPr>
                <w:rFonts w:hint="eastAsia" w:ascii="宋体" w:hAnsi="宋体" w:eastAsia="宋体" w:cs="宋体"/>
                <w:color w:val="auto"/>
                <w:sz w:val="21"/>
                <w:szCs w:val="21"/>
                <w:highlight w:val="none"/>
              </w:rPr>
              <w:t>、康复</w:t>
            </w:r>
            <w:r>
              <w:rPr>
                <w:rFonts w:hint="eastAsia" w:ascii="宋体" w:hAnsi="宋体" w:eastAsia="宋体" w:cs="宋体"/>
                <w:color w:val="auto"/>
                <w:sz w:val="21"/>
                <w:szCs w:val="21"/>
                <w:highlight w:val="none"/>
                <w:lang w:eastAsia="zh-CN"/>
              </w:rPr>
              <w:t>科</w:t>
            </w:r>
            <w:r>
              <w:rPr>
                <w:rFonts w:hint="eastAsia" w:ascii="宋体" w:hAnsi="宋体" w:eastAsia="宋体" w:cs="宋体"/>
                <w:color w:val="auto"/>
                <w:sz w:val="21"/>
                <w:szCs w:val="21"/>
                <w:highlight w:val="none"/>
              </w:rPr>
              <w:t>门诊原位施工，科室内部互调施工作业区域</w:t>
            </w:r>
          </w:p>
        </w:tc>
        <w:tc>
          <w:tcPr>
            <w:tcW w:w="1675"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59F14793">
            <w:pPr>
              <w:pStyle w:val="24"/>
              <w:keepNext w:val="0"/>
              <w:keepLines w:val="0"/>
              <w:widowControl/>
              <w:suppressLineNumbers w:val="0"/>
              <w:kinsoku/>
              <w:wordWrap/>
              <w:overflow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与各层同步穿插进行，不计时间</w:t>
            </w:r>
          </w:p>
        </w:tc>
      </w:tr>
      <w:tr w14:paraId="3D361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3" w:hRule="atLeast"/>
          <w:jc w:val="center"/>
        </w:trPr>
        <w:tc>
          <w:tcPr>
            <w:tcW w:w="918"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7475A317">
            <w:pPr>
              <w:pStyle w:val="24"/>
              <w:keepNext w:val="0"/>
              <w:keepLines w:val="0"/>
              <w:widowControl/>
              <w:suppressLineNumbers w:val="0"/>
              <w:kinsoku/>
              <w:wordWrap/>
              <w:overflowPun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62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403122EB">
            <w:pPr>
              <w:pStyle w:val="24"/>
              <w:keepNext w:val="0"/>
              <w:keepLines w:val="0"/>
              <w:widowControl/>
              <w:suppressLineNumbers w:val="0"/>
              <w:kinsoku/>
              <w:wordWrap/>
              <w:overflow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2026年12月-2027年2月</w:t>
            </w:r>
          </w:p>
        </w:tc>
        <w:tc>
          <w:tcPr>
            <w:tcW w:w="537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16E75DE0">
            <w:pPr>
              <w:pStyle w:val="24"/>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二层中药房、西药房，冬季期间原位施工</w:t>
            </w:r>
          </w:p>
        </w:tc>
        <w:tc>
          <w:tcPr>
            <w:tcW w:w="1675"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14:paraId="13F4F1DB">
            <w:pPr>
              <w:pStyle w:val="24"/>
              <w:keepNext w:val="0"/>
              <w:keepLines w:val="0"/>
              <w:widowControl/>
              <w:suppressLineNumbers w:val="0"/>
              <w:kinsoku/>
              <w:wordWrap/>
              <w:overflow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3个月</w:t>
            </w:r>
          </w:p>
        </w:tc>
      </w:tr>
    </w:tbl>
    <w:p w14:paraId="5F4DCE95">
      <w:pPr>
        <w:rPr>
          <w:color w:val="auto"/>
          <w:highlight w:val="none"/>
        </w:rPr>
      </w:pPr>
    </w:p>
    <w:p w14:paraId="2B16A7C7">
      <w:pPr>
        <w:rPr>
          <w:color w:val="auto"/>
          <w:highlight w:val="none"/>
        </w:rPr>
      </w:pPr>
      <w:r>
        <w:rPr>
          <w:color w:val="auto"/>
          <w:highlight w:val="none"/>
        </w:rPr>
        <w:br w:type="page"/>
      </w:r>
    </w:p>
    <w:p w14:paraId="215CF55C">
      <w:pPr>
        <w:pStyle w:val="34"/>
        <w:rPr>
          <w:color w:val="auto"/>
          <w:highlight w:val="none"/>
        </w:rPr>
      </w:pPr>
    </w:p>
    <w:p w14:paraId="3151BE27">
      <w:pPr>
        <w:pStyle w:val="134"/>
        <w:outlineLvl w:val="0"/>
        <w:rPr>
          <w:rStyle w:val="127"/>
          <w:bCs/>
          <w:color w:val="auto"/>
          <w:highlight w:val="none"/>
        </w:rPr>
      </w:pPr>
      <w:bookmarkStart w:id="42" w:name="_Toc4449"/>
      <w:bookmarkStart w:id="43" w:name="_Toc185324330"/>
      <w:r>
        <w:rPr>
          <w:rStyle w:val="127"/>
          <w:bCs/>
          <w:color w:val="auto"/>
          <w:highlight w:val="none"/>
        </w:rPr>
        <w:t>第六章  图纸及勘察资料</w:t>
      </w:r>
      <w:bookmarkEnd w:id="42"/>
      <w:bookmarkEnd w:id="43"/>
    </w:p>
    <w:p w14:paraId="63C9F39A">
      <w:pPr>
        <w:spacing w:line="360" w:lineRule="auto"/>
        <w:jc w:val="center"/>
        <w:rPr>
          <w:rStyle w:val="127"/>
          <w:rFonts w:ascii="宋体" w:hAnsi="宋体"/>
          <w:color w:val="auto"/>
          <w:sz w:val="24"/>
          <w:szCs w:val="24"/>
          <w:highlight w:val="none"/>
        </w:rPr>
      </w:pPr>
      <w:r>
        <w:rPr>
          <w:rStyle w:val="127"/>
          <w:rFonts w:ascii="宋体" w:hAnsi="宋体"/>
          <w:color w:val="auto"/>
          <w:sz w:val="24"/>
          <w:szCs w:val="24"/>
          <w:highlight w:val="none"/>
        </w:rPr>
        <w:t>另册。</w:t>
      </w:r>
    </w:p>
    <w:p w14:paraId="60DCDA18">
      <w:pPr>
        <w:pStyle w:val="149"/>
        <w:rPr>
          <w:color w:val="auto"/>
          <w:highlight w:val="none"/>
        </w:rPr>
      </w:pPr>
    </w:p>
    <w:p w14:paraId="6277D533">
      <w:pPr>
        <w:pStyle w:val="149"/>
        <w:rPr>
          <w:color w:val="auto"/>
          <w:highlight w:val="none"/>
        </w:rPr>
      </w:pPr>
    </w:p>
    <w:p w14:paraId="359F74E7">
      <w:pPr>
        <w:pStyle w:val="149"/>
        <w:rPr>
          <w:rFonts w:hint="eastAsia"/>
          <w:color w:val="auto"/>
          <w:highlight w:val="none"/>
        </w:rPr>
      </w:pPr>
    </w:p>
    <w:p w14:paraId="7C016E6D">
      <w:pPr>
        <w:pStyle w:val="134"/>
        <w:outlineLvl w:val="0"/>
        <w:rPr>
          <w:rStyle w:val="127"/>
          <w:bCs/>
          <w:color w:val="auto"/>
          <w:highlight w:val="none"/>
        </w:rPr>
      </w:pPr>
      <w:bookmarkStart w:id="44" w:name="_Toc185324331"/>
      <w:r>
        <w:rPr>
          <w:rStyle w:val="127"/>
          <w:bCs/>
          <w:color w:val="auto"/>
          <w:highlight w:val="none"/>
        </w:rPr>
        <w:br w:type="page"/>
      </w:r>
      <w:bookmarkStart w:id="45" w:name="_Toc25680"/>
      <w:r>
        <w:rPr>
          <w:rStyle w:val="127"/>
          <w:bCs/>
          <w:color w:val="auto"/>
          <w:highlight w:val="none"/>
        </w:rPr>
        <w:t>第七章  工程量清单</w:t>
      </w:r>
      <w:bookmarkEnd w:id="44"/>
      <w:bookmarkEnd w:id="45"/>
    </w:p>
    <w:p w14:paraId="53C76CCE">
      <w:pPr>
        <w:pStyle w:val="120"/>
        <w:spacing w:after="0" w:line="360" w:lineRule="auto"/>
        <w:ind w:firstLine="0"/>
        <w:jc w:val="center"/>
        <w:rPr>
          <w:rStyle w:val="127"/>
          <w:rFonts w:ascii="宋体" w:hAnsi="宋体"/>
          <w:color w:val="auto"/>
          <w:sz w:val="24"/>
          <w:szCs w:val="24"/>
          <w:highlight w:val="none"/>
        </w:rPr>
      </w:pPr>
      <w:r>
        <w:rPr>
          <w:rStyle w:val="127"/>
          <w:rFonts w:ascii="宋体" w:hAnsi="宋体"/>
          <w:color w:val="auto"/>
          <w:sz w:val="24"/>
          <w:szCs w:val="24"/>
          <w:highlight w:val="none"/>
        </w:rPr>
        <w:t>另册。</w:t>
      </w:r>
    </w:p>
    <w:p w14:paraId="719029BD">
      <w:pPr>
        <w:pStyle w:val="120"/>
        <w:spacing w:after="0" w:line="360" w:lineRule="auto"/>
        <w:ind w:firstLine="0"/>
        <w:rPr>
          <w:rStyle w:val="127"/>
          <w:rFonts w:ascii="宋体" w:hAnsi="宋体"/>
          <w:color w:val="auto"/>
          <w:sz w:val="24"/>
          <w:szCs w:val="24"/>
          <w:highlight w:val="none"/>
        </w:rPr>
      </w:pPr>
    </w:p>
    <w:p w14:paraId="72B74147">
      <w:pPr>
        <w:pStyle w:val="120"/>
        <w:spacing w:after="0" w:line="360" w:lineRule="auto"/>
        <w:ind w:firstLine="0"/>
        <w:rPr>
          <w:rStyle w:val="127"/>
          <w:rFonts w:ascii="宋体" w:hAnsi="宋体"/>
          <w:color w:val="auto"/>
          <w:sz w:val="24"/>
          <w:szCs w:val="24"/>
          <w:highlight w:val="none"/>
        </w:rPr>
      </w:pPr>
    </w:p>
    <w:p w14:paraId="35F4E6D2">
      <w:pPr>
        <w:pStyle w:val="120"/>
        <w:spacing w:after="0" w:line="360" w:lineRule="auto"/>
        <w:ind w:firstLine="0"/>
        <w:rPr>
          <w:rStyle w:val="127"/>
          <w:rFonts w:ascii="宋体" w:hAnsi="宋体"/>
          <w:color w:val="auto"/>
          <w:sz w:val="24"/>
          <w:highlight w:val="none"/>
        </w:rPr>
      </w:pPr>
    </w:p>
    <w:p w14:paraId="6A043198">
      <w:pPr>
        <w:pStyle w:val="134"/>
        <w:outlineLvl w:val="0"/>
        <w:rPr>
          <w:rStyle w:val="127"/>
          <w:rFonts w:ascii="宋体" w:hAnsi="宋体"/>
          <w:bCs/>
          <w:color w:val="auto"/>
          <w:highlight w:val="none"/>
        </w:rPr>
      </w:pPr>
      <w:bookmarkStart w:id="46" w:name="_Toc185324332"/>
      <w:r>
        <w:rPr>
          <w:rStyle w:val="127"/>
          <w:rFonts w:ascii="宋体" w:hAnsi="宋体"/>
          <w:bCs/>
          <w:color w:val="auto"/>
          <w:highlight w:val="none"/>
        </w:rPr>
        <w:br w:type="page"/>
      </w:r>
      <w:bookmarkStart w:id="47" w:name="_Toc22109"/>
      <w:r>
        <w:rPr>
          <w:rStyle w:val="127"/>
          <w:rFonts w:ascii="宋体" w:hAnsi="宋体"/>
          <w:bCs/>
          <w:color w:val="auto"/>
          <w:highlight w:val="none"/>
        </w:rPr>
        <w:t>第八章  最高投标限价</w:t>
      </w:r>
      <w:bookmarkEnd w:id="46"/>
      <w:bookmarkEnd w:id="47"/>
    </w:p>
    <w:p w14:paraId="6FBB7C07">
      <w:pPr>
        <w:spacing w:line="360" w:lineRule="auto"/>
        <w:ind w:firstLine="480"/>
        <w:rPr>
          <w:rStyle w:val="127"/>
          <w:rFonts w:hint="eastAsia" w:ascii="宋体" w:hAnsi="宋体"/>
          <w:color w:val="auto"/>
          <w:sz w:val="24"/>
          <w:szCs w:val="24"/>
          <w:highlight w:val="none"/>
        </w:rPr>
      </w:pPr>
      <w:r>
        <w:rPr>
          <w:rStyle w:val="127"/>
          <w:rFonts w:ascii="宋体" w:hAnsi="宋体"/>
          <w:color w:val="auto"/>
          <w:sz w:val="24"/>
          <w:szCs w:val="24"/>
          <w:highlight w:val="none"/>
        </w:rPr>
        <w:t>招标人应当在发布招标文件时，公布最高投标限价的总价，分部分项工程费、措施项目费、其他项目费、规费和税金，以及</w:t>
      </w:r>
      <w:r>
        <w:rPr>
          <w:rStyle w:val="127"/>
          <w:rFonts w:hint="eastAsia" w:ascii="宋体" w:hAnsi="宋体"/>
          <w:color w:val="auto"/>
          <w:sz w:val="24"/>
          <w:szCs w:val="24"/>
          <w:highlight w:val="none"/>
          <w:lang w:eastAsia="zh-CN"/>
        </w:rPr>
        <w:t>安全生产措施费</w:t>
      </w:r>
      <w:r>
        <w:rPr>
          <w:rStyle w:val="127"/>
          <w:rFonts w:ascii="宋体" w:hAnsi="宋体"/>
          <w:color w:val="auto"/>
          <w:sz w:val="24"/>
          <w:szCs w:val="24"/>
          <w:highlight w:val="none"/>
        </w:rPr>
        <w:t>、暂列金额等投标人不可竞争的固定报价。</w:t>
      </w:r>
    </w:p>
    <w:p w14:paraId="01DC59B9">
      <w:pPr>
        <w:pStyle w:val="149"/>
        <w:spacing w:line="360" w:lineRule="auto"/>
        <w:rPr>
          <w:rFonts w:hint="eastAsia" w:ascii="宋体" w:hAnsi="宋体"/>
          <w:color w:val="auto"/>
          <w:highlight w:val="none"/>
        </w:rPr>
      </w:pPr>
    </w:p>
    <w:p w14:paraId="639B3C33">
      <w:pPr>
        <w:spacing w:line="360" w:lineRule="auto"/>
        <w:rPr>
          <w:rFonts w:ascii="宋体" w:hAnsi="宋体"/>
          <w:color w:val="auto"/>
          <w:highlight w:val="none"/>
        </w:rPr>
      </w:pPr>
      <w:r>
        <w:rPr>
          <w:rFonts w:hint="eastAsia" w:ascii="宋体" w:hAnsi="宋体"/>
          <w:color w:val="auto"/>
          <w:sz w:val="24"/>
          <w:szCs w:val="24"/>
          <w:highlight w:val="none"/>
        </w:rPr>
        <w:t>详见《最高投标限价公布函》</w:t>
      </w:r>
    </w:p>
    <w:p w14:paraId="0306D1B6">
      <w:pPr>
        <w:pStyle w:val="149"/>
        <w:spacing w:line="360" w:lineRule="auto"/>
        <w:rPr>
          <w:rFonts w:ascii="宋体" w:hAnsi="宋体"/>
          <w:color w:val="auto"/>
          <w:highlight w:val="none"/>
        </w:rPr>
      </w:pPr>
    </w:p>
    <w:sectPr>
      <w:footerReference r:id="rId24" w:type="default"/>
      <w:pgSz w:w="11906" w:h="16838"/>
      <w:pgMar w:top="1418" w:right="1418" w:bottom="1418" w:left="1418"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Calisto MT">
    <w:panose1 w:val="02040603050505030304"/>
    <w:charset w:val="00"/>
    <w:family w:val="roman"/>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B7DB9">
    <w:pPr>
      <w:pStyle w:val="19"/>
      <w:ind w:firstLine="392"/>
      <w:jc w:val="right"/>
      <w:rPr>
        <w:rStyle w:val="10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1F48E">
    <w:pPr>
      <w:pStyle w:val="19"/>
      <w:framePr w:wrap="around" w:vAnchor="margin" w:hAnchor="text" w:xAlign="outside" w:y="1"/>
      <w:rPr>
        <w:rStyle w:val="107"/>
      </w:rPr>
    </w:pPr>
  </w:p>
  <w:p w14:paraId="3BF00598">
    <w:pPr>
      <w:pStyle w:val="19"/>
      <w:ind w:right="360" w:firstLine="360"/>
      <w:jc w:val="center"/>
      <w:rPr>
        <w:rStyle w:val="127"/>
      </w:rPr>
    </w:pPr>
    <w:r>
      <w:rPr>
        <w:rStyle w:val="127"/>
        <w:sz w:val="20"/>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64701">
    <w:pPr>
      <w:pStyle w:val="19"/>
      <w:jc w:val="center"/>
      <w:rPr>
        <w:rStyle w:val="127"/>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CFC84C">
                          <w:pPr>
                            <w:pStyle w:val="19"/>
                          </w:pPr>
                          <w:r>
                            <w:t xml:space="preserve">第 </w:t>
                          </w:r>
                          <w:r>
                            <w:fldChar w:fldCharType="begin"/>
                          </w:r>
                          <w:r>
                            <w:instrText xml:space="preserve"> PAGE  \* MERGEFORMAT </w:instrText>
                          </w:r>
                          <w:r>
                            <w:fldChar w:fldCharType="separate"/>
                          </w:r>
                          <w:r>
                            <w:t>57</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hCMSt4BAAC/AwAADgAAAGRycy9lMm9Eb2MueG1srVPNjtMwEL4j8Q6W&#10;7zRpD6sqaroCqkVICJAWHsB1nMaS/+SZNikPAG/AiQt3nqvPwdhJurBc9sAlGc+Mv5nvm/HmdrCG&#10;nVQE7V3Nl4uSM+Wkb7Q71Pzzp7sXa84AhWuE8U7V/KyA326fP9v0oVIr33nTqMgIxEHVh5p3iKEq&#10;CpCdsgIWPihHwdZHK5CO8VA0UfSEbk2xKsubovexCdFLBUDe3RjkE2J8CqBvWy3VzsujVQ5H1KiM&#10;QKIEnQ7At7nbtlUSP7QtKGSm5sQU85eKkL1P32K7EdUhitBpObUgntLCI05WaEdFr1A7gYIdo/4H&#10;ymoZPfgWF9LbYiSSFSEWy/KRNvedCCpzIakhXEWH/wcr358+Rqabmt9w5oSlgV++f7v8+HX5+ZWt&#10;lkmfPkBFafeBEnF45QfamtkP5Ey0hzba9CdCjOKk7vmqrhqQyXRpvVqvSwpJis0Hwi8erocI+EZ5&#10;y5JR80jjy6qK0zvAMXVOSdWcv9PG5BEa95eDMJOnSL2PPSYLh/0wEdr75kx86B1Qnc7HL5z1tAU1&#10;d7T0nJm3jkROCzMbcTb2syGcpIs1R85G8zWOi3UMUR+6vGqpKQgvj0idZgKpjbH21B3NNUsw7WBa&#10;nD/POevh3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mEIxK3gEAAL8DAAAOAAAAAAAA&#10;AAEAIAAAAB4BAABkcnMvZTJvRG9jLnhtbFBLBQYAAAAABgAGAFkBAABuBQAAAAA=&#10;">
              <v:fill on="f" focussize="0,0"/>
              <v:stroke on="f"/>
              <v:imagedata o:title=""/>
              <o:lock v:ext="edit" aspectratio="f"/>
              <v:textbox inset="0mm,0mm,0mm,0mm" style="mso-fit-shape-to-text:t;">
                <w:txbxContent>
                  <w:p w14:paraId="17CFC84C">
                    <w:pPr>
                      <w:pStyle w:val="19"/>
                    </w:pPr>
                    <w:r>
                      <w:t xml:space="preserve">第 </w:t>
                    </w:r>
                    <w:r>
                      <w:fldChar w:fldCharType="begin"/>
                    </w:r>
                    <w:r>
                      <w:instrText xml:space="preserve"> PAGE  \* MERGEFORMAT </w:instrText>
                    </w:r>
                    <w:r>
                      <w:fldChar w:fldCharType="separate"/>
                    </w:r>
                    <w:r>
                      <w:t>57</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4C479">
    <w:pPr>
      <w:pStyle w:val="1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CBD7B8">
                          <w:pPr>
                            <w:pStyle w:val="19"/>
                          </w:pPr>
                          <w:r>
                            <w:t xml:space="preserve">第 </w:t>
                          </w:r>
                          <w:r>
                            <w:fldChar w:fldCharType="begin"/>
                          </w:r>
                          <w:r>
                            <w:instrText xml:space="preserve"> PAGE  \* MERGEFORMAT </w:instrText>
                          </w:r>
                          <w:r>
                            <w:fldChar w:fldCharType="separate"/>
                          </w:r>
                          <w:r>
                            <w:t>81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GSNo94BAAC/AwAADgAAAGRycy9lMm9Eb2MueG1srVPBjtMwEL0j8Q+W&#10;7zTZHJaqarqCrRYhIUBa+ADXcRpLtscau03KB8AfcOLCne/qdzB2ki4slz1wScYz4zfz3ozXN4M1&#10;7KgwaHA1v1qUnCknodFuX/PPn+5eLDkLUbhGGHCq5icV+M3m+bN171eqgg5Mo5ARiAur3te8i9Gv&#10;iiLITlkRFuCVo2ALaEWkI+6LBkVP6NYUVVleFz1g4xGkCoG82zHIJ0R8CiC0rZZqC/JglYsjKioj&#10;IlEKnfaBb3K3batk/NC2QUVmak5MY/5SEbJ36Vts1mK1R+E7LacWxFNaeMTJCu2o6AVqK6JgB9T/&#10;QFktEQK0cSHBFiORrAixuCofaXPfCa8yF5I6+Ivo4f/ByvfHj8h0U/OXnDlhaeDn79/OP36df35l&#10;VZX06X1YUdq9p8Q4vIaBtmb2B3Im2kOLNv2JEKM4qXu6qKuGyGS6tKyWy5JCkmLzgfCLh+seQ3yj&#10;wLJk1BxpfFlVcXwX4pg6p6RqDu60MXmExv3lIMzkKVLvY4/JisNumAjtoDkRH3oHVKcD/MJZT1tQ&#10;c0dLz5l560jktDCzgbOxmw3hJF2seeRsNG/juFgHj3rf5VVLTQX/6hCp00wgtTHWnrqjuWYJph1M&#10;i/PnOWc9vLv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QZI2j3gEAAL8DAAAOAAAAAAAA&#10;AAEAIAAAAB4BAABkcnMvZTJvRG9jLnhtbFBLBQYAAAAABgAGAFkBAABuBQAAAAA=&#10;">
              <v:fill on="f" focussize="0,0"/>
              <v:stroke on="f"/>
              <v:imagedata o:title=""/>
              <o:lock v:ext="edit" aspectratio="f"/>
              <v:textbox inset="0mm,0mm,0mm,0mm" style="mso-fit-shape-to-text:t;">
                <w:txbxContent>
                  <w:p w14:paraId="7FCBD7B8">
                    <w:pPr>
                      <w:pStyle w:val="19"/>
                    </w:pPr>
                    <w:r>
                      <w:t xml:space="preserve">第 </w:t>
                    </w:r>
                    <w:r>
                      <w:fldChar w:fldCharType="begin"/>
                    </w:r>
                    <w:r>
                      <w:instrText xml:space="preserve"> PAGE  \* MERGEFORMAT </w:instrText>
                    </w:r>
                    <w:r>
                      <w:fldChar w:fldCharType="separate"/>
                    </w:r>
                    <w:r>
                      <w:t>81</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32C43">
    <w:pPr>
      <w:snapToGrid w:val="0"/>
      <w:jc w:val="center"/>
      <w:rPr>
        <w:rStyle w:val="127"/>
        <w:rFonts w:ascii="宋体" w:hAnsi="宋体"/>
        <w:kern w:val="0"/>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4FB9F1">
                          <w:pPr>
                            <w:pStyle w:val="19"/>
                          </w:pPr>
                          <w:r>
                            <w:t xml:space="preserve">第 </w:t>
                          </w:r>
                          <w:r>
                            <w:fldChar w:fldCharType="begin"/>
                          </w:r>
                          <w:r>
                            <w:instrText xml:space="preserve"> PAGE  \* MERGEFORMAT </w:instrText>
                          </w:r>
                          <w:r>
                            <w:fldChar w:fldCharType="separate"/>
                          </w:r>
                          <w:r>
                            <w:t>85</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N27hN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rT2J2wNPDz92/nH7/OP7+y&#10;5XXSp/exorR7T4k4vIaBtmb2R3Im2kMbbPoTIUZxUvd0UVcNyGS6tFquViWFJMXmA+EXD9d9iPhG&#10;gWXJqHmg8WVVxfFdxDF1TknVHNxpY/IIjfvLQZjJU6Texx6ThcNumAjtoDkRH3oHVKeD8IWznrag&#10;5o6WnjPz1pHIaWFmI8zGbjaEk3Sx5sjZaN7iuFgHH/S+y6uWmor+1QGp00wgtTHWnrqjuWYJph1M&#10;i/PnOWc9vLv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3buE3gEAAL8DAAAOAAAAAAAA&#10;AAEAIAAAAB4BAABkcnMvZTJvRG9jLnhtbFBLBQYAAAAABgAGAFkBAABuBQAAAAA=&#10;">
              <v:fill on="f" focussize="0,0"/>
              <v:stroke on="f"/>
              <v:imagedata o:title=""/>
              <o:lock v:ext="edit" aspectratio="f"/>
              <v:textbox inset="0mm,0mm,0mm,0mm" style="mso-fit-shape-to-text:t;">
                <w:txbxContent>
                  <w:p w14:paraId="014FB9F1">
                    <w:pPr>
                      <w:pStyle w:val="19"/>
                    </w:pPr>
                    <w:r>
                      <w:t xml:space="preserve">第 </w:t>
                    </w:r>
                    <w:r>
                      <w:fldChar w:fldCharType="begin"/>
                    </w:r>
                    <w:r>
                      <w:instrText xml:space="preserve"> PAGE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F1984">
    <w:pPr>
      <w:pStyle w:val="19"/>
      <w:ind w:firstLine="392"/>
      <w:rPr>
        <w:rStyle w:val="107"/>
      </w:rPr>
    </w:pPr>
  </w:p>
  <w:p w14:paraId="1598210D">
    <w:pPr>
      <w:pStyle w:val="19"/>
      <w:ind w:firstLine="392"/>
      <w:rPr>
        <w:rStyle w:val="127"/>
      </w:rPr>
    </w:pPr>
    <w:r>
      <w:rPr>
        <w:rStyle w:val="127"/>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B375E">
    <w:pPr>
      <w:pStyle w:val="19"/>
      <w:ind w:firstLine="392"/>
      <w:rPr>
        <w:rStyle w:val="12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1F88E">
    <w:pPr>
      <w:pStyle w:val="19"/>
      <w:ind w:firstLine="392"/>
      <w:jc w:val="right"/>
      <w:rPr>
        <w:rStyle w:val="107"/>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D5451A">
                          <w:pPr>
                            <w:pStyle w:val="1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rCeFt8BAAC/AwAADgAAAGRycy9lMm9Eb2MueG1srVPBjtMwEL0j8Q+W&#10;7zRphVCpmq6AahESAqSFD3Adp7Fkeyx72qR8APwBJy7c+a5+x46dpAu7lz3sJRnPjN/MezNeX/XW&#10;sKMKUYOr+HxWcqachFq7fcW/fb1+seQsonC1MOBUxU8q8qvN82frzq/UAlowtQqMQFxcdb7iLaJf&#10;FUWUrbIizsArR8EGghVIx7Av6iA6QremWJTlq6KDUPsAUsVI3u0Q5CNieAwgNI2WagvyYJXDATUo&#10;I5AoxVb7yDe526ZREj83TVTITMWJKeYvFSF7l77FZi1W+yB8q+XYgnhMC/c4WaEdFb1AbQUKdgj6&#10;AZTVMkCEBmcSbDEQyYoQi3l5T5ubVniVuZDU0V9Ej08HKz8dvwSm64q/5MwJSwM///p5/v33/OcH&#10;m79O+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DrCeFt8BAAC/AwAADgAAAAAA&#10;AAABACAAAAAeAQAAZHJzL2Uyb0RvYy54bWxQSwUGAAAAAAYABgBZAQAAbwUAAAAA&#10;">
              <v:fill on="f" focussize="0,0"/>
              <v:stroke on="f"/>
              <v:imagedata o:title=""/>
              <o:lock v:ext="edit" aspectratio="f"/>
              <v:textbox inset="0mm,0mm,0mm,0mm" style="mso-fit-shape-to-text:t;">
                <w:txbxContent>
                  <w:p w14:paraId="3AD5451A">
                    <w:pPr>
                      <w:pStyle w:val="1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11544">
    <w:pPr>
      <w:pStyle w:val="19"/>
      <w:ind w:firstLine="392"/>
      <w:rPr>
        <w:rStyle w:val="127"/>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F1E0C1">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14:paraId="10F1E0C1">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20F4D">
    <w:pPr>
      <w:pStyle w:val="19"/>
      <w:jc w:val="center"/>
      <w:rPr>
        <w:rStyle w:val="107"/>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BF6397">
                          <w:pPr>
                            <w:pStyle w:val="19"/>
                          </w:pPr>
                          <w:r>
                            <w:t xml:space="preserve">第 </w:t>
                          </w:r>
                          <w:r>
                            <w:fldChar w:fldCharType="begin"/>
                          </w:r>
                          <w:r>
                            <w:instrText xml:space="preserve"> PAGE  \* MERGEFORMAT </w:instrText>
                          </w:r>
                          <w:r>
                            <w:fldChar w:fldCharType="separate"/>
                          </w:r>
                          <w:r>
                            <w:t>58</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BE+89wBAADAAwAADgAAAGRycy9lMm9Eb2MueG1srVPNjtMwEL4j8Q6W&#10;7zTZHlAVNV0B1SIkBEgLD+A6TmPJfxpPm5QHgDfgxIU7z9XnYOwk7bJc9sAlGY/H33zf5/H6drCG&#10;HRVE7V3NbxYlZ8pJ32i3r/mXz3cvVpxFFK4RxjtV85OK/Hbz/Nm6D5Va+s6bRgEjEBerPtS8QwxV&#10;UUTZKSviwgflaLP1YAXSEvZFA6IndGuKZVm+LHoPTQAvVYyU3Y6bfEKEpwD6ttVSbb08WOVwRAVl&#10;BJKk2OkQ+SazbVsl8WPbRoXM1JyUYv5SE4p36Vts1qLagwidlhMF8RQKjzRZoR01vUBtBQp2AP0P&#10;lNUSfPQtLqS3xSgkO0IqbspH3tx3IqishayO4WJ6/H+w8sPxEzDd0CSQJU5YuvHzj+/nn7/Pv76x&#10;ZTaoD7GiuvtAlTi89gMVJ+NSPlIy6R5asOlPihjtE9bpYq8akMl0aLVcrUrakrQ3LwinuB4PEPGt&#10;8paloOZA95dtFcf3EcfSuSR1c/5OG5Pv0Li/EoSZMsWVY4pw2A0T8Z1vTqSHHgL16Tx85aynMai5&#10;o6nnzLxz5DJxxTmAOdjNgXCSDtYcORvDNzhO1iGA3nd51hKpGF4dkJhmAYnG2HtiRxebLZiGME3O&#10;w3Wuuj68z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uBE+89wBAADAAwAADgAAAAAAAAAB&#10;ACAAAAAeAQAAZHJzL2Uyb0RvYy54bWxQSwUGAAAAAAYABgBZAQAAbAUAAAAA&#10;">
              <v:fill on="f" focussize="0,0"/>
              <v:stroke on="f"/>
              <v:imagedata o:title=""/>
              <o:lock v:ext="edit" aspectratio="f"/>
              <v:textbox inset="0mm,0mm,0mm,0mm" style="mso-fit-shape-to-text:t;">
                <w:txbxContent>
                  <w:p w14:paraId="04BF6397">
                    <w:pPr>
                      <w:pStyle w:val="19"/>
                    </w:pPr>
                    <w:r>
                      <w:t xml:space="preserve">第 </w:t>
                    </w:r>
                    <w:r>
                      <w:fldChar w:fldCharType="begin"/>
                    </w:r>
                    <w:r>
                      <w:instrText xml:space="preserve"> PAGE  \* MERGEFORMAT </w:instrText>
                    </w:r>
                    <w:r>
                      <w:fldChar w:fldCharType="separate"/>
                    </w:r>
                    <w:r>
                      <w:t>58</w:t>
                    </w:r>
                    <w:r>
                      <w:fldChar w:fldCharType="end"/>
                    </w:r>
                    <w:r>
                      <w:t xml:space="preserve"> 页</w:t>
                    </w:r>
                  </w:p>
                </w:txbxContent>
              </v:textbox>
            </v:shape>
          </w:pict>
        </mc:Fallback>
      </mc:AlternateContent>
    </w:r>
  </w:p>
  <w:p w14:paraId="1C25DE80">
    <w:pPr>
      <w:pStyle w:val="19"/>
      <w:ind w:right="360"/>
      <w:rPr>
        <w:rStyle w:val="127"/>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C2C90">
    <w:pPr>
      <w:pStyle w:val="19"/>
      <w:framePr w:wrap="around" w:vAnchor="margin" w:hAnchor="text" w:xAlign="outside" w:y="1"/>
      <w:rPr>
        <w:rStyle w:val="107"/>
      </w:rPr>
    </w:pPr>
  </w:p>
  <w:p w14:paraId="5F1CE3A4">
    <w:pPr>
      <w:pStyle w:val="19"/>
      <w:ind w:right="360" w:firstLine="360"/>
      <w:jc w:val="center"/>
      <w:rPr>
        <w:rStyle w:val="127"/>
      </w:rPr>
    </w:pPr>
    <w:r>
      <w:rPr>
        <w:rStyle w:val="127"/>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EEE38">
    <w:pPr>
      <w:pStyle w:val="19"/>
      <w:jc w:val="center"/>
      <w:rPr>
        <w:rStyle w:val="127"/>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FE0A49">
                          <w:pPr>
                            <w:pStyle w:val="19"/>
                          </w:pPr>
                          <w:r>
                            <w:t xml:space="preserve">第 </w:t>
                          </w:r>
                          <w:r>
                            <w:fldChar w:fldCharType="begin"/>
                          </w:r>
                          <w:r>
                            <w:instrText xml:space="preserve"> PAGE  \* MERGEFORMAT </w:instrText>
                          </w:r>
                          <w:r>
                            <w:fldChar w:fldCharType="separate"/>
                          </w:r>
                          <w:r>
                            <w:t>57</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r9v5N4BAAC/AwAADgAAAGRycy9lMm9Eb2MueG1srVNNrtMwEN4jcQfL&#10;e5q0C1Sipk9A9RASAqQHB3Adp7HkP42nTcoB4Aas2LDnXD0HYyfpg8fmLdgk45nxN/N9M97cDNaw&#10;k4Kovav5clFyppz0jXaHmn/+dPtszVlE4RphvFM1P6vIb7ZPn2z6UKmV77xpFDACcbHqQ807xFAV&#10;RZSdsiIufFCOgq0HK5COcCgaED2hW1OsyvJ50XtoAnipYiTvbgzyCREeA+jbVku18/JolcMRFZQR&#10;SJRip0Pk29xt2yqJH9o2KmSm5sQU85eKkL1P32K7EdUBROi0nFoQj2nhAScrtKOiV6idQMGOoP+B&#10;slqCj77FhfS2GIlkRYjFsnygzV0ngspcSOoYrqLH/wcr358+AtNNzV9w5oSlgV++f7v8+HX5+ZWt&#10;lkmfPsSK0u4CJeLwyg+0NbM/kjPRHlqw6U+EGMVJ3fNVXTUgk+nSerVelxSSFJsPhF/cXw8Q8Y3y&#10;liWj5kDjy6qK07uIY+qckqo5f6uNySM07i8HYSZPkXofe0wWDvthIrT3zZn40DugOp2HL5z1tAU1&#10;d7T0nJm3jkROCzMbMBv72RBO0sWaI2ej+RrHxToG0Icur1pqKoaXR6ROM4HUxlh76o7mmiWYdjAt&#10;zp/nnHX/7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Gv2/k3gEAAL8DAAAOAAAAAAAA&#10;AAEAIAAAAB4BAABkcnMvZTJvRG9jLnhtbFBLBQYAAAAABgAGAFkBAABuBQAAAAA=&#10;">
              <v:fill on="f" focussize="0,0"/>
              <v:stroke on="f"/>
              <v:imagedata o:title=""/>
              <o:lock v:ext="edit" aspectratio="f"/>
              <v:textbox inset="0mm,0mm,0mm,0mm" style="mso-fit-shape-to-text:t;">
                <w:txbxContent>
                  <w:p w14:paraId="73FE0A49">
                    <w:pPr>
                      <w:pStyle w:val="19"/>
                    </w:pPr>
                    <w:r>
                      <w:t xml:space="preserve">第 </w:t>
                    </w:r>
                    <w:r>
                      <w:fldChar w:fldCharType="begin"/>
                    </w:r>
                    <w:r>
                      <w:instrText xml:space="preserve"> PAGE  \* MERGEFORMAT </w:instrText>
                    </w:r>
                    <w:r>
                      <w:fldChar w:fldCharType="separate"/>
                    </w:r>
                    <w:r>
                      <w:t>57</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A2CA0">
    <w:pPr>
      <w:pStyle w:val="19"/>
      <w:jc w:val="center"/>
      <w:rPr>
        <w:rStyle w:val="107"/>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98C2F0">
                          <w:pPr>
                            <w:pStyle w:val="19"/>
                          </w:pPr>
                          <w:r>
                            <w:t xml:space="preserve">第 </w:t>
                          </w:r>
                          <w:r>
                            <w:fldChar w:fldCharType="begin"/>
                          </w:r>
                          <w:r>
                            <w:instrText xml:space="preserve"> PAGE  \* MERGEFORMAT </w:instrText>
                          </w:r>
                          <w:r>
                            <w:fldChar w:fldCharType="separate"/>
                          </w:r>
                          <w:r>
                            <w:t>58</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to54N0BAAC/AwAADgAAAGRycy9lMm9Eb2MueG1srVNBrtMwEN0jcQfL&#10;e5r8SqAqavoFVB8hIUD6cADXcRpLtsfyuE3KAeAGrNiw51w9B2MnaeGz+Qs2yXhm/Gbem/H6drCG&#10;HVVADa7mN4uSM+UkNNrta/75092zFWcYhWuEAadqflLIbzdPn6x7X6kldGAaFRiBOKx6X/MuRl8V&#10;BcpOWYEL8MpRsIVgRaRj2BdNED2hW1Msy/JF0UNofACpEMm7HYN8QgyPAYS21VJtQR6scnFEDcqI&#10;SJSw0x75JnfbtkrGD22LKjJTc2Ia85eKkL1L32KzFtU+CN9pObUgHtPCA05WaEdFL1BbEQU7BP0P&#10;lNUyAEIbFxJsMRLJihCLm/KBNved8CpzIanRX0TH/wcr3x8/Bqabmj/nzAlLAz9//3b+8ev88ytb&#10;Zn16jxWl3XtKjMMrGGhrkm7Jj+RMtIc22PQnQozipO7poq4aIpPp0mq5WpUUkhSbD4RTXK/7gPGN&#10;AsuSUfNA48uqiuM7jGPqnJKqObjTxuQRGveXgzCTp7j2mKw47Iap8R00J+JD74DqdBC+cNbTFtTc&#10;0dJzZt46EjktzGyE2djNhnCSLtY8cjaar+O4WAcf9L7Lq5aaQv/yEKnTTCC1MdaeuqO5ZgmmHUyL&#10;8+c5Z13f3e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F7aOeDdAQAAvwMAAA4AAAAAAAAA&#10;AQAgAAAAHgEAAGRycy9lMm9Eb2MueG1sUEsFBgAAAAAGAAYAWQEAAG0FAAAAAA==&#10;">
              <v:fill on="f" focussize="0,0"/>
              <v:stroke on="f"/>
              <v:imagedata o:title=""/>
              <o:lock v:ext="edit" aspectratio="f"/>
              <v:textbox inset="0mm,0mm,0mm,0mm" style="mso-fit-shape-to-text:t;">
                <w:txbxContent>
                  <w:p w14:paraId="3C98C2F0">
                    <w:pPr>
                      <w:pStyle w:val="19"/>
                    </w:pPr>
                    <w:r>
                      <w:t xml:space="preserve">第 </w:t>
                    </w:r>
                    <w:r>
                      <w:fldChar w:fldCharType="begin"/>
                    </w:r>
                    <w:r>
                      <w:instrText xml:space="preserve"> PAGE  \* MERGEFORMAT </w:instrText>
                    </w:r>
                    <w:r>
                      <w:fldChar w:fldCharType="separate"/>
                    </w:r>
                    <w:r>
                      <w:t>58</w:t>
                    </w:r>
                    <w:r>
                      <w:fldChar w:fldCharType="end"/>
                    </w:r>
                    <w:r>
                      <w:t xml:space="preserve"> 页</w:t>
                    </w:r>
                  </w:p>
                </w:txbxContent>
              </v:textbox>
            </v:shape>
          </w:pict>
        </mc:Fallback>
      </mc:AlternateContent>
    </w:r>
  </w:p>
  <w:p w14:paraId="3C1EC70A">
    <w:pPr>
      <w:pStyle w:val="19"/>
      <w:ind w:right="360"/>
      <w:rPr>
        <w:rStyle w:val="127"/>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A9190">
    <w:pPr>
      <w:pStyle w:val="20"/>
      <w:pBdr>
        <w:bottom w:val="none" w:color="auto" w:sz="0" w:space="0"/>
      </w:pBdr>
      <w:ind w:firstLine="392"/>
      <w:rPr>
        <w:rStyle w:val="12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80DB">
    <w:pPr>
      <w:pStyle w:val="20"/>
      <w:ind w:firstLine="392"/>
      <w:rPr>
        <w:rStyle w:val="127"/>
      </w:rPr>
    </w:pPr>
    <w:r>
      <w:rPr>
        <w:rStyle w:val="127"/>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B5D23">
    <w:pPr>
      <w:pStyle w:val="20"/>
      <w:pBdr>
        <w:bottom w:val="none" w:color="auto" w:sz="0" w:space="0"/>
      </w:pBdr>
      <w:jc w:val="both"/>
      <w:rPr>
        <w:rStyle w:val="127"/>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C0801">
    <w:pPr>
      <w:pStyle w:val="20"/>
      <w:pBdr>
        <w:bottom w:val="none" w:color="auto" w:sz="0" w:space="0"/>
      </w:pBdr>
      <w:jc w:val="right"/>
      <w:rPr>
        <w:rStyle w:val="127"/>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2CCB2">
    <w:pPr>
      <w:pStyle w:val="20"/>
      <w:jc w:val="right"/>
      <w:rPr>
        <w:rStyle w:val="127"/>
        <w:i/>
        <w:iCs/>
      </w:rPr>
    </w:pPr>
    <w:r>
      <w:rPr>
        <w:rStyle w:val="127"/>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C414B">
    <w:pPr>
      <w:pStyle w:val="20"/>
      <w:pBdr>
        <w:bottom w:val="none" w:color="auto" w:sz="0" w:space="0"/>
      </w:pBdr>
      <w:jc w:val="right"/>
      <w:rPr>
        <w:rStyle w:val="127"/>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1BFBF">
    <w:pPr>
      <w:pStyle w:val="20"/>
      <w:pBdr>
        <w:bottom w:val="none" w:color="auto" w:sz="0" w:space="0"/>
      </w:pBdr>
      <w:jc w:val="right"/>
      <w:rPr>
        <w:rStyle w:val="127"/>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1397A">
    <w:pPr>
      <w:pStyle w:val="20"/>
      <w:jc w:val="right"/>
      <w:rPr>
        <w:rStyle w:val="127"/>
        <w:i/>
        <w:iCs/>
      </w:rPr>
    </w:pPr>
    <w:r>
      <w:rPr>
        <w:rStyle w:val="127"/>
        <w:i/>
        <w:iCs/>
      </w:rPr>
      <w:t>横枝岗路道路排水改造工程招标文件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44C9B">
    <w:pPr>
      <w:pStyle w:val="20"/>
      <w:pBdr>
        <w:bottom w:val="none" w:color="auto" w:sz="0" w:space="0"/>
      </w:pBdr>
      <w:jc w:val="right"/>
      <w:rPr>
        <w:rStyle w:val="127"/>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C4D5F3"/>
    <w:multiLevelType w:val="singleLevel"/>
    <w:tmpl w:val="B7C4D5F3"/>
    <w:lvl w:ilvl="0" w:tentative="0">
      <w:start w:val="1"/>
      <w:numFmt w:val="decimal"/>
      <w:lvlText w:val="%1."/>
      <w:lvlJc w:val="left"/>
      <w:pPr>
        <w:tabs>
          <w:tab w:val="left" w:pos="312"/>
        </w:tabs>
      </w:pPr>
    </w:lvl>
  </w:abstractNum>
  <w:abstractNum w:abstractNumId="1">
    <w:nsid w:val="00000004"/>
    <w:multiLevelType w:val="multilevel"/>
    <w:tmpl w:val="000000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10"/>
    <w:multiLevelType w:val="multilevel"/>
    <w:tmpl w:val="00000010"/>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3">
    <w:nsid w:val="259905B5"/>
    <w:multiLevelType w:val="multilevel"/>
    <w:tmpl w:val="259905B5"/>
    <w:lvl w:ilvl="0" w:tentative="0">
      <w:start w:val="1"/>
      <w:numFmt w:val="chineseCountingThousand"/>
      <w:pStyle w:val="169"/>
      <w:suff w:val="space"/>
      <w:lvlText w:val="第%1章"/>
      <w:lvlJc w:val="left"/>
      <w:pPr>
        <w:ind w:left="567" w:hanging="279"/>
      </w:pPr>
      <w:rPr>
        <w:rFonts w:ascii="宋体" w:eastAsia="宋体"/>
        <w:b/>
        <w:i w:val="0"/>
        <w:position w:val="0"/>
        <w:sz w:val="44"/>
      </w:rPr>
    </w:lvl>
    <w:lvl w:ilvl="1" w:tentative="0">
      <w:start w:val="1"/>
      <w:numFmt w:val="decimal"/>
      <w:suff w:val="space"/>
      <w:lvlText w:val="%1."/>
      <w:lvlJc w:val="left"/>
      <w:pPr>
        <w:ind w:left="454" w:hanging="454"/>
      </w:pPr>
      <w:rPr>
        <w:rFonts w:ascii="宋体" w:eastAsia="宋体"/>
        <w:b/>
        <w:i w:val="0"/>
        <w:sz w:val="32"/>
      </w:rPr>
    </w:lvl>
    <w:lvl w:ilvl="2" w:tentative="0">
      <w:start w:val="1"/>
      <w:numFmt w:val="decimal"/>
      <w:suff w:val="space"/>
      <w:lvlText w:val="%1.%2"/>
      <w:lvlJc w:val="left"/>
      <w:pPr>
        <w:ind w:left="454" w:hanging="454"/>
      </w:pPr>
      <w:rPr>
        <w:rFonts w:ascii="宋体" w:eastAsia="宋体"/>
        <w:b/>
        <w:i w:val="0"/>
        <w:sz w:val="28"/>
      </w:rPr>
    </w:lvl>
    <w:lvl w:ilvl="3" w:tentative="0">
      <w:start w:val="1"/>
      <w:numFmt w:val="decimal"/>
      <w:pStyle w:val="150"/>
      <w:suff w:val="space"/>
      <w:lvlText w:val="%1.%2.%3"/>
      <w:lvlJc w:val="left"/>
      <w:pPr>
        <w:ind w:left="284" w:hanging="284"/>
      </w:pPr>
      <w:rPr>
        <w:rFonts w:ascii="宋体" w:eastAsia="宋体"/>
        <w:b/>
        <w:i w:val="0"/>
        <w:sz w:val="28"/>
      </w:rPr>
    </w:lvl>
    <w:lvl w:ilvl="4" w:tentative="0">
      <w:start w:val="1"/>
      <w:numFmt w:val="decimal"/>
      <w:pStyle w:val="162"/>
      <w:suff w:val="space"/>
      <w:lvlText w:val="%1.%2.%3.%4"/>
      <w:lvlJc w:val="left"/>
      <w:pPr>
        <w:ind w:left="284" w:hanging="284"/>
      </w:pPr>
      <w:rPr>
        <w:rFonts w:ascii="宋体" w:eastAsia="宋体"/>
        <w:b/>
        <w:i w:val="0"/>
        <w:strike w:val="0"/>
        <w:dstrike w:val="0"/>
        <w:sz w:val="28"/>
      </w:rPr>
    </w:lvl>
    <w:lvl w:ilvl="5" w:tentative="0">
      <w:start w:val="1"/>
      <w:numFmt w:val="decimal"/>
      <w:suff w:val="space"/>
      <w:lvlText w:val="1.1.1.1.1.%1%2"/>
      <w:lvlJc w:val="left"/>
      <w:rPr>
        <w:rFonts w:ascii="宋体" w:eastAsia="宋体"/>
        <w:b/>
        <w:i w:val="0"/>
        <w:sz w:val="28"/>
      </w:rPr>
    </w:lvl>
    <w:lvl w:ilvl="6" w:tentative="0">
      <w:start w:val="1"/>
      <w:numFmt w:val="decimal"/>
      <w:pStyle w:val="166"/>
      <w:suff w:val="nothing"/>
      <w:lvlText w:val=""/>
      <w:lvlJc w:val="left"/>
    </w:lvl>
    <w:lvl w:ilvl="7" w:tentative="0">
      <w:start w:val="1"/>
      <w:numFmt w:val="decimal"/>
      <w:pStyle w:val="135"/>
      <w:suff w:val="nothing"/>
      <w:lvlText w:val=""/>
      <w:lvlJc w:val="left"/>
    </w:lvl>
    <w:lvl w:ilvl="8" w:tentative="0">
      <w:start w:val="1"/>
      <w:numFmt w:val="decimal"/>
      <w:pStyle w:val="62"/>
      <w:suff w:val="nothing"/>
      <w:lvlText w:val=""/>
      <w:lvlJc w:val="left"/>
    </w:lvl>
  </w:abstractNum>
  <w:abstractNum w:abstractNumId="4">
    <w:nsid w:val="3FBF2064"/>
    <w:multiLevelType w:val="multilevel"/>
    <w:tmpl w:val="3FBF2064"/>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5">
    <w:nsid w:val="74FB0463"/>
    <w:multiLevelType w:val="multilevel"/>
    <w:tmpl w:val="74FB0463"/>
    <w:lvl w:ilvl="0" w:tentative="0">
      <w:start w:val="1"/>
      <w:numFmt w:val="decimal"/>
      <w:suff w:val="nothing"/>
      <w:lvlText w:val="第%1篇"/>
      <w:lvlJc w:val="left"/>
      <w:rPr>
        <w:spacing w:val="60"/>
      </w:rPr>
    </w:lvl>
    <w:lvl w:ilvl="1" w:tentative="0">
      <w:start w:val="1"/>
      <w:numFmt w:val="decimal"/>
      <w:suff w:val="nothing"/>
      <w:lvlText w:val=""/>
      <w:lvlJc w:val="left"/>
    </w:lvl>
    <w:lvl w:ilvl="2" w:tentative="0">
      <w:start w:val="1"/>
      <w:numFmt w:val="decimal"/>
      <w:suff w:val="nothing"/>
      <w:lvlText w:val=""/>
      <w:lvlJc w:val="left"/>
    </w:lvl>
    <w:lvl w:ilvl="3" w:tentative="0">
      <w:start w:val="1"/>
      <w:numFmt w:val="decimal"/>
      <w:suff w:val="nothing"/>
      <w:lvlText w:val=""/>
      <w:lvlJc w:val="left"/>
    </w:lvl>
    <w:lvl w:ilvl="4" w:tentative="0">
      <w:start w:val="1"/>
      <w:numFmt w:val="decimal"/>
      <w:suff w:val="nothing"/>
      <w:lvlText w:val=""/>
      <w:lvlJc w:val="center"/>
      <w:pPr>
        <w:ind w:firstLine="288"/>
      </w:pPr>
    </w:lvl>
    <w:lvl w:ilvl="5" w:tentative="0">
      <w:start w:val="1"/>
      <w:numFmt w:val="decimal"/>
      <w:pStyle w:val="131"/>
      <w:suff w:val="nothing"/>
      <w:lvlText w:val=""/>
      <w:lvlJc w:val="left"/>
    </w:lvl>
    <w:lvl w:ilvl="6" w:tentative="0">
      <w:start w:val="1"/>
      <w:numFmt w:val="decimal"/>
      <w:suff w:val="nothing"/>
      <w:lvlText w:val=""/>
      <w:lvlJc w:val="left"/>
    </w:lvl>
    <w:lvl w:ilvl="7" w:tentative="0">
      <w:start w:val="1"/>
      <w:numFmt w:val="decimal"/>
      <w:suff w:val="nothing"/>
      <w:lvlText w:val=""/>
      <w:lvlJc w:val="left"/>
    </w:lvl>
    <w:lvl w:ilvl="8" w:tentative="0">
      <w:start w:val="1"/>
      <w:numFmt w:val="decimal"/>
      <w:suff w:val="nothing"/>
      <w:lvlText w:val=""/>
      <w:lvlJc w:val="left"/>
    </w:lvl>
  </w:abstractNum>
  <w:abstractNum w:abstractNumId="6">
    <w:nsid w:val="7A83327B"/>
    <w:multiLevelType w:val="singleLevel"/>
    <w:tmpl w:val="7A83327B"/>
    <w:lvl w:ilvl="0" w:tentative="0">
      <w:start w:val="2"/>
      <w:numFmt w:val="decimal"/>
      <w:suff w:val="nothing"/>
      <w:lvlText w:val="%1．"/>
      <w:lvlJc w:val="left"/>
    </w:lvl>
  </w:abstractNum>
  <w:num w:numId="1">
    <w:abstractNumId w:val="3"/>
  </w:num>
  <w:num w:numId="2">
    <w:abstractNumId w:val="5"/>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oNotDisplayPageBoundaries w:val="1"/>
  <w:bordersDoNotSurroundHeader w:val="0"/>
  <w:bordersDoNotSurroundFooter w:val="0"/>
  <w:documentProtection w:enforcement="0"/>
  <w:defaultTabStop w:val="420"/>
  <w:hyphenationZone w:val="360"/>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1"/>
    </o:shapelayout>
  </w:hdrShapeDefaults>
  <w:endnotePr>
    <w:numFmt w:val="decimal"/>
  </w:endnotePr>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yODhkNGM0MmY2ZmQ2ZTdmYzliMDJiMzZiYjAwYTYifQ=="/>
  </w:docVars>
  <w:rsids>
    <w:rsidRoot w:val="00E12750"/>
    <w:rsid w:val="00000CC0"/>
    <w:rsid w:val="000019B5"/>
    <w:rsid w:val="00002BB1"/>
    <w:rsid w:val="00007125"/>
    <w:rsid w:val="00010A0E"/>
    <w:rsid w:val="00010DEF"/>
    <w:rsid w:val="000131B4"/>
    <w:rsid w:val="000150F9"/>
    <w:rsid w:val="0001678A"/>
    <w:rsid w:val="000207E2"/>
    <w:rsid w:val="00020D54"/>
    <w:rsid w:val="00022EF4"/>
    <w:rsid w:val="00023678"/>
    <w:rsid w:val="000237D9"/>
    <w:rsid w:val="00025835"/>
    <w:rsid w:val="00025D40"/>
    <w:rsid w:val="000260A9"/>
    <w:rsid w:val="0002717B"/>
    <w:rsid w:val="00027D24"/>
    <w:rsid w:val="000312C5"/>
    <w:rsid w:val="00033136"/>
    <w:rsid w:val="000337E6"/>
    <w:rsid w:val="0003426B"/>
    <w:rsid w:val="000378A3"/>
    <w:rsid w:val="00040175"/>
    <w:rsid w:val="00040269"/>
    <w:rsid w:val="000421DC"/>
    <w:rsid w:val="00042EA0"/>
    <w:rsid w:val="0004513C"/>
    <w:rsid w:val="0004527B"/>
    <w:rsid w:val="00045842"/>
    <w:rsid w:val="0004698C"/>
    <w:rsid w:val="00046D08"/>
    <w:rsid w:val="000477C9"/>
    <w:rsid w:val="00047B9D"/>
    <w:rsid w:val="00047E32"/>
    <w:rsid w:val="00047EC8"/>
    <w:rsid w:val="00051B10"/>
    <w:rsid w:val="00052AA0"/>
    <w:rsid w:val="0005310E"/>
    <w:rsid w:val="00054299"/>
    <w:rsid w:val="00054EDB"/>
    <w:rsid w:val="000557EB"/>
    <w:rsid w:val="000568F5"/>
    <w:rsid w:val="00056D98"/>
    <w:rsid w:val="00056F2B"/>
    <w:rsid w:val="00057663"/>
    <w:rsid w:val="00060313"/>
    <w:rsid w:val="00060734"/>
    <w:rsid w:val="00061F95"/>
    <w:rsid w:val="00063021"/>
    <w:rsid w:val="000638F5"/>
    <w:rsid w:val="00065BE0"/>
    <w:rsid w:val="00066257"/>
    <w:rsid w:val="000664B7"/>
    <w:rsid w:val="00067CA7"/>
    <w:rsid w:val="00071B50"/>
    <w:rsid w:val="000728D9"/>
    <w:rsid w:val="00072EEC"/>
    <w:rsid w:val="00073E28"/>
    <w:rsid w:val="000740DC"/>
    <w:rsid w:val="000749E3"/>
    <w:rsid w:val="00074C04"/>
    <w:rsid w:val="0007593A"/>
    <w:rsid w:val="00077EE0"/>
    <w:rsid w:val="0008167B"/>
    <w:rsid w:val="000816AD"/>
    <w:rsid w:val="00083721"/>
    <w:rsid w:val="00083795"/>
    <w:rsid w:val="000846DA"/>
    <w:rsid w:val="00084B57"/>
    <w:rsid w:val="00085394"/>
    <w:rsid w:val="00085649"/>
    <w:rsid w:val="00086323"/>
    <w:rsid w:val="00087DB3"/>
    <w:rsid w:val="000900B5"/>
    <w:rsid w:val="0009129B"/>
    <w:rsid w:val="00094362"/>
    <w:rsid w:val="00095310"/>
    <w:rsid w:val="000956FC"/>
    <w:rsid w:val="000972E5"/>
    <w:rsid w:val="000A0DE1"/>
    <w:rsid w:val="000A1A51"/>
    <w:rsid w:val="000A21FB"/>
    <w:rsid w:val="000A26AE"/>
    <w:rsid w:val="000A37A4"/>
    <w:rsid w:val="000A5B62"/>
    <w:rsid w:val="000A6B74"/>
    <w:rsid w:val="000A72AA"/>
    <w:rsid w:val="000A7ED8"/>
    <w:rsid w:val="000B00C9"/>
    <w:rsid w:val="000B00F1"/>
    <w:rsid w:val="000B0272"/>
    <w:rsid w:val="000B0CB6"/>
    <w:rsid w:val="000B303D"/>
    <w:rsid w:val="000B357D"/>
    <w:rsid w:val="000B3770"/>
    <w:rsid w:val="000B5F0D"/>
    <w:rsid w:val="000B6362"/>
    <w:rsid w:val="000B783A"/>
    <w:rsid w:val="000B7B0D"/>
    <w:rsid w:val="000C04E7"/>
    <w:rsid w:val="000C06D5"/>
    <w:rsid w:val="000C2008"/>
    <w:rsid w:val="000C44C7"/>
    <w:rsid w:val="000C7DED"/>
    <w:rsid w:val="000D128A"/>
    <w:rsid w:val="000D32F5"/>
    <w:rsid w:val="000D334C"/>
    <w:rsid w:val="000D3F33"/>
    <w:rsid w:val="000D3FEA"/>
    <w:rsid w:val="000D4262"/>
    <w:rsid w:val="000D43DD"/>
    <w:rsid w:val="000D446D"/>
    <w:rsid w:val="000D47A8"/>
    <w:rsid w:val="000D4FFA"/>
    <w:rsid w:val="000E03A5"/>
    <w:rsid w:val="000E0588"/>
    <w:rsid w:val="000E137A"/>
    <w:rsid w:val="000E1832"/>
    <w:rsid w:val="000E1DF7"/>
    <w:rsid w:val="000E4635"/>
    <w:rsid w:val="000E504E"/>
    <w:rsid w:val="000E573E"/>
    <w:rsid w:val="000E5E82"/>
    <w:rsid w:val="000E602E"/>
    <w:rsid w:val="000E6E46"/>
    <w:rsid w:val="000E7958"/>
    <w:rsid w:val="000F04E6"/>
    <w:rsid w:val="000F0C8F"/>
    <w:rsid w:val="000F1107"/>
    <w:rsid w:val="000F152D"/>
    <w:rsid w:val="000F26EC"/>
    <w:rsid w:val="000F2A89"/>
    <w:rsid w:val="000F31A2"/>
    <w:rsid w:val="000F365D"/>
    <w:rsid w:val="000F50F6"/>
    <w:rsid w:val="000F54A6"/>
    <w:rsid w:val="000F57D7"/>
    <w:rsid w:val="000F5882"/>
    <w:rsid w:val="000F68FA"/>
    <w:rsid w:val="000F6A25"/>
    <w:rsid w:val="001003F8"/>
    <w:rsid w:val="0010051E"/>
    <w:rsid w:val="00100F23"/>
    <w:rsid w:val="00101D1E"/>
    <w:rsid w:val="00101DB2"/>
    <w:rsid w:val="0010480A"/>
    <w:rsid w:val="0010483C"/>
    <w:rsid w:val="00105E5D"/>
    <w:rsid w:val="00106F72"/>
    <w:rsid w:val="0011023A"/>
    <w:rsid w:val="00113402"/>
    <w:rsid w:val="00115DEC"/>
    <w:rsid w:val="00116788"/>
    <w:rsid w:val="00117D2F"/>
    <w:rsid w:val="00120E73"/>
    <w:rsid w:val="00120F54"/>
    <w:rsid w:val="00122488"/>
    <w:rsid w:val="00123E4A"/>
    <w:rsid w:val="00124491"/>
    <w:rsid w:val="0012449C"/>
    <w:rsid w:val="00124A87"/>
    <w:rsid w:val="00125780"/>
    <w:rsid w:val="00127E23"/>
    <w:rsid w:val="0013074E"/>
    <w:rsid w:val="00130F32"/>
    <w:rsid w:val="001310A3"/>
    <w:rsid w:val="00131E40"/>
    <w:rsid w:val="00131E57"/>
    <w:rsid w:val="001326B6"/>
    <w:rsid w:val="00134006"/>
    <w:rsid w:val="001352F3"/>
    <w:rsid w:val="00136F1A"/>
    <w:rsid w:val="0014088E"/>
    <w:rsid w:val="00140B94"/>
    <w:rsid w:val="00140BEF"/>
    <w:rsid w:val="00140CBF"/>
    <w:rsid w:val="00140E2B"/>
    <w:rsid w:val="00141735"/>
    <w:rsid w:val="00142D13"/>
    <w:rsid w:val="001433B2"/>
    <w:rsid w:val="00147569"/>
    <w:rsid w:val="00151099"/>
    <w:rsid w:val="00151BB9"/>
    <w:rsid w:val="0015254C"/>
    <w:rsid w:val="00152568"/>
    <w:rsid w:val="00153FB3"/>
    <w:rsid w:val="001541F5"/>
    <w:rsid w:val="00162459"/>
    <w:rsid w:val="00164082"/>
    <w:rsid w:val="001655A7"/>
    <w:rsid w:val="00166023"/>
    <w:rsid w:val="0016666B"/>
    <w:rsid w:val="00166BE2"/>
    <w:rsid w:val="00167170"/>
    <w:rsid w:val="00167F7B"/>
    <w:rsid w:val="00170D60"/>
    <w:rsid w:val="001712A2"/>
    <w:rsid w:val="00172B64"/>
    <w:rsid w:val="0017466E"/>
    <w:rsid w:val="001747DA"/>
    <w:rsid w:val="00174E6A"/>
    <w:rsid w:val="0018068B"/>
    <w:rsid w:val="00183BB7"/>
    <w:rsid w:val="001843D9"/>
    <w:rsid w:val="00184690"/>
    <w:rsid w:val="00187461"/>
    <w:rsid w:val="0018771D"/>
    <w:rsid w:val="00190405"/>
    <w:rsid w:val="00190FDA"/>
    <w:rsid w:val="0019192F"/>
    <w:rsid w:val="00191B1C"/>
    <w:rsid w:val="00191E61"/>
    <w:rsid w:val="00192D28"/>
    <w:rsid w:val="00192EB1"/>
    <w:rsid w:val="0019416A"/>
    <w:rsid w:val="00194525"/>
    <w:rsid w:val="00195CA6"/>
    <w:rsid w:val="00195D73"/>
    <w:rsid w:val="001972CB"/>
    <w:rsid w:val="001A0DC0"/>
    <w:rsid w:val="001A11AA"/>
    <w:rsid w:val="001A15FD"/>
    <w:rsid w:val="001A29C3"/>
    <w:rsid w:val="001A40C3"/>
    <w:rsid w:val="001A4C6C"/>
    <w:rsid w:val="001A5368"/>
    <w:rsid w:val="001A720D"/>
    <w:rsid w:val="001A77E0"/>
    <w:rsid w:val="001B10C3"/>
    <w:rsid w:val="001B11A6"/>
    <w:rsid w:val="001B30FB"/>
    <w:rsid w:val="001B3449"/>
    <w:rsid w:val="001B41F0"/>
    <w:rsid w:val="001B42C7"/>
    <w:rsid w:val="001B45B4"/>
    <w:rsid w:val="001B4EA8"/>
    <w:rsid w:val="001B5679"/>
    <w:rsid w:val="001B7E6E"/>
    <w:rsid w:val="001C3363"/>
    <w:rsid w:val="001C44FD"/>
    <w:rsid w:val="001C4621"/>
    <w:rsid w:val="001C6290"/>
    <w:rsid w:val="001C7D81"/>
    <w:rsid w:val="001D079D"/>
    <w:rsid w:val="001D1169"/>
    <w:rsid w:val="001D1FE1"/>
    <w:rsid w:val="001D25B1"/>
    <w:rsid w:val="001D2DF6"/>
    <w:rsid w:val="001D4F7F"/>
    <w:rsid w:val="001D5499"/>
    <w:rsid w:val="001D6D98"/>
    <w:rsid w:val="001D77AD"/>
    <w:rsid w:val="001D7D71"/>
    <w:rsid w:val="001E2A9F"/>
    <w:rsid w:val="001E2BE9"/>
    <w:rsid w:val="001E42D3"/>
    <w:rsid w:val="001E4C56"/>
    <w:rsid w:val="001E503E"/>
    <w:rsid w:val="001E507A"/>
    <w:rsid w:val="001E5EA3"/>
    <w:rsid w:val="001E6206"/>
    <w:rsid w:val="001E6CCA"/>
    <w:rsid w:val="001F05CF"/>
    <w:rsid w:val="001F0C7D"/>
    <w:rsid w:val="001F36D9"/>
    <w:rsid w:val="001F4190"/>
    <w:rsid w:val="001F57B0"/>
    <w:rsid w:val="00200BA0"/>
    <w:rsid w:val="002015E6"/>
    <w:rsid w:val="002037F5"/>
    <w:rsid w:val="00204819"/>
    <w:rsid w:val="0020565F"/>
    <w:rsid w:val="00205BEE"/>
    <w:rsid w:val="00206238"/>
    <w:rsid w:val="00206E54"/>
    <w:rsid w:val="0020761F"/>
    <w:rsid w:val="00211031"/>
    <w:rsid w:val="0021140C"/>
    <w:rsid w:val="0021265D"/>
    <w:rsid w:val="00214C56"/>
    <w:rsid w:val="00215DC4"/>
    <w:rsid w:val="00217239"/>
    <w:rsid w:val="002208F5"/>
    <w:rsid w:val="0022197C"/>
    <w:rsid w:val="00222AF0"/>
    <w:rsid w:val="0022305C"/>
    <w:rsid w:val="002266E8"/>
    <w:rsid w:val="00226BEB"/>
    <w:rsid w:val="00231417"/>
    <w:rsid w:val="00231FC8"/>
    <w:rsid w:val="00234B0F"/>
    <w:rsid w:val="00234D39"/>
    <w:rsid w:val="0023613F"/>
    <w:rsid w:val="002373FF"/>
    <w:rsid w:val="002378F3"/>
    <w:rsid w:val="00240E3C"/>
    <w:rsid w:val="00243753"/>
    <w:rsid w:val="00243C8A"/>
    <w:rsid w:val="00243D12"/>
    <w:rsid w:val="00243E39"/>
    <w:rsid w:val="002454B2"/>
    <w:rsid w:val="00245760"/>
    <w:rsid w:val="00245765"/>
    <w:rsid w:val="00245DDB"/>
    <w:rsid w:val="00247154"/>
    <w:rsid w:val="0025086E"/>
    <w:rsid w:val="00250B5F"/>
    <w:rsid w:val="002515F5"/>
    <w:rsid w:val="00251A56"/>
    <w:rsid w:val="00251D05"/>
    <w:rsid w:val="002552F5"/>
    <w:rsid w:val="00256859"/>
    <w:rsid w:val="002574D7"/>
    <w:rsid w:val="00260023"/>
    <w:rsid w:val="002611E0"/>
    <w:rsid w:val="00261CAE"/>
    <w:rsid w:val="002659AA"/>
    <w:rsid w:val="00266328"/>
    <w:rsid w:val="00267444"/>
    <w:rsid w:val="002676FA"/>
    <w:rsid w:val="00270816"/>
    <w:rsid w:val="00271510"/>
    <w:rsid w:val="002718F2"/>
    <w:rsid w:val="0027199F"/>
    <w:rsid w:val="00273521"/>
    <w:rsid w:val="002758F3"/>
    <w:rsid w:val="00277583"/>
    <w:rsid w:val="0027766C"/>
    <w:rsid w:val="00277A38"/>
    <w:rsid w:val="00280FAB"/>
    <w:rsid w:val="0028251C"/>
    <w:rsid w:val="00284E4F"/>
    <w:rsid w:val="002850CF"/>
    <w:rsid w:val="00285416"/>
    <w:rsid w:val="00286189"/>
    <w:rsid w:val="002864BE"/>
    <w:rsid w:val="0029387B"/>
    <w:rsid w:val="002942A4"/>
    <w:rsid w:val="002943C5"/>
    <w:rsid w:val="00294BC9"/>
    <w:rsid w:val="002960C4"/>
    <w:rsid w:val="00296885"/>
    <w:rsid w:val="00297845"/>
    <w:rsid w:val="002A0A93"/>
    <w:rsid w:val="002A19BB"/>
    <w:rsid w:val="002A1BB3"/>
    <w:rsid w:val="002A1BFA"/>
    <w:rsid w:val="002A36A7"/>
    <w:rsid w:val="002A3FB7"/>
    <w:rsid w:val="002A4A68"/>
    <w:rsid w:val="002A6747"/>
    <w:rsid w:val="002A6B5F"/>
    <w:rsid w:val="002A7F7D"/>
    <w:rsid w:val="002B0917"/>
    <w:rsid w:val="002B10DA"/>
    <w:rsid w:val="002B268E"/>
    <w:rsid w:val="002B2F87"/>
    <w:rsid w:val="002B3792"/>
    <w:rsid w:val="002B3911"/>
    <w:rsid w:val="002B7170"/>
    <w:rsid w:val="002C076A"/>
    <w:rsid w:val="002C25D2"/>
    <w:rsid w:val="002C3F52"/>
    <w:rsid w:val="002C4782"/>
    <w:rsid w:val="002C59F5"/>
    <w:rsid w:val="002C6527"/>
    <w:rsid w:val="002C6CBB"/>
    <w:rsid w:val="002C6E8C"/>
    <w:rsid w:val="002C7FE3"/>
    <w:rsid w:val="002D328C"/>
    <w:rsid w:val="002D3F05"/>
    <w:rsid w:val="002D7086"/>
    <w:rsid w:val="002D7AE0"/>
    <w:rsid w:val="002D7C77"/>
    <w:rsid w:val="002E2369"/>
    <w:rsid w:val="002E2CD6"/>
    <w:rsid w:val="002E3DF6"/>
    <w:rsid w:val="002E40E3"/>
    <w:rsid w:val="002E42B7"/>
    <w:rsid w:val="002E4819"/>
    <w:rsid w:val="002E55C1"/>
    <w:rsid w:val="002E671C"/>
    <w:rsid w:val="002E6F64"/>
    <w:rsid w:val="002E7332"/>
    <w:rsid w:val="002E77DA"/>
    <w:rsid w:val="002F03E8"/>
    <w:rsid w:val="002F1D07"/>
    <w:rsid w:val="002F3B5C"/>
    <w:rsid w:val="002F3F3C"/>
    <w:rsid w:val="002F497E"/>
    <w:rsid w:val="002F626F"/>
    <w:rsid w:val="002F6A90"/>
    <w:rsid w:val="002F7175"/>
    <w:rsid w:val="002F7AB6"/>
    <w:rsid w:val="00300D02"/>
    <w:rsid w:val="0030144B"/>
    <w:rsid w:val="00302F4F"/>
    <w:rsid w:val="00304C98"/>
    <w:rsid w:val="003051A3"/>
    <w:rsid w:val="00305CD2"/>
    <w:rsid w:val="003062CD"/>
    <w:rsid w:val="003064AE"/>
    <w:rsid w:val="00307B01"/>
    <w:rsid w:val="00310513"/>
    <w:rsid w:val="00310962"/>
    <w:rsid w:val="003114FA"/>
    <w:rsid w:val="003128D6"/>
    <w:rsid w:val="003136B0"/>
    <w:rsid w:val="00316471"/>
    <w:rsid w:val="0031795D"/>
    <w:rsid w:val="00320929"/>
    <w:rsid w:val="0032126D"/>
    <w:rsid w:val="003258F9"/>
    <w:rsid w:val="0033136B"/>
    <w:rsid w:val="00331C02"/>
    <w:rsid w:val="00332FCC"/>
    <w:rsid w:val="00333E6C"/>
    <w:rsid w:val="00333FD1"/>
    <w:rsid w:val="00335934"/>
    <w:rsid w:val="0033674F"/>
    <w:rsid w:val="00337EFD"/>
    <w:rsid w:val="00340219"/>
    <w:rsid w:val="00340461"/>
    <w:rsid w:val="00340BEF"/>
    <w:rsid w:val="0034131F"/>
    <w:rsid w:val="00341332"/>
    <w:rsid w:val="003425D5"/>
    <w:rsid w:val="00343B35"/>
    <w:rsid w:val="0034478D"/>
    <w:rsid w:val="00344C44"/>
    <w:rsid w:val="003458C4"/>
    <w:rsid w:val="00347EC8"/>
    <w:rsid w:val="003522AB"/>
    <w:rsid w:val="0035273A"/>
    <w:rsid w:val="003542F2"/>
    <w:rsid w:val="0035445D"/>
    <w:rsid w:val="00355E4A"/>
    <w:rsid w:val="00356934"/>
    <w:rsid w:val="00356C29"/>
    <w:rsid w:val="00361BC4"/>
    <w:rsid w:val="00361F37"/>
    <w:rsid w:val="0036380C"/>
    <w:rsid w:val="00363E33"/>
    <w:rsid w:val="00365FFA"/>
    <w:rsid w:val="003662D8"/>
    <w:rsid w:val="00370165"/>
    <w:rsid w:val="00370607"/>
    <w:rsid w:val="00371A9F"/>
    <w:rsid w:val="00372564"/>
    <w:rsid w:val="00372ABE"/>
    <w:rsid w:val="00373090"/>
    <w:rsid w:val="0037319C"/>
    <w:rsid w:val="00373B1C"/>
    <w:rsid w:val="00374FE3"/>
    <w:rsid w:val="00375163"/>
    <w:rsid w:val="00376294"/>
    <w:rsid w:val="0037770B"/>
    <w:rsid w:val="0037776E"/>
    <w:rsid w:val="00377E69"/>
    <w:rsid w:val="00381046"/>
    <w:rsid w:val="003815AA"/>
    <w:rsid w:val="00381760"/>
    <w:rsid w:val="00381E86"/>
    <w:rsid w:val="00383529"/>
    <w:rsid w:val="00383BF4"/>
    <w:rsid w:val="0038433C"/>
    <w:rsid w:val="003854A9"/>
    <w:rsid w:val="00385831"/>
    <w:rsid w:val="00385F20"/>
    <w:rsid w:val="003865CE"/>
    <w:rsid w:val="0038672C"/>
    <w:rsid w:val="00393286"/>
    <w:rsid w:val="00393E9B"/>
    <w:rsid w:val="00394E65"/>
    <w:rsid w:val="00395078"/>
    <w:rsid w:val="003952B9"/>
    <w:rsid w:val="003A0329"/>
    <w:rsid w:val="003A0505"/>
    <w:rsid w:val="003A0591"/>
    <w:rsid w:val="003A0AE5"/>
    <w:rsid w:val="003A21EB"/>
    <w:rsid w:val="003A4B80"/>
    <w:rsid w:val="003A5BD9"/>
    <w:rsid w:val="003B5B7F"/>
    <w:rsid w:val="003B6DAB"/>
    <w:rsid w:val="003C12A6"/>
    <w:rsid w:val="003C1E66"/>
    <w:rsid w:val="003C49F7"/>
    <w:rsid w:val="003D0064"/>
    <w:rsid w:val="003D00B7"/>
    <w:rsid w:val="003D0F11"/>
    <w:rsid w:val="003D145F"/>
    <w:rsid w:val="003D201F"/>
    <w:rsid w:val="003D2057"/>
    <w:rsid w:val="003D2F7B"/>
    <w:rsid w:val="003D2FBD"/>
    <w:rsid w:val="003D3857"/>
    <w:rsid w:val="003D44AD"/>
    <w:rsid w:val="003D5CBF"/>
    <w:rsid w:val="003D6887"/>
    <w:rsid w:val="003E11D0"/>
    <w:rsid w:val="003E18D1"/>
    <w:rsid w:val="003E2EF8"/>
    <w:rsid w:val="003E4602"/>
    <w:rsid w:val="003E4FE0"/>
    <w:rsid w:val="003E6118"/>
    <w:rsid w:val="003E71C2"/>
    <w:rsid w:val="003F00EF"/>
    <w:rsid w:val="003F08A5"/>
    <w:rsid w:val="003F1F96"/>
    <w:rsid w:val="003F3FB9"/>
    <w:rsid w:val="003F449C"/>
    <w:rsid w:val="003F7CE0"/>
    <w:rsid w:val="00402511"/>
    <w:rsid w:val="004034BE"/>
    <w:rsid w:val="004038F6"/>
    <w:rsid w:val="004041C5"/>
    <w:rsid w:val="00404AF0"/>
    <w:rsid w:val="004052B3"/>
    <w:rsid w:val="00406258"/>
    <w:rsid w:val="004064F6"/>
    <w:rsid w:val="00407CA2"/>
    <w:rsid w:val="00410BA6"/>
    <w:rsid w:val="00411949"/>
    <w:rsid w:val="00411E6D"/>
    <w:rsid w:val="004129B4"/>
    <w:rsid w:val="00413C64"/>
    <w:rsid w:val="00414433"/>
    <w:rsid w:val="00416564"/>
    <w:rsid w:val="00416AAD"/>
    <w:rsid w:val="00417FB6"/>
    <w:rsid w:val="00420885"/>
    <w:rsid w:val="00422C08"/>
    <w:rsid w:val="0042400A"/>
    <w:rsid w:val="00424DEE"/>
    <w:rsid w:val="00427276"/>
    <w:rsid w:val="00427DBD"/>
    <w:rsid w:val="00431069"/>
    <w:rsid w:val="004311B2"/>
    <w:rsid w:val="00431970"/>
    <w:rsid w:val="00434052"/>
    <w:rsid w:val="00436588"/>
    <w:rsid w:val="004373B7"/>
    <w:rsid w:val="00437505"/>
    <w:rsid w:val="00437B91"/>
    <w:rsid w:val="004418B4"/>
    <w:rsid w:val="004425B5"/>
    <w:rsid w:val="004434F5"/>
    <w:rsid w:val="0044355E"/>
    <w:rsid w:val="00443678"/>
    <w:rsid w:val="00443C0C"/>
    <w:rsid w:val="00444C14"/>
    <w:rsid w:val="0044574C"/>
    <w:rsid w:val="00447FB5"/>
    <w:rsid w:val="004524A4"/>
    <w:rsid w:val="004546AD"/>
    <w:rsid w:val="00454D83"/>
    <w:rsid w:val="00455956"/>
    <w:rsid w:val="004608E6"/>
    <w:rsid w:val="00461981"/>
    <w:rsid w:val="004635F7"/>
    <w:rsid w:val="0046367F"/>
    <w:rsid w:val="0046387F"/>
    <w:rsid w:val="00465E66"/>
    <w:rsid w:val="00472560"/>
    <w:rsid w:val="00474B5B"/>
    <w:rsid w:val="00476C9B"/>
    <w:rsid w:val="0047772B"/>
    <w:rsid w:val="004807AE"/>
    <w:rsid w:val="00482933"/>
    <w:rsid w:val="00482F13"/>
    <w:rsid w:val="00483643"/>
    <w:rsid w:val="00484ECB"/>
    <w:rsid w:val="00485264"/>
    <w:rsid w:val="004861DE"/>
    <w:rsid w:val="00486C44"/>
    <w:rsid w:val="00486EB5"/>
    <w:rsid w:val="00487B9A"/>
    <w:rsid w:val="00490209"/>
    <w:rsid w:val="00492146"/>
    <w:rsid w:val="00492CFC"/>
    <w:rsid w:val="00493788"/>
    <w:rsid w:val="00495293"/>
    <w:rsid w:val="00496785"/>
    <w:rsid w:val="004A2665"/>
    <w:rsid w:val="004A3F98"/>
    <w:rsid w:val="004A4DDB"/>
    <w:rsid w:val="004A5EBF"/>
    <w:rsid w:val="004A6856"/>
    <w:rsid w:val="004A6B01"/>
    <w:rsid w:val="004B1A55"/>
    <w:rsid w:val="004B234C"/>
    <w:rsid w:val="004B443A"/>
    <w:rsid w:val="004B4EC8"/>
    <w:rsid w:val="004B4F0A"/>
    <w:rsid w:val="004B4F8B"/>
    <w:rsid w:val="004B5117"/>
    <w:rsid w:val="004B6AAE"/>
    <w:rsid w:val="004C07D4"/>
    <w:rsid w:val="004C11A6"/>
    <w:rsid w:val="004C2E5F"/>
    <w:rsid w:val="004C2F7C"/>
    <w:rsid w:val="004C4F7A"/>
    <w:rsid w:val="004C53FC"/>
    <w:rsid w:val="004C685E"/>
    <w:rsid w:val="004D3BF8"/>
    <w:rsid w:val="004D4463"/>
    <w:rsid w:val="004D5826"/>
    <w:rsid w:val="004D5B7B"/>
    <w:rsid w:val="004D70CC"/>
    <w:rsid w:val="004E58B4"/>
    <w:rsid w:val="004E5EE4"/>
    <w:rsid w:val="004E631B"/>
    <w:rsid w:val="004E68C5"/>
    <w:rsid w:val="004F00B8"/>
    <w:rsid w:val="004F1287"/>
    <w:rsid w:val="004F18A1"/>
    <w:rsid w:val="004F27DF"/>
    <w:rsid w:val="004F53BA"/>
    <w:rsid w:val="004F5846"/>
    <w:rsid w:val="004F58AC"/>
    <w:rsid w:val="004F611B"/>
    <w:rsid w:val="004F67BC"/>
    <w:rsid w:val="004F7524"/>
    <w:rsid w:val="00500956"/>
    <w:rsid w:val="00500FE5"/>
    <w:rsid w:val="00502B97"/>
    <w:rsid w:val="00502DAA"/>
    <w:rsid w:val="0050308C"/>
    <w:rsid w:val="005039FB"/>
    <w:rsid w:val="005048F0"/>
    <w:rsid w:val="00512EC9"/>
    <w:rsid w:val="0051527E"/>
    <w:rsid w:val="00516C82"/>
    <w:rsid w:val="00517BFE"/>
    <w:rsid w:val="0052035D"/>
    <w:rsid w:val="00521C8B"/>
    <w:rsid w:val="00522B80"/>
    <w:rsid w:val="0052451C"/>
    <w:rsid w:val="00525B02"/>
    <w:rsid w:val="0052669B"/>
    <w:rsid w:val="005274E8"/>
    <w:rsid w:val="005275AC"/>
    <w:rsid w:val="00530E18"/>
    <w:rsid w:val="005331E2"/>
    <w:rsid w:val="00535078"/>
    <w:rsid w:val="00536CCC"/>
    <w:rsid w:val="005376B8"/>
    <w:rsid w:val="00541771"/>
    <w:rsid w:val="00542467"/>
    <w:rsid w:val="005438F0"/>
    <w:rsid w:val="00544060"/>
    <w:rsid w:val="0054512A"/>
    <w:rsid w:val="0054541C"/>
    <w:rsid w:val="00545D35"/>
    <w:rsid w:val="00545EAE"/>
    <w:rsid w:val="0054635F"/>
    <w:rsid w:val="00550C34"/>
    <w:rsid w:val="00551DB0"/>
    <w:rsid w:val="0055260D"/>
    <w:rsid w:val="005536BE"/>
    <w:rsid w:val="0055433E"/>
    <w:rsid w:val="00556F31"/>
    <w:rsid w:val="00561EE4"/>
    <w:rsid w:val="00563025"/>
    <w:rsid w:val="00563173"/>
    <w:rsid w:val="00564323"/>
    <w:rsid w:val="00567077"/>
    <w:rsid w:val="005679BA"/>
    <w:rsid w:val="00567C06"/>
    <w:rsid w:val="00571877"/>
    <w:rsid w:val="0057264B"/>
    <w:rsid w:val="0057360B"/>
    <w:rsid w:val="0057389F"/>
    <w:rsid w:val="00573AA0"/>
    <w:rsid w:val="00574344"/>
    <w:rsid w:val="00574DA7"/>
    <w:rsid w:val="005762F1"/>
    <w:rsid w:val="00576519"/>
    <w:rsid w:val="00580784"/>
    <w:rsid w:val="00581EFD"/>
    <w:rsid w:val="00584666"/>
    <w:rsid w:val="00587C73"/>
    <w:rsid w:val="0059068A"/>
    <w:rsid w:val="005929EC"/>
    <w:rsid w:val="00593E2C"/>
    <w:rsid w:val="005944E4"/>
    <w:rsid w:val="00594D4A"/>
    <w:rsid w:val="00594EFF"/>
    <w:rsid w:val="005976A4"/>
    <w:rsid w:val="00597F59"/>
    <w:rsid w:val="005A039D"/>
    <w:rsid w:val="005A07C9"/>
    <w:rsid w:val="005A0BC0"/>
    <w:rsid w:val="005A2C9F"/>
    <w:rsid w:val="005A321C"/>
    <w:rsid w:val="005A3A86"/>
    <w:rsid w:val="005A535F"/>
    <w:rsid w:val="005A58BF"/>
    <w:rsid w:val="005A58D5"/>
    <w:rsid w:val="005A7DE2"/>
    <w:rsid w:val="005B0774"/>
    <w:rsid w:val="005B0CC6"/>
    <w:rsid w:val="005B2CB6"/>
    <w:rsid w:val="005B3778"/>
    <w:rsid w:val="005B5C4C"/>
    <w:rsid w:val="005B5DA5"/>
    <w:rsid w:val="005B6A37"/>
    <w:rsid w:val="005C08FB"/>
    <w:rsid w:val="005C7514"/>
    <w:rsid w:val="005D0F75"/>
    <w:rsid w:val="005D522D"/>
    <w:rsid w:val="005D5750"/>
    <w:rsid w:val="005D5CD2"/>
    <w:rsid w:val="005D6ABE"/>
    <w:rsid w:val="005D6ADD"/>
    <w:rsid w:val="005E0B60"/>
    <w:rsid w:val="005E0C1B"/>
    <w:rsid w:val="005E10B1"/>
    <w:rsid w:val="005E2CBE"/>
    <w:rsid w:val="005E2CD5"/>
    <w:rsid w:val="005E33D2"/>
    <w:rsid w:val="005E4A3D"/>
    <w:rsid w:val="005E58DE"/>
    <w:rsid w:val="005E598F"/>
    <w:rsid w:val="005E5B14"/>
    <w:rsid w:val="005E5DC3"/>
    <w:rsid w:val="005E7117"/>
    <w:rsid w:val="005E7B91"/>
    <w:rsid w:val="005F1124"/>
    <w:rsid w:val="005F464D"/>
    <w:rsid w:val="005F4B89"/>
    <w:rsid w:val="005F51E5"/>
    <w:rsid w:val="006000EE"/>
    <w:rsid w:val="006003A8"/>
    <w:rsid w:val="006003F6"/>
    <w:rsid w:val="00601E29"/>
    <w:rsid w:val="00602D61"/>
    <w:rsid w:val="00603A56"/>
    <w:rsid w:val="006059FF"/>
    <w:rsid w:val="00607539"/>
    <w:rsid w:val="00607B32"/>
    <w:rsid w:val="006119FA"/>
    <w:rsid w:val="00615322"/>
    <w:rsid w:val="00615ED8"/>
    <w:rsid w:val="006201FE"/>
    <w:rsid w:val="00620D7E"/>
    <w:rsid w:val="00621201"/>
    <w:rsid w:val="00621688"/>
    <w:rsid w:val="006216FB"/>
    <w:rsid w:val="006223D8"/>
    <w:rsid w:val="00622D72"/>
    <w:rsid w:val="00623A1C"/>
    <w:rsid w:val="00624FBA"/>
    <w:rsid w:val="00627250"/>
    <w:rsid w:val="00632012"/>
    <w:rsid w:val="00637568"/>
    <w:rsid w:val="00640C3C"/>
    <w:rsid w:val="00641966"/>
    <w:rsid w:val="006432FF"/>
    <w:rsid w:val="00644BAC"/>
    <w:rsid w:val="00645138"/>
    <w:rsid w:val="00645708"/>
    <w:rsid w:val="00646832"/>
    <w:rsid w:val="00646A90"/>
    <w:rsid w:val="006475EE"/>
    <w:rsid w:val="00647774"/>
    <w:rsid w:val="00647877"/>
    <w:rsid w:val="00647AB5"/>
    <w:rsid w:val="00647D47"/>
    <w:rsid w:val="006518FF"/>
    <w:rsid w:val="006531B5"/>
    <w:rsid w:val="006538C5"/>
    <w:rsid w:val="006557EA"/>
    <w:rsid w:val="00656304"/>
    <w:rsid w:val="0065774E"/>
    <w:rsid w:val="00657B32"/>
    <w:rsid w:val="00657F8B"/>
    <w:rsid w:val="00661A6C"/>
    <w:rsid w:val="006647B3"/>
    <w:rsid w:val="00665612"/>
    <w:rsid w:val="00665D47"/>
    <w:rsid w:val="00666F53"/>
    <w:rsid w:val="00667BD7"/>
    <w:rsid w:val="00670A13"/>
    <w:rsid w:val="00671B84"/>
    <w:rsid w:val="006749AB"/>
    <w:rsid w:val="00675B59"/>
    <w:rsid w:val="006769E3"/>
    <w:rsid w:val="0067741D"/>
    <w:rsid w:val="0068031B"/>
    <w:rsid w:val="00681388"/>
    <w:rsid w:val="00681EF4"/>
    <w:rsid w:val="00682557"/>
    <w:rsid w:val="0068286C"/>
    <w:rsid w:val="006839D7"/>
    <w:rsid w:val="00683E8B"/>
    <w:rsid w:val="0068405C"/>
    <w:rsid w:val="00684D8A"/>
    <w:rsid w:val="00685A53"/>
    <w:rsid w:val="00685B74"/>
    <w:rsid w:val="00686EAE"/>
    <w:rsid w:val="0068749B"/>
    <w:rsid w:val="0068789A"/>
    <w:rsid w:val="00687D2B"/>
    <w:rsid w:val="00690D23"/>
    <w:rsid w:val="006922FD"/>
    <w:rsid w:val="00694F2E"/>
    <w:rsid w:val="00696E41"/>
    <w:rsid w:val="00696E47"/>
    <w:rsid w:val="006A0B94"/>
    <w:rsid w:val="006A201F"/>
    <w:rsid w:val="006A3022"/>
    <w:rsid w:val="006A348B"/>
    <w:rsid w:val="006A3C0E"/>
    <w:rsid w:val="006A68B9"/>
    <w:rsid w:val="006A7413"/>
    <w:rsid w:val="006A75E9"/>
    <w:rsid w:val="006B0C1F"/>
    <w:rsid w:val="006B190F"/>
    <w:rsid w:val="006B205F"/>
    <w:rsid w:val="006B4F15"/>
    <w:rsid w:val="006B7111"/>
    <w:rsid w:val="006C0835"/>
    <w:rsid w:val="006C09CD"/>
    <w:rsid w:val="006C150D"/>
    <w:rsid w:val="006C29E6"/>
    <w:rsid w:val="006C302E"/>
    <w:rsid w:val="006C32DF"/>
    <w:rsid w:val="006C4911"/>
    <w:rsid w:val="006C66D8"/>
    <w:rsid w:val="006D432D"/>
    <w:rsid w:val="006D71DF"/>
    <w:rsid w:val="006E18BE"/>
    <w:rsid w:val="006E23A7"/>
    <w:rsid w:val="006E258B"/>
    <w:rsid w:val="006E4235"/>
    <w:rsid w:val="006E594B"/>
    <w:rsid w:val="006E63AB"/>
    <w:rsid w:val="006E6A3B"/>
    <w:rsid w:val="006E77F9"/>
    <w:rsid w:val="006F0C77"/>
    <w:rsid w:val="006F11DE"/>
    <w:rsid w:val="006F12E0"/>
    <w:rsid w:val="006F1D42"/>
    <w:rsid w:val="006F2167"/>
    <w:rsid w:val="006F228B"/>
    <w:rsid w:val="006F406C"/>
    <w:rsid w:val="006F4235"/>
    <w:rsid w:val="006F70AD"/>
    <w:rsid w:val="00700358"/>
    <w:rsid w:val="007016E4"/>
    <w:rsid w:val="00701DC4"/>
    <w:rsid w:val="00703986"/>
    <w:rsid w:val="007058ED"/>
    <w:rsid w:val="00705D5F"/>
    <w:rsid w:val="007062C3"/>
    <w:rsid w:val="00706928"/>
    <w:rsid w:val="007073A1"/>
    <w:rsid w:val="00711405"/>
    <w:rsid w:val="007118FC"/>
    <w:rsid w:val="00715F47"/>
    <w:rsid w:val="00715F92"/>
    <w:rsid w:val="007165CD"/>
    <w:rsid w:val="00716E8C"/>
    <w:rsid w:val="007172A8"/>
    <w:rsid w:val="00717C6D"/>
    <w:rsid w:val="00717E1F"/>
    <w:rsid w:val="00717E8F"/>
    <w:rsid w:val="007206ED"/>
    <w:rsid w:val="00721086"/>
    <w:rsid w:val="007227E7"/>
    <w:rsid w:val="00723D28"/>
    <w:rsid w:val="0072546F"/>
    <w:rsid w:val="00730E00"/>
    <w:rsid w:val="00732774"/>
    <w:rsid w:val="00733526"/>
    <w:rsid w:val="00734872"/>
    <w:rsid w:val="00734A81"/>
    <w:rsid w:val="0073750F"/>
    <w:rsid w:val="00740CEE"/>
    <w:rsid w:val="007414AA"/>
    <w:rsid w:val="00741B02"/>
    <w:rsid w:val="00742563"/>
    <w:rsid w:val="00742E83"/>
    <w:rsid w:val="00743778"/>
    <w:rsid w:val="00743AEC"/>
    <w:rsid w:val="0074476B"/>
    <w:rsid w:val="007451BF"/>
    <w:rsid w:val="00745653"/>
    <w:rsid w:val="00745BAB"/>
    <w:rsid w:val="007512F1"/>
    <w:rsid w:val="00751441"/>
    <w:rsid w:val="007520EC"/>
    <w:rsid w:val="007522C5"/>
    <w:rsid w:val="007528A2"/>
    <w:rsid w:val="00753C0B"/>
    <w:rsid w:val="00755AEF"/>
    <w:rsid w:val="00756210"/>
    <w:rsid w:val="0075641C"/>
    <w:rsid w:val="00756C52"/>
    <w:rsid w:val="00757AC7"/>
    <w:rsid w:val="00757B5D"/>
    <w:rsid w:val="00761D97"/>
    <w:rsid w:val="00762142"/>
    <w:rsid w:val="007624C4"/>
    <w:rsid w:val="007628F6"/>
    <w:rsid w:val="00762C0F"/>
    <w:rsid w:val="00764012"/>
    <w:rsid w:val="007654B9"/>
    <w:rsid w:val="0076583D"/>
    <w:rsid w:val="007664B7"/>
    <w:rsid w:val="0076687A"/>
    <w:rsid w:val="00766B6D"/>
    <w:rsid w:val="007672EE"/>
    <w:rsid w:val="00767790"/>
    <w:rsid w:val="00771ED4"/>
    <w:rsid w:val="00772898"/>
    <w:rsid w:val="00772AF2"/>
    <w:rsid w:val="00773F98"/>
    <w:rsid w:val="007757BB"/>
    <w:rsid w:val="0077665F"/>
    <w:rsid w:val="00780523"/>
    <w:rsid w:val="00781BD9"/>
    <w:rsid w:val="00783627"/>
    <w:rsid w:val="0078400F"/>
    <w:rsid w:val="007843C0"/>
    <w:rsid w:val="0078464D"/>
    <w:rsid w:val="0078464E"/>
    <w:rsid w:val="00784AC9"/>
    <w:rsid w:val="007864D1"/>
    <w:rsid w:val="007875DA"/>
    <w:rsid w:val="007875EC"/>
    <w:rsid w:val="007877F8"/>
    <w:rsid w:val="00791843"/>
    <w:rsid w:val="007925E1"/>
    <w:rsid w:val="00793BC9"/>
    <w:rsid w:val="00794169"/>
    <w:rsid w:val="00795BDD"/>
    <w:rsid w:val="00795F6B"/>
    <w:rsid w:val="00797E7E"/>
    <w:rsid w:val="007A0A79"/>
    <w:rsid w:val="007A12BB"/>
    <w:rsid w:val="007A3B66"/>
    <w:rsid w:val="007A57B7"/>
    <w:rsid w:val="007A7D44"/>
    <w:rsid w:val="007B0633"/>
    <w:rsid w:val="007B0A83"/>
    <w:rsid w:val="007B2266"/>
    <w:rsid w:val="007B2452"/>
    <w:rsid w:val="007B288B"/>
    <w:rsid w:val="007B5B91"/>
    <w:rsid w:val="007C041B"/>
    <w:rsid w:val="007C3ADD"/>
    <w:rsid w:val="007C3AF1"/>
    <w:rsid w:val="007C6DCE"/>
    <w:rsid w:val="007C74BC"/>
    <w:rsid w:val="007C7C08"/>
    <w:rsid w:val="007D0496"/>
    <w:rsid w:val="007D12E6"/>
    <w:rsid w:val="007D4B4D"/>
    <w:rsid w:val="007D4C66"/>
    <w:rsid w:val="007D5756"/>
    <w:rsid w:val="007D6E5E"/>
    <w:rsid w:val="007D7958"/>
    <w:rsid w:val="007D7A75"/>
    <w:rsid w:val="007D7D75"/>
    <w:rsid w:val="007E0246"/>
    <w:rsid w:val="007E034E"/>
    <w:rsid w:val="007E0DDD"/>
    <w:rsid w:val="007E0EB3"/>
    <w:rsid w:val="007E1D80"/>
    <w:rsid w:val="007E29B2"/>
    <w:rsid w:val="007E2E1B"/>
    <w:rsid w:val="007E3288"/>
    <w:rsid w:val="007E383D"/>
    <w:rsid w:val="007E658A"/>
    <w:rsid w:val="007E6D7E"/>
    <w:rsid w:val="007F25BC"/>
    <w:rsid w:val="007F2DDB"/>
    <w:rsid w:val="007F6289"/>
    <w:rsid w:val="007F643F"/>
    <w:rsid w:val="007F65DE"/>
    <w:rsid w:val="007F6A8F"/>
    <w:rsid w:val="00801151"/>
    <w:rsid w:val="008020F7"/>
    <w:rsid w:val="0080480D"/>
    <w:rsid w:val="00807278"/>
    <w:rsid w:val="00811635"/>
    <w:rsid w:val="0081201F"/>
    <w:rsid w:val="00813655"/>
    <w:rsid w:val="00814B31"/>
    <w:rsid w:val="00814DA8"/>
    <w:rsid w:val="00815577"/>
    <w:rsid w:val="00815D2F"/>
    <w:rsid w:val="00817EB9"/>
    <w:rsid w:val="00820CA0"/>
    <w:rsid w:val="008217AC"/>
    <w:rsid w:val="00822A54"/>
    <w:rsid w:val="00823499"/>
    <w:rsid w:val="008249F0"/>
    <w:rsid w:val="00824D9C"/>
    <w:rsid w:val="0082527E"/>
    <w:rsid w:val="00825FF6"/>
    <w:rsid w:val="008264CA"/>
    <w:rsid w:val="00826941"/>
    <w:rsid w:val="0083078C"/>
    <w:rsid w:val="0083103D"/>
    <w:rsid w:val="00831814"/>
    <w:rsid w:val="008325F5"/>
    <w:rsid w:val="00833080"/>
    <w:rsid w:val="00833A75"/>
    <w:rsid w:val="00834A71"/>
    <w:rsid w:val="00835703"/>
    <w:rsid w:val="0083578A"/>
    <w:rsid w:val="00840A78"/>
    <w:rsid w:val="008410A8"/>
    <w:rsid w:val="00845008"/>
    <w:rsid w:val="00846C06"/>
    <w:rsid w:val="0084713B"/>
    <w:rsid w:val="00850849"/>
    <w:rsid w:val="00851CC1"/>
    <w:rsid w:val="008550D2"/>
    <w:rsid w:val="00855270"/>
    <w:rsid w:val="0085534F"/>
    <w:rsid w:val="00856D22"/>
    <w:rsid w:val="00860428"/>
    <w:rsid w:val="00861A32"/>
    <w:rsid w:val="00861D5A"/>
    <w:rsid w:val="00862D19"/>
    <w:rsid w:val="008631E1"/>
    <w:rsid w:val="00863F0D"/>
    <w:rsid w:val="00864BC2"/>
    <w:rsid w:val="00864F50"/>
    <w:rsid w:val="008655D7"/>
    <w:rsid w:val="00865842"/>
    <w:rsid w:val="008666E4"/>
    <w:rsid w:val="00867758"/>
    <w:rsid w:val="00870D9F"/>
    <w:rsid w:val="0087291E"/>
    <w:rsid w:val="00875301"/>
    <w:rsid w:val="008754AF"/>
    <w:rsid w:val="00875B60"/>
    <w:rsid w:val="00875CE1"/>
    <w:rsid w:val="00876200"/>
    <w:rsid w:val="00877771"/>
    <w:rsid w:val="00882638"/>
    <w:rsid w:val="0088370F"/>
    <w:rsid w:val="00883929"/>
    <w:rsid w:val="00883A5D"/>
    <w:rsid w:val="008844C6"/>
    <w:rsid w:val="00887F00"/>
    <w:rsid w:val="0089149D"/>
    <w:rsid w:val="00891FE7"/>
    <w:rsid w:val="008920B0"/>
    <w:rsid w:val="00892176"/>
    <w:rsid w:val="0089370B"/>
    <w:rsid w:val="00893D6A"/>
    <w:rsid w:val="008944D6"/>
    <w:rsid w:val="008977C2"/>
    <w:rsid w:val="008A0920"/>
    <w:rsid w:val="008A2507"/>
    <w:rsid w:val="008A4E1B"/>
    <w:rsid w:val="008A7784"/>
    <w:rsid w:val="008B0342"/>
    <w:rsid w:val="008B088A"/>
    <w:rsid w:val="008B0C19"/>
    <w:rsid w:val="008B17D6"/>
    <w:rsid w:val="008B280D"/>
    <w:rsid w:val="008B2BA0"/>
    <w:rsid w:val="008B395F"/>
    <w:rsid w:val="008B5A6A"/>
    <w:rsid w:val="008C13CA"/>
    <w:rsid w:val="008C1441"/>
    <w:rsid w:val="008C15D7"/>
    <w:rsid w:val="008C213F"/>
    <w:rsid w:val="008C2F0E"/>
    <w:rsid w:val="008C3829"/>
    <w:rsid w:val="008C38B2"/>
    <w:rsid w:val="008C4707"/>
    <w:rsid w:val="008C4799"/>
    <w:rsid w:val="008C4F4B"/>
    <w:rsid w:val="008C5FC0"/>
    <w:rsid w:val="008C7C02"/>
    <w:rsid w:val="008C7F9B"/>
    <w:rsid w:val="008D01EA"/>
    <w:rsid w:val="008D13A2"/>
    <w:rsid w:val="008D17E0"/>
    <w:rsid w:val="008D19E1"/>
    <w:rsid w:val="008D4894"/>
    <w:rsid w:val="008D4EF0"/>
    <w:rsid w:val="008E06F5"/>
    <w:rsid w:val="008E13AB"/>
    <w:rsid w:val="008E2A56"/>
    <w:rsid w:val="008E308F"/>
    <w:rsid w:val="008E4270"/>
    <w:rsid w:val="008E4538"/>
    <w:rsid w:val="008E63FE"/>
    <w:rsid w:val="008E6DF3"/>
    <w:rsid w:val="008E6FBE"/>
    <w:rsid w:val="008E7556"/>
    <w:rsid w:val="008F1487"/>
    <w:rsid w:val="008F1B8F"/>
    <w:rsid w:val="008F256F"/>
    <w:rsid w:val="008F3ED3"/>
    <w:rsid w:val="008F42D0"/>
    <w:rsid w:val="008F53CA"/>
    <w:rsid w:val="008F648B"/>
    <w:rsid w:val="008F6A4A"/>
    <w:rsid w:val="008F731D"/>
    <w:rsid w:val="00900AF9"/>
    <w:rsid w:val="00901868"/>
    <w:rsid w:val="00903279"/>
    <w:rsid w:val="00904227"/>
    <w:rsid w:val="00905693"/>
    <w:rsid w:val="00911858"/>
    <w:rsid w:val="0091193D"/>
    <w:rsid w:val="00911CC0"/>
    <w:rsid w:val="009135FC"/>
    <w:rsid w:val="009156B3"/>
    <w:rsid w:val="00915A9D"/>
    <w:rsid w:val="009172DD"/>
    <w:rsid w:val="0092127B"/>
    <w:rsid w:val="00921BF0"/>
    <w:rsid w:val="00923C47"/>
    <w:rsid w:val="0092428B"/>
    <w:rsid w:val="00925B9B"/>
    <w:rsid w:val="00926076"/>
    <w:rsid w:val="00926DFF"/>
    <w:rsid w:val="009301CA"/>
    <w:rsid w:val="00930B6B"/>
    <w:rsid w:val="00930E63"/>
    <w:rsid w:val="00931107"/>
    <w:rsid w:val="00934B3C"/>
    <w:rsid w:val="00935A00"/>
    <w:rsid w:val="009366C1"/>
    <w:rsid w:val="0093718F"/>
    <w:rsid w:val="00940FFA"/>
    <w:rsid w:val="00941212"/>
    <w:rsid w:val="009412CA"/>
    <w:rsid w:val="00942350"/>
    <w:rsid w:val="00943E76"/>
    <w:rsid w:val="009455D0"/>
    <w:rsid w:val="009503FB"/>
    <w:rsid w:val="00950CD2"/>
    <w:rsid w:val="00952C4A"/>
    <w:rsid w:val="00955CBC"/>
    <w:rsid w:val="00956619"/>
    <w:rsid w:val="0095705D"/>
    <w:rsid w:val="0096079F"/>
    <w:rsid w:val="009612C6"/>
    <w:rsid w:val="00961699"/>
    <w:rsid w:val="00961C45"/>
    <w:rsid w:val="00961F74"/>
    <w:rsid w:val="00962BF0"/>
    <w:rsid w:val="00964223"/>
    <w:rsid w:val="009657C1"/>
    <w:rsid w:val="0096644A"/>
    <w:rsid w:val="00970671"/>
    <w:rsid w:val="00972567"/>
    <w:rsid w:val="00975398"/>
    <w:rsid w:val="009775A6"/>
    <w:rsid w:val="0097762C"/>
    <w:rsid w:val="009805EC"/>
    <w:rsid w:val="00982AB0"/>
    <w:rsid w:val="00982CAC"/>
    <w:rsid w:val="0098317A"/>
    <w:rsid w:val="00984948"/>
    <w:rsid w:val="00987FE7"/>
    <w:rsid w:val="009904B1"/>
    <w:rsid w:val="00990BA7"/>
    <w:rsid w:val="00992002"/>
    <w:rsid w:val="0099357A"/>
    <w:rsid w:val="00993B63"/>
    <w:rsid w:val="00993E36"/>
    <w:rsid w:val="00994767"/>
    <w:rsid w:val="00994CB7"/>
    <w:rsid w:val="009A2B81"/>
    <w:rsid w:val="009A638F"/>
    <w:rsid w:val="009A6887"/>
    <w:rsid w:val="009B0F23"/>
    <w:rsid w:val="009B2D3D"/>
    <w:rsid w:val="009B40D8"/>
    <w:rsid w:val="009B42EB"/>
    <w:rsid w:val="009B4419"/>
    <w:rsid w:val="009B6DB8"/>
    <w:rsid w:val="009B74AE"/>
    <w:rsid w:val="009B7950"/>
    <w:rsid w:val="009C346F"/>
    <w:rsid w:val="009C45AE"/>
    <w:rsid w:val="009C4BE9"/>
    <w:rsid w:val="009C56E0"/>
    <w:rsid w:val="009C64B1"/>
    <w:rsid w:val="009D018A"/>
    <w:rsid w:val="009D1C91"/>
    <w:rsid w:val="009D1F39"/>
    <w:rsid w:val="009D2F16"/>
    <w:rsid w:val="009D34AD"/>
    <w:rsid w:val="009D3DA2"/>
    <w:rsid w:val="009D4EBC"/>
    <w:rsid w:val="009D620A"/>
    <w:rsid w:val="009D6D42"/>
    <w:rsid w:val="009E1571"/>
    <w:rsid w:val="009E17E1"/>
    <w:rsid w:val="009E2802"/>
    <w:rsid w:val="009E38AA"/>
    <w:rsid w:val="009E3B1D"/>
    <w:rsid w:val="009E589B"/>
    <w:rsid w:val="009E5C7A"/>
    <w:rsid w:val="009E61A5"/>
    <w:rsid w:val="009E7C82"/>
    <w:rsid w:val="009F03F1"/>
    <w:rsid w:val="009F2668"/>
    <w:rsid w:val="009F3696"/>
    <w:rsid w:val="009F5329"/>
    <w:rsid w:val="009F5768"/>
    <w:rsid w:val="009F60A8"/>
    <w:rsid w:val="009F67D8"/>
    <w:rsid w:val="009F74FF"/>
    <w:rsid w:val="009F7A04"/>
    <w:rsid w:val="00A01A4A"/>
    <w:rsid w:val="00A01D86"/>
    <w:rsid w:val="00A02655"/>
    <w:rsid w:val="00A027D0"/>
    <w:rsid w:val="00A048CE"/>
    <w:rsid w:val="00A0509D"/>
    <w:rsid w:val="00A13AE4"/>
    <w:rsid w:val="00A14E99"/>
    <w:rsid w:val="00A14ECF"/>
    <w:rsid w:val="00A15ABD"/>
    <w:rsid w:val="00A175F3"/>
    <w:rsid w:val="00A1763C"/>
    <w:rsid w:val="00A17995"/>
    <w:rsid w:val="00A20BCF"/>
    <w:rsid w:val="00A22517"/>
    <w:rsid w:val="00A229A1"/>
    <w:rsid w:val="00A23327"/>
    <w:rsid w:val="00A247E4"/>
    <w:rsid w:val="00A24F70"/>
    <w:rsid w:val="00A264DE"/>
    <w:rsid w:val="00A27926"/>
    <w:rsid w:val="00A308D2"/>
    <w:rsid w:val="00A3152A"/>
    <w:rsid w:val="00A31E3D"/>
    <w:rsid w:val="00A329D5"/>
    <w:rsid w:val="00A32E3E"/>
    <w:rsid w:val="00A33AD0"/>
    <w:rsid w:val="00A34BCB"/>
    <w:rsid w:val="00A350DC"/>
    <w:rsid w:val="00A351ED"/>
    <w:rsid w:val="00A35306"/>
    <w:rsid w:val="00A35619"/>
    <w:rsid w:val="00A365BD"/>
    <w:rsid w:val="00A373D7"/>
    <w:rsid w:val="00A375EE"/>
    <w:rsid w:val="00A4093F"/>
    <w:rsid w:val="00A42211"/>
    <w:rsid w:val="00A44493"/>
    <w:rsid w:val="00A452D5"/>
    <w:rsid w:val="00A4532E"/>
    <w:rsid w:val="00A4556A"/>
    <w:rsid w:val="00A469E6"/>
    <w:rsid w:val="00A504C3"/>
    <w:rsid w:val="00A50D4E"/>
    <w:rsid w:val="00A50D65"/>
    <w:rsid w:val="00A51076"/>
    <w:rsid w:val="00A510BF"/>
    <w:rsid w:val="00A51AF1"/>
    <w:rsid w:val="00A51F13"/>
    <w:rsid w:val="00A52D16"/>
    <w:rsid w:val="00A52EF2"/>
    <w:rsid w:val="00A549A0"/>
    <w:rsid w:val="00A54F75"/>
    <w:rsid w:val="00A55433"/>
    <w:rsid w:val="00A602C5"/>
    <w:rsid w:val="00A60E5C"/>
    <w:rsid w:val="00A641D9"/>
    <w:rsid w:val="00A651B8"/>
    <w:rsid w:val="00A65D73"/>
    <w:rsid w:val="00A66975"/>
    <w:rsid w:val="00A66AE5"/>
    <w:rsid w:val="00A75F08"/>
    <w:rsid w:val="00A76186"/>
    <w:rsid w:val="00A81AE4"/>
    <w:rsid w:val="00A8242B"/>
    <w:rsid w:val="00A835F7"/>
    <w:rsid w:val="00A84800"/>
    <w:rsid w:val="00A86030"/>
    <w:rsid w:val="00A86594"/>
    <w:rsid w:val="00A8786C"/>
    <w:rsid w:val="00A91C37"/>
    <w:rsid w:val="00A9203B"/>
    <w:rsid w:val="00A922CF"/>
    <w:rsid w:val="00A92D43"/>
    <w:rsid w:val="00A931D8"/>
    <w:rsid w:val="00A9358F"/>
    <w:rsid w:val="00A949A6"/>
    <w:rsid w:val="00A94F1F"/>
    <w:rsid w:val="00A953E7"/>
    <w:rsid w:val="00A955A4"/>
    <w:rsid w:val="00A972F9"/>
    <w:rsid w:val="00AA0451"/>
    <w:rsid w:val="00AA2408"/>
    <w:rsid w:val="00AA29A8"/>
    <w:rsid w:val="00AA3781"/>
    <w:rsid w:val="00AA3C24"/>
    <w:rsid w:val="00AA6128"/>
    <w:rsid w:val="00AA6904"/>
    <w:rsid w:val="00AA7310"/>
    <w:rsid w:val="00AB038B"/>
    <w:rsid w:val="00AB03EE"/>
    <w:rsid w:val="00AB2434"/>
    <w:rsid w:val="00AB2908"/>
    <w:rsid w:val="00AB290E"/>
    <w:rsid w:val="00AB2DAB"/>
    <w:rsid w:val="00AB4670"/>
    <w:rsid w:val="00AB4B0C"/>
    <w:rsid w:val="00AB4E30"/>
    <w:rsid w:val="00AB5E03"/>
    <w:rsid w:val="00AB6382"/>
    <w:rsid w:val="00AB6D8B"/>
    <w:rsid w:val="00AB7337"/>
    <w:rsid w:val="00AC03FD"/>
    <w:rsid w:val="00AC070E"/>
    <w:rsid w:val="00AC1215"/>
    <w:rsid w:val="00AC4ADC"/>
    <w:rsid w:val="00AC4E57"/>
    <w:rsid w:val="00AC63B4"/>
    <w:rsid w:val="00AC72B7"/>
    <w:rsid w:val="00AD0939"/>
    <w:rsid w:val="00AD0A61"/>
    <w:rsid w:val="00AD20E3"/>
    <w:rsid w:val="00AD4833"/>
    <w:rsid w:val="00AD594D"/>
    <w:rsid w:val="00AD7BAB"/>
    <w:rsid w:val="00AE2200"/>
    <w:rsid w:val="00AE3ABC"/>
    <w:rsid w:val="00AE41E0"/>
    <w:rsid w:val="00AE437B"/>
    <w:rsid w:val="00AE6F5D"/>
    <w:rsid w:val="00AF0BA5"/>
    <w:rsid w:val="00AF2814"/>
    <w:rsid w:val="00AF3662"/>
    <w:rsid w:val="00AF3D1A"/>
    <w:rsid w:val="00AF3E02"/>
    <w:rsid w:val="00AF4061"/>
    <w:rsid w:val="00AF54B8"/>
    <w:rsid w:val="00AF6447"/>
    <w:rsid w:val="00AF76E1"/>
    <w:rsid w:val="00B00F95"/>
    <w:rsid w:val="00B01540"/>
    <w:rsid w:val="00B01DD3"/>
    <w:rsid w:val="00B020E4"/>
    <w:rsid w:val="00B04577"/>
    <w:rsid w:val="00B04D93"/>
    <w:rsid w:val="00B14BA5"/>
    <w:rsid w:val="00B152C0"/>
    <w:rsid w:val="00B15A67"/>
    <w:rsid w:val="00B1718E"/>
    <w:rsid w:val="00B17E61"/>
    <w:rsid w:val="00B200C3"/>
    <w:rsid w:val="00B21A6E"/>
    <w:rsid w:val="00B2323E"/>
    <w:rsid w:val="00B236F5"/>
    <w:rsid w:val="00B239DD"/>
    <w:rsid w:val="00B24F04"/>
    <w:rsid w:val="00B257CC"/>
    <w:rsid w:val="00B258A8"/>
    <w:rsid w:val="00B25955"/>
    <w:rsid w:val="00B25C73"/>
    <w:rsid w:val="00B25F49"/>
    <w:rsid w:val="00B27792"/>
    <w:rsid w:val="00B31FDB"/>
    <w:rsid w:val="00B331FD"/>
    <w:rsid w:val="00B357B6"/>
    <w:rsid w:val="00B3606C"/>
    <w:rsid w:val="00B36429"/>
    <w:rsid w:val="00B37518"/>
    <w:rsid w:val="00B376B3"/>
    <w:rsid w:val="00B404F6"/>
    <w:rsid w:val="00B409CE"/>
    <w:rsid w:val="00B41AF3"/>
    <w:rsid w:val="00B41B0D"/>
    <w:rsid w:val="00B505FB"/>
    <w:rsid w:val="00B50FD0"/>
    <w:rsid w:val="00B517FC"/>
    <w:rsid w:val="00B52D7B"/>
    <w:rsid w:val="00B539C5"/>
    <w:rsid w:val="00B54421"/>
    <w:rsid w:val="00B54CD4"/>
    <w:rsid w:val="00B55370"/>
    <w:rsid w:val="00B55942"/>
    <w:rsid w:val="00B56834"/>
    <w:rsid w:val="00B56A59"/>
    <w:rsid w:val="00B56BE8"/>
    <w:rsid w:val="00B56E48"/>
    <w:rsid w:val="00B57788"/>
    <w:rsid w:val="00B6158A"/>
    <w:rsid w:val="00B63F86"/>
    <w:rsid w:val="00B64299"/>
    <w:rsid w:val="00B64595"/>
    <w:rsid w:val="00B64EC1"/>
    <w:rsid w:val="00B6683C"/>
    <w:rsid w:val="00B71518"/>
    <w:rsid w:val="00B71EB5"/>
    <w:rsid w:val="00B7245D"/>
    <w:rsid w:val="00B76612"/>
    <w:rsid w:val="00B77FF7"/>
    <w:rsid w:val="00B80E7E"/>
    <w:rsid w:val="00B82957"/>
    <w:rsid w:val="00B83139"/>
    <w:rsid w:val="00B8325C"/>
    <w:rsid w:val="00B832C6"/>
    <w:rsid w:val="00B838DD"/>
    <w:rsid w:val="00B83D25"/>
    <w:rsid w:val="00B83E71"/>
    <w:rsid w:val="00B84494"/>
    <w:rsid w:val="00B84C3B"/>
    <w:rsid w:val="00B8535D"/>
    <w:rsid w:val="00B86C25"/>
    <w:rsid w:val="00B875BA"/>
    <w:rsid w:val="00B87AD6"/>
    <w:rsid w:val="00B930D3"/>
    <w:rsid w:val="00B93165"/>
    <w:rsid w:val="00B93FCF"/>
    <w:rsid w:val="00B94A34"/>
    <w:rsid w:val="00BA1BC0"/>
    <w:rsid w:val="00BA1D38"/>
    <w:rsid w:val="00BA303C"/>
    <w:rsid w:val="00BA415A"/>
    <w:rsid w:val="00BA461D"/>
    <w:rsid w:val="00BA48EF"/>
    <w:rsid w:val="00BA4A72"/>
    <w:rsid w:val="00BA51CE"/>
    <w:rsid w:val="00BA7914"/>
    <w:rsid w:val="00BA79C1"/>
    <w:rsid w:val="00BB0E26"/>
    <w:rsid w:val="00BB14FE"/>
    <w:rsid w:val="00BB1613"/>
    <w:rsid w:val="00BB2864"/>
    <w:rsid w:val="00BB310C"/>
    <w:rsid w:val="00BB350B"/>
    <w:rsid w:val="00BB5E4F"/>
    <w:rsid w:val="00BB5EA5"/>
    <w:rsid w:val="00BB6659"/>
    <w:rsid w:val="00BB6E89"/>
    <w:rsid w:val="00BB7D6F"/>
    <w:rsid w:val="00BC0F33"/>
    <w:rsid w:val="00BC17CE"/>
    <w:rsid w:val="00BC280A"/>
    <w:rsid w:val="00BC31FC"/>
    <w:rsid w:val="00BC34CD"/>
    <w:rsid w:val="00BC45BF"/>
    <w:rsid w:val="00BC47A2"/>
    <w:rsid w:val="00BC4C35"/>
    <w:rsid w:val="00BC70A5"/>
    <w:rsid w:val="00BC753D"/>
    <w:rsid w:val="00BC7DA3"/>
    <w:rsid w:val="00BD106F"/>
    <w:rsid w:val="00BD23BD"/>
    <w:rsid w:val="00BD2E0B"/>
    <w:rsid w:val="00BD334B"/>
    <w:rsid w:val="00BD38EF"/>
    <w:rsid w:val="00BD43ED"/>
    <w:rsid w:val="00BD4CB5"/>
    <w:rsid w:val="00BD4E2F"/>
    <w:rsid w:val="00BD53A0"/>
    <w:rsid w:val="00BD5450"/>
    <w:rsid w:val="00BD5EFA"/>
    <w:rsid w:val="00BD7A39"/>
    <w:rsid w:val="00BE25C8"/>
    <w:rsid w:val="00BF0A3E"/>
    <w:rsid w:val="00BF301F"/>
    <w:rsid w:val="00BF3154"/>
    <w:rsid w:val="00BF3A28"/>
    <w:rsid w:val="00BF6AB7"/>
    <w:rsid w:val="00C00945"/>
    <w:rsid w:val="00C03221"/>
    <w:rsid w:val="00C05860"/>
    <w:rsid w:val="00C05BAF"/>
    <w:rsid w:val="00C067F7"/>
    <w:rsid w:val="00C07A5E"/>
    <w:rsid w:val="00C10C5D"/>
    <w:rsid w:val="00C1278F"/>
    <w:rsid w:val="00C1725B"/>
    <w:rsid w:val="00C210FB"/>
    <w:rsid w:val="00C22AEA"/>
    <w:rsid w:val="00C231ED"/>
    <w:rsid w:val="00C23B27"/>
    <w:rsid w:val="00C23B9C"/>
    <w:rsid w:val="00C23CAE"/>
    <w:rsid w:val="00C2578E"/>
    <w:rsid w:val="00C2599C"/>
    <w:rsid w:val="00C26E4E"/>
    <w:rsid w:val="00C27438"/>
    <w:rsid w:val="00C275BE"/>
    <w:rsid w:val="00C276DD"/>
    <w:rsid w:val="00C32018"/>
    <w:rsid w:val="00C32FC4"/>
    <w:rsid w:val="00C33422"/>
    <w:rsid w:val="00C346A1"/>
    <w:rsid w:val="00C34D03"/>
    <w:rsid w:val="00C34DB2"/>
    <w:rsid w:val="00C35038"/>
    <w:rsid w:val="00C35296"/>
    <w:rsid w:val="00C352F8"/>
    <w:rsid w:val="00C373D7"/>
    <w:rsid w:val="00C375FF"/>
    <w:rsid w:val="00C37605"/>
    <w:rsid w:val="00C37892"/>
    <w:rsid w:val="00C4064B"/>
    <w:rsid w:val="00C40732"/>
    <w:rsid w:val="00C40EA2"/>
    <w:rsid w:val="00C41392"/>
    <w:rsid w:val="00C41BA5"/>
    <w:rsid w:val="00C41C10"/>
    <w:rsid w:val="00C45985"/>
    <w:rsid w:val="00C4694B"/>
    <w:rsid w:val="00C46A8A"/>
    <w:rsid w:val="00C47049"/>
    <w:rsid w:val="00C47375"/>
    <w:rsid w:val="00C4767B"/>
    <w:rsid w:val="00C51218"/>
    <w:rsid w:val="00C5211A"/>
    <w:rsid w:val="00C52EC9"/>
    <w:rsid w:val="00C556F2"/>
    <w:rsid w:val="00C55A3E"/>
    <w:rsid w:val="00C55F43"/>
    <w:rsid w:val="00C575E0"/>
    <w:rsid w:val="00C57E39"/>
    <w:rsid w:val="00C604C1"/>
    <w:rsid w:val="00C613EC"/>
    <w:rsid w:val="00C62B4C"/>
    <w:rsid w:val="00C62C4D"/>
    <w:rsid w:val="00C62E7C"/>
    <w:rsid w:val="00C65C84"/>
    <w:rsid w:val="00C67290"/>
    <w:rsid w:val="00C67D6F"/>
    <w:rsid w:val="00C67DE0"/>
    <w:rsid w:val="00C71729"/>
    <w:rsid w:val="00C7187E"/>
    <w:rsid w:val="00C71BB8"/>
    <w:rsid w:val="00C73E0A"/>
    <w:rsid w:val="00C73FDE"/>
    <w:rsid w:val="00C748E3"/>
    <w:rsid w:val="00C74DBD"/>
    <w:rsid w:val="00C75037"/>
    <w:rsid w:val="00C77993"/>
    <w:rsid w:val="00C77EA5"/>
    <w:rsid w:val="00C80E6D"/>
    <w:rsid w:val="00C80F66"/>
    <w:rsid w:val="00C814E4"/>
    <w:rsid w:val="00C81894"/>
    <w:rsid w:val="00C82AB1"/>
    <w:rsid w:val="00C83041"/>
    <w:rsid w:val="00C849F9"/>
    <w:rsid w:val="00C876E9"/>
    <w:rsid w:val="00C90BE1"/>
    <w:rsid w:val="00C914FD"/>
    <w:rsid w:val="00C91AB1"/>
    <w:rsid w:val="00C91ACA"/>
    <w:rsid w:val="00C92136"/>
    <w:rsid w:val="00C92232"/>
    <w:rsid w:val="00C92EE8"/>
    <w:rsid w:val="00C933C9"/>
    <w:rsid w:val="00C933CB"/>
    <w:rsid w:val="00C93A52"/>
    <w:rsid w:val="00C94EC4"/>
    <w:rsid w:val="00C9565E"/>
    <w:rsid w:val="00C97FFB"/>
    <w:rsid w:val="00CA1CFB"/>
    <w:rsid w:val="00CA214D"/>
    <w:rsid w:val="00CA4B1E"/>
    <w:rsid w:val="00CA5459"/>
    <w:rsid w:val="00CA5D28"/>
    <w:rsid w:val="00CA7F50"/>
    <w:rsid w:val="00CB06E3"/>
    <w:rsid w:val="00CB1BEB"/>
    <w:rsid w:val="00CB2482"/>
    <w:rsid w:val="00CB2B0A"/>
    <w:rsid w:val="00CB3561"/>
    <w:rsid w:val="00CB37DB"/>
    <w:rsid w:val="00CB48BC"/>
    <w:rsid w:val="00CB4E3B"/>
    <w:rsid w:val="00CB6B49"/>
    <w:rsid w:val="00CC20F8"/>
    <w:rsid w:val="00CC2832"/>
    <w:rsid w:val="00CC3A2B"/>
    <w:rsid w:val="00CC426D"/>
    <w:rsid w:val="00CC65C0"/>
    <w:rsid w:val="00CC6B50"/>
    <w:rsid w:val="00CD0A97"/>
    <w:rsid w:val="00CD5739"/>
    <w:rsid w:val="00CD5AAA"/>
    <w:rsid w:val="00CD6322"/>
    <w:rsid w:val="00CD6E9A"/>
    <w:rsid w:val="00CD7E03"/>
    <w:rsid w:val="00CE1022"/>
    <w:rsid w:val="00CE42F2"/>
    <w:rsid w:val="00CE6171"/>
    <w:rsid w:val="00CE647E"/>
    <w:rsid w:val="00CE6D3D"/>
    <w:rsid w:val="00CE76CC"/>
    <w:rsid w:val="00CE7C91"/>
    <w:rsid w:val="00CF0054"/>
    <w:rsid w:val="00CF4079"/>
    <w:rsid w:val="00CF4560"/>
    <w:rsid w:val="00CF5B8F"/>
    <w:rsid w:val="00D00416"/>
    <w:rsid w:val="00D007B4"/>
    <w:rsid w:val="00D02F50"/>
    <w:rsid w:val="00D05778"/>
    <w:rsid w:val="00D05D57"/>
    <w:rsid w:val="00D06A58"/>
    <w:rsid w:val="00D06EB2"/>
    <w:rsid w:val="00D07626"/>
    <w:rsid w:val="00D100A6"/>
    <w:rsid w:val="00D11C74"/>
    <w:rsid w:val="00D139F3"/>
    <w:rsid w:val="00D14C41"/>
    <w:rsid w:val="00D14C5C"/>
    <w:rsid w:val="00D2194C"/>
    <w:rsid w:val="00D22A74"/>
    <w:rsid w:val="00D233FD"/>
    <w:rsid w:val="00D240CE"/>
    <w:rsid w:val="00D24CFA"/>
    <w:rsid w:val="00D24EFE"/>
    <w:rsid w:val="00D27532"/>
    <w:rsid w:val="00D3086E"/>
    <w:rsid w:val="00D3199D"/>
    <w:rsid w:val="00D31D69"/>
    <w:rsid w:val="00D328DB"/>
    <w:rsid w:val="00D32E37"/>
    <w:rsid w:val="00D337CB"/>
    <w:rsid w:val="00D35C16"/>
    <w:rsid w:val="00D36976"/>
    <w:rsid w:val="00D37F4F"/>
    <w:rsid w:val="00D420B1"/>
    <w:rsid w:val="00D42500"/>
    <w:rsid w:val="00D42AB4"/>
    <w:rsid w:val="00D44784"/>
    <w:rsid w:val="00D46D53"/>
    <w:rsid w:val="00D475C5"/>
    <w:rsid w:val="00D51B6D"/>
    <w:rsid w:val="00D52B52"/>
    <w:rsid w:val="00D52C68"/>
    <w:rsid w:val="00D52E53"/>
    <w:rsid w:val="00D54169"/>
    <w:rsid w:val="00D55B65"/>
    <w:rsid w:val="00D576EA"/>
    <w:rsid w:val="00D57ABD"/>
    <w:rsid w:val="00D60366"/>
    <w:rsid w:val="00D62213"/>
    <w:rsid w:val="00D6381D"/>
    <w:rsid w:val="00D6410C"/>
    <w:rsid w:val="00D67982"/>
    <w:rsid w:val="00D71173"/>
    <w:rsid w:val="00D71E92"/>
    <w:rsid w:val="00D72780"/>
    <w:rsid w:val="00D75B55"/>
    <w:rsid w:val="00D770BE"/>
    <w:rsid w:val="00D8008F"/>
    <w:rsid w:val="00D801A9"/>
    <w:rsid w:val="00D80C27"/>
    <w:rsid w:val="00D81B07"/>
    <w:rsid w:val="00D82336"/>
    <w:rsid w:val="00D832BF"/>
    <w:rsid w:val="00D84C20"/>
    <w:rsid w:val="00D84DC2"/>
    <w:rsid w:val="00D85A0A"/>
    <w:rsid w:val="00D85AAF"/>
    <w:rsid w:val="00D85B23"/>
    <w:rsid w:val="00D87E40"/>
    <w:rsid w:val="00D90027"/>
    <w:rsid w:val="00D9033E"/>
    <w:rsid w:val="00D924EA"/>
    <w:rsid w:val="00D929F1"/>
    <w:rsid w:val="00D92C30"/>
    <w:rsid w:val="00D939E7"/>
    <w:rsid w:val="00D93C37"/>
    <w:rsid w:val="00D93F55"/>
    <w:rsid w:val="00D954D7"/>
    <w:rsid w:val="00D957FD"/>
    <w:rsid w:val="00D97540"/>
    <w:rsid w:val="00DA0892"/>
    <w:rsid w:val="00DA1D23"/>
    <w:rsid w:val="00DA3213"/>
    <w:rsid w:val="00DA4E0C"/>
    <w:rsid w:val="00DA5917"/>
    <w:rsid w:val="00DA62C9"/>
    <w:rsid w:val="00DA7A34"/>
    <w:rsid w:val="00DB03EC"/>
    <w:rsid w:val="00DB05E5"/>
    <w:rsid w:val="00DB084B"/>
    <w:rsid w:val="00DB1256"/>
    <w:rsid w:val="00DB1396"/>
    <w:rsid w:val="00DB191E"/>
    <w:rsid w:val="00DB1FE7"/>
    <w:rsid w:val="00DB4BDE"/>
    <w:rsid w:val="00DB4D17"/>
    <w:rsid w:val="00DB4DC9"/>
    <w:rsid w:val="00DB5EE7"/>
    <w:rsid w:val="00DB621E"/>
    <w:rsid w:val="00DB6399"/>
    <w:rsid w:val="00DB75A5"/>
    <w:rsid w:val="00DB7CB2"/>
    <w:rsid w:val="00DC02D8"/>
    <w:rsid w:val="00DC16FA"/>
    <w:rsid w:val="00DC1B40"/>
    <w:rsid w:val="00DC2996"/>
    <w:rsid w:val="00DC4925"/>
    <w:rsid w:val="00DC4B07"/>
    <w:rsid w:val="00DC5526"/>
    <w:rsid w:val="00DC63BE"/>
    <w:rsid w:val="00DC6EC8"/>
    <w:rsid w:val="00DC748A"/>
    <w:rsid w:val="00DC7B29"/>
    <w:rsid w:val="00DC7D29"/>
    <w:rsid w:val="00DD073D"/>
    <w:rsid w:val="00DD1831"/>
    <w:rsid w:val="00DD2162"/>
    <w:rsid w:val="00DD2CEB"/>
    <w:rsid w:val="00DD435F"/>
    <w:rsid w:val="00DD79C6"/>
    <w:rsid w:val="00DE0256"/>
    <w:rsid w:val="00DE1CC7"/>
    <w:rsid w:val="00DE1DC3"/>
    <w:rsid w:val="00DE25BD"/>
    <w:rsid w:val="00DE27C9"/>
    <w:rsid w:val="00DE2EB5"/>
    <w:rsid w:val="00DE4074"/>
    <w:rsid w:val="00DE4869"/>
    <w:rsid w:val="00DF0219"/>
    <w:rsid w:val="00DF14D1"/>
    <w:rsid w:val="00DF1F68"/>
    <w:rsid w:val="00DF2747"/>
    <w:rsid w:val="00DF2E1E"/>
    <w:rsid w:val="00DF3596"/>
    <w:rsid w:val="00DF45EE"/>
    <w:rsid w:val="00DF5442"/>
    <w:rsid w:val="00DF5B2F"/>
    <w:rsid w:val="00DF5FA2"/>
    <w:rsid w:val="00DF6315"/>
    <w:rsid w:val="00DF64C9"/>
    <w:rsid w:val="00DF70FE"/>
    <w:rsid w:val="00DF7EF8"/>
    <w:rsid w:val="00E0226B"/>
    <w:rsid w:val="00E02A80"/>
    <w:rsid w:val="00E02C0B"/>
    <w:rsid w:val="00E03ED1"/>
    <w:rsid w:val="00E04B51"/>
    <w:rsid w:val="00E04E15"/>
    <w:rsid w:val="00E05690"/>
    <w:rsid w:val="00E07B28"/>
    <w:rsid w:val="00E10A22"/>
    <w:rsid w:val="00E12750"/>
    <w:rsid w:val="00E14ABA"/>
    <w:rsid w:val="00E20DE6"/>
    <w:rsid w:val="00E21184"/>
    <w:rsid w:val="00E220AB"/>
    <w:rsid w:val="00E232F5"/>
    <w:rsid w:val="00E23655"/>
    <w:rsid w:val="00E25D34"/>
    <w:rsid w:val="00E25F39"/>
    <w:rsid w:val="00E26BE6"/>
    <w:rsid w:val="00E30090"/>
    <w:rsid w:val="00E3156C"/>
    <w:rsid w:val="00E315F0"/>
    <w:rsid w:val="00E328E0"/>
    <w:rsid w:val="00E33840"/>
    <w:rsid w:val="00E3438D"/>
    <w:rsid w:val="00E353F5"/>
    <w:rsid w:val="00E35DDC"/>
    <w:rsid w:val="00E42ECB"/>
    <w:rsid w:val="00E4329D"/>
    <w:rsid w:val="00E4575E"/>
    <w:rsid w:val="00E45942"/>
    <w:rsid w:val="00E4677E"/>
    <w:rsid w:val="00E469E5"/>
    <w:rsid w:val="00E47D84"/>
    <w:rsid w:val="00E500B1"/>
    <w:rsid w:val="00E5229F"/>
    <w:rsid w:val="00E52A2E"/>
    <w:rsid w:val="00E53330"/>
    <w:rsid w:val="00E5363E"/>
    <w:rsid w:val="00E53DBC"/>
    <w:rsid w:val="00E555CF"/>
    <w:rsid w:val="00E55DC9"/>
    <w:rsid w:val="00E614D8"/>
    <w:rsid w:val="00E627F0"/>
    <w:rsid w:val="00E62EE6"/>
    <w:rsid w:val="00E649E3"/>
    <w:rsid w:val="00E65801"/>
    <w:rsid w:val="00E65830"/>
    <w:rsid w:val="00E65953"/>
    <w:rsid w:val="00E66215"/>
    <w:rsid w:val="00E66735"/>
    <w:rsid w:val="00E67A79"/>
    <w:rsid w:val="00E67C89"/>
    <w:rsid w:val="00E7016E"/>
    <w:rsid w:val="00E7019B"/>
    <w:rsid w:val="00E70554"/>
    <w:rsid w:val="00E70B1D"/>
    <w:rsid w:val="00E731B4"/>
    <w:rsid w:val="00E77581"/>
    <w:rsid w:val="00E8043B"/>
    <w:rsid w:val="00E8058C"/>
    <w:rsid w:val="00E8193C"/>
    <w:rsid w:val="00E82500"/>
    <w:rsid w:val="00E835A8"/>
    <w:rsid w:val="00E84434"/>
    <w:rsid w:val="00E85056"/>
    <w:rsid w:val="00E855B0"/>
    <w:rsid w:val="00E868AD"/>
    <w:rsid w:val="00E86A56"/>
    <w:rsid w:val="00E86AD0"/>
    <w:rsid w:val="00E8716D"/>
    <w:rsid w:val="00E87B33"/>
    <w:rsid w:val="00E87D74"/>
    <w:rsid w:val="00E9263E"/>
    <w:rsid w:val="00E92736"/>
    <w:rsid w:val="00E92BCC"/>
    <w:rsid w:val="00E92C4D"/>
    <w:rsid w:val="00E93492"/>
    <w:rsid w:val="00E936BA"/>
    <w:rsid w:val="00E948A6"/>
    <w:rsid w:val="00E95183"/>
    <w:rsid w:val="00E968AB"/>
    <w:rsid w:val="00E97639"/>
    <w:rsid w:val="00E97DEA"/>
    <w:rsid w:val="00EA0266"/>
    <w:rsid w:val="00EA0900"/>
    <w:rsid w:val="00EA0FFA"/>
    <w:rsid w:val="00EA227C"/>
    <w:rsid w:val="00EA2687"/>
    <w:rsid w:val="00EA5575"/>
    <w:rsid w:val="00EA5779"/>
    <w:rsid w:val="00EA7584"/>
    <w:rsid w:val="00EB0B7F"/>
    <w:rsid w:val="00EB2262"/>
    <w:rsid w:val="00EB2762"/>
    <w:rsid w:val="00EB27B7"/>
    <w:rsid w:val="00EB2A5F"/>
    <w:rsid w:val="00EB2F61"/>
    <w:rsid w:val="00EB38D5"/>
    <w:rsid w:val="00EB3A15"/>
    <w:rsid w:val="00EB4E0E"/>
    <w:rsid w:val="00EB543C"/>
    <w:rsid w:val="00EB6913"/>
    <w:rsid w:val="00EB780D"/>
    <w:rsid w:val="00EC137C"/>
    <w:rsid w:val="00EC468A"/>
    <w:rsid w:val="00EC5263"/>
    <w:rsid w:val="00EC7DDF"/>
    <w:rsid w:val="00ED2380"/>
    <w:rsid w:val="00ED3547"/>
    <w:rsid w:val="00ED4A3D"/>
    <w:rsid w:val="00ED6340"/>
    <w:rsid w:val="00ED6DA8"/>
    <w:rsid w:val="00EE11CC"/>
    <w:rsid w:val="00EE144C"/>
    <w:rsid w:val="00EE1CBF"/>
    <w:rsid w:val="00EE1D12"/>
    <w:rsid w:val="00EE1D3B"/>
    <w:rsid w:val="00EE2330"/>
    <w:rsid w:val="00EE5E62"/>
    <w:rsid w:val="00EE60D3"/>
    <w:rsid w:val="00EE661E"/>
    <w:rsid w:val="00EE7336"/>
    <w:rsid w:val="00EF02B4"/>
    <w:rsid w:val="00EF0D34"/>
    <w:rsid w:val="00EF124D"/>
    <w:rsid w:val="00EF13AA"/>
    <w:rsid w:val="00EF190E"/>
    <w:rsid w:val="00EF3685"/>
    <w:rsid w:val="00EF3BE5"/>
    <w:rsid w:val="00EF425C"/>
    <w:rsid w:val="00EF52BD"/>
    <w:rsid w:val="00EF5CB4"/>
    <w:rsid w:val="00EF749F"/>
    <w:rsid w:val="00EF7FF3"/>
    <w:rsid w:val="00F012E5"/>
    <w:rsid w:val="00F01B51"/>
    <w:rsid w:val="00F046D5"/>
    <w:rsid w:val="00F04841"/>
    <w:rsid w:val="00F04A3B"/>
    <w:rsid w:val="00F05E26"/>
    <w:rsid w:val="00F06201"/>
    <w:rsid w:val="00F06873"/>
    <w:rsid w:val="00F07388"/>
    <w:rsid w:val="00F1186F"/>
    <w:rsid w:val="00F12CF2"/>
    <w:rsid w:val="00F137BD"/>
    <w:rsid w:val="00F15CAD"/>
    <w:rsid w:val="00F17B9C"/>
    <w:rsid w:val="00F17D84"/>
    <w:rsid w:val="00F20AD1"/>
    <w:rsid w:val="00F20B02"/>
    <w:rsid w:val="00F228FD"/>
    <w:rsid w:val="00F235DF"/>
    <w:rsid w:val="00F23A55"/>
    <w:rsid w:val="00F23CD6"/>
    <w:rsid w:val="00F25F72"/>
    <w:rsid w:val="00F27B71"/>
    <w:rsid w:val="00F27C11"/>
    <w:rsid w:val="00F31590"/>
    <w:rsid w:val="00F31A9B"/>
    <w:rsid w:val="00F32639"/>
    <w:rsid w:val="00F32BB1"/>
    <w:rsid w:val="00F33ACC"/>
    <w:rsid w:val="00F359A5"/>
    <w:rsid w:val="00F362CD"/>
    <w:rsid w:val="00F42C7B"/>
    <w:rsid w:val="00F441B6"/>
    <w:rsid w:val="00F45837"/>
    <w:rsid w:val="00F46441"/>
    <w:rsid w:val="00F511EC"/>
    <w:rsid w:val="00F51829"/>
    <w:rsid w:val="00F51874"/>
    <w:rsid w:val="00F55DAD"/>
    <w:rsid w:val="00F56B1E"/>
    <w:rsid w:val="00F56C15"/>
    <w:rsid w:val="00F600A3"/>
    <w:rsid w:val="00F60BFD"/>
    <w:rsid w:val="00F61559"/>
    <w:rsid w:val="00F6339F"/>
    <w:rsid w:val="00F6362B"/>
    <w:rsid w:val="00F63BAC"/>
    <w:rsid w:val="00F70B1D"/>
    <w:rsid w:val="00F71E7C"/>
    <w:rsid w:val="00F723BA"/>
    <w:rsid w:val="00F73D1B"/>
    <w:rsid w:val="00F73E5B"/>
    <w:rsid w:val="00F75460"/>
    <w:rsid w:val="00F75EA1"/>
    <w:rsid w:val="00F76D54"/>
    <w:rsid w:val="00F774C1"/>
    <w:rsid w:val="00F812AA"/>
    <w:rsid w:val="00F818CA"/>
    <w:rsid w:val="00F83546"/>
    <w:rsid w:val="00F83EB6"/>
    <w:rsid w:val="00F848C3"/>
    <w:rsid w:val="00F84A6F"/>
    <w:rsid w:val="00F850CF"/>
    <w:rsid w:val="00F87B0D"/>
    <w:rsid w:val="00F90A79"/>
    <w:rsid w:val="00F920C2"/>
    <w:rsid w:val="00F97AC2"/>
    <w:rsid w:val="00FA11FF"/>
    <w:rsid w:val="00FA16C6"/>
    <w:rsid w:val="00FA2586"/>
    <w:rsid w:val="00FA508E"/>
    <w:rsid w:val="00FA74F8"/>
    <w:rsid w:val="00FB04D6"/>
    <w:rsid w:val="00FB1D27"/>
    <w:rsid w:val="00FB31A5"/>
    <w:rsid w:val="00FB3919"/>
    <w:rsid w:val="00FB6597"/>
    <w:rsid w:val="00FB6A4B"/>
    <w:rsid w:val="00FB6F86"/>
    <w:rsid w:val="00FC0100"/>
    <w:rsid w:val="00FC2017"/>
    <w:rsid w:val="00FC34AD"/>
    <w:rsid w:val="00FC3DB7"/>
    <w:rsid w:val="00FC3E89"/>
    <w:rsid w:val="00FC43ED"/>
    <w:rsid w:val="00FC4DA5"/>
    <w:rsid w:val="00FC5E91"/>
    <w:rsid w:val="00FD030A"/>
    <w:rsid w:val="00FD1540"/>
    <w:rsid w:val="00FD1E86"/>
    <w:rsid w:val="00FD2638"/>
    <w:rsid w:val="00FD389E"/>
    <w:rsid w:val="00FD46BE"/>
    <w:rsid w:val="00FD6569"/>
    <w:rsid w:val="00FD7E44"/>
    <w:rsid w:val="00FE037C"/>
    <w:rsid w:val="00FE0E6F"/>
    <w:rsid w:val="00FE1E7E"/>
    <w:rsid w:val="00FE5C24"/>
    <w:rsid w:val="00FE69E0"/>
    <w:rsid w:val="00FF1478"/>
    <w:rsid w:val="00FF22EA"/>
    <w:rsid w:val="00FF2C8D"/>
    <w:rsid w:val="00FF2ED4"/>
    <w:rsid w:val="00FF448C"/>
    <w:rsid w:val="00FF4CF5"/>
    <w:rsid w:val="00FF4E4C"/>
    <w:rsid w:val="00FF5254"/>
    <w:rsid w:val="00FF6EC8"/>
    <w:rsid w:val="011E0D13"/>
    <w:rsid w:val="016234D2"/>
    <w:rsid w:val="01CA5480"/>
    <w:rsid w:val="01CC452C"/>
    <w:rsid w:val="01FF193E"/>
    <w:rsid w:val="02072616"/>
    <w:rsid w:val="029A34F4"/>
    <w:rsid w:val="02B604E9"/>
    <w:rsid w:val="02BF56BE"/>
    <w:rsid w:val="032F0513"/>
    <w:rsid w:val="033C0E47"/>
    <w:rsid w:val="03637642"/>
    <w:rsid w:val="038908D8"/>
    <w:rsid w:val="03C3224E"/>
    <w:rsid w:val="03DA1510"/>
    <w:rsid w:val="041E22FB"/>
    <w:rsid w:val="04757B24"/>
    <w:rsid w:val="04786083"/>
    <w:rsid w:val="04991D9B"/>
    <w:rsid w:val="05263B5D"/>
    <w:rsid w:val="053C512E"/>
    <w:rsid w:val="054753B6"/>
    <w:rsid w:val="05816FFD"/>
    <w:rsid w:val="05872DBB"/>
    <w:rsid w:val="05955811"/>
    <w:rsid w:val="05AB4AC8"/>
    <w:rsid w:val="05AD7DDA"/>
    <w:rsid w:val="05C041C1"/>
    <w:rsid w:val="05F6352F"/>
    <w:rsid w:val="063B36C5"/>
    <w:rsid w:val="063D2F0C"/>
    <w:rsid w:val="064D5C09"/>
    <w:rsid w:val="07005C0E"/>
    <w:rsid w:val="072870BB"/>
    <w:rsid w:val="075E5DA6"/>
    <w:rsid w:val="07EF7F4D"/>
    <w:rsid w:val="08744D72"/>
    <w:rsid w:val="08891D2A"/>
    <w:rsid w:val="08A87B42"/>
    <w:rsid w:val="08E453FB"/>
    <w:rsid w:val="090941F7"/>
    <w:rsid w:val="0923669E"/>
    <w:rsid w:val="09297942"/>
    <w:rsid w:val="094E5430"/>
    <w:rsid w:val="095211F6"/>
    <w:rsid w:val="097A1F5F"/>
    <w:rsid w:val="09806FD8"/>
    <w:rsid w:val="09905D63"/>
    <w:rsid w:val="0A7C51B3"/>
    <w:rsid w:val="0A8B4C59"/>
    <w:rsid w:val="0AAF1847"/>
    <w:rsid w:val="0AD544D9"/>
    <w:rsid w:val="0B1A36B9"/>
    <w:rsid w:val="0B61723B"/>
    <w:rsid w:val="0BCB0FBA"/>
    <w:rsid w:val="0BE56C4A"/>
    <w:rsid w:val="0C497EBF"/>
    <w:rsid w:val="0C555D95"/>
    <w:rsid w:val="0C6D598A"/>
    <w:rsid w:val="0C776A4C"/>
    <w:rsid w:val="0C8A62FF"/>
    <w:rsid w:val="0C8B7E5F"/>
    <w:rsid w:val="0CAB03D8"/>
    <w:rsid w:val="0D26201E"/>
    <w:rsid w:val="0D4A5F0F"/>
    <w:rsid w:val="0D624402"/>
    <w:rsid w:val="0D876BC0"/>
    <w:rsid w:val="0DD15D3A"/>
    <w:rsid w:val="0DE904C6"/>
    <w:rsid w:val="0E46139C"/>
    <w:rsid w:val="0E795A24"/>
    <w:rsid w:val="0E8438A0"/>
    <w:rsid w:val="0E87566C"/>
    <w:rsid w:val="0E926178"/>
    <w:rsid w:val="0ECF491D"/>
    <w:rsid w:val="0F416171"/>
    <w:rsid w:val="0F781988"/>
    <w:rsid w:val="0F841BAC"/>
    <w:rsid w:val="0F9433A4"/>
    <w:rsid w:val="0FBB6E77"/>
    <w:rsid w:val="0FE20680"/>
    <w:rsid w:val="0FE712DE"/>
    <w:rsid w:val="0FFC1B47"/>
    <w:rsid w:val="1008458B"/>
    <w:rsid w:val="100B53B2"/>
    <w:rsid w:val="10BC7129"/>
    <w:rsid w:val="11285A31"/>
    <w:rsid w:val="11421E5E"/>
    <w:rsid w:val="11717F0E"/>
    <w:rsid w:val="11C20769"/>
    <w:rsid w:val="11C87B39"/>
    <w:rsid w:val="11D27E4D"/>
    <w:rsid w:val="11E9693C"/>
    <w:rsid w:val="121A7943"/>
    <w:rsid w:val="12382D64"/>
    <w:rsid w:val="12B36066"/>
    <w:rsid w:val="12D9570E"/>
    <w:rsid w:val="12FA570C"/>
    <w:rsid w:val="13010B3B"/>
    <w:rsid w:val="131E5E73"/>
    <w:rsid w:val="132E7143"/>
    <w:rsid w:val="13944CAD"/>
    <w:rsid w:val="13964088"/>
    <w:rsid w:val="139D350E"/>
    <w:rsid w:val="13BC2D82"/>
    <w:rsid w:val="13CD6444"/>
    <w:rsid w:val="13F44C4B"/>
    <w:rsid w:val="140022F5"/>
    <w:rsid w:val="14264FE0"/>
    <w:rsid w:val="14320636"/>
    <w:rsid w:val="1484767D"/>
    <w:rsid w:val="14983A03"/>
    <w:rsid w:val="149F2FE4"/>
    <w:rsid w:val="14B4083D"/>
    <w:rsid w:val="14F45C96"/>
    <w:rsid w:val="15012EAD"/>
    <w:rsid w:val="15025657"/>
    <w:rsid w:val="151E5632"/>
    <w:rsid w:val="153B4F62"/>
    <w:rsid w:val="154163C3"/>
    <w:rsid w:val="15971F0A"/>
    <w:rsid w:val="15B40617"/>
    <w:rsid w:val="15D10CC0"/>
    <w:rsid w:val="16231535"/>
    <w:rsid w:val="16232C2C"/>
    <w:rsid w:val="162D6D8F"/>
    <w:rsid w:val="16414490"/>
    <w:rsid w:val="1658117B"/>
    <w:rsid w:val="16CD2092"/>
    <w:rsid w:val="16DF7EB2"/>
    <w:rsid w:val="174C752D"/>
    <w:rsid w:val="17A214E2"/>
    <w:rsid w:val="17F77378"/>
    <w:rsid w:val="18027B12"/>
    <w:rsid w:val="18361447"/>
    <w:rsid w:val="186B3C0E"/>
    <w:rsid w:val="186E46F2"/>
    <w:rsid w:val="1876442F"/>
    <w:rsid w:val="19267830"/>
    <w:rsid w:val="194075AC"/>
    <w:rsid w:val="198527B8"/>
    <w:rsid w:val="19A87FED"/>
    <w:rsid w:val="19B23F9D"/>
    <w:rsid w:val="19B67387"/>
    <w:rsid w:val="1A0E09F0"/>
    <w:rsid w:val="1A3C2E30"/>
    <w:rsid w:val="1A4B52AF"/>
    <w:rsid w:val="1A5823C6"/>
    <w:rsid w:val="1A947C45"/>
    <w:rsid w:val="1AC73237"/>
    <w:rsid w:val="1AE30776"/>
    <w:rsid w:val="1B027E29"/>
    <w:rsid w:val="1B201CDF"/>
    <w:rsid w:val="1B544B28"/>
    <w:rsid w:val="1BDD1035"/>
    <w:rsid w:val="1BF84CC5"/>
    <w:rsid w:val="1C1828CE"/>
    <w:rsid w:val="1C8A350E"/>
    <w:rsid w:val="1CA90611"/>
    <w:rsid w:val="1CAC2C4E"/>
    <w:rsid w:val="1CBB5BBA"/>
    <w:rsid w:val="1CD4275A"/>
    <w:rsid w:val="1CEC2380"/>
    <w:rsid w:val="1CED59FC"/>
    <w:rsid w:val="1CF976A0"/>
    <w:rsid w:val="1D011086"/>
    <w:rsid w:val="1D0F0E34"/>
    <w:rsid w:val="1D4F1855"/>
    <w:rsid w:val="1D554B87"/>
    <w:rsid w:val="1D931894"/>
    <w:rsid w:val="1D943902"/>
    <w:rsid w:val="1DED3227"/>
    <w:rsid w:val="1DFB7FBE"/>
    <w:rsid w:val="1E054ABB"/>
    <w:rsid w:val="1E0B605A"/>
    <w:rsid w:val="1E133467"/>
    <w:rsid w:val="1E3723F5"/>
    <w:rsid w:val="1E3B2150"/>
    <w:rsid w:val="1E420733"/>
    <w:rsid w:val="1E775A4B"/>
    <w:rsid w:val="1EB048A0"/>
    <w:rsid w:val="1EBF3D51"/>
    <w:rsid w:val="1EDD63B3"/>
    <w:rsid w:val="1F575AEA"/>
    <w:rsid w:val="1F6B2440"/>
    <w:rsid w:val="1FA30DB8"/>
    <w:rsid w:val="2025103E"/>
    <w:rsid w:val="20315438"/>
    <w:rsid w:val="20546E99"/>
    <w:rsid w:val="20D82F0F"/>
    <w:rsid w:val="20EB30CD"/>
    <w:rsid w:val="20ED3B94"/>
    <w:rsid w:val="21567D40"/>
    <w:rsid w:val="21A95616"/>
    <w:rsid w:val="21BD09EA"/>
    <w:rsid w:val="21E1766A"/>
    <w:rsid w:val="21E94D31"/>
    <w:rsid w:val="21F50649"/>
    <w:rsid w:val="220B3A67"/>
    <w:rsid w:val="223B70F0"/>
    <w:rsid w:val="224B2F8F"/>
    <w:rsid w:val="22780115"/>
    <w:rsid w:val="22A30681"/>
    <w:rsid w:val="231828E9"/>
    <w:rsid w:val="233B6079"/>
    <w:rsid w:val="234D5876"/>
    <w:rsid w:val="23552283"/>
    <w:rsid w:val="23755DC6"/>
    <w:rsid w:val="23810484"/>
    <w:rsid w:val="23C15D52"/>
    <w:rsid w:val="23D11474"/>
    <w:rsid w:val="23DC09E4"/>
    <w:rsid w:val="23E9602A"/>
    <w:rsid w:val="23F92A91"/>
    <w:rsid w:val="2431225C"/>
    <w:rsid w:val="2444388B"/>
    <w:rsid w:val="24B842F0"/>
    <w:rsid w:val="24CE594B"/>
    <w:rsid w:val="24EB531E"/>
    <w:rsid w:val="250F33D8"/>
    <w:rsid w:val="253B096B"/>
    <w:rsid w:val="2548091F"/>
    <w:rsid w:val="25831330"/>
    <w:rsid w:val="25A53E3A"/>
    <w:rsid w:val="25AD4087"/>
    <w:rsid w:val="2604714B"/>
    <w:rsid w:val="261A0E8E"/>
    <w:rsid w:val="263E4BC8"/>
    <w:rsid w:val="26AE42B7"/>
    <w:rsid w:val="271D0A70"/>
    <w:rsid w:val="27394124"/>
    <w:rsid w:val="27427590"/>
    <w:rsid w:val="276B2E80"/>
    <w:rsid w:val="277154ED"/>
    <w:rsid w:val="277763FA"/>
    <w:rsid w:val="27C30CC7"/>
    <w:rsid w:val="27C658BD"/>
    <w:rsid w:val="27C93400"/>
    <w:rsid w:val="27D56FF1"/>
    <w:rsid w:val="28527AB9"/>
    <w:rsid w:val="28590A1C"/>
    <w:rsid w:val="28672B39"/>
    <w:rsid w:val="28994D97"/>
    <w:rsid w:val="28A11F3F"/>
    <w:rsid w:val="28B44E58"/>
    <w:rsid w:val="28BC0562"/>
    <w:rsid w:val="28C26B83"/>
    <w:rsid w:val="2960326E"/>
    <w:rsid w:val="29736AC1"/>
    <w:rsid w:val="29766859"/>
    <w:rsid w:val="29E95751"/>
    <w:rsid w:val="29FB0865"/>
    <w:rsid w:val="2A135C1B"/>
    <w:rsid w:val="2A2A32B8"/>
    <w:rsid w:val="2A370FDE"/>
    <w:rsid w:val="2A3F06DE"/>
    <w:rsid w:val="2AA169FC"/>
    <w:rsid w:val="2B011EAB"/>
    <w:rsid w:val="2B357971"/>
    <w:rsid w:val="2B400C25"/>
    <w:rsid w:val="2B552B0A"/>
    <w:rsid w:val="2B7A540B"/>
    <w:rsid w:val="2BC41551"/>
    <w:rsid w:val="2C041C52"/>
    <w:rsid w:val="2C152862"/>
    <w:rsid w:val="2C283529"/>
    <w:rsid w:val="2C367CBA"/>
    <w:rsid w:val="2C5E2B01"/>
    <w:rsid w:val="2C752B50"/>
    <w:rsid w:val="2C7F29E4"/>
    <w:rsid w:val="2C8F0EA7"/>
    <w:rsid w:val="2CB00C32"/>
    <w:rsid w:val="2CBD489A"/>
    <w:rsid w:val="2CD06406"/>
    <w:rsid w:val="2D1D2BCA"/>
    <w:rsid w:val="2D210463"/>
    <w:rsid w:val="2D4453F8"/>
    <w:rsid w:val="2D4A18E7"/>
    <w:rsid w:val="2D8D3ECA"/>
    <w:rsid w:val="2DE5176D"/>
    <w:rsid w:val="2E163F11"/>
    <w:rsid w:val="2E662DB1"/>
    <w:rsid w:val="2E725599"/>
    <w:rsid w:val="2EEB4A41"/>
    <w:rsid w:val="2F227747"/>
    <w:rsid w:val="2F750C6B"/>
    <w:rsid w:val="2F8C4B14"/>
    <w:rsid w:val="2FB23CE6"/>
    <w:rsid w:val="2FB616D4"/>
    <w:rsid w:val="2FD02305"/>
    <w:rsid w:val="2FDA1E48"/>
    <w:rsid w:val="300E3BFD"/>
    <w:rsid w:val="30167621"/>
    <w:rsid w:val="30256A4F"/>
    <w:rsid w:val="304D2582"/>
    <w:rsid w:val="30535FFB"/>
    <w:rsid w:val="30704386"/>
    <w:rsid w:val="30747439"/>
    <w:rsid w:val="30855F13"/>
    <w:rsid w:val="31091081"/>
    <w:rsid w:val="31395A58"/>
    <w:rsid w:val="315E2965"/>
    <w:rsid w:val="316E58C2"/>
    <w:rsid w:val="31720167"/>
    <w:rsid w:val="31771119"/>
    <w:rsid w:val="31853836"/>
    <w:rsid w:val="3195223F"/>
    <w:rsid w:val="31D20CC7"/>
    <w:rsid w:val="31F170D8"/>
    <w:rsid w:val="321D7CBE"/>
    <w:rsid w:val="32342D6D"/>
    <w:rsid w:val="323B4889"/>
    <w:rsid w:val="32935C86"/>
    <w:rsid w:val="3299237D"/>
    <w:rsid w:val="329F26D5"/>
    <w:rsid w:val="32F2280D"/>
    <w:rsid w:val="33092244"/>
    <w:rsid w:val="330E4C4E"/>
    <w:rsid w:val="331D7A9E"/>
    <w:rsid w:val="334B4AB3"/>
    <w:rsid w:val="33636ADA"/>
    <w:rsid w:val="33702581"/>
    <w:rsid w:val="33942D29"/>
    <w:rsid w:val="33957863"/>
    <w:rsid w:val="33B8160A"/>
    <w:rsid w:val="33BC79CD"/>
    <w:rsid w:val="33BE302F"/>
    <w:rsid w:val="34790D04"/>
    <w:rsid w:val="347A065D"/>
    <w:rsid w:val="348B75CA"/>
    <w:rsid w:val="350B403B"/>
    <w:rsid w:val="350E6534"/>
    <w:rsid w:val="356B4AF0"/>
    <w:rsid w:val="3578059B"/>
    <w:rsid w:val="357B78A3"/>
    <w:rsid w:val="35BE3793"/>
    <w:rsid w:val="35E36D7D"/>
    <w:rsid w:val="35E37C1F"/>
    <w:rsid w:val="35E57C7A"/>
    <w:rsid w:val="360016DD"/>
    <w:rsid w:val="360D745B"/>
    <w:rsid w:val="361E40B3"/>
    <w:rsid w:val="364C7E0D"/>
    <w:rsid w:val="36653DD5"/>
    <w:rsid w:val="36664A7D"/>
    <w:rsid w:val="36DA2EB8"/>
    <w:rsid w:val="36ED4C29"/>
    <w:rsid w:val="36F1091A"/>
    <w:rsid w:val="370B7E40"/>
    <w:rsid w:val="370F22CB"/>
    <w:rsid w:val="37306AE8"/>
    <w:rsid w:val="373F0BD2"/>
    <w:rsid w:val="37515C12"/>
    <w:rsid w:val="37BD09EA"/>
    <w:rsid w:val="37EA1649"/>
    <w:rsid w:val="380E08A3"/>
    <w:rsid w:val="382513DD"/>
    <w:rsid w:val="383C7DCF"/>
    <w:rsid w:val="385B0E4C"/>
    <w:rsid w:val="38823FEF"/>
    <w:rsid w:val="3885236D"/>
    <w:rsid w:val="38B62526"/>
    <w:rsid w:val="38BE762D"/>
    <w:rsid w:val="38FF59E0"/>
    <w:rsid w:val="39034854"/>
    <w:rsid w:val="39184F8F"/>
    <w:rsid w:val="395539E3"/>
    <w:rsid w:val="39AB2D95"/>
    <w:rsid w:val="39B949D5"/>
    <w:rsid w:val="39D8471E"/>
    <w:rsid w:val="39EB36B5"/>
    <w:rsid w:val="3A496813"/>
    <w:rsid w:val="3A7A53F5"/>
    <w:rsid w:val="3AAB6BB6"/>
    <w:rsid w:val="3AC37B79"/>
    <w:rsid w:val="3ADD4E9F"/>
    <w:rsid w:val="3AED190D"/>
    <w:rsid w:val="3B3373FC"/>
    <w:rsid w:val="3B491FD0"/>
    <w:rsid w:val="3B516536"/>
    <w:rsid w:val="3B5206E1"/>
    <w:rsid w:val="3B6620EF"/>
    <w:rsid w:val="3BAE1209"/>
    <w:rsid w:val="3BD77F49"/>
    <w:rsid w:val="3C3814A4"/>
    <w:rsid w:val="3C3915C1"/>
    <w:rsid w:val="3C5F4C83"/>
    <w:rsid w:val="3C774C40"/>
    <w:rsid w:val="3C805F8B"/>
    <w:rsid w:val="3D0C342A"/>
    <w:rsid w:val="3D1C1723"/>
    <w:rsid w:val="3D5440BC"/>
    <w:rsid w:val="3D8016A1"/>
    <w:rsid w:val="3D864BBD"/>
    <w:rsid w:val="3DAB11C4"/>
    <w:rsid w:val="3DC34479"/>
    <w:rsid w:val="3DC50166"/>
    <w:rsid w:val="3DE42C19"/>
    <w:rsid w:val="3DFD4754"/>
    <w:rsid w:val="3DFE4A03"/>
    <w:rsid w:val="3E12635A"/>
    <w:rsid w:val="3E137EE5"/>
    <w:rsid w:val="3E221D9C"/>
    <w:rsid w:val="3E2A7B0A"/>
    <w:rsid w:val="3E356B0A"/>
    <w:rsid w:val="3E487A0C"/>
    <w:rsid w:val="3E6B790F"/>
    <w:rsid w:val="3EAE5A4E"/>
    <w:rsid w:val="3EE34734"/>
    <w:rsid w:val="3EF15E3B"/>
    <w:rsid w:val="3EFB31FE"/>
    <w:rsid w:val="3F23789C"/>
    <w:rsid w:val="3F286522"/>
    <w:rsid w:val="3F350199"/>
    <w:rsid w:val="3F3C6A4D"/>
    <w:rsid w:val="3F5465F5"/>
    <w:rsid w:val="3F5A3A7F"/>
    <w:rsid w:val="3F6464C2"/>
    <w:rsid w:val="3F707211"/>
    <w:rsid w:val="3FB24166"/>
    <w:rsid w:val="40632B92"/>
    <w:rsid w:val="407149CC"/>
    <w:rsid w:val="40F84914"/>
    <w:rsid w:val="413848F8"/>
    <w:rsid w:val="41390A92"/>
    <w:rsid w:val="415B520C"/>
    <w:rsid w:val="41884094"/>
    <w:rsid w:val="419D330F"/>
    <w:rsid w:val="41CB12CC"/>
    <w:rsid w:val="421B33FA"/>
    <w:rsid w:val="42426BD9"/>
    <w:rsid w:val="42862F6A"/>
    <w:rsid w:val="42E72C06"/>
    <w:rsid w:val="43071F86"/>
    <w:rsid w:val="43367DEF"/>
    <w:rsid w:val="4363359A"/>
    <w:rsid w:val="43900837"/>
    <w:rsid w:val="43C03933"/>
    <w:rsid w:val="43CD776C"/>
    <w:rsid w:val="442D69A6"/>
    <w:rsid w:val="44677611"/>
    <w:rsid w:val="44A22F5B"/>
    <w:rsid w:val="44D67E02"/>
    <w:rsid w:val="44D76A73"/>
    <w:rsid w:val="44EE129A"/>
    <w:rsid w:val="45001D4B"/>
    <w:rsid w:val="451D4F25"/>
    <w:rsid w:val="453D1569"/>
    <w:rsid w:val="459D5960"/>
    <w:rsid w:val="45DC6F0D"/>
    <w:rsid w:val="463158E2"/>
    <w:rsid w:val="463F1DAD"/>
    <w:rsid w:val="464B28BA"/>
    <w:rsid w:val="46562663"/>
    <w:rsid w:val="46675D0A"/>
    <w:rsid w:val="46925EE7"/>
    <w:rsid w:val="46AA3BE6"/>
    <w:rsid w:val="46C2653A"/>
    <w:rsid w:val="46E36F55"/>
    <w:rsid w:val="47206D0A"/>
    <w:rsid w:val="4735463A"/>
    <w:rsid w:val="4746716B"/>
    <w:rsid w:val="4767397A"/>
    <w:rsid w:val="477E0FAB"/>
    <w:rsid w:val="47A35674"/>
    <w:rsid w:val="47CF1984"/>
    <w:rsid w:val="47E0136E"/>
    <w:rsid w:val="47E30E5E"/>
    <w:rsid w:val="48074B4D"/>
    <w:rsid w:val="48297FEF"/>
    <w:rsid w:val="483278FD"/>
    <w:rsid w:val="4886248F"/>
    <w:rsid w:val="488C3BB8"/>
    <w:rsid w:val="48B63E7D"/>
    <w:rsid w:val="48F52967"/>
    <w:rsid w:val="491D0345"/>
    <w:rsid w:val="49E22A33"/>
    <w:rsid w:val="49EA6485"/>
    <w:rsid w:val="4A2E78EE"/>
    <w:rsid w:val="4A5F1D1F"/>
    <w:rsid w:val="4A777914"/>
    <w:rsid w:val="4AAB18FC"/>
    <w:rsid w:val="4ADB2DDC"/>
    <w:rsid w:val="4B0F1AE7"/>
    <w:rsid w:val="4B225175"/>
    <w:rsid w:val="4BB37621"/>
    <w:rsid w:val="4BB86F47"/>
    <w:rsid w:val="4BE035EA"/>
    <w:rsid w:val="4BE1398E"/>
    <w:rsid w:val="4C2C399C"/>
    <w:rsid w:val="4C9F5878"/>
    <w:rsid w:val="4CA151B0"/>
    <w:rsid w:val="4CB63F69"/>
    <w:rsid w:val="4CBF4276"/>
    <w:rsid w:val="4D011246"/>
    <w:rsid w:val="4D090658"/>
    <w:rsid w:val="4D412070"/>
    <w:rsid w:val="4D6C71CF"/>
    <w:rsid w:val="4D6E1087"/>
    <w:rsid w:val="4D9549A9"/>
    <w:rsid w:val="4D982687"/>
    <w:rsid w:val="4DAB7D28"/>
    <w:rsid w:val="4DBF5B4A"/>
    <w:rsid w:val="4DC97558"/>
    <w:rsid w:val="4DD95D87"/>
    <w:rsid w:val="4DDC6134"/>
    <w:rsid w:val="4E257ADB"/>
    <w:rsid w:val="4E651ED5"/>
    <w:rsid w:val="4F03593F"/>
    <w:rsid w:val="4F097485"/>
    <w:rsid w:val="4F0F2539"/>
    <w:rsid w:val="4F271D3E"/>
    <w:rsid w:val="4F522031"/>
    <w:rsid w:val="4F5D72AE"/>
    <w:rsid w:val="4F6F5501"/>
    <w:rsid w:val="4F870321"/>
    <w:rsid w:val="4FD631CC"/>
    <w:rsid w:val="500024B1"/>
    <w:rsid w:val="50C07F8E"/>
    <w:rsid w:val="50E87B49"/>
    <w:rsid w:val="50ED3FD0"/>
    <w:rsid w:val="510F6820"/>
    <w:rsid w:val="51360251"/>
    <w:rsid w:val="5164653C"/>
    <w:rsid w:val="517C49DA"/>
    <w:rsid w:val="51AD612B"/>
    <w:rsid w:val="51F36142"/>
    <w:rsid w:val="524D5555"/>
    <w:rsid w:val="52642B9B"/>
    <w:rsid w:val="52772529"/>
    <w:rsid w:val="52BD424C"/>
    <w:rsid w:val="52F2685E"/>
    <w:rsid w:val="530D4FE1"/>
    <w:rsid w:val="53314014"/>
    <w:rsid w:val="53395DD6"/>
    <w:rsid w:val="537C0DFA"/>
    <w:rsid w:val="53932FAA"/>
    <w:rsid w:val="53B06098"/>
    <w:rsid w:val="53C5156B"/>
    <w:rsid w:val="53C71634"/>
    <w:rsid w:val="541456D4"/>
    <w:rsid w:val="5429409D"/>
    <w:rsid w:val="543C0056"/>
    <w:rsid w:val="5475399D"/>
    <w:rsid w:val="547A7B7E"/>
    <w:rsid w:val="550C2144"/>
    <w:rsid w:val="55153A69"/>
    <w:rsid w:val="55896B25"/>
    <w:rsid w:val="55CA2BAB"/>
    <w:rsid w:val="56000232"/>
    <w:rsid w:val="56245BDE"/>
    <w:rsid w:val="56261649"/>
    <w:rsid w:val="56525F2C"/>
    <w:rsid w:val="56DB0E88"/>
    <w:rsid w:val="56DC178D"/>
    <w:rsid w:val="56E61BC0"/>
    <w:rsid w:val="56F33676"/>
    <w:rsid w:val="56F978F7"/>
    <w:rsid w:val="5724445A"/>
    <w:rsid w:val="57515A63"/>
    <w:rsid w:val="578A66DD"/>
    <w:rsid w:val="57A33A8F"/>
    <w:rsid w:val="57F63B16"/>
    <w:rsid w:val="583A08CE"/>
    <w:rsid w:val="58692C3E"/>
    <w:rsid w:val="586B6A32"/>
    <w:rsid w:val="58784A3E"/>
    <w:rsid w:val="58825341"/>
    <w:rsid w:val="58F10CAD"/>
    <w:rsid w:val="591E34BC"/>
    <w:rsid w:val="59275EA4"/>
    <w:rsid w:val="59290661"/>
    <w:rsid w:val="59402E03"/>
    <w:rsid w:val="5949510A"/>
    <w:rsid w:val="598B6E78"/>
    <w:rsid w:val="5999679A"/>
    <w:rsid w:val="59A83C38"/>
    <w:rsid w:val="59B419C2"/>
    <w:rsid w:val="59E35B0C"/>
    <w:rsid w:val="5A036115"/>
    <w:rsid w:val="5A0B6EA0"/>
    <w:rsid w:val="5A266904"/>
    <w:rsid w:val="5A403154"/>
    <w:rsid w:val="5A5E141D"/>
    <w:rsid w:val="5A646E17"/>
    <w:rsid w:val="5A8849AB"/>
    <w:rsid w:val="5ABE04EF"/>
    <w:rsid w:val="5B157129"/>
    <w:rsid w:val="5B2555BE"/>
    <w:rsid w:val="5B282370"/>
    <w:rsid w:val="5B433355"/>
    <w:rsid w:val="5B443C4B"/>
    <w:rsid w:val="5BB10BFF"/>
    <w:rsid w:val="5BC375F6"/>
    <w:rsid w:val="5C0E56CC"/>
    <w:rsid w:val="5C5032A8"/>
    <w:rsid w:val="5C6A2B5A"/>
    <w:rsid w:val="5C6C4B26"/>
    <w:rsid w:val="5C6F0D14"/>
    <w:rsid w:val="5C8B3AFD"/>
    <w:rsid w:val="5D2A4D65"/>
    <w:rsid w:val="5D6453EC"/>
    <w:rsid w:val="5D677494"/>
    <w:rsid w:val="5D6F38AA"/>
    <w:rsid w:val="5DAF0435"/>
    <w:rsid w:val="5DD0090F"/>
    <w:rsid w:val="5DDE3802"/>
    <w:rsid w:val="5DF805B4"/>
    <w:rsid w:val="5DFB46DD"/>
    <w:rsid w:val="5E0E058B"/>
    <w:rsid w:val="5E580CDF"/>
    <w:rsid w:val="5E6E4B7F"/>
    <w:rsid w:val="5E7A120F"/>
    <w:rsid w:val="5EE46952"/>
    <w:rsid w:val="5EF81ADD"/>
    <w:rsid w:val="5F0A307C"/>
    <w:rsid w:val="5F114311"/>
    <w:rsid w:val="5F661D01"/>
    <w:rsid w:val="5F7C7776"/>
    <w:rsid w:val="5FBA3DFB"/>
    <w:rsid w:val="5FDE68D8"/>
    <w:rsid w:val="5FEC366F"/>
    <w:rsid w:val="60164155"/>
    <w:rsid w:val="60270862"/>
    <w:rsid w:val="604540A0"/>
    <w:rsid w:val="60956CE9"/>
    <w:rsid w:val="609966AC"/>
    <w:rsid w:val="60DA424C"/>
    <w:rsid w:val="60E5450E"/>
    <w:rsid w:val="60EF4456"/>
    <w:rsid w:val="60F07726"/>
    <w:rsid w:val="61092A11"/>
    <w:rsid w:val="6110461A"/>
    <w:rsid w:val="61256045"/>
    <w:rsid w:val="6173297E"/>
    <w:rsid w:val="617821BF"/>
    <w:rsid w:val="61B97D3D"/>
    <w:rsid w:val="61BA4586"/>
    <w:rsid w:val="61BE22AB"/>
    <w:rsid w:val="61C264D4"/>
    <w:rsid w:val="620B3669"/>
    <w:rsid w:val="621E7B19"/>
    <w:rsid w:val="624844AD"/>
    <w:rsid w:val="62624078"/>
    <w:rsid w:val="6287513D"/>
    <w:rsid w:val="629B1C54"/>
    <w:rsid w:val="62B5476F"/>
    <w:rsid w:val="62EA5C02"/>
    <w:rsid w:val="63100572"/>
    <w:rsid w:val="632B2634"/>
    <w:rsid w:val="63495BC1"/>
    <w:rsid w:val="637C7D45"/>
    <w:rsid w:val="639C7077"/>
    <w:rsid w:val="64405216"/>
    <w:rsid w:val="64970BAF"/>
    <w:rsid w:val="64BE0654"/>
    <w:rsid w:val="64C51278"/>
    <w:rsid w:val="64C612E4"/>
    <w:rsid w:val="64ED07CF"/>
    <w:rsid w:val="656F0478"/>
    <w:rsid w:val="657F6FEC"/>
    <w:rsid w:val="658B4BA4"/>
    <w:rsid w:val="65A93F1D"/>
    <w:rsid w:val="65D138BF"/>
    <w:rsid w:val="65FF22E5"/>
    <w:rsid w:val="66001F65"/>
    <w:rsid w:val="660B3602"/>
    <w:rsid w:val="66173D55"/>
    <w:rsid w:val="661B7E1F"/>
    <w:rsid w:val="66862CC8"/>
    <w:rsid w:val="669C7BE5"/>
    <w:rsid w:val="66A96297"/>
    <w:rsid w:val="66BE47EF"/>
    <w:rsid w:val="66D24120"/>
    <w:rsid w:val="671074A4"/>
    <w:rsid w:val="673D776E"/>
    <w:rsid w:val="677A17D2"/>
    <w:rsid w:val="679F0593"/>
    <w:rsid w:val="67AC3ECD"/>
    <w:rsid w:val="67C617B4"/>
    <w:rsid w:val="67DE701A"/>
    <w:rsid w:val="67EB2D8A"/>
    <w:rsid w:val="67F85E08"/>
    <w:rsid w:val="68014673"/>
    <w:rsid w:val="68420E31"/>
    <w:rsid w:val="684E08B0"/>
    <w:rsid w:val="68977353"/>
    <w:rsid w:val="69787200"/>
    <w:rsid w:val="697E6B02"/>
    <w:rsid w:val="69916E5E"/>
    <w:rsid w:val="69CC30A8"/>
    <w:rsid w:val="69D13876"/>
    <w:rsid w:val="69E14DA6"/>
    <w:rsid w:val="69F3302A"/>
    <w:rsid w:val="6A0E174A"/>
    <w:rsid w:val="6AB62FDC"/>
    <w:rsid w:val="6AD7617F"/>
    <w:rsid w:val="6B5063EA"/>
    <w:rsid w:val="6B9A4795"/>
    <w:rsid w:val="6BB56643"/>
    <w:rsid w:val="6BFC4839"/>
    <w:rsid w:val="6C6D7FA7"/>
    <w:rsid w:val="6C7125B0"/>
    <w:rsid w:val="6CAD5300"/>
    <w:rsid w:val="6CC775D5"/>
    <w:rsid w:val="6CDB452B"/>
    <w:rsid w:val="6D0E33A4"/>
    <w:rsid w:val="6D4A4A10"/>
    <w:rsid w:val="6D720C6D"/>
    <w:rsid w:val="6D964A9B"/>
    <w:rsid w:val="6E1B45FE"/>
    <w:rsid w:val="6ED577BF"/>
    <w:rsid w:val="6EDD4F7A"/>
    <w:rsid w:val="6F0B6421"/>
    <w:rsid w:val="6F4F1275"/>
    <w:rsid w:val="6FB85E91"/>
    <w:rsid w:val="701709D8"/>
    <w:rsid w:val="70313C65"/>
    <w:rsid w:val="703603A6"/>
    <w:rsid w:val="705A523B"/>
    <w:rsid w:val="70BF3C00"/>
    <w:rsid w:val="70F002E9"/>
    <w:rsid w:val="712738E3"/>
    <w:rsid w:val="71AE016B"/>
    <w:rsid w:val="71AF5B9A"/>
    <w:rsid w:val="72235F9D"/>
    <w:rsid w:val="72275A52"/>
    <w:rsid w:val="726141B3"/>
    <w:rsid w:val="726D3849"/>
    <w:rsid w:val="72824C4C"/>
    <w:rsid w:val="72881799"/>
    <w:rsid w:val="728C7879"/>
    <w:rsid w:val="7298446F"/>
    <w:rsid w:val="72F97AEA"/>
    <w:rsid w:val="72FE511A"/>
    <w:rsid w:val="72FF44EF"/>
    <w:rsid w:val="73292EBB"/>
    <w:rsid w:val="732B7092"/>
    <w:rsid w:val="735B3E50"/>
    <w:rsid w:val="736A78A2"/>
    <w:rsid w:val="736B748E"/>
    <w:rsid w:val="73872A44"/>
    <w:rsid w:val="73C43DFB"/>
    <w:rsid w:val="73DF7C9D"/>
    <w:rsid w:val="741C7D0C"/>
    <w:rsid w:val="744A79EB"/>
    <w:rsid w:val="747D6E95"/>
    <w:rsid w:val="74CB1137"/>
    <w:rsid w:val="75041948"/>
    <w:rsid w:val="750A2CD7"/>
    <w:rsid w:val="7587450B"/>
    <w:rsid w:val="758B5004"/>
    <w:rsid w:val="75912B56"/>
    <w:rsid w:val="75B25848"/>
    <w:rsid w:val="75BD00DD"/>
    <w:rsid w:val="75D76822"/>
    <w:rsid w:val="762E69DE"/>
    <w:rsid w:val="76365DFD"/>
    <w:rsid w:val="765D5CBD"/>
    <w:rsid w:val="76711041"/>
    <w:rsid w:val="76AD64CC"/>
    <w:rsid w:val="76BE64F4"/>
    <w:rsid w:val="76D75278"/>
    <w:rsid w:val="771F076D"/>
    <w:rsid w:val="77234781"/>
    <w:rsid w:val="77271704"/>
    <w:rsid w:val="772B7660"/>
    <w:rsid w:val="77332692"/>
    <w:rsid w:val="777F6520"/>
    <w:rsid w:val="778D55CE"/>
    <w:rsid w:val="779276DF"/>
    <w:rsid w:val="779A007F"/>
    <w:rsid w:val="77AA423B"/>
    <w:rsid w:val="77B5517C"/>
    <w:rsid w:val="77BA6C36"/>
    <w:rsid w:val="77CA50CB"/>
    <w:rsid w:val="77E71047"/>
    <w:rsid w:val="780C6984"/>
    <w:rsid w:val="78571F82"/>
    <w:rsid w:val="78832320"/>
    <w:rsid w:val="789F07F6"/>
    <w:rsid w:val="78A92991"/>
    <w:rsid w:val="78CC6D3B"/>
    <w:rsid w:val="78F005A3"/>
    <w:rsid w:val="790959E6"/>
    <w:rsid w:val="796B643A"/>
    <w:rsid w:val="799A068D"/>
    <w:rsid w:val="79ED32F3"/>
    <w:rsid w:val="79F444EC"/>
    <w:rsid w:val="79F857F4"/>
    <w:rsid w:val="7A170370"/>
    <w:rsid w:val="7A186D5D"/>
    <w:rsid w:val="7A2A00A3"/>
    <w:rsid w:val="7A2D7B93"/>
    <w:rsid w:val="7A423425"/>
    <w:rsid w:val="7A52520F"/>
    <w:rsid w:val="7A827280"/>
    <w:rsid w:val="7AEF6DC1"/>
    <w:rsid w:val="7B2E0BD2"/>
    <w:rsid w:val="7B361733"/>
    <w:rsid w:val="7B47219D"/>
    <w:rsid w:val="7B5707FE"/>
    <w:rsid w:val="7B7F79D9"/>
    <w:rsid w:val="7B983CA8"/>
    <w:rsid w:val="7BAB16F2"/>
    <w:rsid w:val="7BC635A1"/>
    <w:rsid w:val="7BCE0035"/>
    <w:rsid w:val="7BEE5100"/>
    <w:rsid w:val="7CE65DD7"/>
    <w:rsid w:val="7D0067A0"/>
    <w:rsid w:val="7D1615EA"/>
    <w:rsid w:val="7D2E0A62"/>
    <w:rsid w:val="7D4A3191"/>
    <w:rsid w:val="7D5608F5"/>
    <w:rsid w:val="7DA4086C"/>
    <w:rsid w:val="7DE762AB"/>
    <w:rsid w:val="7E14573B"/>
    <w:rsid w:val="7E4B5A49"/>
    <w:rsid w:val="7E5E656D"/>
    <w:rsid w:val="7E6849E9"/>
    <w:rsid w:val="7E966CB8"/>
    <w:rsid w:val="7ED54355"/>
    <w:rsid w:val="7EE06CB6"/>
    <w:rsid w:val="7EF40C80"/>
    <w:rsid w:val="7F076C05"/>
    <w:rsid w:val="7F384DE4"/>
    <w:rsid w:val="7F533166"/>
    <w:rsid w:val="7F68581B"/>
    <w:rsid w:val="7FE761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imes New Roman"/>
      <w:kern w:val="2"/>
      <w:sz w:val="21"/>
      <w:szCs w:val="22"/>
      <w:lang w:val="en-US" w:eastAsia="zh-CN" w:bidi="ar-SA"/>
    </w:rPr>
  </w:style>
  <w:style w:type="paragraph" w:styleId="2">
    <w:name w:val="heading 1"/>
    <w:basedOn w:val="3"/>
    <w:next w:val="4"/>
    <w:qFormat/>
    <w:uiPriority w:val="0"/>
    <w:pPr>
      <w:keepNext/>
      <w:keepLines/>
      <w:spacing w:after="120" w:line="360" w:lineRule="auto"/>
      <w:jc w:val="left"/>
      <w:outlineLvl w:val="0"/>
    </w:pPr>
    <w:rPr>
      <w:kern w:val="44"/>
      <w:sz w:val="28"/>
      <w:szCs w:val="28"/>
    </w:rPr>
  </w:style>
  <w:style w:type="paragraph" w:styleId="6">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7">
    <w:name w:val="heading 3"/>
    <w:basedOn w:val="1"/>
    <w:next w:val="1"/>
    <w:link w:val="38"/>
    <w:qFormat/>
    <w:uiPriority w:val="99"/>
    <w:pPr>
      <w:spacing w:before="100" w:beforeAutospacing="1" w:after="100" w:afterAutospacing="1"/>
      <w:jc w:val="left"/>
      <w:textAlignment w:val="auto"/>
      <w:outlineLvl w:val="2"/>
    </w:pPr>
    <w:rPr>
      <w:rFonts w:ascii="宋体" w:hAnsi="宋体"/>
      <w:kern w:val="0"/>
      <w:sz w:val="27"/>
      <w:szCs w:val="27"/>
    </w:rPr>
  </w:style>
  <w:style w:type="paragraph" w:styleId="8">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3">
    <w:name w:val="Title"/>
    <w:basedOn w:val="1"/>
    <w:link w:val="35"/>
    <w:qFormat/>
    <w:uiPriority w:val="0"/>
    <w:pPr>
      <w:spacing w:before="120" w:after="60"/>
      <w:jc w:val="center"/>
    </w:pPr>
    <w:rPr>
      <w:rFonts w:ascii="Arial" w:hAnsi="Arial"/>
      <w:b/>
      <w:kern w:val="0"/>
      <w:sz w:val="44"/>
      <w:szCs w:val="20"/>
    </w:rPr>
  </w:style>
  <w:style w:type="paragraph" w:styleId="4">
    <w:name w:val="Body Text First Indent"/>
    <w:basedOn w:val="5"/>
    <w:link w:val="37"/>
    <w:qFormat/>
    <w:uiPriority w:val="0"/>
    <w:pPr>
      <w:widowControl w:val="0"/>
      <w:ind w:firstLine="420"/>
      <w:textAlignment w:val="auto"/>
    </w:pPr>
    <w:rPr>
      <w:rFonts w:ascii="Times New Roman" w:hAnsi="Times New Roman"/>
      <w:kern w:val="0"/>
      <w:sz w:val="20"/>
      <w:szCs w:val="20"/>
    </w:rPr>
  </w:style>
  <w:style w:type="paragraph" w:styleId="5">
    <w:name w:val="Body Text"/>
    <w:basedOn w:val="1"/>
    <w:link w:val="36"/>
    <w:unhideWhenUsed/>
    <w:qFormat/>
    <w:uiPriority w:val="99"/>
    <w:pPr>
      <w:spacing w:after="120"/>
    </w:pPr>
  </w:style>
  <w:style w:type="paragraph" w:styleId="9">
    <w:name w:val="Normal Indent"/>
    <w:basedOn w:val="1"/>
    <w:next w:val="1"/>
    <w:unhideWhenUsed/>
    <w:qFormat/>
    <w:uiPriority w:val="0"/>
    <w:pPr>
      <w:widowControl w:val="0"/>
      <w:ind w:firstLine="420"/>
      <w:textAlignment w:val="auto"/>
    </w:pPr>
    <w:rPr>
      <w:rFonts w:ascii="Times New Roman" w:hAnsi="Times New Roman"/>
      <w:szCs w:val="21"/>
    </w:rPr>
  </w:style>
  <w:style w:type="paragraph" w:styleId="10">
    <w:name w:val="Document Map"/>
    <w:basedOn w:val="1"/>
    <w:link w:val="39"/>
    <w:unhideWhenUsed/>
    <w:qFormat/>
    <w:uiPriority w:val="99"/>
    <w:rPr>
      <w:rFonts w:ascii="宋体"/>
      <w:sz w:val="18"/>
      <w:szCs w:val="18"/>
    </w:rPr>
  </w:style>
  <w:style w:type="paragraph" w:styleId="11">
    <w:name w:val="annotation text"/>
    <w:basedOn w:val="1"/>
    <w:next w:val="1"/>
    <w:link w:val="40"/>
    <w:unhideWhenUsed/>
    <w:qFormat/>
    <w:uiPriority w:val="0"/>
    <w:pPr>
      <w:jc w:val="left"/>
    </w:pPr>
  </w:style>
  <w:style w:type="paragraph" w:styleId="12">
    <w:name w:val="Body Text 3"/>
    <w:basedOn w:val="1"/>
    <w:link w:val="41"/>
    <w:unhideWhenUsed/>
    <w:qFormat/>
    <w:uiPriority w:val="99"/>
    <w:pPr>
      <w:widowControl w:val="0"/>
      <w:spacing w:after="120"/>
      <w:textAlignment w:val="auto"/>
    </w:pPr>
    <w:rPr>
      <w:sz w:val="16"/>
      <w:szCs w:val="16"/>
    </w:rPr>
  </w:style>
  <w:style w:type="paragraph" w:styleId="13">
    <w:name w:val="Body Text Indent"/>
    <w:basedOn w:val="1"/>
    <w:next w:val="14"/>
    <w:qFormat/>
    <w:uiPriority w:val="0"/>
    <w:pPr>
      <w:ind w:firstLine="570"/>
    </w:pPr>
    <w:rPr>
      <w:kern w:val="0"/>
      <w:sz w:val="28"/>
      <w:szCs w:val="20"/>
    </w:rPr>
  </w:style>
  <w:style w:type="paragraph" w:styleId="14">
    <w:name w:val="envelope return"/>
    <w:basedOn w:val="1"/>
    <w:qFormat/>
    <w:uiPriority w:val="0"/>
    <w:pPr>
      <w:snapToGrid w:val="0"/>
    </w:pPr>
    <w:rPr>
      <w:rFonts w:ascii="Arial" w:hAnsi="Arial"/>
      <w:szCs w:val="24"/>
    </w:rPr>
  </w:style>
  <w:style w:type="paragraph" w:styleId="15">
    <w:name w:val="toc 3"/>
    <w:basedOn w:val="1"/>
    <w:next w:val="1"/>
    <w:unhideWhenUsed/>
    <w:qFormat/>
    <w:uiPriority w:val="39"/>
    <w:pPr>
      <w:ind w:left="840" w:leftChars="400"/>
    </w:pPr>
  </w:style>
  <w:style w:type="paragraph" w:styleId="16">
    <w:name w:val="Plain Text"/>
    <w:basedOn w:val="1"/>
    <w:next w:val="1"/>
    <w:link w:val="42"/>
    <w:qFormat/>
    <w:uiPriority w:val="99"/>
    <w:rPr>
      <w:rFonts w:ascii="宋体" w:hAnsi="Courier New" w:eastAsia="楷体_GB2312"/>
      <w:szCs w:val="24"/>
    </w:rPr>
  </w:style>
  <w:style w:type="paragraph" w:styleId="17">
    <w:name w:val="Date"/>
    <w:basedOn w:val="1"/>
    <w:next w:val="1"/>
    <w:link w:val="43"/>
    <w:qFormat/>
    <w:uiPriority w:val="0"/>
    <w:rPr>
      <w:rFonts w:ascii="Times New Roman" w:hAnsi="Times New Roman"/>
      <w:kern w:val="0"/>
      <w:sz w:val="20"/>
      <w:szCs w:val="20"/>
    </w:rPr>
  </w:style>
  <w:style w:type="paragraph" w:styleId="18">
    <w:name w:val="Balloon Text"/>
    <w:basedOn w:val="1"/>
    <w:link w:val="44"/>
    <w:unhideWhenUsed/>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kern w:val="0"/>
      <w:sz w:val="18"/>
      <w:szCs w:val="18"/>
    </w:rPr>
  </w:style>
  <w:style w:type="paragraph" w:styleId="20">
    <w:name w:val="header"/>
    <w:basedOn w:val="1"/>
    <w:link w:val="46"/>
    <w:qFormat/>
    <w:uiPriority w:val="99"/>
    <w:pPr>
      <w:pBdr>
        <w:bottom w:val="single" w:color="000000"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style>
  <w:style w:type="paragraph" w:styleId="22">
    <w:name w:val="toc 2"/>
    <w:basedOn w:val="1"/>
    <w:next w:val="1"/>
    <w:unhideWhenUsed/>
    <w:qFormat/>
    <w:uiPriority w:val="39"/>
    <w:pPr>
      <w:ind w:left="420" w:leftChars="200"/>
    </w:pPr>
  </w:style>
  <w:style w:type="paragraph" w:styleId="23">
    <w:name w:val="Body Text 2"/>
    <w:basedOn w:val="1"/>
    <w:qFormat/>
    <w:uiPriority w:val="0"/>
    <w:rPr>
      <w:rFonts w:ascii="宋体" w:hAnsi="宋体"/>
      <w:szCs w:val="24"/>
      <w:u w:val="single"/>
    </w:rPr>
  </w:style>
  <w:style w:type="paragraph" w:styleId="24">
    <w:name w:val="Normal (Web)"/>
    <w:basedOn w:val="1"/>
    <w:unhideWhenUsed/>
    <w:qFormat/>
    <w:uiPriority w:val="0"/>
    <w:pPr>
      <w:widowControl w:val="0"/>
      <w:textAlignment w:val="auto"/>
    </w:pPr>
    <w:rPr>
      <w:rFonts w:ascii="仿宋_GB2312" w:eastAsia="仿宋_GB2312" w:cs="宋体"/>
      <w:sz w:val="24"/>
      <w:szCs w:val="24"/>
    </w:rPr>
  </w:style>
  <w:style w:type="paragraph" w:styleId="25">
    <w:name w:val="annotation subject"/>
    <w:basedOn w:val="11"/>
    <w:next w:val="11"/>
    <w:link w:val="47"/>
    <w:unhideWhenUsed/>
    <w:qFormat/>
    <w:uiPriority w:val="0"/>
    <w:rPr>
      <w:b/>
      <w:bCs/>
    </w:rPr>
  </w:style>
  <w:style w:type="paragraph" w:styleId="26">
    <w:name w:val="Body Text First Indent 2"/>
    <w:basedOn w:val="13"/>
    <w:qFormat/>
    <w:uiPriority w:val="0"/>
    <w:pPr>
      <w:spacing w:after="120"/>
      <w:ind w:left="420" w:leftChars="200" w:firstLine="420" w:firstLineChars="200"/>
    </w:pPr>
    <w:rPr>
      <w:rFonts w:ascii="Calibri" w:hAnsi="Calibri"/>
      <w:sz w:val="20"/>
      <w:szCs w:val="24"/>
    </w:rPr>
  </w:style>
  <w:style w:type="table" w:styleId="28">
    <w:name w:val="Table Grid"/>
    <w:basedOn w:val="27"/>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FollowedHyperlink"/>
    <w:qFormat/>
    <w:uiPriority w:val="0"/>
    <w:rPr>
      <w:color w:val="954F72"/>
      <w:u w:val="single"/>
    </w:rPr>
  </w:style>
  <w:style w:type="character" w:styleId="32">
    <w:name w:val="Hyperlink"/>
    <w:basedOn w:val="29"/>
    <w:qFormat/>
    <w:uiPriority w:val="99"/>
    <w:rPr>
      <w:rFonts w:ascii="微软雅黑" w:hAnsi="微软雅黑" w:eastAsia="微软雅黑"/>
      <w:color w:val="337AB7"/>
    </w:rPr>
  </w:style>
  <w:style w:type="character" w:styleId="33">
    <w:name w:val="annotation reference"/>
    <w:unhideWhenUsed/>
    <w:qFormat/>
    <w:uiPriority w:val="0"/>
    <w:rPr>
      <w:sz w:val="21"/>
      <w:szCs w:val="21"/>
    </w:rPr>
  </w:style>
  <w:style w:type="paragraph" w:customStyle="1" w:styleId="34">
    <w:name w:val="BodyText"/>
    <w:basedOn w:val="1"/>
    <w:link w:val="48"/>
    <w:qFormat/>
    <w:uiPriority w:val="0"/>
    <w:pPr>
      <w:spacing w:after="120"/>
    </w:pPr>
    <w:rPr>
      <w:rFonts w:ascii="Times New Roman" w:hAnsi="Times New Roman"/>
      <w:kern w:val="0"/>
      <w:sz w:val="20"/>
      <w:szCs w:val="20"/>
    </w:rPr>
  </w:style>
  <w:style w:type="character" w:customStyle="1" w:styleId="35">
    <w:name w:val="标题 字符"/>
    <w:link w:val="3"/>
    <w:qFormat/>
    <w:uiPriority w:val="0"/>
    <w:rPr>
      <w:rFonts w:ascii="Arial" w:hAnsi="Arial" w:eastAsia="宋体"/>
      <w:b/>
      <w:sz w:val="44"/>
      <w:szCs w:val="20"/>
    </w:rPr>
  </w:style>
  <w:style w:type="character" w:customStyle="1" w:styleId="36">
    <w:name w:val="正文文本 字符"/>
    <w:link w:val="5"/>
    <w:qFormat/>
    <w:uiPriority w:val="99"/>
    <w:rPr>
      <w:rFonts w:ascii="Calibri" w:hAnsi="Calibri"/>
      <w:kern w:val="2"/>
      <w:sz w:val="21"/>
      <w:szCs w:val="22"/>
    </w:rPr>
  </w:style>
  <w:style w:type="character" w:customStyle="1" w:styleId="37">
    <w:name w:val="正文文本首行缩进 字符"/>
    <w:link w:val="4"/>
    <w:qFormat/>
    <w:uiPriority w:val="0"/>
  </w:style>
  <w:style w:type="character" w:customStyle="1" w:styleId="38">
    <w:name w:val="标题 3 字符"/>
    <w:link w:val="7"/>
    <w:qFormat/>
    <w:uiPriority w:val="99"/>
    <w:rPr>
      <w:rFonts w:ascii="宋体" w:hAnsi="宋体"/>
      <w:sz w:val="27"/>
      <w:szCs w:val="27"/>
    </w:rPr>
  </w:style>
  <w:style w:type="character" w:customStyle="1" w:styleId="39">
    <w:name w:val="文档结构图 字符"/>
    <w:link w:val="10"/>
    <w:semiHidden/>
    <w:qFormat/>
    <w:uiPriority w:val="99"/>
    <w:rPr>
      <w:rFonts w:ascii="宋体" w:hAnsi="Calibri"/>
      <w:kern w:val="2"/>
      <w:sz w:val="18"/>
      <w:szCs w:val="18"/>
    </w:rPr>
  </w:style>
  <w:style w:type="character" w:customStyle="1" w:styleId="40">
    <w:name w:val="批注文字 字符"/>
    <w:link w:val="11"/>
    <w:qFormat/>
    <w:uiPriority w:val="0"/>
    <w:rPr>
      <w:rFonts w:ascii="Calibri" w:hAnsi="Calibri"/>
      <w:kern w:val="2"/>
      <w:sz w:val="21"/>
      <w:szCs w:val="22"/>
    </w:rPr>
  </w:style>
  <w:style w:type="character" w:customStyle="1" w:styleId="41">
    <w:name w:val="正文文本 3 字符"/>
    <w:link w:val="12"/>
    <w:semiHidden/>
    <w:qFormat/>
    <w:uiPriority w:val="99"/>
    <w:rPr>
      <w:rFonts w:ascii="Calibri" w:hAnsi="Calibri"/>
      <w:kern w:val="2"/>
      <w:sz w:val="16"/>
      <w:szCs w:val="16"/>
    </w:rPr>
  </w:style>
  <w:style w:type="character" w:customStyle="1" w:styleId="42">
    <w:name w:val="纯文本 字符"/>
    <w:link w:val="16"/>
    <w:qFormat/>
    <w:uiPriority w:val="99"/>
    <w:rPr>
      <w:rFonts w:ascii="宋体" w:hAnsi="Courier New" w:eastAsia="楷体_GB2312"/>
      <w:kern w:val="2"/>
      <w:sz w:val="21"/>
      <w:szCs w:val="24"/>
    </w:rPr>
  </w:style>
  <w:style w:type="character" w:customStyle="1" w:styleId="43">
    <w:name w:val="日期 字符"/>
    <w:link w:val="17"/>
    <w:qFormat/>
    <w:uiPriority w:val="0"/>
    <w:rPr>
      <w:rFonts w:ascii="Times New Roman" w:hAnsi="Times New Roman" w:eastAsia="宋体"/>
      <w:szCs w:val="20"/>
    </w:rPr>
  </w:style>
  <w:style w:type="character" w:customStyle="1" w:styleId="44">
    <w:name w:val="批注框文本 字符"/>
    <w:link w:val="18"/>
    <w:qFormat/>
    <w:uiPriority w:val="99"/>
    <w:rPr>
      <w:rFonts w:ascii="Calibri" w:hAnsi="Calibri"/>
      <w:kern w:val="2"/>
      <w:sz w:val="18"/>
      <w:szCs w:val="18"/>
    </w:rPr>
  </w:style>
  <w:style w:type="character" w:customStyle="1" w:styleId="45">
    <w:name w:val="页脚 字符"/>
    <w:link w:val="19"/>
    <w:qFormat/>
    <w:uiPriority w:val="99"/>
    <w:rPr>
      <w:rFonts w:ascii="Calibri" w:hAnsi="Calibri" w:eastAsia="宋体"/>
      <w:sz w:val="18"/>
      <w:szCs w:val="18"/>
    </w:rPr>
  </w:style>
  <w:style w:type="character" w:customStyle="1" w:styleId="46">
    <w:name w:val="页眉 字符"/>
    <w:link w:val="20"/>
    <w:qFormat/>
    <w:uiPriority w:val="99"/>
    <w:rPr>
      <w:rFonts w:ascii="Calibri" w:hAnsi="Calibri" w:eastAsia="宋体"/>
      <w:sz w:val="18"/>
      <w:szCs w:val="18"/>
    </w:rPr>
  </w:style>
  <w:style w:type="character" w:customStyle="1" w:styleId="47">
    <w:name w:val="批注主题 字符"/>
    <w:link w:val="25"/>
    <w:qFormat/>
    <w:uiPriority w:val="0"/>
  </w:style>
  <w:style w:type="character" w:customStyle="1" w:styleId="48">
    <w:name w:val="UserStyle_20"/>
    <w:link w:val="34"/>
    <w:qFormat/>
    <w:uiPriority w:val="0"/>
    <w:rPr>
      <w:rFonts w:ascii="Times New Roman" w:hAnsi="Times New Roman" w:eastAsia="宋体"/>
      <w:szCs w:val="20"/>
    </w:rPr>
  </w:style>
  <w:style w:type="paragraph" w:customStyle="1" w:styleId="49">
    <w:name w:val="PlainText"/>
    <w:basedOn w:val="1"/>
    <w:link w:val="50"/>
    <w:qFormat/>
    <w:uiPriority w:val="0"/>
    <w:rPr>
      <w:rFonts w:ascii="宋体" w:hAnsi="Courier New"/>
      <w:kern w:val="0"/>
      <w:sz w:val="20"/>
      <w:szCs w:val="20"/>
    </w:rPr>
  </w:style>
  <w:style w:type="character" w:customStyle="1" w:styleId="50">
    <w:name w:val="UserStyle_10"/>
    <w:link w:val="49"/>
    <w:qFormat/>
    <w:uiPriority w:val="0"/>
    <w:rPr>
      <w:rFonts w:ascii="宋体" w:hAnsi="Courier New" w:eastAsia="宋体"/>
      <w:szCs w:val="20"/>
    </w:rPr>
  </w:style>
  <w:style w:type="character" w:customStyle="1" w:styleId="51">
    <w:name w:val="正文文本 3 Char"/>
    <w:qFormat/>
    <w:uiPriority w:val="0"/>
    <w:rPr>
      <w:kern w:val="2"/>
      <w:sz w:val="16"/>
      <w:szCs w:val="16"/>
    </w:rPr>
  </w:style>
  <w:style w:type="character" w:customStyle="1" w:styleId="52">
    <w:name w:val="UserStyle_4"/>
    <w:semiHidden/>
    <w:qFormat/>
    <w:uiPriority w:val="0"/>
    <w:rPr>
      <w:rFonts w:ascii="等线 Light" w:hAnsi="等线 Light" w:eastAsia="等线 Light" w:cs="Times New Roman"/>
      <w:b/>
      <w:bCs/>
      <w:sz w:val="24"/>
      <w:szCs w:val="24"/>
    </w:rPr>
  </w:style>
  <w:style w:type="character" w:customStyle="1" w:styleId="53">
    <w:name w:val="UserStyle_14"/>
    <w:link w:val="54"/>
    <w:qFormat/>
    <w:uiPriority w:val="0"/>
    <w:rPr>
      <w:rFonts w:ascii="Times New Roman" w:hAnsi="Times New Roman" w:eastAsia="宋体"/>
      <w:color w:val="000000"/>
      <w:sz w:val="24"/>
      <w:szCs w:val="20"/>
    </w:rPr>
  </w:style>
  <w:style w:type="paragraph" w:customStyle="1" w:styleId="54">
    <w:name w:val="BodyTextIndent2"/>
    <w:basedOn w:val="1"/>
    <w:link w:val="53"/>
    <w:qFormat/>
    <w:uiPriority w:val="0"/>
    <w:pPr>
      <w:spacing w:line="400" w:lineRule="exact"/>
      <w:ind w:left="425"/>
    </w:pPr>
    <w:rPr>
      <w:rFonts w:ascii="Times New Roman" w:hAnsi="Times New Roman"/>
      <w:color w:val="000000"/>
      <w:kern w:val="0"/>
      <w:sz w:val="24"/>
      <w:szCs w:val="20"/>
    </w:rPr>
  </w:style>
  <w:style w:type="character" w:customStyle="1" w:styleId="55">
    <w:name w:val="UserStyle_35"/>
    <w:qFormat/>
    <w:uiPriority w:val="0"/>
    <w:rPr>
      <w:rFonts w:ascii="Arial" w:hAnsi="Arial" w:eastAsia="宋体"/>
      <w:b/>
      <w:color w:val="000000"/>
      <w:sz w:val="24"/>
      <w:szCs w:val="24"/>
    </w:rPr>
  </w:style>
  <w:style w:type="character" w:customStyle="1" w:styleId="56">
    <w:name w:val="UserStyle_51"/>
    <w:semiHidden/>
    <w:qFormat/>
    <w:uiPriority w:val="0"/>
    <w:rPr>
      <w:rFonts w:ascii="Microsoft YaHei UI" w:hAnsi="Calibri" w:eastAsia="Microsoft YaHei UI"/>
      <w:sz w:val="18"/>
      <w:szCs w:val="18"/>
    </w:rPr>
  </w:style>
  <w:style w:type="character" w:customStyle="1" w:styleId="57">
    <w:name w:val="EndnoteReference"/>
    <w:qFormat/>
    <w:uiPriority w:val="0"/>
    <w:rPr>
      <w:vertAlign w:val="superscript"/>
    </w:rPr>
  </w:style>
  <w:style w:type="character" w:customStyle="1" w:styleId="58">
    <w:name w:val="UserStyle_26"/>
    <w:qFormat/>
    <w:uiPriority w:val="0"/>
    <w:rPr>
      <w:rFonts w:ascii="Arial" w:hAnsi="Arial" w:eastAsia="宋体"/>
      <w:color w:val="000000"/>
      <w:szCs w:val="21"/>
    </w:rPr>
  </w:style>
  <w:style w:type="character" w:customStyle="1" w:styleId="59">
    <w:name w:val="AnnotationReference"/>
    <w:qFormat/>
    <w:uiPriority w:val="0"/>
    <w:rPr>
      <w:sz w:val="21"/>
      <w:szCs w:val="21"/>
    </w:rPr>
  </w:style>
  <w:style w:type="character" w:customStyle="1" w:styleId="60">
    <w:name w:val="UserStyle_9"/>
    <w:semiHidden/>
    <w:qFormat/>
    <w:uiPriority w:val="0"/>
    <w:rPr>
      <w:rFonts w:ascii="Calibri" w:hAnsi="Calibri" w:eastAsia="宋体"/>
      <w:sz w:val="18"/>
      <w:szCs w:val="18"/>
    </w:rPr>
  </w:style>
  <w:style w:type="character" w:customStyle="1" w:styleId="61">
    <w:name w:val="UserStyle_0"/>
    <w:link w:val="62"/>
    <w:semiHidden/>
    <w:qFormat/>
    <w:uiPriority w:val="0"/>
    <w:rPr>
      <w:rFonts w:ascii="等线" w:hAnsi="Courier New"/>
    </w:rPr>
  </w:style>
  <w:style w:type="paragraph" w:customStyle="1" w:styleId="62">
    <w:name w:val="Heading9"/>
    <w:basedOn w:val="1"/>
    <w:next w:val="63"/>
    <w:link w:val="61"/>
    <w:qFormat/>
    <w:uiPriority w:val="0"/>
    <w:pPr>
      <w:keepNext/>
      <w:keepLines/>
      <w:numPr>
        <w:ilvl w:val="8"/>
        <w:numId w:val="1"/>
      </w:numPr>
      <w:spacing w:before="240" w:after="64" w:line="320" w:lineRule="auto"/>
    </w:pPr>
    <w:rPr>
      <w:rFonts w:ascii="等线" w:hAnsi="Courier New"/>
      <w:kern w:val="0"/>
      <w:sz w:val="20"/>
      <w:szCs w:val="20"/>
    </w:rPr>
  </w:style>
  <w:style w:type="paragraph" w:customStyle="1" w:styleId="63">
    <w:name w:val="NormalIndent"/>
    <w:basedOn w:val="1"/>
    <w:qFormat/>
    <w:uiPriority w:val="0"/>
    <w:pPr>
      <w:ind w:firstLine="420"/>
    </w:pPr>
    <w:rPr>
      <w:rFonts w:ascii="Times New Roman" w:hAnsi="Times New Roman"/>
      <w:szCs w:val="20"/>
    </w:rPr>
  </w:style>
  <w:style w:type="character" w:customStyle="1" w:styleId="64">
    <w:name w:val="UserStyle_30"/>
    <w:semiHidden/>
    <w:qFormat/>
    <w:uiPriority w:val="0"/>
    <w:rPr>
      <w:rFonts w:ascii="等线 Light" w:hAnsi="等线 Light" w:eastAsia="等线 Light" w:cs="Times New Roman"/>
      <w:b/>
      <w:bCs/>
      <w:sz w:val="32"/>
      <w:szCs w:val="32"/>
    </w:rPr>
  </w:style>
  <w:style w:type="character" w:customStyle="1" w:styleId="65">
    <w:name w:val="文一 Char Char"/>
    <w:qFormat/>
    <w:uiPriority w:val="0"/>
    <w:rPr>
      <w:rFonts w:eastAsia="宋体"/>
      <w:spacing w:val="4"/>
      <w:sz w:val="24"/>
      <w:szCs w:val="24"/>
    </w:rPr>
  </w:style>
  <w:style w:type="character" w:customStyle="1" w:styleId="66">
    <w:name w:val="正文文本 Char"/>
    <w:qFormat/>
    <w:uiPriority w:val="0"/>
    <w:rPr>
      <w:rFonts w:eastAsia="宋体"/>
      <w:lang w:val="en-US" w:eastAsia="zh-CN" w:bidi="ar-SA"/>
    </w:rPr>
  </w:style>
  <w:style w:type="character" w:customStyle="1" w:styleId="67">
    <w:name w:val="UserStyle_11"/>
    <w:semiHidden/>
    <w:qFormat/>
    <w:uiPriority w:val="0"/>
    <w:rPr>
      <w:rFonts w:ascii="Calibri" w:hAnsi="Calibri" w:eastAsia="宋体"/>
    </w:rPr>
  </w:style>
  <w:style w:type="character" w:customStyle="1" w:styleId="68">
    <w:name w:val="UserStyle_53"/>
    <w:semiHidden/>
    <w:qFormat/>
    <w:uiPriority w:val="0"/>
    <w:rPr>
      <w:rFonts w:ascii="Calibri" w:hAnsi="Calibri" w:eastAsia="宋体"/>
      <w:sz w:val="18"/>
      <w:szCs w:val="18"/>
    </w:rPr>
  </w:style>
  <w:style w:type="character" w:customStyle="1" w:styleId="69">
    <w:name w:val="UserStyle_48"/>
    <w:qFormat/>
    <w:uiPriority w:val="0"/>
    <w:rPr>
      <w:rFonts w:ascii="Arial" w:hAnsi="Arial" w:eastAsia="黑体" w:cs="Times New Roman"/>
      <w:b/>
      <w:bCs/>
      <w:sz w:val="24"/>
      <w:szCs w:val="24"/>
    </w:rPr>
  </w:style>
  <w:style w:type="character" w:customStyle="1" w:styleId="70">
    <w:name w:val="UserStyle_8"/>
    <w:qFormat/>
    <w:uiPriority w:val="0"/>
  </w:style>
  <w:style w:type="character" w:customStyle="1" w:styleId="71">
    <w:name w:val="UserStyle_32"/>
    <w:qFormat/>
    <w:uiPriority w:val="0"/>
  </w:style>
  <w:style w:type="character" w:customStyle="1" w:styleId="72">
    <w:name w:val="UserStyle_21"/>
    <w:qFormat/>
    <w:uiPriority w:val="0"/>
  </w:style>
  <w:style w:type="character" w:customStyle="1" w:styleId="73">
    <w:name w:val="HtmlCode"/>
    <w:qFormat/>
    <w:uiPriority w:val="0"/>
    <w:rPr>
      <w:rFonts w:ascii="Consolas" w:hAnsi="Consolas" w:eastAsia="Consolas"/>
      <w:color w:val="C7254E"/>
      <w:sz w:val="21"/>
      <w:szCs w:val="21"/>
      <w:bdr w:val="single" w:color="000000" w:sz="18" w:space="0"/>
      <w:shd w:val="clear" w:color="auto" w:fill="F9F2F4"/>
    </w:rPr>
  </w:style>
  <w:style w:type="character" w:customStyle="1" w:styleId="74">
    <w:name w:val="FootnoteReference"/>
    <w:qFormat/>
    <w:uiPriority w:val="0"/>
    <w:rPr>
      <w:vertAlign w:val="superscript"/>
    </w:rPr>
  </w:style>
  <w:style w:type="character" w:customStyle="1" w:styleId="75">
    <w:name w:val="UserStyle_43"/>
    <w:semiHidden/>
    <w:qFormat/>
    <w:uiPriority w:val="0"/>
    <w:rPr>
      <w:rFonts w:ascii="Calibri" w:hAnsi="Calibri" w:eastAsia="宋体" w:cs="Times New Roman"/>
      <w:b/>
      <w:bCs/>
      <w:sz w:val="24"/>
      <w:szCs w:val="24"/>
    </w:rPr>
  </w:style>
  <w:style w:type="character" w:customStyle="1" w:styleId="76">
    <w:name w:val="UserStyle_50"/>
    <w:qFormat/>
    <w:uiPriority w:val="0"/>
    <w:rPr>
      <w:rFonts w:ascii="Calibri" w:hAnsi="Calibri" w:eastAsia="宋体" w:cs="Times New Roman"/>
      <w:b/>
      <w:bCs/>
      <w:kern w:val="44"/>
      <w:sz w:val="44"/>
      <w:szCs w:val="44"/>
    </w:rPr>
  </w:style>
  <w:style w:type="character" w:customStyle="1" w:styleId="77">
    <w:name w:val="UserStyle_28"/>
    <w:semiHidden/>
    <w:qFormat/>
    <w:uiPriority w:val="0"/>
    <w:rPr>
      <w:rFonts w:ascii="Calibri" w:hAnsi="Calibri" w:eastAsia="宋体" w:cs="Times New Roman"/>
      <w:b/>
      <w:bCs/>
      <w:sz w:val="32"/>
      <w:szCs w:val="32"/>
    </w:rPr>
  </w:style>
  <w:style w:type="character" w:customStyle="1" w:styleId="78">
    <w:name w:val="UserStyle_44"/>
    <w:qFormat/>
    <w:uiPriority w:val="0"/>
    <w:rPr>
      <w:rFonts w:ascii="Arial" w:hAnsi="Arial" w:eastAsia="宋体"/>
      <w:b/>
      <w:kern w:val="44"/>
      <w:sz w:val="28"/>
      <w:szCs w:val="28"/>
    </w:rPr>
  </w:style>
  <w:style w:type="character" w:customStyle="1" w:styleId="79">
    <w:name w:val="HtmlDfn"/>
    <w:qFormat/>
    <w:uiPriority w:val="0"/>
    <w:rPr>
      <w:i/>
    </w:rPr>
  </w:style>
  <w:style w:type="character" w:customStyle="1" w:styleId="80">
    <w:name w:val="UserStyle_22"/>
    <w:semiHidden/>
    <w:qFormat/>
    <w:uiPriority w:val="0"/>
    <w:rPr>
      <w:rFonts w:ascii="Calibri" w:hAnsi="Calibri" w:eastAsia="宋体"/>
    </w:rPr>
  </w:style>
  <w:style w:type="character" w:customStyle="1" w:styleId="81">
    <w:name w:val="UserStyle_6"/>
    <w:semiHidden/>
    <w:qFormat/>
    <w:uiPriority w:val="0"/>
    <w:rPr>
      <w:rFonts w:ascii="Calibri" w:hAnsi="Calibri" w:eastAsia="宋体"/>
    </w:rPr>
  </w:style>
  <w:style w:type="character" w:customStyle="1" w:styleId="82">
    <w:name w:val="UserStyle_12"/>
    <w:qFormat/>
    <w:uiPriority w:val="0"/>
    <w:rPr>
      <w:rFonts w:ascii="等线 Light" w:hAnsi="等线 Light" w:eastAsia="等线 Light" w:cs="Times New Roman"/>
      <w:b/>
      <w:bCs/>
      <w:sz w:val="32"/>
      <w:szCs w:val="32"/>
    </w:rPr>
  </w:style>
  <w:style w:type="character" w:customStyle="1" w:styleId="83">
    <w:name w:val="UserStyle_55"/>
    <w:qFormat/>
    <w:uiPriority w:val="0"/>
    <w:rPr>
      <w:rFonts w:ascii="宋体" w:hAnsi="宋体" w:eastAsia="宋体"/>
      <w:color w:val="000000"/>
      <w:sz w:val="24"/>
      <w:szCs w:val="24"/>
    </w:rPr>
  </w:style>
  <w:style w:type="character" w:customStyle="1" w:styleId="84">
    <w:name w:val="UserStyle_34"/>
    <w:link w:val="85"/>
    <w:qFormat/>
    <w:uiPriority w:val="0"/>
    <w:rPr>
      <w:rFonts w:ascii="Times New Roman" w:hAnsi="Times New Roman" w:eastAsia="宋体"/>
      <w:szCs w:val="20"/>
    </w:rPr>
  </w:style>
  <w:style w:type="paragraph" w:customStyle="1" w:styleId="85">
    <w:name w:val="EndnoteText"/>
    <w:basedOn w:val="1"/>
    <w:link w:val="84"/>
    <w:qFormat/>
    <w:uiPriority w:val="0"/>
    <w:pPr>
      <w:snapToGrid w:val="0"/>
      <w:jc w:val="left"/>
    </w:pPr>
    <w:rPr>
      <w:rFonts w:ascii="Times New Roman" w:hAnsi="Times New Roman"/>
      <w:kern w:val="0"/>
      <w:sz w:val="20"/>
      <w:szCs w:val="20"/>
    </w:rPr>
  </w:style>
  <w:style w:type="character" w:customStyle="1" w:styleId="86">
    <w:name w:val="UserStyle_16"/>
    <w:semiHidden/>
    <w:qFormat/>
    <w:uiPriority w:val="0"/>
    <w:rPr>
      <w:rFonts w:ascii="Calibri" w:hAnsi="Calibri" w:eastAsia="宋体"/>
    </w:rPr>
  </w:style>
  <w:style w:type="character" w:customStyle="1" w:styleId="87">
    <w:name w:val="UserStyle_31"/>
    <w:qFormat/>
    <w:uiPriority w:val="0"/>
    <w:rPr>
      <w:rFonts w:ascii="Times New Roman" w:hAnsi="Times New Roman" w:eastAsia="宋体"/>
      <w:b/>
      <w:sz w:val="24"/>
      <w:szCs w:val="20"/>
    </w:rPr>
  </w:style>
  <w:style w:type="character" w:customStyle="1" w:styleId="88">
    <w:name w:val="UserStyle_29"/>
    <w:semiHidden/>
    <w:qFormat/>
    <w:uiPriority w:val="0"/>
    <w:rPr>
      <w:rFonts w:ascii="Calibri" w:hAnsi="Calibri" w:eastAsia="宋体"/>
      <w:sz w:val="16"/>
      <w:szCs w:val="16"/>
    </w:rPr>
  </w:style>
  <w:style w:type="character" w:customStyle="1" w:styleId="89">
    <w:name w:val="UserStyle_17"/>
    <w:link w:val="90"/>
    <w:qFormat/>
    <w:uiPriority w:val="0"/>
    <w:rPr>
      <w:rFonts w:ascii="Times New Roman" w:hAnsi="Times New Roman" w:eastAsia="宋体"/>
      <w:sz w:val="18"/>
      <w:szCs w:val="18"/>
    </w:rPr>
  </w:style>
  <w:style w:type="paragraph" w:customStyle="1" w:styleId="90">
    <w:name w:val="Acetate"/>
    <w:basedOn w:val="1"/>
    <w:link w:val="89"/>
    <w:qFormat/>
    <w:uiPriority w:val="0"/>
    <w:rPr>
      <w:rFonts w:ascii="Times New Roman" w:hAnsi="Times New Roman"/>
      <w:kern w:val="0"/>
      <w:sz w:val="18"/>
      <w:szCs w:val="18"/>
    </w:rPr>
  </w:style>
  <w:style w:type="character" w:customStyle="1" w:styleId="91">
    <w:name w:val="HtmlKbd"/>
    <w:qFormat/>
    <w:uiPriority w:val="0"/>
    <w:rPr>
      <w:rFonts w:ascii="Consolas" w:hAnsi="Consolas" w:eastAsia="Consolas"/>
      <w:color w:val="FFFFFF"/>
      <w:sz w:val="21"/>
      <w:szCs w:val="21"/>
      <w:shd w:val="clear" w:color="auto" w:fill="333333"/>
    </w:rPr>
  </w:style>
  <w:style w:type="character" w:customStyle="1" w:styleId="92">
    <w:name w:val="UserStyle_54"/>
    <w:semiHidden/>
    <w:qFormat/>
    <w:uiPriority w:val="0"/>
    <w:rPr>
      <w:rFonts w:ascii="Calibri" w:hAnsi="Calibri" w:eastAsia="宋体"/>
    </w:rPr>
  </w:style>
  <w:style w:type="character" w:customStyle="1" w:styleId="93">
    <w:name w:val="UserStyle_19"/>
    <w:semiHidden/>
    <w:qFormat/>
    <w:uiPriority w:val="0"/>
    <w:rPr>
      <w:rFonts w:ascii="Calibri" w:hAnsi="Calibri" w:eastAsia="宋体"/>
      <w:sz w:val="18"/>
      <w:szCs w:val="18"/>
    </w:rPr>
  </w:style>
  <w:style w:type="character" w:customStyle="1" w:styleId="94">
    <w:name w:val="UserStyle_7"/>
    <w:link w:val="95"/>
    <w:qFormat/>
    <w:uiPriority w:val="0"/>
    <w:rPr>
      <w:rFonts w:ascii="宋体" w:hAnsi="宋体" w:eastAsia="宋体" w:cs="Times New Roman"/>
      <w:b/>
      <w:bCs/>
      <w:sz w:val="24"/>
      <w:szCs w:val="24"/>
    </w:rPr>
  </w:style>
  <w:style w:type="paragraph" w:customStyle="1" w:styleId="95">
    <w:name w:val="AnnotationSubject"/>
    <w:basedOn w:val="96"/>
    <w:next w:val="96"/>
    <w:link w:val="94"/>
    <w:qFormat/>
    <w:uiPriority w:val="0"/>
    <w:rPr>
      <w:b/>
      <w:bCs/>
    </w:rPr>
  </w:style>
  <w:style w:type="paragraph" w:customStyle="1" w:styleId="96">
    <w:name w:val="AnnotationText"/>
    <w:basedOn w:val="1"/>
    <w:link w:val="97"/>
    <w:qFormat/>
    <w:uiPriority w:val="0"/>
    <w:pPr>
      <w:spacing w:line="360" w:lineRule="auto"/>
      <w:ind w:firstLine="523" w:firstLineChars="218"/>
      <w:jc w:val="left"/>
    </w:pPr>
    <w:rPr>
      <w:rFonts w:ascii="宋体" w:hAnsi="宋体"/>
      <w:kern w:val="0"/>
      <w:sz w:val="24"/>
      <w:szCs w:val="24"/>
    </w:rPr>
  </w:style>
  <w:style w:type="character" w:customStyle="1" w:styleId="97">
    <w:name w:val="UserStyle_49"/>
    <w:link w:val="96"/>
    <w:qFormat/>
    <w:uiPriority w:val="0"/>
    <w:rPr>
      <w:rFonts w:ascii="宋体" w:hAnsi="宋体" w:eastAsia="宋体"/>
      <w:sz w:val="24"/>
      <w:szCs w:val="24"/>
    </w:rPr>
  </w:style>
  <w:style w:type="character" w:customStyle="1" w:styleId="98">
    <w:name w:val="UserStyle_39"/>
    <w:qFormat/>
    <w:uiPriority w:val="0"/>
    <w:rPr>
      <w:rFonts w:ascii="Arial" w:hAnsi="Arial" w:eastAsia="宋体"/>
      <w:color w:val="000000"/>
      <w:szCs w:val="21"/>
    </w:rPr>
  </w:style>
  <w:style w:type="character" w:customStyle="1" w:styleId="99">
    <w:name w:val="UserStyle_2"/>
    <w:semiHidden/>
    <w:qFormat/>
    <w:uiPriority w:val="0"/>
    <w:rPr>
      <w:rFonts w:ascii="Calibri" w:hAnsi="Calibri" w:eastAsia="宋体" w:cs="Times New Roman"/>
      <w:b/>
      <w:bCs/>
    </w:rPr>
  </w:style>
  <w:style w:type="character" w:customStyle="1" w:styleId="100">
    <w:name w:val="UserStyle_25"/>
    <w:semiHidden/>
    <w:qFormat/>
    <w:uiPriority w:val="0"/>
    <w:rPr>
      <w:rFonts w:ascii="Calibri" w:hAnsi="Calibri" w:eastAsia="宋体"/>
      <w:sz w:val="18"/>
      <w:szCs w:val="18"/>
    </w:rPr>
  </w:style>
  <w:style w:type="character" w:customStyle="1" w:styleId="101">
    <w:name w:val="UserStyle_24"/>
    <w:qFormat/>
    <w:uiPriority w:val="0"/>
    <w:rPr>
      <w:rFonts w:ascii="Arial" w:hAnsi="Arial" w:eastAsia="黑体"/>
      <w:szCs w:val="20"/>
    </w:rPr>
  </w:style>
  <w:style w:type="character" w:customStyle="1" w:styleId="102">
    <w:name w:val="UserStyle_46"/>
    <w:semiHidden/>
    <w:qFormat/>
    <w:uiPriority w:val="0"/>
    <w:rPr>
      <w:rFonts w:ascii="Calibri" w:hAnsi="Calibri" w:eastAsia="宋体"/>
    </w:rPr>
  </w:style>
  <w:style w:type="character" w:customStyle="1" w:styleId="103">
    <w:name w:val="正文首行缩进 Char"/>
    <w:qFormat/>
    <w:uiPriority w:val="99"/>
  </w:style>
  <w:style w:type="character" w:customStyle="1" w:styleId="104">
    <w:name w:val="UserStyle_37"/>
    <w:semiHidden/>
    <w:qFormat/>
    <w:uiPriority w:val="0"/>
    <w:rPr>
      <w:rFonts w:ascii="等线 Light" w:hAnsi="等线 Light" w:eastAsia="等线 Light" w:cs="Times New Roman"/>
      <w:b/>
      <w:bCs/>
      <w:sz w:val="28"/>
      <w:szCs w:val="28"/>
    </w:rPr>
  </w:style>
  <w:style w:type="character" w:customStyle="1" w:styleId="105">
    <w:name w:val="UserStyle_45"/>
    <w:link w:val="106"/>
    <w:qFormat/>
    <w:uiPriority w:val="0"/>
    <w:rPr>
      <w:rFonts w:ascii="Times New Roman" w:hAnsi="Times New Roman" w:eastAsia="宋体"/>
      <w:szCs w:val="20"/>
      <w:shd w:val="clear" w:color="auto" w:fill="000080"/>
    </w:rPr>
  </w:style>
  <w:style w:type="paragraph" w:customStyle="1" w:styleId="106">
    <w:name w:val="NavPane"/>
    <w:basedOn w:val="1"/>
    <w:link w:val="105"/>
    <w:qFormat/>
    <w:uiPriority w:val="0"/>
    <w:pPr>
      <w:shd w:val="clear" w:color="auto" w:fill="000080"/>
    </w:pPr>
    <w:rPr>
      <w:rFonts w:ascii="Times New Roman" w:hAnsi="Times New Roman"/>
      <w:kern w:val="0"/>
      <w:sz w:val="20"/>
      <w:szCs w:val="20"/>
    </w:rPr>
  </w:style>
  <w:style w:type="character" w:customStyle="1" w:styleId="107">
    <w:name w:val="PageNumber"/>
    <w:qFormat/>
    <w:uiPriority w:val="0"/>
  </w:style>
  <w:style w:type="character" w:customStyle="1" w:styleId="108">
    <w:name w:val="15"/>
    <w:qFormat/>
    <w:uiPriority w:val="0"/>
    <w:rPr>
      <w:rFonts w:hint="eastAsia" w:ascii="等线" w:hAnsi="等线" w:eastAsia="等线" w:cs="Times New Roman"/>
    </w:rPr>
  </w:style>
  <w:style w:type="character" w:customStyle="1" w:styleId="109">
    <w:name w:val="UserStyle_38"/>
    <w:semiHidden/>
    <w:qFormat/>
    <w:uiPriority w:val="0"/>
    <w:rPr>
      <w:rFonts w:ascii="等线 Light" w:hAnsi="等线 Light" w:eastAsia="等线 Light"/>
      <w:sz w:val="24"/>
      <w:szCs w:val="24"/>
    </w:rPr>
  </w:style>
  <w:style w:type="character" w:customStyle="1" w:styleId="110">
    <w:name w:val="纯文本 字符1"/>
    <w:qFormat/>
    <w:uiPriority w:val="0"/>
    <w:rPr>
      <w:rFonts w:ascii="宋体" w:hAnsi="Courier New" w:eastAsia="宋体" w:cs="Times New Roman"/>
      <w:szCs w:val="20"/>
    </w:rPr>
  </w:style>
  <w:style w:type="character" w:customStyle="1" w:styleId="111">
    <w:name w:val="UserStyle_42"/>
    <w:qFormat/>
    <w:uiPriority w:val="0"/>
    <w:rPr>
      <w:rFonts w:ascii="宋体" w:hAnsi="宋体" w:eastAsia="宋体"/>
      <w:kern w:val="0"/>
      <w:sz w:val="27"/>
      <w:szCs w:val="27"/>
    </w:rPr>
  </w:style>
  <w:style w:type="character" w:customStyle="1" w:styleId="112">
    <w:name w:val="UserStyle_36"/>
    <w:semiHidden/>
    <w:qFormat/>
    <w:uiPriority w:val="0"/>
    <w:rPr>
      <w:rFonts w:ascii="Calibri" w:hAnsi="Calibri" w:eastAsia="宋体"/>
    </w:rPr>
  </w:style>
  <w:style w:type="character" w:customStyle="1" w:styleId="113">
    <w:name w:val="UserStyle_52"/>
    <w:semiHidden/>
    <w:qFormat/>
    <w:uiPriority w:val="0"/>
    <w:rPr>
      <w:rFonts w:ascii="Calibri" w:hAnsi="Calibri" w:eastAsia="宋体"/>
    </w:rPr>
  </w:style>
  <w:style w:type="character" w:customStyle="1" w:styleId="114">
    <w:name w:val="htmlSamp"/>
    <w:qFormat/>
    <w:uiPriority w:val="0"/>
    <w:rPr>
      <w:rFonts w:ascii="Consolas" w:hAnsi="Consolas" w:eastAsia="Consolas"/>
      <w:sz w:val="21"/>
      <w:szCs w:val="21"/>
    </w:rPr>
  </w:style>
  <w:style w:type="character" w:customStyle="1" w:styleId="115">
    <w:name w:val="UserStyle_18"/>
    <w:link w:val="116"/>
    <w:qFormat/>
    <w:uiPriority w:val="0"/>
    <w:rPr>
      <w:rFonts w:ascii="Times New Roman" w:hAnsi="Times New Roman" w:eastAsia="宋体"/>
      <w:color w:val="000000"/>
      <w:sz w:val="24"/>
      <w:szCs w:val="20"/>
    </w:rPr>
  </w:style>
  <w:style w:type="paragraph" w:customStyle="1" w:styleId="116">
    <w:name w:val="BodyTextIndent3"/>
    <w:basedOn w:val="1"/>
    <w:link w:val="115"/>
    <w:qFormat/>
    <w:uiPriority w:val="0"/>
    <w:pPr>
      <w:tabs>
        <w:tab w:val="left" w:pos="0"/>
      </w:tabs>
      <w:spacing w:line="400" w:lineRule="exact"/>
      <w:ind w:left="563" w:leftChars="228" w:hanging="84" w:hangingChars="35"/>
    </w:pPr>
    <w:rPr>
      <w:rFonts w:ascii="Times New Roman" w:hAnsi="Times New Roman"/>
      <w:color w:val="000000"/>
      <w:kern w:val="0"/>
      <w:sz w:val="24"/>
      <w:szCs w:val="20"/>
    </w:rPr>
  </w:style>
  <w:style w:type="character" w:customStyle="1" w:styleId="117">
    <w:name w:val="UserStyle_40"/>
    <w:qFormat/>
    <w:uiPriority w:val="0"/>
    <w:rPr>
      <w:rFonts w:ascii="Arial" w:hAnsi="Arial" w:eastAsia="黑体"/>
      <w:sz w:val="24"/>
      <w:szCs w:val="20"/>
    </w:rPr>
  </w:style>
  <w:style w:type="character" w:customStyle="1" w:styleId="118">
    <w:name w:val="UserStyle_15"/>
    <w:semiHidden/>
    <w:qFormat/>
    <w:uiPriority w:val="0"/>
    <w:rPr>
      <w:rFonts w:ascii="等线 Light" w:hAnsi="等线 Light" w:eastAsia="等线 Light"/>
      <w:szCs w:val="21"/>
    </w:rPr>
  </w:style>
  <w:style w:type="character" w:customStyle="1" w:styleId="119">
    <w:name w:val="UserStyle_5"/>
    <w:link w:val="120"/>
    <w:qFormat/>
    <w:uiPriority w:val="0"/>
  </w:style>
  <w:style w:type="paragraph" w:customStyle="1" w:styleId="120">
    <w:name w:val="BodyText1I"/>
    <w:basedOn w:val="34"/>
    <w:link w:val="119"/>
    <w:qFormat/>
    <w:uiPriority w:val="0"/>
    <w:pPr>
      <w:ind w:firstLine="420"/>
    </w:pPr>
  </w:style>
  <w:style w:type="character" w:customStyle="1" w:styleId="121">
    <w:name w:val="UserStyle_3"/>
    <w:link w:val="122"/>
    <w:qFormat/>
    <w:uiPriority w:val="0"/>
    <w:rPr>
      <w:rFonts w:ascii="宋体" w:hAnsi="宋体" w:eastAsia="宋体"/>
      <w:szCs w:val="24"/>
      <w:u w:val="single"/>
    </w:rPr>
  </w:style>
  <w:style w:type="paragraph" w:customStyle="1" w:styleId="122">
    <w:name w:val="BodyText2"/>
    <w:basedOn w:val="1"/>
    <w:link w:val="121"/>
    <w:qFormat/>
    <w:uiPriority w:val="0"/>
    <w:rPr>
      <w:rFonts w:ascii="宋体" w:hAnsi="宋体"/>
      <w:kern w:val="0"/>
      <w:sz w:val="20"/>
      <w:szCs w:val="24"/>
      <w:u w:val="single"/>
    </w:rPr>
  </w:style>
  <w:style w:type="character" w:customStyle="1" w:styleId="123">
    <w:name w:val="文一 Char"/>
    <w:link w:val="124"/>
    <w:qFormat/>
    <w:uiPriority w:val="0"/>
    <w:rPr>
      <w:rFonts w:ascii="等线" w:hAnsi="Calibri" w:eastAsia="等线"/>
      <w:spacing w:val="4"/>
      <w:sz w:val="24"/>
      <w:szCs w:val="24"/>
    </w:rPr>
  </w:style>
  <w:style w:type="paragraph" w:customStyle="1" w:styleId="124">
    <w:name w:val="文一"/>
    <w:basedOn w:val="1"/>
    <w:link w:val="123"/>
    <w:qFormat/>
    <w:uiPriority w:val="0"/>
    <w:pPr>
      <w:widowControl w:val="0"/>
      <w:topLinePunct/>
      <w:adjustRightInd w:val="0"/>
      <w:snapToGrid w:val="0"/>
      <w:spacing w:line="360" w:lineRule="auto"/>
      <w:ind w:firstLine="200" w:firstLineChars="200"/>
      <w:textAlignment w:val="auto"/>
    </w:pPr>
    <w:rPr>
      <w:rFonts w:ascii="等线" w:eastAsia="等线"/>
      <w:spacing w:val="4"/>
      <w:kern w:val="0"/>
      <w:sz w:val="24"/>
      <w:szCs w:val="24"/>
    </w:rPr>
  </w:style>
  <w:style w:type="character" w:customStyle="1" w:styleId="125">
    <w:name w:val="UserStyle_47"/>
    <w:link w:val="126"/>
    <w:qFormat/>
    <w:uiPriority w:val="0"/>
    <w:rPr>
      <w:rFonts w:ascii="宋体" w:hAnsi="宋体" w:eastAsia="宋体"/>
      <w:sz w:val="18"/>
      <w:szCs w:val="18"/>
    </w:rPr>
  </w:style>
  <w:style w:type="paragraph" w:customStyle="1" w:styleId="126">
    <w:name w:val="FootnoteText"/>
    <w:basedOn w:val="1"/>
    <w:link w:val="125"/>
    <w:qFormat/>
    <w:uiPriority w:val="0"/>
    <w:pPr>
      <w:snapToGrid w:val="0"/>
      <w:spacing w:line="360" w:lineRule="auto"/>
      <w:ind w:firstLine="523" w:firstLineChars="218"/>
      <w:jc w:val="left"/>
    </w:pPr>
    <w:rPr>
      <w:rFonts w:ascii="宋体" w:hAnsi="宋体"/>
      <w:kern w:val="0"/>
      <w:sz w:val="18"/>
      <w:szCs w:val="18"/>
    </w:rPr>
  </w:style>
  <w:style w:type="character" w:customStyle="1" w:styleId="127">
    <w:name w:val="NormalCharacter"/>
    <w:qFormat/>
    <w:uiPriority w:val="0"/>
  </w:style>
  <w:style w:type="character" w:customStyle="1" w:styleId="128">
    <w:name w:val="UserStyle_13"/>
    <w:semiHidden/>
    <w:qFormat/>
    <w:uiPriority w:val="0"/>
    <w:rPr>
      <w:rFonts w:ascii="Calibri" w:hAnsi="Calibri" w:eastAsia="宋体" w:cs="Times New Roman"/>
      <w:b/>
      <w:bCs/>
      <w:sz w:val="28"/>
      <w:szCs w:val="28"/>
    </w:rPr>
  </w:style>
  <w:style w:type="character" w:customStyle="1" w:styleId="129">
    <w:name w:val="UserStyle_27"/>
    <w:link w:val="130"/>
    <w:qFormat/>
    <w:uiPriority w:val="0"/>
    <w:rPr>
      <w:rFonts w:ascii="Times New Roman" w:hAnsi="Times New Roman" w:eastAsia="宋体"/>
      <w:sz w:val="28"/>
      <w:szCs w:val="20"/>
    </w:rPr>
  </w:style>
  <w:style w:type="paragraph" w:customStyle="1" w:styleId="130">
    <w:name w:val="BodyTextIndent"/>
    <w:basedOn w:val="1"/>
    <w:link w:val="129"/>
    <w:qFormat/>
    <w:uiPriority w:val="0"/>
    <w:pPr>
      <w:ind w:firstLine="570"/>
    </w:pPr>
    <w:rPr>
      <w:rFonts w:ascii="Times New Roman" w:hAnsi="Times New Roman"/>
      <w:kern w:val="0"/>
      <w:sz w:val="28"/>
      <w:szCs w:val="20"/>
    </w:rPr>
  </w:style>
  <w:style w:type="paragraph" w:customStyle="1" w:styleId="131">
    <w:name w:val="Heading6"/>
    <w:basedOn w:val="1"/>
    <w:next w:val="1"/>
    <w:qFormat/>
    <w:uiPriority w:val="0"/>
    <w:pPr>
      <w:keepNext/>
      <w:keepLines/>
      <w:numPr>
        <w:ilvl w:val="5"/>
        <w:numId w:val="2"/>
      </w:numPr>
      <w:spacing w:before="240" w:after="64" w:line="320" w:lineRule="auto"/>
    </w:pPr>
    <w:rPr>
      <w:rFonts w:ascii="Arial" w:hAnsi="Arial" w:eastAsia="黑体"/>
      <w:sz w:val="24"/>
      <w:szCs w:val="24"/>
    </w:rPr>
  </w:style>
  <w:style w:type="paragraph" w:customStyle="1" w:styleId="132">
    <w:name w:val="封一"/>
    <w:basedOn w:val="124"/>
    <w:next w:val="124"/>
    <w:qFormat/>
    <w:uiPriority w:val="0"/>
    <w:pPr>
      <w:ind w:firstLine="0" w:firstLineChars="0"/>
      <w:jc w:val="center"/>
    </w:pPr>
    <w:rPr>
      <w:rFonts w:eastAsia="黑体"/>
      <w:b/>
      <w:sz w:val="84"/>
      <w:szCs w:val="84"/>
    </w:rPr>
  </w:style>
  <w:style w:type="paragraph" w:customStyle="1" w:styleId="133">
    <w:name w:val="UserStyle_65"/>
    <w:basedOn w:val="134"/>
    <w:next w:val="1"/>
    <w:qFormat/>
    <w:uiPriority w:val="0"/>
    <w:pPr>
      <w:spacing w:before="480" w:after="0" w:line="276" w:lineRule="auto"/>
    </w:pPr>
    <w:rPr>
      <w:rFonts w:ascii="Cambria" w:hAnsi="Cambria"/>
      <w:color w:val="365F91"/>
      <w:kern w:val="0"/>
    </w:rPr>
  </w:style>
  <w:style w:type="paragraph" w:customStyle="1" w:styleId="134">
    <w:name w:val="Heading1"/>
    <w:basedOn w:val="3"/>
    <w:next w:val="120"/>
    <w:qFormat/>
    <w:uiPriority w:val="0"/>
    <w:pPr>
      <w:keepNext/>
      <w:keepLines/>
      <w:spacing w:after="120" w:line="360" w:lineRule="auto"/>
    </w:pPr>
    <w:rPr>
      <w:kern w:val="44"/>
      <w:sz w:val="28"/>
      <w:szCs w:val="28"/>
    </w:rPr>
  </w:style>
  <w:style w:type="paragraph" w:customStyle="1" w:styleId="135">
    <w:name w:val="Heading8"/>
    <w:basedOn w:val="1"/>
    <w:next w:val="63"/>
    <w:qFormat/>
    <w:uiPriority w:val="0"/>
    <w:pPr>
      <w:keepNext/>
      <w:keepLines/>
      <w:numPr>
        <w:ilvl w:val="7"/>
        <w:numId w:val="1"/>
      </w:numPr>
      <w:spacing w:before="240" w:after="64" w:line="320" w:lineRule="auto"/>
    </w:pPr>
    <w:rPr>
      <w:rFonts w:ascii="Arial" w:hAnsi="Arial" w:eastAsia="黑体"/>
      <w:sz w:val="24"/>
      <w:szCs w:val="20"/>
    </w:rPr>
  </w:style>
  <w:style w:type="paragraph" w:customStyle="1" w:styleId="136">
    <w:name w:val="UserStyle_69"/>
    <w:basedOn w:val="137"/>
    <w:qFormat/>
    <w:uiPriority w:val="0"/>
    <w:pPr>
      <w:ind w:left="4094" w:right="607" w:firstLine="0"/>
      <w:jc w:val="center"/>
    </w:pPr>
  </w:style>
  <w:style w:type="paragraph" w:customStyle="1" w:styleId="137">
    <w:name w:val="UserStyle_66"/>
    <w:qFormat/>
    <w:uiPriority w:val="0"/>
    <w:pPr>
      <w:spacing w:line="360" w:lineRule="auto"/>
      <w:ind w:firstLine="629"/>
      <w:jc w:val="both"/>
      <w:textAlignment w:val="baseline"/>
    </w:pPr>
    <w:rPr>
      <w:rFonts w:ascii="仿宋_GB2312" w:hAnsi="Calisto MT" w:eastAsia="仿宋_GB2312" w:cs="Times New Roman"/>
      <w:color w:val="000000"/>
      <w:sz w:val="32"/>
      <w:lang w:val="en-US" w:eastAsia="zh-CN" w:bidi="ar-SA"/>
    </w:rPr>
  </w:style>
  <w:style w:type="paragraph" w:customStyle="1" w:styleId="138">
    <w:name w:val="Index1"/>
    <w:basedOn w:val="1"/>
    <w:next w:val="1"/>
    <w:qFormat/>
    <w:uiPriority w:val="0"/>
    <w:rPr>
      <w:rFonts w:ascii="Times New Roman" w:hAnsi="Times New Roman" w:eastAsia="仿宋_GB2312"/>
      <w:sz w:val="28"/>
      <w:szCs w:val="20"/>
    </w:rPr>
  </w:style>
  <w:style w:type="paragraph" w:customStyle="1" w:styleId="139">
    <w:name w:val="TOC3"/>
    <w:basedOn w:val="1"/>
    <w:next w:val="1"/>
    <w:qFormat/>
    <w:uiPriority w:val="0"/>
    <w:pPr>
      <w:snapToGrid w:val="0"/>
      <w:spacing w:line="360" w:lineRule="auto"/>
      <w:ind w:left="400" w:leftChars="400"/>
      <w:jc w:val="left"/>
    </w:pPr>
    <w:rPr>
      <w:rFonts w:ascii="Times New Roman" w:hAnsi="Times New Roman"/>
      <w:sz w:val="24"/>
      <w:szCs w:val="20"/>
    </w:rPr>
  </w:style>
  <w:style w:type="paragraph" w:customStyle="1" w:styleId="140">
    <w:name w:val="179"/>
    <w:basedOn w:val="1"/>
    <w:qFormat/>
    <w:uiPriority w:val="0"/>
    <w:pPr>
      <w:ind w:firstLine="420" w:firstLineChars="200"/>
    </w:pPr>
    <w:rPr>
      <w:rFonts w:ascii="Times New Roman" w:hAnsi="Times New Roman"/>
      <w:szCs w:val="20"/>
    </w:rPr>
  </w:style>
  <w:style w:type="paragraph" w:customStyle="1" w:styleId="141">
    <w:name w:val="Heading2"/>
    <w:basedOn w:val="1"/>
    <w:next w:val="63"/>
    <w:qFormat/>
    <w:uiPriority w:val="0"/>
    <w:pPr>
      <w:keepNext/>
      <w:keepLines/>
      <w:spacing w:before="120" w:after="120" w:line="415" w:lineRule="auto"/>
      <w:ind w:left="454"/>
      <w:jc w:val="center"/>
    </w:pPr>
    <w:rPr>
      <w:rFonts w:ascii="Arial" w:hAnsi="Arial"/>
      <w:color w:val="000000"/>
      <w:sz w:val="24"/>
      <w:szCs w:val="24"/>
    </w:rPr>
  </w:style>
  <w:style w:type="paragraph" w:customStyle="1" w:styleId="142">
    <w:name w:val="HtmlNormal"/>
    <w:basedOn w:val="1"/>
    <w:qFormat/>
    <w:uiPriority w:val="0"/>
    <w:rPr>
      <w:rFonts w:ascii="仿宋_GB2312" w:hAnsi="Times New Roman"/>
      <w:sz w:val="24"/>
      <w:szCs w:val="32"/>
    </w:rPr>
  </w:style>
  <w:style w:type="paragraph" w:customStyle="1" w:styleId="143">
    <w:name w:val="UserStyle_59"/>
    <w:next w:val="144"/>
    <w:qFormat/>
    <w:uiPriority w:val="0"/>
    <w:pPr>
      <w:textAlignment w:val="baseline"/>
    </w:pPr>
    <w:rPr>
      <w:rFonts w:ascii="宋体" w:hAnsi="Times New Roman" w:eastAsia="宋体" w:cs="Times New Roman"/>
      <w:sz w:val="24"/>
      <w:szCs w:val="24"/>
      <w:lang w:val="en-US" w:eastAsia="zh-CN" w:bidi="ar-SA"/>
    </w:rPr>
  </w:style>
  <w:style w:type="paragraph" w:customStyle="1" w:styleId="144">
    <w:name w:val="UserStyle_67"/>
    <w:basedOn w:val="143"/>
    <w:qFormat/>
    <w:uiPriority w:val="0"/>
    <w:pPr>
      <w:ind w:firstLine="200" w:firstLineChars="200"/>
    </w:pPr>
    <w:rPr>
      <w:kern w:val="2"/>
    </w:rPr>
  </w:style>
  <w:style w:type="paragraph" w:customStyle="1" w:styleId="145">
    <w:name w:val="UserStyle_72"/>
    <w:basedOn w:val="106"/>
    <w:qFormat/>
    <w:uiPriority w:val="0"/>
    <w:rPr>
      <w:rFonts w:ascii="Tahoma" w:hAnsi="Tahoma"/>
      <w:sz w:val="24"/>
      <w:szCs w:val="24"/>
    </w:rPr>
  </w:style>
  <w:style w:type="paragraph" w:customStyle="1" w:styleId="146">
    <w:name w:val="UserStyle_71"/>
    <w:semiHidden/>
    <w:qFormat/>
    <w:uiPriority w:val="0"/>
    <w:pPr>
      <w:textAlignment w:val="baseline"/>
    </w:pPr>
    <w:rPr>
      <w:rFonts w:ascii="Times New Roman" w:hAnsi="Times New Roman" w:eastAsia="宋体" w:cs="Times New Roman"/>
      <w:kern w:val="2"/>
      <w:sz w:val="21"/>
      <w:lang w:val="en-US" w:eastAsia="zh-CN" w:bidi="ar-SA"/>
    </w:rPr>
  </w:style>
  <w:style w:type="paragraph" w:customStyle="1" w:styleId="147">
    <w:name w:val="UserStyle_58"/>
    <w:basedOn w:val="143"/>
    <w:qFormat/>
    <w:uiPriority w:val="0"/>
    <w:pPr>
      <w:ind w:firstLine="420" w:firstLineChars="200"/>
    </w:pPr>
  </w:style>
  <w:style w:type="paragraph" w:customStyle="1" w:styleId="148">
    <w:name w:val="UserStyle_74"/>
    <w:basedOn w:val="1"/>
    <w:qFormat/>
    <w:uiPriority w:val="0"/>
    <w:rPr>
      <w:rFonts w:ascii="Tahoma" w:hAnsi="Tahoma"/>
      <w:sz w:val="24"/>
      <w:szCs w:val="20"/>
    </w:rPr>
  </w:style>
  <w:style w:type="paragraph" w:customStyle="1" w:styleId="149">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0">
    <w:name w:val="Heading4"/>
    <w:basedOn w:val="151"/>
    <w:next w:val="63"/>
    <w:qFormat/>
    <w:uiPriority w:val="0"/>
    <w:pPr>
      <w:keepNext/>
      <w:keepLines/>
      <w:numPr>
        <w:ilvl w:val="3"/>
        <w:numId w:val="1"/>
      </w:numPr>
      <w:spacing w:before="0" w:after="0" w:line="360" w:lineRule="auto"/>
    </w:pPr>
    <w:rPr>
      <w:rFonts w:ascii="Arial" w:hAnsi="Arial"/>
      <w:color w:val="000000"/>
      <w:kern w:val="2"/>
      <w:sz w:val="21"/>
      <w:szCs w:val="21"/>
    </w:rPr>
  </w:style>
  <w:style w:type="paragraph" w:customStyle="1" w:styleId="151">
    <w:name w:val="Heading3"/>
    <w:basedOn w:val="1"/>
    <w:next w:val="1"/>
    <w:qFormat/>
    <w:uiPriority w:val="0"/>
    <w:pPr>
      <w:spacing w:before="100" w:beforeAutospacing="1" w:after="100" w:afterAutospacing="1"/>
      <w:jc w:val="left"/>
    </w:pPr>
    <w:rPr>
      <w:rFonts w:ascii="宋体" w:hAnsi="宋体"/>
      <w:kern w:val="0"/>
      <w:sz w:val="27"/>
      <w:szCs w:val="27"/>
    </w:rPr>
  </w:style>
  <w:style w:type="paragraph" w:customStyle="1" w:styleId="152">
    <w:name w:val="_Style 151"/>
    <w:unhideWhenUsed/>
    <w:qFormat/>
    <w:uiPriority w:val="99"/>
    <w:rPr>
      <w:rFonts w:ascii="Calibri" w:hAnsi="Calibri" w:eastAsia="宋体" w:cs="Times New Roman"/>
      <w:kern w:val="2"/>
      <w:sz w:val="21"/>
      <w:szCs w:val="22"/>
      <w:lang w:val="en-US" w:eastAsia="zh-CN" w:bidi="ar-SA"/>
    </w:rPr>
  </w:style>
  <w:style w:type="paragraph" w:customStyle="1" w:styleId="153">
    <w:name w:val="UserStyle_76"/>
    <w:basedOn w:val="1"/>
    <w:qFormat/>
    <w:uiPriority w:val="0"/>
    <w:rPr>
      <w:rFonts w:ascii="Arial" w:hAnsi="Arial"/>
      <w:sz w:val="48"/>
      <w:szCs w:val="20"/>
    </w:rPr>
  </w:style>
  <w:style w:type="paragraph" w:customStyle="1" w:styleId="154">
    <w:name w:val="List Paragraph"/>
    <w:basedOn w:val="1"/>
    <w:qFormat/>
    <w:uiPriority w:val="0"/>
    <w:pPr>
      <w:widowControl w:val="0"/>
      <w:ind w:firstLine="420" w:firstLineChars="200"/>
      <w:textAlignment w:val="auto"/>
    </w:pPr>
    <w:rPr>
      <w:szCs w:val="21"/>
    </w:rPr>
  </w:style>
  <w:style w:type="paragraph" w:customStyle="1" w:styleId="155">
    <w:name w:val="UserStyle_57"/>
    <w:basedOn w:val="1"/>
    <w:qFormat/>
    <w:uiPriority w:val="0"/>
    <w:pPr>
      <w:topLinePunct/>
      <w:snapToGrid w:val="0"/>
      <w:spacing w:line="360" w:lineRule="auto"/>
      <w:ind w:firstLine="200" w:firstLineChars="200"/>
    </w:pPr>
    <w:rPr>
      <w:spacing w:val="4"/>
      <w:kern w:val="0"/>
      <w:sz w:val="24"/>
      <w:szCs w:val="24"/>
    </w:rPr>
  </w:style>
  <w:style w:type="paragraph" w:customStyle="1" w:styleId="156">
    <w:name w:val="UserStyle_62"/>
    <w:basedOn w:val="63"/>
    <w:qFormat/>
    <w:uiPriority w:val="0"/>
    <w:pPr>
      <w:ind w:firstLine="0"/>
    </w:pPr>
    <w:rPr>
      <w:rFonts w:ascii="仿宋_GB2312" w:eastAsia="仿宋_GB2312"/>
      <w:sz w:val="30"/>
      <w:szCs w:val="24"/>
    </w:rPr>
  </w:style>
  <w:style w:type="paragraph" w:customStyle="1" w:styleId="157">
    <w:name w:val="UserStyle_63"/>
    <w:basedOn w:val="1"/>
    <w:next w:val="1"/>
    <w:qFormat/>
    <w:uiPriority w:val="0"/>
    <w:pPr>
      <w:topLinePunct/>
      <w:snapToGrid w:val="0"/>
      <w:jc w:val="center"/>
    </w:pPr>
    <w:rPr>
      <w:rFonts w:ascii="Times New Roman" w:hAnsi="Times New Roman" w:eastAsia="黑体"/>
      <w:spacing w:val="4"/>
      <w:kern w:val="0"/>
      <w:sz w:val="30"/>
      <w:szCs w:val="30"/>
    </w:rPr>
  </w:style>
  <w:style w:type="paragraph" w:customStyle="1" w:styleId="158">
    <w:name w:val="封四"/>
    <w:basedOn w:val="124"/>
    <w:next w:val="124"/>
    <w:qFormat/>
    <w:uiPriority w:val="0"/>
    <w:pPr>
      <w:jc w:val="left"/>
    </w:pPr>
    <w:rPr>
      <w:sz w:val="30"/>
      <w:szCs w:val="30"/>
    </w:rPr>
  </w:style>
  <w:style w:type="paragraph" w:customStyle="1" w:styleId="159">
    <w:name w:val="UserStyle_75"/>
    <w:basedOn w:val="1"/>
    <w:qFormat/>
    <w:uiPriority w:val="0"/>
    <w:rPr>
      <w:rFonts w:ascii="Times New Roman" w:hAnsi="Times New Roman"/>
      <w:sz w:val="30"/>
      <w:szCs w:val="24"/>
    </w:rPr>
  </w:style>
  <w:style w:type="paragraph" w:customStyle="1" w:styleId="160">
    <w:name w:val="正文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1">
    <w:name w:val="TOC1"/>
    <w:basedOn w:val="1"/>
    <w:next w:val="1"/>
    <w:qFormat/>
    <w:uiPriority w:val="0"/>
    <w:pPr>
      <w:tabs>
        <w:tab w:val="right" w:leader="dot" w:pos="9060"/>
      </w:tabs>
      <w:snapToGrid w:val="0"/>
      <w:spacing w:line="360" w:lineRule="auto"/>
      <w:jc w:val="left"/>
    </w:pPr>
    <w:rPr>
      <w:rFonts w:ascii="宋体" w:hAnsi="宋体"/>
      <w:kern w:val="0"/>
      <w:sz w:val="24"/>
      <w:szCs w:val="32"/>
    </w:rPr>
  </w:style>
  <w:style w:type="paragraph" w:customStyle="1" w:styleId="162">
    <w:name w:val="Heading5"/>
    <w:basedOn w:val="150"/>
    <w:next w:val="63"/>
    <w:qFormat/>
    <w:uiPriority w:val="0"/>
    <w:pPr>
      <w:numPr>
        <w:ilvl w:val="4"/>
      </w:numPr>
      <w:spacing w:line="240" w:lineRule="exact"/>
    </w:pPr>
  </w:style>
  <w:style w:type="paragraph" w:customStyle="1" w:styleId="163">
    <w:name w:val="UserStyle_61"/>
    <w:basedOn w:val="1"/>
    <w:qFormat/>
    <w:uiPriority w:val="0"/>
    <w:pPr>
      <w:spacing w:before="100" w:after="100"/>
      <w:ind w:left="360" w:right="360"/>
      <w:jc w:val="left"/>
    </w:pPr>
    <w:rPr>
      <w:rFonts w:ascii="Times New Roman" w:hAnsi="Times New Roman"/>
      <w:kern w:val="0"/>
      <w:sz w:val="24"/>
      <w:szCs w:val="20"/>
    </w:rPr>
  </w:style>
  <w:style w:type="paragraph" w:customStyle="1" w:styleId="164">
    <w:name w:val="UserStyle_56"/>
    <w:qFormat/>
    <w:uiPriority w:val="0"/>
    <w:pPr>
      <w:textAlignment w:val="baseline"/>
    </w:pPr>
    <w:rPr>
      <w:rFonts w:ascii="等线" w:hAnsi="等线" w:eastAsia="等线" w:cs="Times New Roman"/>
      <w:lang w:val="en-US" w:eastAsia="zh-CN" w:bidi="ar-SA"/>
    </w:rPr>
  </w:style>
  <w:style w:type="paragraph" w:customStyle="1" w:styleId="165">
    <w:name w:val="正题"/>
    <w:basedOn w:val="124"/>
    <w:next w:val="124"/>
    <w:qFormat/>
    <w:uiPriority w:val="0"/>
    <w:pPr>
      <w:ind w:firstLine="0" w:firstLineChars="0"/>
      <w:jc w:val="center"/>
    </w:pPr>
    <w:rPr>
      <w:rFonts w:eastAsia="黑体"/>
      <w:b/>
      <w:sz w:val="36"/>
      <w:szCs w:val="36"/>
    </w:rPr>
  </w:style>
  <w:style w:type="paragraph" w:customStyle="1" w:styleId="166">
    <w:name w:val="Heading7"/>
    <w:basedOn w:val="1"/>
    <w:next w:val="63"/>
    <w:qFormat/>
    <w:uiPriority w:val="0"/>
    <w:pPr>
      <w:keepNext/>
      <w:keepLines/>
      <w:numPr>
        <w:ilvl w:val="6"/>
        <w:numId w:val="1"/>
      </w:numPr>
      <w:spacing w:before="240" w:after="64" w:line="320" w:lineRule="auto"/>
    </w:pPr>
    <w:rPr>
      <w:rFonts w:ascii="Times New Roman" w:hAnsi="Times New Roman"/>
      <w:sz w:val="24"/>
      <w:szCs w:val="20"/>
    </w:rPr>
  </w:style>
  <w:style w:type="paragraph" w:customStyle="1" w:styleId="167">
    <w:name w:val="TOC2"/>
    <w:basedOn w:val="1"/>
    <w:next w:val="1"/>
    <w:qFormat/>
    <w:uiPriority w:val="0"/>
    <w:pPr>
      <w:tabs>
        <w:tab w:val="right" w:leader="dot" w:pos="9060"/>
      </w:tabs>
      <w:snapToGrid w:val="0"/>
      <w:spacing w:line="360" w:lineRule="auto"/>
      <w:ind w:left="420" w:leftChars="200"/>
      <w:jc w:val="left"/>
    </w:pPr>
    <w:rPr>
      <w:rFonts w:ascii="Times New Roman" w:hAnsi="Times New Roman"/>
      <w:sz w:val="24"/>
      <w:szCs w:val="24"/>
    </w:rPr>
  </w:style>
  <w:style w:type="paragraph" w:customStyle="1" w:styleId="168">
    <w:name w:val="页脚 New New New"/>
    <w:basedOn w:val="1"/>
    <w:qFormat/>
    <w:uiPriority w:val="0"/>
    <w:pPr>
      <w:widowControl w:val="0"/>
      <w:tabs>
        <w:tab w:val="center" w:pos="4153"/>
        <w:tab w:val="right" w:pos="8306"/>
      </w:tabs>
      <w:snapToGrid w:val="0"/>
      <w:jc w:val="left"/>
      <w:textAlignment w:val="auto"/>
    </w:pPr>
    <w:rPr>
      <w:rFonts w:ascii="Times New Roman" w:hAnsi="Times New Roman"/>
      <w:sz w:val="18"/>
      <w:szCs w:val="18"/>
    </w:rPr>
  </w:style>
  <w:style w:type="paragraph" w:customStyle="1" w:styleId="169">
    <w:name w:val="UserStyle_68"/>
    <w:basedOn w:val="1"/>
    <w:qFormat/>
    <w:uiPriority w:val="0"/>
    <w:pPr>
      <w:numPr>
        <w:ilvl w:val="0"/>
        <w:numId w:val="1"/>
      </w:numPr>
    </w:pPr>
    <w:rPr>
      <w:rFonts w:ascii="Times New Roman" w:hAnsi="Times New Roman"/>
      <w:sz w:val="24"/>
      <w:szCs w:val="24"/>
    </w:rPr>
  </w:style>
  <w:style w:type="paragraph" w:customStyle="1" w:styleId="170">
    <w:name w:val="UserStyle_64"/>
    <w:basedOn w:val="1"/>
    <w:next w:val="1"/>
    <w:qFormat/>
    <w:uiPriority w:val="0"/>
    <w:pPr>
      <w:topLinePunct/>
      <w:snapToGrid w:val="0"/>
      <w:jc w:val="left"/>
    </w:pPr>
    <w:rPr>
      <w:rFonts w:ascii="黑体" w:hAnsi="宋体" w:eastAsia="黑体"/>
      <w:spacing w:val="4"/>
      <w:kern w:val="0"/>
      <w:sz w:val="24"/>
      <w:szCs w:val="24"/>
    </w:rPr>
  </w:style>
  <w:style w:type="paragraph" w:customStyle="1" w:styleId="171">
    <w:name w:val="UserStyle_73"/>
    <w:basedOn w:val="151"/>
    <w:qFormat/>
    <w:uiPriority w:val="0"/>
    <w:pPr>
      <w:keepNext/>
      <w:keepLines/>
      <w:spacing w:before="0" w:after="0"/>
      <w:ind w:left="1469" w:right="1542"/>
    </w:pPr>
    <w:rPr>
      <w:rFonts w:hAnsi="Times New Roman"/>
      <w:kern w:val="2"/>
      <w:sz w:val="44"/>
      <w:szCs w:val="21"/>
    </w:rPr>
  </w:style>
  <w:style w:type="paragraph" w:customStyle="1" w:styleId="172">
    <w:name w:val="封二"/>
    <w:basedOn w:val="124"/>
    <w:next w:val="124"/>
    <w:qFormat/>
    <w:uiPriority w:val="0"/>
    <w:pPr>
      <w:ind w:firstLine="0" w:firstLineChars="0"/>
      <w:jc w:val="center"/>
    </w:pPr>
    <w:rPr>
      <w:rFonts w:eastAsia="黑体"/>
      <w:b/>
      <w:sz w:val="36"/>
      <w:szCs w:val="36"/>
    </w:rPr>
  </w:style>
  <w:style w:type="paragraph" w:customStyle="1" w:styleId="173">
    <w:name w:val="UserStyle_70"/>
    <w:basedOn w:val="1"/>
    <w:qFormat/>
    <w:uiPriority w:val="0"/>
    <w:pPr>
      <w:spacing w:line="360" w:lineRule="auto"/>
      <w:jc w:val="center"/>
    </w:pPr>
    <w:rPr>
      <w:rFonts w:ascii="黑体" w:hAnsi="Times New Roman" w:eastAsia="黑体"/>
      <w:kern w:val="0"/>
      <w:sz w:val="24"/>
      <w:szCs w:val="20"/>
    </w:rPr>
  </w:style>
  <w:style w:type="paragraph" w:customStyle="1" w:styleId="174">
    <w:name w:val="UserStyle_60"/>
    <w:qFormat/>
    <w:uiPriority w:val="0"/>
    <w:pPr>
      <w:jc w:val="both"/>
      <w:textAlignment w:val="baseline"/>
    </w:pPr>
    <w:rPr>
      <w:rFonts w:ascii="Times New Roman" w:hAnsi="Times New Roman" w:eastAsia="宋体" w:cs="Times New Roman"/>
      <w:kern w:val="2"/>
      <w:sz w:val="21"/>
      <w:szCs w:val="22"/>
      <w:lang w:val="en-US" w:eastAsia="zh-CN" w:bidi="ar-SA"/>
    </w:rPr>
  </w:style>
  <w:style w:type="table" w:customStyle="1" w:styleId="175">
    <w:name w:val="TableGrid"/>
    <w:basedOn w:val="176"/>
    <w:qFormat/>
    <w:uiPriority w:val="0"/>
    <w:tblPr>
      <w:tblCellMar>
        <w:top w:w="0" w:type="dxa"/>
        <w:left w:w="0" w:type="dxa"/>
        <w:bottom w:w="0" w:type="dxa"/>
        <w:right w:w="0" w:type="dxa"/>
      </w:tblCellMar>
    </w:tblPr>
  </w:style>
  <w:style w:type="table" w:customStyle="1" w:styleId="176">
    <w:name w:val="TableNormal"/>
    <w:qFormat/>
    <w:uiPriority w:val="0"/>
    <w:rPr>
      <w:lang w:val="en-US" w:eastAsia="zh-CN" w:bidi="ar-SA"/>
    </w:rPr>
    <w:tblPr>
      <w:tblCellMar>
        <w:top w:w="0" w:type="dxa"/>
        <w:left w:w="0" w:type="dxa"/>
        <w:bottom w:w="0" w:type="dxa"/>
        <w:right w:w="0" w:type="dxa"/>
      </w:tblCellMar>
    </w:tblPr>
  </w:style>
  <w:style w:type="paragraph" w:customStyle="1" w:styleId="177">
    <w:name w:val="文二"/>
    <w:basedOn w:val="1"/>
    <w:qFormat/>
    <w:uiPriority w:val="0"/>
    <w:pPr>
      <w:jc w:val="left"/>
    </w:pPr>
    <w:rPr>
      <w:rFonts w:ascii="宋体" w:hAnsi="宋体"/>
      <w:szCs w:val="21"/>
    </w:rPr>
  </w:style>
  <w:style w:type="character" w:customStyle="1" w:styleId="178">
    <w:name w:val="正文文本1"/>
    <w:qFormat/>
    <w:uiPriority w:val="0"/>
    <w:rPr>
      <w:rFonts w:ascii="宋体" w:hAnsi="宋体" w:eastAsia="宋体" w:cs="宋体"/>
      <w:color w:val="000000"/>
      <w:spacing w:val="0"/>
      <w:w w:val="100"/>
      <w:position w:val="0"/>
      <w:sz w:val="19"/>
      <w:szCs w:val="19"/>
      <w:shd w:val="clear" w:color="auto" w:fill="FFFFFF"/>
      <w:lang w:val="zh-TW"/>
    </w:rPr>
  </w:style>
  <w:style w:type="paragraph" w:customStyle="1" w:styleId="179">
    <w:name w:val="Body text|3"/>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180">
    <w:name w:val="Table Text"/>
    <w:basedOn w:val="1"/>
    <w:semiHidden/>
    <w:qFormat/>
    <w:uiPriority w:val="0"/>
    <w:pPr>
      <w:widowControl w:val="0"/>
      <w:textAlignment w:val="auto"/>
    </w:pPr>
    <w:rPr>
      <w:rFonts w:ascii="宋体" w:hAnsi="宋体" w:cs="宋体"/>
      <w:sz w:val="22"/>
      <w:lang w:eastAsia="en-US"/>
    </w:rPr>
  </w:style>
  <w:style w:type="paragraph" w:customStyle="1" w:styleId="181">
    <w:name w:val="正文文本3"/>
    <w:basedOn w:val="1"/>
    <w:qFormat/>
    <w:uiPriority w:val="0"/>
    <w:pPr>
      <w:shd w:val="clear" w:color="auto" w:fill="FFFFFF"/>
      <w:spacing w:line="0" w:lineRule="atLeast"/>
    </w:pPr>
    <w:rPr>
      <w:rFonts w:ascii="宋体" w:hAnsi="宋体" w:cs="宋体"/>
      <w:sz w:val="19"/>
      <w:szCs w:val="19"/>
      <w:lang w:bidi="ar-SA"/>
    </w:rPr>
  </w:style>
  <w:style w:type="paragraph" w:customStyle="1" w:styleId="182">
    <w:name w:val="正文 New New"/>
    <w:basedOn w:val="1"/>
    <w:qFormat/>
    <w:uiPriority w:val="0"/>
    <w:pPr>
      <w:widowControl w:val="0"/>
      <w:textAlignment w:val="auto"/>
    </w:pPr>
    <w:rPr>
      <w:rFonts w:ascii="Times New Roman" w:hAnsi="Times New Roman" w:eastAsia="楷体_GB2312"/>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115</Pages>
  <Words>27749</Words>
  <Characters>29191</Characters>
  <Lines>1895</Lines>
  <Paragraphs>1183</Paragraphs>
  <TotalTime>84</TotalTime>
  <ScaleCrop>false</ScaleCrop>
  <LinksUpToDate>false</LinksUpToDate>
  <CharactersWithSpaces>30244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2025-05-05T04:44:00Z</dcterms:created>
  <dc:creator>广东工程经办人</dc:creator>
  <cp:lastModifiedBy>省机电-代理</cp:lastModifiedBy>
  <cp:lastPrinted>2025-10-24T06:26:00Z</cp:lastPrinted>
  <dcterms:modified xsi:type="dcterms:W3CDTF">2025-11-18T12:15:22Z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62D99439028D420D911361FA097854B7_13</vt:lpwstr>
  </property>
  <property fmtid="{D5CDD505-2E9C-101B-9397-08002B2CF9AE}" pid="4" name="KSOTemplateDocerSaveRecord">
    <vt:lpwstr>eyJoZGlkIjoiNzI1MzljODBiNDliMzEyMzFlZWNlN2EzYjU0N2YzMWEiLCJ1c2VySWQiOiIxMjEwNzAxODYzIn0=</vt:lpwstr>
  </property>
</Properties>
</file>