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8B604">
      <w:pPr>
        <w:topLinePunct/>
        <w:spacing w:line="400" w:lineRule="atLeast"/>
        <w:rPr>
          <w:rFonts w:hint="default" w:ascii="黑体" w:hAnsi="黑体" w:eastAsia="黑体"/>
          <w:color w:val="auto"/>
          <w:sz w:val="28"/>
          <w:szCs w:val="28"/>
          <w:highlight w:val="none"/>
          <w:lang w:val="en-US" w:eastAsia="zh-CN"/>
        </w:rPr>
      </w:pPr>
      <w:r>
        <w:rPr>
          <w:rFonts w:hint="eastAsia" w:ascii="黑体" w:hAnsi="黑体" w:eastAsia="黑体"/>
          <w:color w:val="auto"/>
          <w:sz w:val="28"/>
          <w:szCs w:val="28"/>
          <w:highlight w:val="none"/>
        </w:rPr>
        <w:t xml:space="preserve"> </w:t>
      </w:r>
      <w:r>
        <w:rPr>
          <w:rFonts w:hint="eastAsia" w:ascii="黑体" w:hAnsi="黑体" w:eastAsia="黑体"/>
          <w:color w:val="auto"/>
          <w:sz w:val="28"/>
          <w:szCs w:val="28"/>
          <w:highlight w:val="none"/>
          <w:lang w:val="en-US" w:eastAsia="zh-CN"/>
        </w:rPr>
        <w:t>附件1</w:t>
      </w:r>
    </w:p>
    <w:p w14:paraId="4CBA18B8">
      <w:pPr>
        <w:topLinePunct/>
        <w:spacing w:line="400" w:lineRule="atLeast"/>
        <w:rPr>
          <w:rFonts w:ascii="黑体" w:hAnsi="黑体" w:eastAsia="黑体"/>
          <w:color w:val="auto"/>
          <w:sz w:val="28"/>
          <w:szCs w:val="28"/>
          <w:highlight w:val="none"/>
        </w:rPr>
      </w:pPr>
      <w:r>
        <w:rPr>
          <w:rFonts w:ascii="黑体" w:hAnsi="黑体" w:eastAsia="黑体"/>
          <w:color w:val="auto"/>
          <w:sz w:val="28"/>
          <w:szCs w:val="28"/>
          <w:highlight w:val="none"/>
        </w:rPr>
        <w:t>附</w:t>
      </w:r>
      <w:r>
        <w:rPr>
          <w:rFonts w:eastAsia="黑体"/>
          <w:color w:val="auto"/>
          <w:sz w:val="28"/>
          <w:szCs w:val="28"/>
          <w:highlight w:val="none"/>
        </w:rPr>
        <w:t xml:space="preserve"> </w:t>
      </w:r>
      <w:r>
        <w:rPr>
          <w:rFonts w:ascii="黑体" w:hAnsi="黑体" w:eastAsia="黑体"/>
          <w:color w:val="auto"/>
          <w:sz w:val="28"/>
          <w:szCs w:val="28"/>
          <w:highlight w:val="none"/>
        </w:rPr>
        <w:t>录</w:t>
      </w:r>
    </w:p>
    <w:p w14:paraId="53955982">
      <w:pPr>
        <w:keepNext/>
        <w:spacing w:before="156" w:beforeLines="50" w:after="240"/>
        <w:jc w:val="center"/>
        <w:outlineLvl w:val="0"/>
        <w:rPr>
          <w:rFonts w:ascii="宋体" w:hAnsi="宋体" w:eastAsia="黑体"/>
          <w:color w:val="auto"/>
          <w:sz w:val="28"/>
          <w:szCs w:val="28"/>
          <w:highlight w:val="none"/>
        </w:rPr>
      </w:pPr>
      <w:bookmarkStart w:id="0" w:name="_Toc346891117"/>
      <w:bookmarkStart w:id="1" w:name="_Toc8508"/>
      <w:r>
        <w:rPr>
          <w:rFonts w:hint="eastAsia" w:ascii="黑体" w:hAnsi="黑体" w:eastAsia="黑体"/>
          <w:color w:val="auto"/>
          <w:sz w:val="28"/>
          <w:szCs w:val="28"/>
          <w:highlight w:val="none"/>
        </w:rPr>
        <w:t>附录</w:t>
      </w:r>
      <w:r>
        <w:rPr>
          <w:rFonts w:hint="eastAsia" w:ascii="宋体" w:hAnsi="宋体" w:eastAsia="黑体"/>
          <w:color w:val="auto"/>
          <w:sz w:val="28"/>
          <w:szCs w:val="28"/>
          <w:highlight w:val="none"/>
        </w:rPr>
        <w:t xml:space="preserve">1  </w:t>
      </w:r>
      <w:r>
        <w:rPr>
          <w:rFonts w:hint="eastAsia" w:ascii="黑体" w:hAnsi="黑体" w:eastAsia="黑体"/>
          <w:color w:val="auto"/>
          <w:sz w:val="28"/>
          <w:szCs w:val="28"/>
          <w:highlight w:val="none"/>
        </w:rPr>
        <w:t>资格审查条件</w:t>
      </w:r>
      <w:r>
        <w:rPr>
          <w:rFonts w:hint="eastAsia" w:ascii="宋体" w:hAnsi="宋体"/>
          <w:color w:val="auto"/>
          <w:sz w:val="28"/>
          <w:szCs w:val="28"/>
          <w:highlight w:val="none"/>
        </w:rPr>
        <w:t>(</w:t>
      </w:r>
      <w:r>
        <w:rPr>
          <w:rFonts w:hint="eastAsia" w:ascii="黑体" w:hAnsi="黑体" w:eastAsia="黑体"/>
          <w:color w:val="auto"/>
          <w:sz w:val="28"/>
          <w:szCs w:val="28"/>
          <w:highlight w:val="none"/>
        </w:rPr>
        <w:t>资质最低要求</w:t>
      </w:r>
      <w:r>
        <w:rPr>
          <w:rFonts w:hint="eastAsia" w:ascii="宋体" w:hAnsi="宋体"/>
          <w:color w:val="auto"/>
          <w:sz w:val="28"/>
          <w:szCs w:val="28"/>
          <w:highlight w:val="none"/>
        </w:rPr>
        <w:t>)</w:t>
      </w:r>
      <w:bookmarkEnd w:id="0"/>
      <w:bookmarkEnd w:id="1"/>
    </w:p>
    <w:tbl>
      <w:tblPr>
        <w:tblStyle w:val="9"/>
        <w:tblW w:w="0" w:type="auto"/>
        <w:jc w:val="center"/>
        <w:tblLayout w:type="fixed"/>
        <w:tblCellMar>
          <w:top w:w="0" w:type="dxa"/>
          <w:left w:w="108" w:type="dxa"/>
          <w:bottom w:w="0" w:type="dxa"/>
          <w:right w:w="108" w:type="dxa"/>
        </w:tblCellMar>
      </w:tblPr>
      <w:tblGrid>
        <w:gridCol w:w="9414"/>
      </w:tblGrid>
      <w:tr w14:paraId="358FF0D0">
        <w:tblPrEx>
          <w:tblCellMar>
            <w:top w:w="0" w:type="dxa"/>
            <w:left w:w="108" w:type="dxa"/>
            <w:bottom w:w="0" w:type="dxa"/>
            <w:right w:w="108" w:type="dxa"/>
          </w:tblCellMar>
        </w:tblPrEx>
        <w:trPr>
          <w:cantSplit/>
          <w:trHeight w:val="725" w:hRule="atLeast"/>
          <w:jc w:val="center"/>
        </w:trPr>
        <w:tc>
          <w:tcPr>
            <w:tcW w:w="9414" w:type="dxa"/>
            <w:tcBorders>
              <w:top w:val="single" w:color="auto" w:sz="4" w:space="0"/>
              <w:left w:val="single" w:color="auto" w:sz="4" w:space="0"/>
              <w:bottom w:val="single" w:color="auto" w:sz="4" w:space="0"/>
              <w:right w:val="single" w:color="auto" w:sz="4" w:space="0"/>
            </w:tcBorders>
            <w:noWrap w:val="0"/>
            <w:vAlign w:val="center"/>
          </w:tcPr>
          <w:p w14:paraId="7CA7EDBB">
            <w:pPr>
              <w:adjustRightInd w:val="0"/>
              <w:snapToGrid w:val="0"/>
              <w:spacing w:line="400" w:lineRule="atLeast"/>
              <w:jc w:val="center"/>
              <w:rPr>
                <w:b/>
                <w:bCs/>
                <w:color w:val="auto"/>
                <w:szCs w:val="21"/>
                <w:highlight w:val="none"/>
              </w:rPr>
            </w:pPr>
            <w:r>
              <w:rPr>
                <w:rFonts w:hint="eastAsia"/>
                <w:b/>
                <w:bCs/>
                <w:color w:val="auto"/>
                <w:szCs w:val="21"/>
                <w:highlight w:val="none"/>
              </w:rPr>
              <w:t>投标人</w:t>
            </w:r>
            <w:r>
              <w:rPr>
                <w:b/>
                <w:bCs/>
                <w:color w:val="auto"/>
                <w:szCs w:val="21"/>
                <w:highlight w:val="none"/>
              </w:rPr>
              <w:t>资质等级要求</w:t>
            </w:r>
          </w:p>
        </w:tc>
      </w:tr>
      <w:tr w14:paraId="30574BDA">
        <w:tblPrEx>
          <w:tblCellMar>
            <w:top w:w="0" w:type="dxa"/>
            <w:left w:w="108" w:type="dxa"/>
            <w:bottom w:w="0" w:type="dxa"/>
            <w:right w:w="108" w:type="dxa"/>
          </w:tblCellMar>
        </w:tblPrEx>
        <w:trPr>
          <w:cantSplit/>
          <w:trHeight w:val="2710" w:hRule="atLeast"/>
          <w:jc w:val="center"/>
        </w:trPr>
        <w:tc>
          <w:tcPr>
            <w:tcW w:w="9414" w:type="dxa"/>
            <w:tcBorders>
              <w:top w:val="single" w:color="auto" w:sz="4" w:space="0"/>
              <w:left w:val="single" w:color="auto" w:sz="4" w:space="0"/>
              <w:bottom w:val="single" w:color="auto" w:sz="4" w:space="0"/>
              <w:right w:val="single" w:color="auto" w:sz="4" w:space="0"/>
            </w:tcBorders>
            <w:noWrap w:val="0"/>
            <w:vAlign w:val="center"/>
          </w:tcPr>
          <w:p w14:paraId="2B13C041">
            <w:pPr>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1.具有独立法人资格</w:t>
            </w:r>
            <w:r>
              <w:rPr>
                <w:rFonts w:hint="eastAsia" w:ascii="宋体" w:hAnsi="宋体" w:eastAsia="宋体" w:cs="宋体"/>
                <w:color w:val="auto"/>
                <w:spacing w:val="-4"/>
                <w:kern w:val="0"/>
                <w:szCs w:val="21"/>
                <w:highlight w:val="none"/>
                <w:lang w:val="zh-CN"/>
              </w:rPr>
              <w:t>，</w:t>
            </w:r>
            <w:r>
              <w:rPr>
                <w:rFonts w:hint="eastAsia" w:ascii="宋体" w:hAnsi="宋体" w:eastAsia="宋体" w:cs="宋体"/>
                <w:color w:val="auto"/>
                <w:szCs w:val="21"/>
                <w:highlight w:val="none"/>
              </w:rPr>
              <w:t>且持有工商行政管理部门核发的企业法人营业执照</w:t>
            </w:r>
            <w:r>
              <w:rPr>
                <w:rFonts w:hint="eastAsia" w:ascii="宋体" w:hAnsi="宋体"/>
                <w:color w:val="auto"/>
                <w:szCs w:val="21"/>
                <w:highlight w:val="none"/>
              </w:rPr>
              <w:t>。</w:t>
            </w:r>
          </w:p>
          <w:p w14:paraId="4B9D5AB1">
            <w:pPr>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2.具备</w:t>
            </w:r>
            <w:bookmarkStart w:id="2" w:name="OLE_LINK17"/>
            <w:r>
              <w:rPr>
                <w:rFonts w:hint="eastAsia" w:ascii="宋体" w:hAnsi="宋体"/>
                <w:color w:val="auto"/>
                <w:szCs w:val="21"/>
                <w:highlight w:val="none"/>
              </w:rPr>
              <w:t>有效的住房和城乡建设部颁发的通信工程施工总承包壹级资质。</w:t>
            </w:r>
          </w:p>
          <w:bookmarkEnd w:id="2"/>
          <w:p w14:paraId="35E20B70">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3.非粤注册投标人必须取得</w:t>
            </w:r>
            <w:r>
              <w:rPr>
                <w:rFonts w:hint="eastAsia" w:ascii="宋体" w:hAnsi="宋体"/>
                <w:strike w:val="0"/>
                <w:dstrike w:val="0"/>
                <w:color w:val="auto"/>
                <w:szCs w:val="21"/>
                <w:highlight w:val="none"/>
                <w:lang w:val="en-US" w:eastAsia="zh-CN"/>
              </w:rPr>
              <w:t>在有效期内</w:t>
            </w:r>
            <w:r>
              <w:rPr>
                <w:rFonts w:hint="eastAsia" w:ascii="宋体" w:hAnsi="宋体"/>
                <w:color w:val="auto"/>
                <w:szCs w:val="21"/>
                <w:highlight w:val="none"/>
              </w:rPr>
              <w:t>的入粤备案证明（广东省通信管理局颁发），同时承诺在本项目实施过程中该备案证明保持有效。</w:t>
            </w:r>
          </w:p>
          <w:p w14:paraId="773A1387">
            <w:pPr>
              <w:adjustRightInd w:val="0"/>
              <w:snapToGrid w:val="0"/>
              <w:spacing w:line="360" w:lineRule="auto"/>
              <w:ind w:firstLine="480" w:firstLineChars="200"/>
              <w:rPr>
                <w:rFonts w:ascii="宋体" w:hAnsi="宋体"/>
                <w:b/>
                <w:bCs/>
                <w:color w:val="auto"/>
                <w:szCs w:val="21"/>
                <w:highlight w:val="none"/>
              </w:rPr>
            </w:pPr>
            <w:r>
              <w:rPr>
                <w:rFonts w:hint="eastAsia" w:ascii="宋体" w:hAnsi="宋体"/>
                <w:color w:val="auto"/>
                <w:szCs w:val="21"/>
                <w:highlight w:val="none"/>
              </w:rPr>
              <w:t>4.具有合法有效的安全生产许可证。</w:t>
            </w:r>
          </w:p>
        </w:tc>
      </w:tr>
    </w:tbl>
    <w:p w14:paraId="7EF9A422">
      <w:pPr>
        <w:keepNext w:val="0"/>
        <w:keepLines w:val="0"/>
        <w:pageBreakBefore w:val="0"/>
        <w:widowControl w:val="0"/>
        <w:kinsoku/>
        <w:wordWrap/>
        <w:overflowPunct/>
        <w:topLinePunct w:val="0"/>
        <w:autoSpaceDE/>
        <w:autoSpaceDN/>
        <w:bidi w:val="0"/>
        <w:adjustRightInd/>
        <w:snapToGrid/>
        <w:spacing w:line="360" w:lineRule="auto"/>
        <w:ind w:left="419" w:hanging="489" w:hangingChars="23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6B19D1C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1.投标人应根据招标文件“投标人须知前附表”第 3.5.1 项的要求附相关证明材料。</w:t>
      </w:r>
    </w:p>
    <w:p w14:paraId="194FDD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2.本表所列的资质为满足要求的最低资质，其相对应的以上级别资质均符合资格审查条件。</w:t>
      </w:r>
    </w:p>
    <w:p w14:paraId="14C5EFEE">
      <w:pPr>
        <w:bidi w:val="0"/>
        <w:rPr>
          <w:rFonts w:hint="eastAsia"/>
        </w:rPr>
      </w:pPr>
      <w:bookmarkStart w:id="3" w:name="_Toc25837"/>
    </w:p>
    <w:p w14:paraId="6D121F27">
      <w:pPr>
        <w:keepNext/>
        <w:spacing w:before="240" w:after="240"/>
        <w:jc w:val="center"/>
        <w:outlineLvl w:val="0"/>
        <w:rPr>
          <w:rFonts w:hint="eastAsia" w:ascii="宋体" w:hAnsi="宋体" w:eastAsia="黑体"/>
          <w:color w:val="auto"/>
          <w:sz w:val="28"/>
          <w:szCs w:val="28"/>
          <w:highlight w:val="none"/>
        </w:rPr>
      </w:pPr>
      <w:r>
        <w:rPr>
          <w:rFonts w:hint="eastAsia" w:ascii="黑体" w:hAnsi="黑体" w:eastAsia="黑体"/>
          <w:color w:val="auto"/>
          <w:sz w:val="28"/>
          <w:szCs w:val="28"/>
          <w:highlight w:val="none"/>
        </w:rPr>
        <w:t>附录</w:t>
      </w:r>
      <w:r>
        <w:rPr>
          <w:rFonts w:hint="eastAsia" w:ascii="宋体" w:hAnsi="宋体" w:eastAsia="黑体"/>
          <w:color w:val="auto"/>
          <w:sz w:val="28"/>
          <w:szCs w:val="28"/>
          <w:highlight w:val="none"/>
        </w:rPr>
        <w:t xml:space="preserve">2  </w:t>
      </w:r>
      <w:r>
        <w:rPr>
          <w:rFonts w:hint="eastAsia" w:ascii="黑体" w:hAnsi="黑体" w:eastAsia="黑体"/>
          <w:color w:val="auto"/>
          <w:sz w:val="28"/>
          <w:szCs w:val="28"/>
          <w:highlight w:val="none"/>
        </w:rPr>
        <w:t>资格审查条件</w:t>
      </w:r>
      <w:r>
        <w:rPr>
          <w:rFonts w:hint="eastAsia" w:ascii="宋体" w:hAnsi="宋体"/>
          <w:color w:val="auto"/>
          <w:sz w:val="28"/>
          <w:szCs w:val="28"/>
          <w:highlight w:val="none"/>
        </w:rPr>
        <w:t>(</w:t>
      </w:r>
      <w:r>
        <w:rPr>
          <w:rFonts w:hint="eastAsia" w:ascii="黑体" w:hAnsi="黑体" w:eastAsia="黑体"/>
          <w:color w:val="auto"/>
          <w:sz w:val="28"/>
          <w:szCs w:val="28"/>
          <w:highlight w:val="none"/>
        </w:rPr>
        <w:t>财务最低要求</w:t>
      </w:r>
      <w:r>
        <w:rPr>
          <w:rFonts w:hint="eastAsia" w:ascii="宋体" w:hAnsi="宋体"/>
          <w:color w:val="auto"/>
          <w:sz w:val="28"/>
          <w:szCs w:val="28"/>
          <w:highlight w:val="none"/>
        </w:rPr>
        <w:t>)</w:t>
      </w:r>
      <w:bookmarkEnd w:id="3"/>
    </w:p>
    <w:tbl>
      <w:tblPr>
        <w:tblStyle w:val="9"/>
        <w:tblW w:w="0" w:type="auto"/>
        <w:jc w:val="center"/>
        <w:tblLayout w:type="fixed"/>
        <w:tblCellMar>
          <w:top w:w="0" w:type="dxa"/>
          <w:left w:w="108" w:type="dxa"/>
          <w:bottom w:w="0" w:type="dxa"/>
          <w:right w:w="108" w:type="dxa"/>
        </w:tblCellMar>
      </w:tblPr>
      <w:tblGrid>
        <w:gridCol w:w="9487"/>
      </w:tblGrid>
      <w:tr w14:paraId="28F2D914">
        <w:tblPrEx>
          <w:tblCellMar>
            <w:top w:w="0" w:type="dxa"/>
            <w:left w:w="108" w:type="dxa"/>
            <w:bottom w:w="0" w:type="dxa"/>
            <w:right w:w="108" w:type="dxa"/>
          </w:tblCellMar>
        </w:tblPrEx>
        <w:trPr>
          <w:cantSplit/>
          <w:trHeight w:val="630" w:hRule="atLeast"/>
          <w:jc w:val="center"/>
        </w:trPr>
        <w:tc>
          <w:tcPr>
            <w:tcW w:w="9487" w:type="dxa"/>
            <w:tcBorders>
              <w:top w:val="single" w:color="auto" w:sz="4" w:space="0"/>
              <w:left w:val="single" w:color="auto" w:sz="4" w:space="0"/>
              <w:bottom w:val="single" w:color="auto" w:sz="4" w:space="0"/>
              <w:right w:val="single" w:color="auto" w:sz="4" w:space="0"/>
            </w:tcBorders>
            <w:noWrap w:val="0"/>
            <w:vAlign w:val="center"/>
          </w:tcPr>
          <w:p w14:paraId="634F5194">
            <w:pPr>
              <w:spacing w:before="100" w:beforeAutospacing="1" w:after="100" w:afterAutospacing="1" w:line="400" w:lineRule="exact"/>
              <w:ind w:right="62" w:rightChars="26"/>
              <w:jc w:val="center"/>
              <w:rPr>
                <w:rFonts w:hint="eastAsia" w:ascii="宋体" w:hAnsi="宋体" w:cs="宋体"/>
                <w:b/>
                <w:bCs/>
                <w:color w:val="auto"/>
                <w:szCs w:val="21"/>
                <w:highlight w:val="none"/>
              </w:rPr>
            </w:pPr>
            <w:r>
              <w:rPr>
                <w:rFonts w:hint="eastAsia" w:ascii="宋体" w:hAnsi="宋体" w:cs="宋体"/>
                <w:b/>
                <w:bCs/>
                <w:color w:val="auto"/>
                <w:szCs w:val="21"/>
                <w:highlight w:val="none"/>
              </w:rPr>
              <w:t>财务要求</w:t>
            </w:r>
          </w:p>
        </w:tc>
      </w:tr>
      <w:tr w14:paraId="42831865">
        <w:tblPrEx>
          <w:tblCellMar>
            <w:top w:w="0" w:type="dxa"/>
            <w:left w:w="108" w:type="dxa"/>
            <w:bottom w:w="0" w:type="dxa"/>
            <w:right w:w="108" w:type="dxa"/>
          </w:tblCellMar>
        </w:tblPrEx>
        <w:trPr>
          <w:cantSplit/>
          <w:trHeight w:val="1803" w:hRule="atLeast"/>
          <w:jc w:val="center"/>
        </w:trPr>
        <w:tc>
          <w:tcPr>
            <w:tcW w:w="9487" w:type="dxa"/>
            <w:tcBorders>
              <w:top w:val="single" w:color="auto" w:sz="4" w:space="0"/>
              <w:left w:val="single" w:color="auto" w:sz="4" w:space="0"/>
              <w:bottom w:val="single" w:color="auto" w:sz="4" w:space="0"/>
              <w:right w:val="single" w:color="auto" w:sz="4" w:space="0"/>
            </w:tcBorders>
            <w:noWrap w:val="0"/>
            <w:vAlign w:val="center"/>
          </w:tcPr>
          <w:p w14:paraId="7C107AE0">
            <w:pPr>
              <w:adjustRightInd w:val="0"/>
              <w:snapToGrid w:val="0"/>
              <w:spacing w:line="360" w:lineRule="auto"/>
              <w:ind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1.企业注册资</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不少于10000万元人民币；</w:t>
            </w:r>
          </w:p>
          <w:p w14:paraId="2CABBA33">
            <w:pPr>
              <w:adjustRightInd w:val="0"/>
              <w:snapToGrid w:val="0"/>
              <w:spacing w:line="360" w:lineRule="auto"/>
              <w:ind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Calibri" w:cs="宋体"/>
                <w:color w:val="auto"/>
                <w:kern w:val="0"/>
                <w:szCs w:val="21"/>
                <w:highlight w:val="none"/>
              </w:rPr>
              <w:t>近三年的营业额总和不少于50000万元人民币</w:t>
            </w:r>
            <w:r>
              <w:rPr>
                <w:rFonts w:hint="eastAsia" w:ascii="宋体" w:hAnsi="宋体" w:cs="宋体"/>
                <w:color w:val="auto"/>
                <w:szCs w:val="21"/>
                <w:highlight w:val="none"/>
              </w:rPr>
              <w:t>；</w:t>
            </w:r>
          </w:p>
          <w:p w14:paraId="4779258C">
            <w:pPr>
              <w:adjustRightInd w:val="0"/>
              <w:snapToGrid w:val="0"/>
              <w:spacing w:line="360" w:lineRule="auto"/>
              <w:ind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3.最近三年至少有2年盈利。</w:t>
            </w:r>
          </w:p>
        </w:tc>
      </w:tr>
    </w:tbl>
    <w:p w14:paraId="4F1E2FCE">
      <w:pPr>
        <w:keepNext w:val="0"/>
        <w:keepLines w:val="0"/>
        <w:pageBreakBefore w:val="0"/>
        <w:widowControl w:val="0"/>
        <w:kinsoku/>
        <w:wordWrap/>
        <w:overflowPunct/>
        <w:topLinePunct w:val="0"/>
        <w:autoSpaceDE/>
        <w:autoSpaceDN/>
        <w:bidi w:val="0"/>
        <w:adjustRightInd/>
        <w:snapToGrid/>
        <w:spacing w:line="360" w:lineRule="auto"/>
        <w:ind w:left="419" w:hanging="489" w:hangingChars="233"/>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049C8B65">
      <w:pPr>
        <w:keepNext w:val="0"/>
        <w:keepLines w:val="0"/>
        <w:pageBreakBefore w:val="0"/>
        <w:widowControl w:val="0"/>
        <w:kinsoku/>
        <w:wordWrap/>
        <w:overflowPunct/>
        <w:topLinePunct w:val="0"/>
        <w:autoSpaceDE/>
        <w:autoSpaceDN/>
        <w:bidi w:val="0"/>
        <w:adjustRightInd/>
        <w:snapToGrid/>
        <w:spacing w:line="360" w:lineRule="auto"/>
        <w:ind w:left="485" w:leftChars="174" w:hanging="67" w:hangingChars="32"/>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近三年指20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年。</w:t>
      </w:r>
    </w:p>
    <w:p w14:paraId="03C5B8FD">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firstLine="0" w:firstLineChars="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投标人应根据招标文件“投标人须知前附表”第 3.5.2项的要求附相关证明材料。</w:t>
      </w:r>
    </w:p>
    <w:p w14:paraId="25500504">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firstLine="0" w:firstLineChars="0"/>
        <w:textAlignment w:val="auto"/>
        <w:rPr>
          <w:rFonts w:hint="default" w:hAnsi="宋体" w:cs="宋体"/>
          <w:color w:val="auto"/>
          <w:sz w:val="21"/>
          <w:szCs w:val="21"/>
          <w:highlight w:val="none"/>
          <w:lang w:val="en-US" w:eastAsia="zh-CN"/>
        </w:rPr>
      </w:pPr>
      <w:r>
        <w:rPr>
          <w:rFonts w:hint="default" w:hAnsi="宋体" w:cs="宋体"/>
          <w:color w:val="auto"/>
          <w:sz w:val="21"/>
          <w:szCs w:val="21"/>
          <w:highlight w:val="none"/>
          <w:lang w:val="en-US" w:eastAsia="zh-CN"/>
        </w:rPr>
        <w:t>若投标人的成立时间只有</w:t>
      </w:r>
      <w:r>
        <w:rPr>
          <w:rFonts w:hint="eastAsia" w:hAnsi="宋体" w:cs="宋体"/>
          <w:color w:val="auto"/>
          <w:sz w:val="21"/>
          <w:szCs w:val="21"/>
          <w:highlight w:val="none"/>
          <w:lang w:val="en-US" w:eastAsia="zh-CN"/>
        </w:rPr>
        <w:t>两</w:t>
      </w:r>
      <w:r>
        <w:rPr>
          <w:rFonts w:hint="default" w:hAnsi="宋体" w:cs="宋体"/>
          <w:color w:val="auto"/>
          <w:sz w:val="21"/>
          <w:szCs w:val="21"/>
          <w:highlight w:val="none"/>
          <w:lang w:val="en-US" w:eastAsia="zh-CN"/>
        </w:rPr>
        <w:t>年，则投标人</w:t>
      </w:r>
      <w:r>
        <w:rPr>
          <w:rFonts w:hint="eastAsia" w:hAnsi="宋体" w:cs="宋体"/>
          <w:color w:val="auto"/>
          <w:sz w:val="21"/>
          <w:szCs w:val="21"/>
          <w:highlight w:val="none"/>
          <w:lang w:val="en-US" w:eastAsia="zh-CN"/>
        </w:rPr>
        <w:t>两</w:t>
      </w:r>
      <w:r>
        <w:rPr>
          <w:rFonts w:hint="default" w:hAnsi="宋体" w:cs="宋体"/>
          <w:color w:val="auto"/>
          <w:sz w:val="21"/>
          <w:szCs w:val="21"/>
          <w:highlight w:val="none"/>
          <w:lang w:val="en-US" w:eastAsia="zh-CN"/>
        </w:rPr>
        <w:t>年均须盈利，否则按否决其投标处理；若投标人的成立时间不足二年，按否决其投标处理。</w:t>
      </w:r>
    </w:p>
    <w:p w14:paraId="214D15B1">
      <w:pPr>
        <w:keepNext/>
        <w:spacing w:before="240" w:after="240"/>
        <w:jc w:val="center"/>
        <w:outlineLvl w:val="0"/>
        <w:rPr>
          <w:rFonts w:eastAsia="黑体"/>
          <w:b/>
          <w:bCs/>
          <w:color w:val="auto"/>
          <w:kern w:val="44"/>
          <w:sz w:val="44"/>
          <w:szCs w:val="44"/>
          <w:highlight w:val="none"/>
        </w:rPr>
      </w:pPr>
      <w:r>
        <w:rPr>
          <w:rFonts w:hint="eastAsia" w:ascii="宋体" w:hAnsi="宋体" w:cs="宋体"/>
          <w:color w:val="auto"/>
          <w:sz w:val="18"/>
          <w:szCs w:val="18"/>
          <w:highlight w:val="none"/>
        </w:rPr>
        <w:br w:type="page"/>
      </w:r>
      <w:bookmarkStart w:id="4" w:name="_Toc328041281"/>
      <w:bookmarkEnd w:id="4"/>
      <w:bookmarkStart w:id="5" w:name="_Toc343507777"/>
      <w:bookmarkEnd w:id="5"/>
      <w:bookmarkStart w:id="6" w:name="_Toc346891119"/>
      <w:bookmarkEnd w:id="6"/>
      <w:bookmarkStart w:id="7" w:name="_Toc424140027"/>
      <w:bookmarkStart w:id="8" w:name="_Toc20379"/>
      <w:r>
        <w:rPr>
          <w:rFonts w:hint="eastAsia" w:ascii="黑体" w:hAnsi="黑体" w:eastAsia="黑体"/>
          <w:color w:val="auto"/>
          <w:sz w:val="28"/>
          <w:szCs w:val="28"/>
          <w:highlight w:val="none"/>
        </w:rPr>
        <w:t>附录3  资格审查条件(业绩最低要求)</w:t>
      </w:r>
      <w:bookmarkEnd w:id="7"/>
      <w:bookmarkEnd w:id="8"/>
    </w:p>
    <w:tbl>
      <w:tblPr>
        <w:tblStyle w:val="9"/>
        <w:tblW w:w="0" w:type="auto"/>
        <w:jc w:val="center"/>
        <w:tblLayout w:type="fixed"/>
        <w:tblCellMar>
          <w:top w:w="0" w:type="dxa"/>
          <w:left w:w="108" w:type="dxa"/>
          <w:bottom w:w="0" w:type="dxa"/>
          <w:right w:w="108" w:type="dxa"/>
        </w:tblCellMar>
      </w:tblPr>
      <w:tblGrid>
        <w:gridCol w:w="9423"/>
      </w:tblGrid>
      <w:tr w14:paraId="46835672">
        <w:tblPrEx>
          <w:tblCellMar>
            <w:top w:w="0" w:type="dxa"/>
            <w:left w:w="108" w:type="dxa"/>
            <w:bottom w:w="0" w:type="dxa"/>
            <w:right w:w="108" w:type="dxa"/>
          </w:tblCellMar>
        </w:tblPrEx>
        <w:trPr>
          <w:cantSplit/>
          <w:trHeight w:val="563" w:hRule="atLeast"/>
          <w:jc w:val="center"/>
        </w:trPr>
        <w:tc>
          <w:tcPr>
            <w:tcW w:w="9423" w:type="dxa"/>
            <w:tcBorders>
              <w:top w:val="single" w:color="auto" w:sz="4" w:space="0"/>
              <w:left w:val="single" w:color="auto" w:sz="4" w:space="0"/>
              <w:bottom w:val="single" w:color="auto" w:sz="4" w:space="0"/>
              <w:right w:val="single" w:color="auto" w:sz="4" w:space="0"/>
            </w:tcBorders>
            <w:noWrap w:val="0"/>
            <w:vAlign w:val="center"/>
          </w:tcPr>
          <w:p w14:paraId="7504C623">
            <w:pPr>
              <w:adjustRightInd w:val="0"/>
              <w:snapToGrid w:val="0"/>
              <w:spacing w:line="400" w:lineRule="atLeast"/>
              <w:jc w:val="center"/>
              <w:rPr>
                <w:b/>
                <w:bCs/>
                <w:color w:val="auto"/>
                <w:szCs w:val="21"/>
                <w:highlight w:val="none"/>
              </w:rPr>
            </w:pPr>
            <w:r>
              <w:rPr>
                <w:b/>
                <w:bCs/>
                <w:color w:val="auto"/>
                <w:szCs w:val="21"/>
                <w:highlight w:val="none"/>
              </w:rPr>
              <w:t>业</w:t>
            </w:r>
            <w:r>
              <w:rPr>
                <w:rFonts w:hint="eastAsia"/>
                <w:b/>
                <w:bCs/>
                <w:color w:val="auto"/>
                <w:szCs w:val="21"/>
                <w:highlight w:val="none"/>
              </w:rPr>
              <w:t xml:space="preserve"> </w:t>
            </w:r>
            <w:r>
              <w:rPr>
                <w:b/>
                <w:bCs/>
                <w:color w:val="auto"/>
                <w:szCs w:val="21"/>
                <w:highlight w:val="none"/>
              </w:rPr>
              <w:t>绩</w:t>
            </w:r>
            <w:r>
              <w:rPr>
                <w:rFonts w:hint="eastAsia"/>
                <w:b/>
                <w:bCs/>
                <w:color w:val="auto"/>
                <w:szCs w:val="21"/>
                <w:highlight w:val="none"/>
              </w:rPr>
              <w:t xml:space="preserve"> </w:t>
            </w:r>
            <w:r>
              <w:rPr>
                <w:b/>
                <w:bCs/>
                <w:color w:val="auto"/>
                <w:szCs w:val="21"/>
                <w:highlight w:val="none"/>
              </w:rPr>
              <w:t>要</w:t>
            </w:r>
            <w:r>
              <w:rPr>
                <w:rFonts w:hint="eastAsia"/>
                <w:b/>
                <w:bCs/>
                <w:color w:val="auto"/>
                <w:szCs w:val="21"/>
                <w:highlight w:val="none"/>
              </w:rPr>
              <w:t xml:space="preserve"> </w:t>
            </w:r>
            <w:r>
              <w:rPr>
                <w:b/>
                <w:bCs/>
                <w:color w:val="auto"/>
                <w:szCs w:val="21"/>
                <w:highlight w:val="none"/>
              </w:rPr>
              <w:t>求</w:t>
            </w:r>
          </w:p>
        </w:tc>
      </w:tr>
      <w:tr w14:paraId="5E605D66">
        <w:tblPrEx>
          <w:tblCellMar>
            <w:top w:w="0" w:type="dxa"/>
            <w:left w:w="108" w:type="dxa"/>
            <w:bottom w:w="0" w:type="dxa"/>
            <w:right w:w="108" w:type="dxa"/>
          </w:tblCellMar>
        </w:tblPrEx>
        <w:trPr>
          <w:cantSplit/>
          <w:trHeight w:val="2133" w:hRule="atLeast"/>
          <w:jc w:val="center"/>
        </w:trPr>
        <w:tc>
          <w:tcPr>
            <w:tcW w:w="9423" w:type="dxa"/>
            <w:tcBorders>
              <w:top w:val="single" w:color="auto" w:sz="4" w:space="0"/>
              <w:left w:val="single" w:color="auto" w:sz="4" w:space="0"/>
              <w:bottom w:val="single" w:color="auto" w:sz="4" w:space="0"/>
              <w:right w:val="single" w:color="auto" w:sz="4" w:space="0"/>
            </w:tcBorders>
            <w:noWrap w:val="0"/>
            <w:vAlign w:val="center"/>
          </w:tcPr>
          <w:p w14:paraId="12FB0A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Cs w:val="21"/>
                <w:highlight w:val="none"/>
              </w:rPr>
            </w:pPr>
            <w:r>
              <w:rPr>
                <w:rFonts w:hint="eastAsia" w:ascii="宋体" w:hAnsi="宋体"/>
                <w:color w:val="auto"/>
                <w:kern w:val="0"/>
                <w:szCs w:val="21"/>
                <w:highlight w:val="none"/>
              </w:rPr>
              <w:t>近五年</w:t>
            </w:r>
            <w:r>
              <w:rPr>
                <w:rFonts w:hint="eastAsia" w:ascii="宋体" w:hAnsi="宋体"/>
                <w:color w:val="auto"/>
                <w:kern w:val="0"/>
                <w:szCs w:val="21"/>
                <w:highlight w:val="none"/>
                <w:lang w:eastAsia="zh-CN"/>
              </w:rPr>
              <w:t>内独立</w:t>
            </w:r>
            <w:r>
              <w:rPr>
                <w:rFonts w:hint="eastAsia" w:ascii="宋体" w:hAnsi="宋体"/>
                <w:color w:val="auto"/>
                <w:kern w:val="0"/>
                <w:szCs w:val="21"/>
                <w:highlight w:val="none"/>
              </w:rPr>
              <w:t>完成</w:t>
            </w:r>
            <w:r>
              <w:rPr>
                <w:rFonts w:hint="eastAsia" w:ascii="宋体" w:hAnsi="宋体"/>
                <w:color w:val="auto"/>
                <w:kern w:val="0"/>
                <w:szCs w:val="21"/>
                <w:highlight w:val="none"/>
                <w:lang w:val="en-US" w:eastAsia="zh-CN"/>
              </w:rPr>
              <w:t>过</w:t>
            </w:r>
            <w:r>
              <w:rPr>
                <w:rFonts w:hint="eastAsia" w:ascii="宋体" w:hAnsi="宋体"/>
                <w:color w:val="auto"/>
                <w:kern w:val="0"/>
                <w:szCs w:val="21"/>
                <w:highlight w:val="none"/>
                <w:lang w:eastAsia="zh-CN"/>
              </w:rPr>
              <w:t>类似工程的</w:t>
            </w:r>
            <w:r>
              <w:rPr>
                <w:rFonts w:hint="eastAsia" w:ascii="宋体" w:hAnsi="宋体"/>
                <w:color w:val="auto"/>
                <w:kern w:val="0"/>
                <w:szCs w:val="21"/>
                <w:highlight w:val="none"/>
              </w:rPr>
              <w:t>通信管线迁改</w:t>
            </w:r>
            <w:r>
              <w:rPr>
                <w:rFonts w:hint="eastAsia" w:ascii="宋体" w:hAnsi="宋体"/>
                <w:color w:val="auto"/>
                <w:kern w:val="0"/>
                <w:szCs w:val="21"/>
                <w:highlight w:val="none"/>
                <w:lang w:eastAsia="zh-CN"/>
              </w:rPr>
              <w:t>任务</w:t>
            </w:r>
            <w:r>
              <w:rPr>
                <w:rFonts w:hint="eastAsia" w:ascii="宋体" w:hAnsi="宋体"/>
                <w:color w:val="auto"/>
                <w:kern w:val="0"/>
                <w:szCs w:val="21"/>
                <w:highlight w:val="none"/>
              </w:rPr>
              <w:t>，累计合同金额</w:t>
            </w:r>
            <w:r>
              <w:rPr>
                <w:rFonts w:hint="eastAsia" w:ascii="宋体" w:hAnsi="宋体"/>
                <w:color w:val="auto"/>
                <w:kern w:val="0"/>
                <w:szCs w:val="21"/>
                <w:highlight w:val="none"/>
                <w:lang w:eastAsia="zh-CN"/>
              </w:rPr>
              <w:t>为</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000万元以上</w:t>
            </w:r>
            <w:r>
              <w:rPr>
                <w:rFonts w:hint="eastAsia" w:ascii="宋体" w:hAnsi="宋体"/>
                <w:color w:val="auto"/>
                <w:kern w:val="0"/>
                <w:szCs w:val="21"/>
                <w:highlight w:val="none"/>
                <w:lang w:eastAsia="zh-CN"/>
              </w:rPr>
              <w:t>且至少</w:t>
            </w:r>
            <w:r>
              <w:rPr>
                <w:rFonts w:hint="eastAsia" w:ascii="宋体" w:hAnsi="宋体"/>
                <w:color w:val="auto"/>
                <w:kern w:val="0"/>
                <w:szCs w:val="21"/>
                <w:highlight w:val="none"/>
                <w:lang w:val="en-US" w:eastAsia="zh-CN"/>
              </w:rPr>
              <w:t>1个合同金额不少于2000万元。</w:t>
            </w:r>
          </w:p>
        </w:tc>
      </w:tr>
    </w:tbl>
    <w:p w14:paraId="325C02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A06FA1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近五年指20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月1日至投标文件递交之日止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业绩</w:t>
      </w:r>
      <w:r>
        <w:rPr>
          <w:rFonts w:hint="eastAsia" w:ascii="宋体" w:hAnsi="宋体" w:cs="宋体"/>
          <w:color w:val="auto"/>
          <w:sz w:val="21"/>
          <w:szCs w:val="21"/>
          <w:highlight w:val="none"/>
          <w:lang w:eastAsia="zh-CN"/>
        </w:rPr>
        <w:t>时间以合同签订时间为准。</w:t>
      </w:r>
    </w:p>
    <w:p w14:paraId="526458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kern w:val="0"/>
          <w:sz w:val="21"/>
          <w:szCs w:val="21"/>
          <w:highlight w:val="none"/>
          <w:lang w:eastAsia="zh-CN"/>
        </w:rPr>
      </w:pPr>
      <w:r>
        <w:rPr>
          <w:rFonts w:hint="eastAsia" w:ascii="宋体" w:hAnsi="宋体"/>
          <w:color w:val="auto"/>
          <w:sz w:val="21"/>
          <w:szCs w:val="21"/>
          <w:highlight w:val="none"/>
          <w:lang w:val="en-US" w:eastAsia="zh-CN"/>
        </w:rPr>
        <w:t>2.类似工程指</w:t>
      </w:r>
      <w:r>
        <w:rPr>
          <w:rFonts w:hint="eastAsia" w:ascii="宋体" w:hAnsi="宋体"/>
          <w:color w:val="auto"/>
          <w:kern w:val="0"/>
          <w:sz w:val="21"/>
          <w:szCs w:val="21"/>
          <w:highlight w:val="none"/>
        </w:rPr>
        <w:t>高速公路</w:t>
      </w:r>
      <w:r>
        <w:rPr>
          <w:rFonts w:hint="eastAsia" w:ascii="宋体" w:hAnsi="宋体"/>
          <w:color w:val="auto"/>
          <w:kern w:val="0"/>
          <w:sz w:val="21"/>
          <w:szCs w:val="21"/>
          <w:highlight w:val="none"/>
          <w:lang w:eastAsia="zh-CN"/>
        </w:rPr>
        <w:t>或</w:t>
      </w:r>
      <w:r>
        <w:rPr>
          <w:rFonts w:hint="eastAsia" w:ascii="宋体" w:hAnsi="宋体"/>
          <w:color w:val="auto"/>
          <w:kern w:val="0"/>
          <w:sz w:val="21"/>
          <w:szCs w:val="21"/>
          <w:highlight w:val="none"/>
        </w:rPr>
        <w:t>轨道交通</w:t>
      </w:r>
      <w:r>
        <w:rPr>
          <w:rFonts w:hint="eastAsia" w:ascii="宋体" w:hAnsi="宋体"/>
          <w:color w:val="auto"/>
          <w:kern w:val="0"/>
          <w:sz w:val="21"/>
          <w:szCs w:val="21"/>
          <w:highlight w:val="none"/>
          <w:lang w:eastAsia="zh-CN"/>
        </w:rPr>
        <w:t>。</w:t>
      </w:r>
    </w:p>
    <w:p w14:paraId="0C33883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olor w:val="auto"/>
          <w:sz w:val="21"/>
          <w:szCs w:val="21"/>
          <w:highlight w:val="none"/>
        </w:rPr>
        <w:t>投标人应根据招标文件“投标人须知</w:t>
      </w:r>
      <w:r>
        <w:rPr>
          <w:rFonts w:hint="eastAsia" w:ascii="宋体" w:hAnsi="宋体"/>
          <w:color w:val="auto"/>
          <w:sz w:val="21"/>
          <w:szCs w:val="21"/>
          <w:highlight w:val="none"/>
          <w:lang w:val="en-US" w:eastAsia="zh-CN"/>
        </w:rPr>
        <w:t>前附表</w:t>
      </w:r>
      <w:r>
        <w:rPr>
          <w:rFonts w:hint="eastAsia" w:ascii="宋体" w:hAnsi="宋体"/>
          <w:color w:val="auto"/>
          <w:sz w:val="21"/>
          <w:szCs w:val="21"/>
          <w:highlight w:val="none"/>
        </w:rPr>
        <w:t>”第 3.5.3 项的要求附相关证明材料。</w:t>
      </w:r>
    </w:p>
    <w:p w14:paraId="4C401C45">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eastAsia="宋体"/>
          <w:sz w:val="21"/>
          <w:szCs w:val="21"/>
          <w:highlight w:val="none"/>
          <w:lang w:val="en-US" w:eastAsia="zh-CN"/>
        </w:rPr>
      </w:pPr>
      <w:r>
        <w:rPr>
          <w:rFonts w:hint="eastAsia"/>
          <w:sz w:val="21"/>
          <w:szCs w:val="21"/>
          <w:highlight w:val="none"/>
          <w:lang w:val="en-US" w:eastAsia="zh-CN"/>
        </w:rPr>
        <w:t>4.联合体及分包业绩不予计算。</w:t>
      </w:r>
    </w:p>
    <w:p w14:paraId="3B4204A5">
      <w:pPr>
        <w:spacing w:line="240" w:lineRule="auto"/>
        <w:ind w:left="0" w:leftChars="0" w:firstLine="0" w:firstLineChars="0"/>
        <w:rPr>
          <w:rFonts w:hint="eastAsia" w:ascii="宋体" w:hAnsi="宋体" w:cs="宋体"/>
          <w:color w:val="auto"/>
          <w:sz w:val="24"/>
          <w:szCs w:val="24"/>
          <w:highlight w:val="none"/>
        </w:rPr>
      </w:pPr>
    </w:p>
    <w:p w14:paraId="143FDF53">
      <w:pPr>
        <w:spacing w:line="360" w:lineRule="atLeast"/>
        <w:ind w:firstLine="480" w:firstLineChars="200"/>
        <w:rPr>
          <w:rFonts w:hint="eastAsia" w:ascii="宋体" w:hAnsi="宋体"/>
          <w:color w:val="auto"/>
          <w:highlight w:val="none"/>
        </w:rPr>
      </w:pPr>
      <w:r>
        <w:rPr>
          <w:rFonts w:hint="eastAsia" w:ascii="宋体" w:hAnsi="宋体"/>
          <w:color w:val="auto"/>
          <w:highlight w:val="none"/>
        </w:rPr>
        <w:t xml:space="preserve"> </w:t>
      </w:r>
    </w:p>
    <w:p w14:paraId="2A526764">
      <w:pPr>
        <w:keepNext/>
        <w:spacing w:before="240" w:after="240"/>
        <w:jc w:val="center"/>
        <w:outlineLvl w:val="0"/>
        <w:rPr>
          <w:rFonts w:ascii="宋体" w:hAnsi="宋体" w:eastAsia="黑体"/>
          <w:color w:val="auto"/>
          <w:sz w:val="28"/>
          <w:szCs w:val="28"/>
          <w:highlight w:val="none"/>
        </w:rPr>
      </w:pPr>
      <w:bookmarkStart w:id="9" w:name="_Toc424140028"/>
      <w:bookmarkEnd w:id="9"/>
      <w:bookmarkStart w:id="10" w:name="_Toc346891120"/>
      <w:bookmarkEnd w:id="10"/>
      <w:bookmarkStart w:id="11" w:name="_Toc328041282"/>
      <w:bookmarkEnd w:id="11"/>
      <w:bookmarkStart w:id="12" w:name="_Toc29570"/>
      <w:r>
        <w:rPr>
          <w:rFonts w:hint="eastAsia" w:ascii="黑体" w:hAnsi="黑体" w:eastAsia="黑体"/>
          <w:color w:val="auto"/>
          <w:sz w:val="28"/>
          <w:szCs w:val="28"/>
          <w:highlight w:val="none"/>
        </w:rPr>
        <w:t>附录</w:t>
      </w:r>
      <w:r>
        <w:rPr>
          <w:rFonts w:hint="eastAsia" w:ascii="宋体" w:hAnsi="宋体" w:eastAsia="黑体"/>
          <w:color w:val="auto"/>
          <w:sz w:val="28"/>
          <w:szCs w:val="28"/>
          <w:highlight w:val="none"/>
        </w:rPr>
        <w:t xml:space="preserve">4  </w:t>
      </w:r>
      <w:r>
        <w:rPr>
          <w:rFonts w:hint="eastAsia" w:ascii="黑体" w:hAnsi="黑体" w:eastAsia="黑体"/>
          <w:color w:val="auto"/>
          <w:sz w:val="28"/>
          <w:szCs w:val="28"/>
          <w:highlight w:val="none"/>
        </w:rPr>
        <w:t>资格审查条件</w:t>
      </w:r>
      <w:r>
        <w:rPr>
          <w:rFonts w:hint="eastAsia" w:ascii="宋体" w:hAnsi="宋体"/>
          <w:color w:val="auto"/>
          <w:sz w:val="28"/>
          <w:szCs w:val="28"/>
          <w:highlight w:val="none"/>
        </w:rPr>
        <w:t>(</w:t>
      </w:r>
      <w:r>
        <w:rPr>
          <w:rFonts w:hint="eastAsia" w:ascii="黑体" w:hAnsi="黑体" w:eastAsia="黑体"/>
          <w:color w:val="auto"/>
          <w:sz w:val="28"/>
          <w:szCs w:val="28"/>
          <w:highlight w:val="none"/>
        </w:rPr>
        <w:t>信誉最低要求</w:t>
      </w:r>
      <w:r>
        <w:rPr>
          <w:rFonts w:hint="eastAsia" w:ascii="宋体" w:hAnsi="宋体"/>
          <w:color w:val="auto"/>
          <w:sz w:val="28"/>
          <w:szCs w:val="28"/>
          <w:highlight w:val="none"/>
        </w:rPr>
        <w:t>)</w:t>
      </w:r>
      <w:bookmarkEnd w:id="12"/>
    </w:p>
    <w:tbl>
      <w:tblPr>
        <w:tblStyle w:val="9"/>
        <w:tblW w:w="0" w:type="auto"/>
        <w:jc w:val="center"/>
        <w:tblLayout w:type="fixed"/>
        <w:tblCellMar>
          <w:top w:w="0" w:type="dxa"/>
          <w:left w:w="108" w:type="dxa"/>
          <w:bottom w:w="0" w:type="dxa"/>
          <w:right w:w="108" w:type="dxa"/>
        </w:tblCellMar>
      </w:tblPr>
      <w:tblGrid>
        <w:gridCol w:w="9470"/>
      </w:tblGrid>
      <w:tr w14:paraId="1D0C4F63">
        <w:tblPrEx>
          <w:tblCellMar>
            <w:top w:w="0" w:type="dxa"/>
            <w:left w:w="108" w:type="dxa"/>
            <w:bottom w:w="0" w:type="dxa"/>
            <w:right w:w="108" w:type="dxa"/>
          </w:tblCellMar>
        </w:tblPrEx>
        <w:trPr>
          <w:cantSplit/>
          <w:trHeight w:val="670" w:hRule="atLeast"/>
          <w:jc w:val="center"/>
        </w:trPr>
        <w:tc>
          <w:tcPr>
            <w:tcW w:w="9470" w:type="dxa"/>
            <w:tcBorders>
              <w:top w:val="single" w:color="auto" w:sz="4" w:space="0"/>
              <w:left w:val="single" w:color="auto" w:sz="4" w:space="0"/>
              <w:bottom w:val="single" w:color="auto" w:sz="4" w:space="0"/>
              <w:right w:val="single" w:color="auto" w:sz="4" w:space="0"/>
            </w:tcBorders>
            <w:noWrap w:val="0"/>
            <w:vAlign w:val="center"/>
          </w:tcPr>
          <w:p w14:paraId="76F4363E">
            <w:pPr>
              <w:adjustRightInd w:val="0"/>
              <w:snapToGrid w:val="0"/>
              <w:spacing w:line="400" w:lineRule="atLeast"/>
              <w:jc w:val="center"/>
              <w:rPr>
                <w:color w:val="auto"/>
                <w:szCs w:val="21"/>
                <w:highlight w:val="none"/>
              </w:rPr>
            </w:pPr>
            <w:r>
              <w:rPr>
                <w:color w:val="auto"/>
                <w:szCs w:val="21"/>
                <w:highlight w:val="none"/>
              </w:rPr>
              <w:t>信 誉 要 求</w:t>
            </w:r>
          </w:p>
        </w:tc>
      </w:tr>
      <w:tr w14:paraId="46937066">
        <w:tblPrEx>
          <w:tblCellMar>
            <w:top w:w="0" w:type="dxa"/>
            <w:left w:w="108" w:type="dxa"/>
            <w:bottom w:w="0" w:type="dxa"/>
            <w:right w:w="108" w:type="dxa"/>
          </w:tblCellMar>
        </w:tblPrEx>
        <w:trPr>
          <w:cantSplit/>
          <w:trHeight w:val="2334" w:hRule="atLeast"/>
          <w:jc w:val="center"/>
        </w:trPr>
        <w:tc>
          <w:tcPr>
            <w:tcW w:w="9470" w:type="dxa"/>
            <w:tcBorders>
              <w:top w:val="single" w:color="auto" w:sz="4" w:space="0"/>
              <w:left w:val="single" w:color="auto" w:sz="4" w:space="0"/>
              <w:bottom w:val="single" w:color="auto" w:sz="4" w:space="0"/>
              <w:right w:val="single" w:color="auto" w:sz="4" w:space="0"/>
            </w:tcBorders>
            <w:noWrap w:val="0"/>
            <w:vAlign w:val="center"/>
          </w:tcPr>
          <w:p w14:paraId="4D273DAB">
            <w:pPr>
              <w:adjustRightInd w:val="0"/>
              <w:snapToGrid w:val="0"/>
              <w:spacing w:line="360" w:lineRule="auto"/>
              <w:ind w:left="422" w:leftChars="176"/>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1．投标人未处于被责令停业，财产被接管、冻结、破产状态；</w:t>
            </w:r>
          </w:p>
          <w:p w14:paraId="62BA00C6">
            <w:pPr>
              <w:adjustRightInd w:val="0"/>
              <w:snapToGrid w:val="0"/>
              <w:spacing w:line="360" w:lineRule="auto"/>
              <w:ind w:left="422" w:leftChars="176"/>
              <w:rPr>
                <w:rFonts w:hint="eastAsia" w:eastAsia="宋体"/>
                <w:color w:val="auto"/>
                <w:szCs w:val="21"/>
                <w:highlight w:val="none"/>
                <w:lang w:eastAsia="zh-CN"/>
              </w:rPr>
            </w:pPr>
            <w:r>
              <w:rPr>
                <w:rFonts w:hint="eastAsia" w:ascii="宋体" w:hAnsi="宋体" w:cs="宋体"/>
                <w:color w:val="auto"/>
                <w:szCs w:val="21"/>
                <w:highlight w:val="none"/>
              </w:rPr>
              <w:t>2．未被交通运输部、广东省交通运输厅通报并取消相应投标资格（处在有效期内）</w:t>
            </w:r>
            <w:r>
              <w:rPr>
                <w:rFonts w:hint="eastAsia" w:ascii="宋体" w:hAnsi="宋体" w:cs="宋体"/>
                <w:color w:val="auto"/>
                <w:szCs w:val="21"/>
                <w:highlight w:val="none"/>
                <w:lang w:eastAsia="zh-CN"/>
              </w:rPr>
              <w:t>。</w:t>
            </w:r>
          </w:p>
        </w:tc>
      </w:tr>
    </w:tbl>
    <w:p w14:paraId="0FB4A7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1"/>
          <w:szCs w:val="21"/>
          <w:highlight w:val="none"/>
          <w:lang w:val="en-US" w:eastAsia="zh-CN"/>
        </w:rPr>
      </w:pPr>
      <w:bookmarkStart w:id="13" w:name="_Toc424140029"/>
      <w:bookmarkEnd w:id="13"/>
      <w:bookmarkStart w:id="14" w:name="_Toc343507779"/>
      <w:bookmarkEnd w:id="14"/>
      <w:bookmarkStart w:id="15" w:name="_Toc328041283"/>
      <w:bookmarkEnd w:id="15"/>
      <w:r>
        <w:rPr>
          <w:rFonts w:hint="eastAsia" w:ascii="宋体" w:hAnsi="宋体" w:eastAsia="宋体" w:cs="Times New Roman"/>
          <w:color w:val="auto"/>
          <w:sz w:val="21"/>
          <w:szCs w:val="21"/>
          <w:highlight w:val="none"/>
          <w:lang w:val="en-US" w:eastAsia="zh-CN"/>
        </w:rPr>
        <w:t>注：</w:t>
      </w:r>
    </w:p>
    <w:p w14:paraId="037782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sz w:val="21"/>
          <w:szCs w:val="21"/>
          <w:highlight w:val="none"/>
          <w:lang w:val="en-US" w:eastAsia="zh-CN"/>
        </w:rPr>
      </w:pPr>
      <w:r>
        <w:rPr>
          <w:rFonts w:hint="eastAsia" w:ascii="宋体" w:hAnsi="宋体" w:eastAsia="宋体" w:cs="Times New Roman"/>
          <w:color w:val="auto"/>
          <w:sz w:val="21"/>
          <w:szCs w:val="21"/>
          <w:highlight w:val="none"/>
          <w:lang w:val="en-US" w:eastAsia="zh-CN"/>
        </w:rPr>
        <w:t>1.投标人应根据“投标文件格式”中“资格审查资料”的“投标人的信誉情况表”填写情况说明，如不存在问题则填写“无”。</w:t>
      </w:r>
    </w:p>
    <w:p w14:paraId="27FA9FDC">
      <w:pPr>
        <w:bidi w:val="0"/>
        <w:rPr>
          <w:rFonts w:hint="eastAsia"/>
        </w:rPr>
      </w:pPr>
    </w:p>
    <w:p w14:paraId="3733F83E">
      <w:pPr>
        <w:pStyle w:val="3"/>
        <w:bidi w:val="0"/>
        <w:rPr>
          <w:rFonts w:hint="eastAsia" w:ascii="宋体" w:hAnsi="宋体" w:eastAsia="黑体"/>
          <w:color w:val="auto"/>
          <w:szCs w:val="28"/>
          <w:highlight w:val="none"/>
        </w:rPr>
      </w:pPr>
      <w:r>
        <w:rPr>
          <w:rFonts w:hint="eastAsia"/>
        </w:rPr>
        <w:br w:type="page"/>
      </w:r>
      <w:bookmarkStart w:id="16" w:name="_Toc3177"/>
      <w:r>
        <w:rPr>
          <w:rFonts w:hint="eastAsia"/>
        </w:rPr>
        <w:t>附录5  资格审查条件(</w:t>
      </w:r>
      <w:r>
        <w:rPr>
          <w:rFonts w:hint="eastAsia"/>
          <w:lang w:val="en-US" w:eastAsia="zh-CN"/>
        </w:rPr>
        <w:t>项目经理和项目总工</w:t>
      </w:r>
      <w:r>
        <w:rPr>
          <w:rFonts w:hint="eastAsia"/>
        </w:rPr>
        <w:t>最低要求)</w:t>
      </w:r>
      <w:bookmarkEnd w:id="16"/>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740"/>
        <w:gridCol w:w="6135"/>
      </w:tblGrid>
      <w:tr w14:paraId="1957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0" w:type="dxa"/>
            <w:vMerge w:val="restart"/>
            <w:noWrap w:val="0"/>
            <w:vAlign w:val="center"/>
          </w:tcPr>
          <w:p w14:paraId="52E116BC">
            <w:pPr>
              <w:adjustRightInd w:val="0"/>
              <w:snapToGrid w:val="0"/>
              <w:spacing w:line="300" w:lineRule="auto"/>
              <w:jc w:val="center"/>
              <w:rPr>
                <w:rFonts w:ascii="宋体" w:hAnsi="宋体"/>
                <w:b/>
                <w:color w:val="auto"/>
                <w:szCs w:val="21"/>
                <w:highlight w:val="none"/>
              </w:rPr>
            </w:pPr>
            <w:r>
              <w:rPr>
                <w:rFonts w:hint="eastAsia" w:ascii="宋体" w:hAnsi="宋体"/>
                <w:b/>
                <w:color w:val="auto"/>
                <w:szCs w:val="21"/>
                <w:highlight w:val="none"/>
              </w:rPr>
              <w:t>人员</w:t>
            </w:r>
          </w:p>
        </w:tc>
        <w:tc>
          <w:tcPr>
            <w:tcW w:w="1740" w:type="dxa"/>
            <w:vMerge w:val="restart"/>
            <w:noWrap w:val="0"/>
            <w:vAlign w:val="center"/>
          </w:tcPr>
          <w:p w14:paraId="38A2A14F">
            <w:pPr>
              <w:adjustRightInd w:val="0"/>
              <w:snapToGrid w:val="0"/>
              <w:spacing w:line="300" w:lineRule="auto"/>
              <w:jc w:val="center"/>
              <w:rPr>
                <w:rFonts w:ascii="宋体" w:hAnsi="宋体"/>
                <w:b/>
                <w:color w:val="auto"/>
                <w:szCs w:val="21"/>
                <w:highlight w:val="none"/>
              </w:rPr>
            </w:pPr>
            <w:r>
              <w:rPr>
                <w:rFonts w:hint="eastAsia" w:ascii="宋体" w:hAnsi="宋体"/>
                <w:b/>
                <w:color w:val="auto"/>
                <w:szCs w:val="21"/>
                <w:highlight w:val="none"/>
              </w:rPr>
              <w:t>最低数量要求</w:t>
            </w:r>
          </w:p>
        </w:tc>
        <w:tc>
          <w:tcPr>
            <w:tcW w:w="6135" w:type="dxa"/>
            <w:vMerge w:val="restart"/>
            <w:noWrap w:val="0"/>
            <w:vAlign w:val="center"/>
          </w:tcPr>
          <w:p w14:paraId="7B8755E6">
            <w:pPr>
              <w:adjustRightInd w:val="0"/>
              <w:snapToGrid w:val="0"/>
              <w:spacing w:line="300" w:lineRule="auto"/>
              <w:jc w:val="center"/>
              <w:rPr>
                <w:rFonts w:ascii="宋体" w:hAnsi="宋体"/>
                <w:b/>
                <w:color w:val="auto"/>
                <w:szCs w:val="21"/>
                <w:highlight w:val="none"/>
              </w:rPr>
            </w:pPr>
            <w:r>
              <w:rPr>
                <w:rFonts w:hint="eastAsia" w:ascii="宋体" w:hAnsi="宋体"/>
                <w:b/>
                <w:color w:val="auto"/>
                <w:szCs w:val="21"/>
                <w:highlight w:val="none"/>
              </w:rPr>
              <w:t>资</w:t>
            </w:r>
            <w:r>
              <w:rPr>
                <w:rFonts w:ascii="宋体" w:hAnsi="宋体"/>
                <w:b/>
                <w:color w:val="auto"/>
                <w:szCs w:val="21"/>
                <w:highlight w:val="none"/>
              </w:rPr>
              <w:t xml:space="preserve"> </w:t>
            </w:r>
            <w:r>
              <w:rPr>
                <w:rFonts w:hint="eastAsia" w:ascii="宋体" w:hAnsi="宋体"/>
                <w:b/>
                <w:color w:val="auto"/>
                <w:szCs w:val="21"/>
                <w:highlight w:val="none"/>
              </w:rPr>
              <w:t>质</w:t>
            </w:r>
            <w:r>
              <w:rPr>
                <w:rFonts w:ascii="宋体" w:hAnsi="宋体"/>
                <w:b/>
                <w:color w:val="auto"/>
                <w:szCs w:val="21"/>
                <w:highlight w:val="none"/>
              </w:rPr>
              <w:t xml:space="preserve"> </w:t>
            </w:r>
            <w:r>
              <w:rPr>
                <w:rFonts w:hint="eastAsia" w:ascii="宋体" w:hAnsi="宋体"/>
                <w:b/>
                <w:color w:val="auto"/>
                <w:szCs w:val="21"/>
                <w:highlight w:val="none"/>
              </w:rPr>
              <w:t>要</w:t>
            </w:r>
            <w:r>
              <w:rPr>
                <w:rFonts w:ascii="宋体" w:hAnsi="宋体"/>
                <w:b/>
                <w:color w:val="auto"/>
                <w:szCs w:val="21"/>
                <w:highlight w:val="none"/>
              </w:rPr>
              <w:t xml:space="preserve"> </w:t>
            </w:r>
            <w:r>
              <w:rPr>
                <w:rFonts w:hint="eastAsia" w:ascii="宋体" w:hAnsi="宋体"/>
                <w:b/>
                <w:color w:val="auto"/>
                <w:szCs w:val="21"/>
                <w:highlight w:val="none"/>
              </w:rPr>
              <w:t>求</w:t>
            </w:r>
          </w:p>
        </w:tc>
      </w:tr>
      <w:tr w14:paraId="4E3D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20" w:type="dxa"/>
            <w:vMerge w:val="continue"/>
            <w:noWrap w:val="0"/>
            <w:vAlign w:val="center"/>
          </w:tcPr>
          <w:p w14:paraId="47005BC8">
            <w:pPr>
              <w:widowControl/>
              <w:jc w:val="left"/>
              <w:rPr>
                <w:rFonts w:ascii="宋体" w:hAnsi="宋体" w:cs="宋体"/>
                <w:color w:val="auto"/>
                <w:kern w:val="0"/>
                <w:szCs w:val="21"/>
                <w:highlight w:val="none"/>
              </w:rPr>
            </w:pPr>
          </w:p>
        </w:tc>
        <w:tc>
          <w:tcPr>
            <w:tcW w:w="1740" w:type="dxa"/>
            <w:vMerge w:val="continue"/>
            <w:noWrap w:val="0"/>
            <w:vAlign w:val="center"/>
          </w:tcPr>
          <w:p w14:paraId="6D091ACB">
            <w:pPr>
              <w:widowControl/>
              <w:jc w:val="left"/>
              <w:rPr>
                <w:rFonts w:ascii="宋体" w:hAnsi="宋体" w:cs="宋体"/>
                <w:color w:val="auto"/>
                <w:kern w:val="0"/>
                <w:szCs w:val="21"/>
                <w:highlight w:val="none"/>
              </w:rPr>
            </w:pPr>
          </w:p>
        </w:tc>
        <w:tc>
          <w:tcPr>
            <w:tcW w:w="6135" w:type="dxa"/>
            <w:vMerge w:val="continue"/>
            <w:noWrap w:val="0"/>
            <w:vAlign w:val="center"/>
          </w:tcPr>
          <w:p w14:paraId="7405F69F">
            <w:pPr>
              <w:widowControl/>
              <w:jc w:val="left"/>
              <w:rPr>
                <w:rFonts w:ascii="宋体" w:hAnsi="宋体" w:cs="宋体"/>
                <w:color w:val="auto"/>
                <w:kern w:val="0"/>
                <w:szCs w:val="21"/>
                <w:highlight w:val="none"/>
              </w:rPr>
            </w:pPr>
          </w:p>
        </w:tc>
      </w:tr>
      <w:tr w14:paraId="5F4C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520" w:type="dxa"/>
            <w:noWrap w:val="0"/>
            <w:vAlign w:val="center"/>
          </w:tcPr>
          <w:p w14:paraId="2737B6F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1740" w:type="dxa"/>
            <w:noWrap w:val="0"/>
            <w:vAlign w:val="center"/>
          </w:tcPr>
          <w:p w14:paraId="2739C9D5">
            <w:pPr>
              <w:widowControl/>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6135" w:type="dxa"/>
            <w:noWrap w:val="0"/>
            <w:vAlign w:val="center"/>
          </w:tcPr>
          <w:p w14:paraId="53031A05">
            <w:pPr>
              <w:widowControl/>
              <w:numPr>
                <w:ilvl w:val="0"/>
                <w:numId w:val="2"/>
              </w:numPr>
              <w:spacing w:line="360" w:lineRule="auto"/>
              <w:rPr>
                <w:rFonts w:hint="eastAsia" w:ascii="宋体" w:hAnsi="宋体"/>
                <w:color w:val="auto"/>
                <w:spacing w:val="2"/>
                <w:kern w:val="0"/>
                <w:szCs w:val="21"/>
                <w:highlight w:val="none"/>
                <w:lang w:val="en-US" w:eastAsia="zh-CN"/>
              </w:rPr>
            </w:pPr>
            <w:r>
              <w:rPr>
                <w:rFonts w:hint="eastAsia" w:ascii="宋体" w:hAnsi="宋体"/>
                <w:color w:val="auto"/>
                <w:spacing w:val="2"/>
                <w:kern w:val="0"/>
                <w:szCs w:val="21"/>
                <w:highlight w:val="none"/>
                <w:lang w:val="en-US" w:eastAsia="zh-CN"/>
              </w:rPr>
              <w:t>工程师或以上职称；</w:t>
            </w:r>
          </w:p>
          <w:p w14:paraId="1A5493D2">
            <w:pPr>
              <w:widowControl/>
              <w:numPr>
                <w:ilvl w:val="0"/>
                <w:numId w:val="2"/>
              </w:numPr>
              <w:spacing w:line="360" w:lineRule="auto"/>
              <w:rPr>
                <w:rFonts w:hint="eastAsia" w:ascii="宋体" w:hAnsi="宋体" w:eastAsia="宋体" w:cs="宋体"/>
                <w:color w:val="auto"/>
                <w:kern w:val="0"/>
                <w:szCs w:val="21"/>
                <w:highlight w:val="none"/>
                <w:lang w:eastAsia="zh-CN"/>
              </w:rPr>
            </w:pPr>
            <w:r>
              <w:rPr>
                <w:rFonts w:hint="eastAsia" w:ascii="宋体" w:hAnsi="宋体"/>
                <w:color w:val="auto"/>
                <w:spacing w:val="2"/>
                <w:kern w:val="0"/>
                <w:szCs w:val="21"/>
                <w:highlight w:val="none"/>
              </w:rPr>
              <w:t>具备机电或通信或广电工程专业注册建造师壹级资格</w:t>
            </w:r>
            <w:r>
              <w:rPr>
                <w:rFonts w:hint="eastAsia" w:ascii="宋体" w:hAnsi="宋体"/>
                <w:color w:val="auto"/>
                <w:spacing w:val="2"/>
                <w:kern w:val="0"/>
                <w:szCs w:val="21"/>
                <w:highlight w:val="none"/>
                <w:lang w:eastAsia="zh-CN"/>
              </w:rPr>
              <w:t>；</w:t>
            </w:r>
          </w:p>
          <w:p w14:paraId="113E2612">
            <w:pPr>
              <w:widowControl/>
              <w:numPr>
                <w:ilvl w:val="0"/>
                <w:numId w:val="2"/>
              </w:numPr>
              <w:spacing w:line="360" w:lineRule="auto"/>
              <w:rPr>
                <w:rFonts w:hint="eastAsia" w:ascii="宋体" w:hAnsi="宋体" w:eastAsia="宋体" w:cs="宋体"/>
                <w:color w:val="auto"/>
                <w:kern w:val="0"/>
                <w:szCs w:val="21"/>
                <w:highlight w:val="none"/>
                <w:lang w:eastAsia="zh-CN"/>
              </w:rPr>
            </w:pPr>
            <w:r>
              <w:rPr>
                <w:rFonts w:hint="eastAsia" w:ascii="宋体" w:hAnsi="宋体"/>
                <w:color w:val="auto"/>
                <w:spacing w:val="2"/>
                <w:kern w:val="0"/>
                <w:szCs w:val="21"/>
                <w:highlight w:val="none"/>
                <w:lang w:val="en-US" w:eastAsia="zh-CN"/>
              </w:rPr>
              <w:t>持有</w:t>
            </w:r>
            <w:r>
              <w:rPr>
                <w:rFonts w:hint="eastAsia" w:ascii="宋体" w:hAnsi="宋体"/>
                <w:color w:val="auto"/>
                <w:spacing w:val="2"/>
                <w:kern w:val="0"/>
                <w:szCs w:val="21"/>
                <w:highlight w:val="none"/>
              </w:rPr>
              <w:t>政府主管部门（住房和城乡建设厅或通信管理局）组织的“安全生产考核合格证书B证”或国家安全生产监督管理局（或其授权的机构）核发的《中华人民共和国注册安全工程师注册证》</w:t>
            </w:r>
            <w:r>
              <w:rPr>
                <w:rFonts w:hint="eastAsia" w:ascii="宋体" w:hAnsi="宋体"/>
                <w:color w:val="auto"/>
                <w:spacing w:val="2"/>
                <w:kern w:val="0"/>
                <w:szCs w:val="21"/>
                <w:highlight w:val="none"/>
                <w:lang w:eastAsia="zh-CN"/>
              </w:rPr>
              <w:t>；</w:t>
            </w:r>
          </w:p>
          <w:p w14:paraId="43A84DBF">
            <w:pPr>
              <w:widowControl/>
              <w:numPr>
                <w:ilvl w:val="0"/>
                <w:numId w:val="2"/>
              </w:numPr>
              <w:spacing w:line="360" w:lineRule="auto"/>
              <w:rPr>
                <w:rFonts w:hint="eastAsia" w:ascii="宋体" w:hAnsi="宋体" w:eastAsia="宋体" w:cs="宋体"/>
                <w:color w:val="auto"/>
                <w:kern w:val="0"/>
                <w:szCs w:val="21"/>
                <w:highlight w:val="none"/>
                <w:lang w:eastAsia="zh-CN"/>
              </w:rPr>
            </w:pPr>
            <w:r>
              <w:rPr>
                <w:rFonts w:hint="eastAsia" w:ascii="宋体" w:hAnsi="宋体"/>
                <w:color w:val="auto"/>
                <w:spacing w:val="2"/>
                <w:kern w:val="0"/>
                <w:szCs w:val="21"/>
                <w:highlight w:val="none"/>
                <w:lang w:val="en-US" w:eastAsia="zh-CN"/>
              </w:rPr>
              <w:t>具有</w:t>
            </w:r>
            <w:r>
              <w:rPr>
                <w:rFonts w:hint="eastAsia" w:ascii="宋体" w:hAnsi="宋体"/>
                <w:color w:val="auto"/>
                <w:spacing w:val="2"/>
                <w:kern w:val="0"/>
                <w:szCs w:val="21"/>
                <w:highlight w:val="none"/>
              </w:rPr>
              <w:t>通信工程施工管理</w:t>
            </w:r>
            <w:r>
              <w:rPr>
                <w:rFonts w:hint="eastAsia" w:ascii="宋体" w:hAnsi="宋体"/>
                <w:color w:val="auto"/>
                <w:spacing w:val="2"/>
                <w:kern w:val="0"/>
                <w:szCs w:val="21"/>
                <w:highlight w:val="none"/>
                <w:lang w:val="en-US" w:eastAsia="zh-CN"/>
              </w:rPr>
              <w:t>经验，担任过一个项目的项目经理或总工或项目副经理。</w:t>
            </w:r>
          </w:p>
        </w:tc>
      </w:tr>
      <w:tr w14:paraId="0772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0" w:type="dxa"/>
            <w:noWrap w:val="0"/>
            <w:vAlign w:val="center"/>
          </w:tcPr>
          <w:p w14:paraId="7DF01F8A">
            <w:pPr>
              <w:widowControl/>
              <w:spacing w:line="320" w:lineRule="atLeas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项目总工</w:t>
            </w:r>
          </w:p>
        </w:tc>
        <w:tc>
          <w:tcPr>
            <w:tcW w:w="1740" w:type="dxa"/>
            <w:noWrap w:val="0"/>
            <w:vAlign w:val="center"/>
          </w:tcPr>
          <w:p w14:paraId="4DEDC3D0">
            <w:pPr>
              <w:widowControl/>
              <w:jc w:val="center"/>
              <w:rPr>
                <w:rFonts w:hint="default" w:ascii="宋体" w:hAnsi="宋体"/>
                <w:color w:val="auto"/>
                <w:spacing w:val="2"/>
                <w:kern w:val="0"/>
                <w:szCs w:val="21"/>
                <w:highlight w:val="none"/>
                <w:lang w:val="en-US" w:eastAsia="zh-CN"/>
              </w:rPr>
            </w:pPr>
            <w:r>
              <w:rPr>
                <w:rFonts w:hint="eastAsia" w:ascii="宋体" w:hAnsi="宋体"/>
                <w:color w:val="auto"/>
                <w:spacing w:val="2"/>
                <w:kern w:val="0"/>
                <w:szCs w:val="21"/>
                <w:highlight w:val="none"/>
                <w:lang w:val="en-US" w:eastAsia="zh-CN"/>
              </w:rPr>
              <w:t>1</w:t>
            </w:r>
          </w:p>
        </w:tc>
        <w:tc>
          <w:tcPr>
            <w:tcW w:w="6135" w:type="dxa"/>
            <w:noWrap w:val="0"/>
            <w:vAlign w:val="center"/>
          </w:tcPr>
          <w:p w14:paraId="3B97479F">
            <w:pPr>
              <w:widowControl/>
              <w:numPr>
                <w:ilvl w:val="0"/>
                <w:numId w:val="3"/>
              </w:numPr>
              <w:spacing w:line="360" w:lineRule="auto"/>
              <w:rPr>
                <w:rFonts w:hint="eastAsia" w:ascii="宋体" w:hAnsi="宋体"/>
                <w:color w:val="auto"/>
                <w:spacing w:val="2"/>
                <w:kern w:val="0"/>
                <w:szCs w:val="21"/>
                <w:highlight w:val="none"/>
                <w:lang w:val="en-US" w:eastAsia="zh-CN"/>
              </w:rPr>
            </w:pPr>
            <w:r>
              <w:rPr>
                <w:rFonts w:hint="eastAsia" w:ascii="宋体" w:hAnsi="宋体"/>
                <w:color w:val="auto"/>
                <w:spacing w:val="2"/>
                <w:kern w:val="0"/>
                <w:szCs w:val="21"/>
                <w:highlight w:val="none"/>
                <w:lang w:val="en-US" w:eastAsia="zh-CN"/>
              </w:rPr>
              <w:t>具有通信工程相关专业高级工程师或以上职称；</w:t>
            </w:r>
          </w:p>
          <w:p w14:paraId="5D23B0FB">
            <w:pPr>
              <w:widowControl/>
              <w:numPr>
                <w:ilvl w:val="0"/>
                <w:numId w:val="3"/>
              </w:numPr>
              <w:spacing w:line="360" w:lineRule="auto"/>
              <w:rPr>
                <w:rFonts w:hint="default"/>
                <w:highlight w:val="none"/>
                <w:lang w:val="en-US" w:eastAsia="zh-CN"/>
              </w:rPr>
            </w:pPr>
            <w:r>
              <w:rPr>
                <w:rFonts w:hint="eastAsia" w:ascii="宋体" w:hAnsi="宋体" w:eastAsia="宋体" w:cs="Times New Roman"/>
                <w:color w:val="auto"/>
                <w:spacing w:val="2"/>
                <w:kern w:val="0"/>
                <w:szCs w:val="21"/>
                <w:highlight w:val="none"/>
                <w:lang w:val="en-US" w:eastAsia="zh-CN"/>
              </w:rPr>
              <w:t>具有通信工程施工管理经验，担任过一个项目的项目经理或总工或项目副经理。</w:t>
            </w:r>
          </w:p>
        </w:tc>
      </w:tr>
    </w:tbl>
    <w:p w14:paraId="176AB0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highlight w:val="none"/>
          <w:lang w:val="en-US" w:eastAsia="zh-CN"/>
        </w:rPr>
      </w:pPr>
      <w:r>
        <w:rPr>
          <w:rFonts w:hint="eastAsia"/>
          <w:sz w:val="21"/>
          <w:szCs w:val="21"/>
          <w:highlight w:val="none"/>
          <w:lang w:val="en-US" w:eastAsia="zh-CN"/>
        </w:rPr>
        <w:t>注：</w:t>
      </w:r>
    </w:p>
    <w:p w14:paraId="3B83A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1.项目经理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项目总工</w:t>
      </w:r>
      <w:r>
        <w:rPr>
          <w:rFonts w:hint="eastAsia" w:ascii="宋体" w:hAnsi="宋体" w:eastAsia="宋体" w:cs="宋体"/>
          <w:sz w:val="21"/>
          <w:szCs w:val="21"/>
          <w:highlight w:val="none"/>
        </w:rPr>
        <w:t>必须为与投标人依法建立劳动用工关系的在职人员，建造师注册证书应在投标人所在单位，否则视为无效。</w:t>
      </w:r>
    </w:p>
    <w:p w14:paraId="45EDC4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2.投标人拟委派的项目经理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项目总工</w:t>
      </w:r>
      <w:r>
        <w:rPr>
          <w:rFonts w:hint="eastAsia" w:ascii="宋体" w:hAnsi="宋体" w:eastAsia="宋体" w:cs="宋体"/>
          <w:sz w:val="21"/>
          <w:szCs w:val="21"/>
          <w:highlight w:val="none"/>
        </w:rPr>
        <w:t>应根据招标文件“投标人须知前附表”第 3.5.5 项的要求附相关证明材料</w:t>
      </w:r>
      <w:r>
        <w:rPr>
          <w:rFonts w:hint="eastAsia" w:ascii="宋体" w:hAnsi="宋体" w:eastAsia="宋体" w:cs="宋体"/>
          <w:sz w:val="21"/>
          <w:szCs w:val="21"/>
          <w:highlight w:val="none"/>
          <w:lang w:eastAsia="zh-CN"/>
        </w:rPr>
        <w:t>。</w:t>
      </w:r>
    </w:p>
    <w:p w14:paraId="115071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3.项目负责人在任职期间不得担任专职安全员，项目专职安全员在任职期间也不得担任项目负责人，项目负责人和专职安全员不为同一人。</w:t>
      </w:r>
    </w:p>
    <w:p w14:paraId="54A81D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sectPr>
          <w:pgSz w:w="11906" w:h="16838"/>
          <w:pgMar w:top="1200" w:right="1200" w:bottom="1200" w:left="13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建造师注册证书（可附在全国建筑市场监管公共服务平台网站上公开信息的网页截图复印件或电子证书复印件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若为全国建筑市场监管公共服务平台网页截图，需体现人员姓名、注册单位、注册专业、证书有效期等关键信息页；若为电子证书，需根据《住房和城乡建设部办公厅关于全面实行一级建造师电子注册证书的通知》（建办市〔2021〕40号）和通知附件的证书示例及说明的要求，打印电子证书后，应在个人签名处手写本人签名及日期，未手写签名或与签名图像笔迹不一致的，该电子证书无效。</w:t>
      </w:r>
    </w:p>
    <w:p w14:paraId="7D3FEAC8">
      <w:pPr>
        <w:keepNext/>
        <w:spacing w:before="240" w:after="240"/>
        <w:jc w:val="center"/>
        <w:outlineLvl w:val="0"/>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附录</w:t>
      </w:r>
      <w:r>
        <w:rPr>
          <w:rFonts w:hint="eastAsia" w:ascii="黑体" w:hAnsi="黑体" w:eastAsia="黑体"/>
          <w:color w:val="auto"/>
          <w:sz w:val="28"/>
          <w:szCs w:val="28"/>
          <w:highlight w:val="none"/>
          <w:lang w:val="en-US" w:eastAsia="zh-CN"/>
        </w:rPr>
        <w:t>6</w:t>
      </w:r>
      <w:r>
        <w:rPr>
          <w:rFonts w:hint="eastAsia" w:ascii="黑体" w:hAnsi="黑体" w:eastAsia="黑体"/>
          <w:color w:val="auto"/>
          <w:sz w:val="28"/>
          <w:szCs w:val="28"/>
          <w:highlight w:val="none"/>
        </w:rPr>
        <w:t xml:space="preserve"> </w:t>
      </w:r>
      <w:r>
        <w:rPr>
          <w:rFonts w:hint="eastAsia" w:ascii="黑体" w:hAnsi="黑体" w:eastAsia="黑体"/>
          <w:color w:val="auto"/>
          <w:sz w:val="28"/>
          <w:szCs w:val="28"/>
          <w:highlight w:val="none"/>
          <w:lang w:val="en-US" w:eastAsia="zh-CN"/>
        </w:rPr>
        <w:t xml:space="preserve"> </w:t>
      </w:r>
      <w:r>
        <w:rPr>
          <w:rFonts w:hint="eastAsia" w:ascii="黑体" w:hAnsi="黑体" w:eastAsia="黑体"/>
          <w:color w:val="auto"/>
          <w:sz w:val="28"/>
          <w:szCs w:val="28"/>
          <w:highlight w:val="none"/>
        </w:rPr>
        <w:t>资格审查条件(其他人员最低要求)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740"/>
        <w:gridCol w:w="6135"/>
      </w:tblGrid>
      <w:tr w14:paraId="75E3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0" w:type="dxa"/>
            <w:noWrap w:val="0"/>
            <w:vAlign w:val="center"/>
          </w:tcPr>
          <w:p w14:paraId="330AEC3F">
            <w:pPr>
              <w:adjustRightInd w:val="0"/>
              <w:snapToGrid w:val="0"/>
              <w:spacing w:line="300" w:lineRule="auto"/>
              <w:jc w:val="center"/>
              <w:rPr>
                <w:rFonts w:hint="eastAsia" w:ascii="宋体" w:hAnsi="宋体"/>
                <w:color w:val="auto"/>
                <w:kern w:val="0"/>
                <w:szCs w:val="21"/>
                <w:highlight w:val="none"/>
              </w:rPr>
            </w:pPr>
            <w:r>
              <w:rPr>
                <w:rFonts w:hint="eastAsia" w:ascii="宋体" w:hAnsi="宋体"/>
                <w:b/>
                <w:color w:val="auto"/>
                <w:szCs w:val="21"/>
                <w:highlight w:val="none"/>
              </w:rPr>
              <w:t>人员</w:t>
            </w:r>
          </w:p>
        </w:tc>
        <w:tc>
          <w:tcPr>
            <w:tcW w:w="1740" w:type="dxa"/>
            <w:noWrap w:val="0"/>
            <w:vAlign w:val="center"/>
          </w:tcPr>
          <w:p w14:paraId="60F9AC2C">
            <w:pPr>
              <w:adjustRightInd w:val="0"/>
              <w:snapToGrid w:val="0"/>
              <w:spacing w:line="300" w:lineRule="auto"/>
              <w:jc w:val="center"/>
              <w:rPr>
                <w:rFonts w:hint="eastAsia" w:ascii="宋体" w:hAnsi="宋体"/>
                <w:color w:val="auto"/>
                <w:spacing w:val="2"/>
                <w:kern w:val="0"/>
                <w:szCs w:val="21"/>
                <w:highlight w:val="none"/>
                <w:lang w:val="en-US" w:eastAsia="zh-CN"/>
              </w:rPr>
            </w:pPr>
            <w:r>
              <w:rPr>
                <w:rFonts w:hint="eastAsia" w:ascii="宋体" w:hAnsi="宋体"/>
                <w:b/>
                <w:color w:val="auto"/>
                <w:szCs w:val="21"/>
                <w:highlight w:val="none"/>
              </w:rPr>
              <w:t>最低数量要求</w:t>
            </w:r>
          </w:p>
        </w:tc>
        <w:tc>
          <w:tcPr>
            <w:tcW w:w="6135" w:type="dxa"/>
            <w:noWrap w:val="0"/>
            <w:vAlign w:val="center"/>
          </w:tcPr>
          <w:p w14:paraId="4B1D4169">
            <w:pPr>
              <w:adjustRightInd w:val="0"/>
              <w:snapToGrid w:val="0"/>
              <w:spacing w:line="300" w:lineRule="auto"/>
              <w:jc w:val="center"/>
              <w:rPr>
                <w:rFonts w:hint="eastAsia" w:ascii="宋体" w:hAnsi="宋体"/>
                <w:color w:val="auto"/>
                <w:spacing w:val="2"/>
                <w:kern w:val="0"/>
                <w:szCs w:val="21"/>
                <w:highlight w:val="none"/>
                <w:lang w:val="en-US" w:eastAsia="zh-CN"/>
              </w:rPr>
            </w:pPr>
            <w:r>
              <w:rPr>
                <w:rFonts w:hint="eastAsia" w:ascii="宋体" w:hAnsi="宋体"/>
                <w:b/>
                <w:color w:val="auto"/>
                <w:szCs w:val="21"/>
                <w:highlight w:val="none"/>
              </w:rPr>
              <w:t>资</w:t>
            </w:r>
            <w:r>
              <w:rPr>
                <w:rFonts w:ascii="宋体" w:hAnsi="宋体"/>
                <w:b/>
                <w:color w:val="auto"/>
                <w:szCs w:val="21"/>
                <w:highlight w:val="none"/>
              </w:rPr>
              <w:t xml:space="preserve"> </w:t>
            </w:r>
            <w:r>
              <w:rPr>
                <w:rFonts w:hint="eastAsia" w:ascii="宋体" w:hAnsi="宋体"/>
                <w:b/>
                <w:color w:val="auto"/>
                <w:szCs w:val="21"/>
                <w:highlight w:val="none"/>
              </w:rPr>
              <w:t>质</w:t>
            </w:r>
            <w:r>
              <w:rPr>
                <w:rFonts w:ascii="宋体" w:hAnsi="宋体"/>
                <w:b/>
                <w:color w:val="auto"/>
                <w:szCs w:val="21"/>
                <w:highlight w:val="none"/>
              </w:rPr>
              <w:t xml:space="preserve"> </w:t>
            </w:r>
            <w:r>
              <w:rPr>
                <w:rFonts w:hint="eastAsia" w:ascii="宋体" w:hAnsi="宋体"/>
                <w:b/>
                <w:color w:val="auto"/>
                <w:szCs w:val="21"/>
                <w:highlight w:val="none"/>
              </w:rPr>
              <w:t>要</w:t>
            </w:r>
            <w:r>
              <w:rPr>
                <w:rFonts w:ascii="宋体" w:hAnsi="宋体"/>
                <w:b/>
                <w:color w:val="auto"/>
                <w:szCs w:val="21"/>
                <w:highlight w:val="none"/>
              </w:rPr>
              <w:t xml:space="preserve"> </w:t>
            </w:r>
            <w:r>
              <w:rPr>
                <w:rFonts w:hint="eastAsia" w:ascii="宋体" w:hAnsi="宋体"/>
                <w:b/>
                <w:color w:val="auto"/>
                <w:szCs w:val="21"/>
                <w:highlight w:val="none"/>
              </w:rPr>
              <w:t>求</w:t>
            </w:r>
          </w:p>
        </w:tc>
      </w:tr>
      <w:tr w14:paraId="6A27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0" w:type="dxa"/>
            <w:noWrap w:val="0"/>
            <w:vAlign w:val="center"/>
          </w:tcPr>
          <w:p w14:paraId="4EE080D2">
            <w:pPr>
              <w:widowControl/>
              <w:spacing w:line="320" w:lineRule="atLeast"/>
              <w:jc w:val="center"/>
              <w:rPr>
                <w:rFonts w:ascii="宋体" w:hAnsi="宋体"/>
                <w:color w:val="auto"/>
                <w:kern w:val="0"/>
                <w:szCs w:val="21"/>
                <w:highlight w:val="none"/>
              </w:rPr>
            </w:pPr>
            <w:r>
              <w:rPr>
                <w:rFonts w:hint="eastAsia" w:ascii="宋体" w:hAnsi="宋体"/>
                <w:color w:val="auto"/>
                <w:kern w:val="0"/>
                <w:szCs w:val="21"/>
                <w:highlight w:val="none"/>
              </w:rPr>
              <w:t>现场施工员</w:t>
            </w:r>
          </w:p>
        </w:tc>
        <w:tc>
          <w:tcPr>
            <w:tcW w:w="1740" w:type="dxa"/>
            <w:noWrap w:val="0"/>
            <w:vAlign w:val="center"/>
          </w:tcPr>
          <w:p w14:paraId="727F3320">
            <w:pPr>
              <w:widowControl/>
              <w:jc w:val="center"/>
              <w:rPr>
                <w:rFonts w:ascii="宋体" w:hAnsi="宋体"/>
                <w:color w:val="auto"/>
                <w:spacing w:val="2"/>
                <w:kern w:val="0"/>
                <w:szCs w:val="21"/>
                <w:highlight w:val="none"/>
              </w:rPr>
            </w:pPr>
            <w:r>
              <w:rPr>
                <w:rFonts w:hint="eastAsia" w:ascii="宋体" w:hAnsi="宋体"/>
                <w:color w:val="auto"/>
                <w:spacing w:val="2"/>
                <w:kern w:val="0"/>
                <w:szCs w:val="21"/>
                <w:highlight w:val="none"/>
                <w:lang w:val="en-US" w:eastAsia="zh-CN"/>
              </w:rPr>
              <w:t>4</w:t>
            </w:r>
            <w:r>
              <w:rPr>
                <w:rFonts w:hint="eastAsia" w:ascii="宋体" w:hAnsi="宋体"/>
                <w:color w:val="auto"/>
                <w:spacing w:val="2"/>
                <w:kern w:val="0"/>
                <w:szCs w:val="21"/>
                <w:highlight w:val="none"/>
              </w:rPr>
              <w:t>人</w:t>
            </w:r>
          </w:p>
        </w:tc>
        <w:tc>
          <w:tcPr>
            <w:tcW w:w="6135" w:type="dxa"/>
            <w:noWrap w:val="0"/>
            <w:vAlign w:val="center"/>
          </w:tcPr>
          <w:p w14:paraId="58BAE4CF">
            <w:pPr>
              <w:widowControl/>
              <w:spacing w:line="360" w:lineRule="auto"/>
              <w:ind w:firstLine="488" w:firstLineChars="200"/>
              <w:rPr>
                <w:rFonts w:hint="eastAsia" w:ascii="宋体" w:hAnsi="宋体" w:eastAsia="宋体"/>
                <w:color w:val="auto"/>
                <w:spacing w:val="2"/>
                <w:kern w:val="0"/>
                <w:szCs w:val="21"/>
                <w:highlight w:val="none"/>
                <w:lang w:eastAsia="zh-CN"/>
              </w:rPr>
            </w:pPr>
            <w:r>
              <w:rPr>
                <w:rFonts w:hint="eastAsia" w:ascii="宋体" w:hAnsi="宋体"/>
                <w:color w:val="auto"/>
                <w:spacing w:val="2"/>
                <w:kern w:val="0"/>
                <w:szCs w:val="21"/>
                <w:highlight w:val="none"/>
                <w:lang w:val="en-US" w:eastAsia="zh-CN"/>
              </w:rPr>
              <w:t>具有</w:t>
            </w:r>
            <w:r>
              <w:rPr>
                <w:rFonts w:hint="eastAsia" w:ascii="宋体" w:hAnsi="宋体"/>
                <w:color w:val="auto"/>
                <w:spacing w:val="2"/>
                <w:kern w:val="0"/>
                <w:szCs w:val="21"/>
                <w:highlight w:val="none"/>
              </w:rPr>
              <w:t>通信或机电工程相关专业助理工程师</w:t>
            </w:r>
            <w:r>
              <w:rPr>
                <w:rFonts w:hint="eastAsia" w:ascii="宋体" w:hAnsi="宋体"/>
                <w:color w:val="auto"/>
                <w:spacing w:val="2"/>
                <w:kern w:val="0"/>
                <w:szCs w:val="21"/>
                <w:highlight w:val="none"/>
                <w:lang w:val="en-US" w:eastAsia="zh-CN"/>
              </w:rPr>
              <w:t>或</w:t>
            </w:r>
            <w:r>
              <w:rPr>
                <w:rFonts w:hint="eastAsia" w:ascii="宋体" w:hAnsi="宋体"/>
                <w:color w:val="auto"/>
                <w:spacing w:val="2"/>
                <w:kern w:val="0"/>
                <w:szCs w:val="21"/>
                <w:highlight w:val="none"/>
              </w:rPr>
              <w:t>以上职称</w:t>
            </w:r>
            <w:r>
              <w:rPr>
                <w:rFonts w:hint="eastAsia" w:ascii="宋体" w:hAnsi="宋体"/>
                <w:color w:val="auto"/>
                <w:spacing w:val="2"/>
                <w:kern w:val="0"/>
                <w:szCs w:val="21"/>
                <w:highlight w:val="none"/>
                <w:lang w:eastAsia="zh-CN"/>
              </w:rPr>
              <w:t>；</w:t>
            </w:r>
            <w:r>
              <w:rPr>
                <w:rFonts w:hint="eastAsia" w:ascii="宋体" w:hAnsi="宋体"/>
                <w:color w:val="auto"/>
                <w:spacing w:val="2"/>
                <w:kern w:val="0"/>
                <w:szCs w:val="21"/>
                <w:highlight w:val="none"/>
                <w:lang w:val="en-US" w:eastAsia="zh-CN"/>
              </w:rPr>
              <w:t>持</w:t>
            </w:r>
            <w:r>
              <w:rPr>
                <w:rFonts w:hint="eastAsia" w:ascii="宋体" w:hAnsi="宋体"/>
                <w:color w:val="auto"/>
                <w:spacing w:val="2"/>
                <w:kern w:val="0"/>
                <w:szCs w:val="21"/>
                <w:highlight w:val="none"/>
              </w:rPr>
              <w:t>有住房和城乡建设部或省住房和城乡建设厅颁发的“安全生产考核合格证书（C证）”</w:t>
            </w:r>
            <w:r>
              <w:rPr>
                <w:rFonts w:hint="eastAsia" w:ascii="宋体" w:hAnsi="宋体"/>
                <w:color w:val="auto"/>
                <w:spacing w:val="2"/>
                <w:kern w:val="0"/>
                <w:szCs w:val="21"/>
                <w:highlight w:val="none"/>
                <w:lang w:eastAsia="zh-CN"/>
              </w:rPr>
              <w:t>；</w:t>
            </w:r>
            <w:r>
              <w:rPr>
                <w:rFonts w:hint="eastAsia" w:ascii="宋体" w:hAnsi="宋体"/>
                <w:color w:val="auto"/>
                <w:spacing w:val="2"/>
                <w:kern w:val="0"/>
                <w:szCs w:val="21"/>
                <w:highlight w:val="none"/>
                <w:lang w:val="en-US" w:eastAsia="zh-CN"/>
              </w:rPr>
              <w:t>具有</w:t>
            </w:r>
            <w:r>
              <w:rPr>
                <w:rFonts w:hint="eastAsia" w:ascii="宋体" w:hAnsi="宋体"/>
                <w:color w:val="auto"/>
                <w:spacing w:val="2"/>
                <w:kern w:val="0"/>
                <w:szCs w:val="21"/>
                <w:highlight w:val="none"/>
              </w:rPr>
              <w:t>3年以上通信设施施工管理经验</w:t>
            </w:r>
            <w:r>
              <w:rPr>
                <w:rFonts w:hint="eastAsia" w:ascii="宋体" w:hAnsi="宋体"/>
                <w:color w:val="auto"/>
                <w:spacing w:val="2"/>
                <w:kern w:val="0"/>
                <w:szCs w:val="21"/>
                <w:highlight w:val="none"/>
                <w:lang w:eastAsia="zh-CN"/>
              </w:rPr>
              <w:t>。</w:t>
            </w:r>
          </w:p>
        </w:tc>
      </w:tr>
      <w:tr w14:paraId="7877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0" w:type="dxa"/>
            <w:noWrap w:val="0"/>
            <w:vAlign w:val="center"/>
          </w:tcPr>
          <w:p w14:paraId="3FB6CEA4">
            <w:pPr>
              <w:widowControl/>
              <w:spacing w:line="320" w:lineRule="atLeast"/>
              <w:jc w:val="center"/>
              <w:rPr>
                <w:rFonts w:ascii="宋体" w:hAnsi="宋体"/>
                <w:color w:val="auto"/>
                <w:kern w:val="0"/>
                <w:szCs w:val="21"/>
                <w:highlight w:val="none"/>
              </w:rPr>
            </w:pPr>
            <w:r>
              <w:rPr>
                <w:rFonts w:hint="eastAsia" w:ascii="宋体" w:hAnsi="宋体"/>
                <w:color w:val="auto"/>
                <w:kern w:val="0"/>
                <w:szCs w:val="21"/>
                <w:highlight w:val="none"/>
              </w:rPr>
              <w:t>安全员</w:t>
            </w:r>
          </w:p>
        </w:tc>
        <w:tc>
          <w:tcPr>
            <w:tcW w:w="1740" w:type="dxa"/>
            <w:noWrap w:val="0"/>
            <w:vAlign w:val="center"/>
          </w:tcPr>
          <w:p w14:paraId="32076D91">
            <w:pPr>
              <w:widowControl/>
              <w:spacing w:line="320" w:lineRule="atLeast"/>
              <w:jc w:val="center"/>
              <w:rPr>
                <w:rFonts w:ascii="宋体" w:hAnsi="宋体"/>
                <w:color w:val="auto"/>
                <w:kern w:val="0"/>
                <w:szCs w:val="21"/>
                <w:highlight w:val="none"/>
              </w:rPr>
            </w:pPr>
            <w:r>
              <w:rPr>
                <w:rFonts w:hint="eastAsia" w:ascii="宋体" w:hAnsi="宋体"/>
                <w:color w:val="auto"/>
                <w:kern w:val="0"/>
                <w:szCs w:val="21"/>
                <w:highlight w:val="none"/>
              </w:rPr>
              <w:t>1人</w:t>
            </w:r>
          </w:p>
        </w:tc>
        <w:tc>
          <w:tcPr>
            <w:tcW w:w="6135" w:type="dxa"/>
            <w:noWrap w:val="0"/>
            <w:vAlign w:val="center"/>
          </w:tcPr>
          <w:p w14:paraId="0957CE9B">
            <w:pPr>
              <w:widowControl/>
              <w:spacing w:line="360" w:lineRule="auto"/>
              <w:ind w:firstLine="488" w:firstLineChars="200"/>
              <w:rPr>
                <w:rFonts w:ascii="宋体" w:hAnsi="宋体"/>
                <w:color w:val="auto"/>
                <w:kern w:val="0"/>
                <w:szCs w:val="21"/>
                <w:highlight w:val="none"/>
              </w:rPr>
            </w:pPr>
            <w:r>
              <w:rPr>
                <w:rFonts w:hint="eastAsia" w:ascii="宋体" w:hAnsi="宋体"/>
                <w:color w:val="auto"/>
                <w:spacing w:val="2"/>
                <w:kern w:val="0"/>
                <w:szCs w:val="21"/>
                <w:highlight w:val="none"/>
                <w:lang w:val="en-US" w:eastAsia="zh-CN"/>
              </w:rPr>
              <w:t>持有</w:t>
            </w:r>
            <w:r>
              <w:rPr>
                <w:rFonts w:hint="eastAsia" w:ascii="宋体" w:hAnsi="宋体"/>
                <w:color w:val="auto"/>
                <w:spacing w:val="2"/>
                <w:kern w:val="0"/>
                <w:szCs w:val="21"/>
                <w:highlight w:val="none"/>
              </w:rPr>
              <w:t>住房和城乡建设部或省住房和城乡建设厅颁发的“安全生产考核合格证书（C证）”。</w:t>
            </w:r>
          </w:p>
        </w:tc>
      </w:tr>
    </w:tbl>
    <w:p w14:paraId="01F0AA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 xml:space="preserve">注： </w:t>
      </w:r>
    </w:p>
    <w:p w14:paraId="24A0E5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1.附录6所要求人员须按投标文件投标函的格式承诺，无需提供其他证明材料，中标人在进场前向招标人提交实际投入的人员。</w:t>
      </w:r>
    </w:p>
    <w:p w14:paraId="598AF6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2.项目负责人在任职期间不得担任专职安全员，项目专职安全员在任职期间也不得担任项目负责人，项目负责人和专职安全员不为同一人。</w:t>
      </w:r>
    </w:p>
    <w:p w14:paraId="0584CE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3.投标人中标后专职安全生产管理人员的配备应按照交通部《公路水运工程安全生产监督管理办法》的要求执行。招标人可根据项目的工期和进度，按规定设置最低的专职安全生产管理人员数量要求。</w:t>
      </w:r>
    </w:p>
    <w:p w14:paraId="62F02F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本表要求为拟投入本项目的人员最低要求，实际配置应满足本工程施工实际需要，招标人有权根据设计、工程特点、工程量及工程进度等情况，要求投标人增加相应人员，投标人应无条件响应，相关费用已纳入报价中，投标人应充分考虑此影响。</w:t>
      </w:r>
    </w:p>
    <w:p w14:paraId="6CB6C1B6">
      <w:pPr>
        <w:pStyle w:val="7"/>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highlight w:val="none"/>
          <w:lang w:val="en-US" w:eastAsia="zh-CN"/>
        </w:rPr>
      </w:pPr>
    </w:p>
    <w:p w14:paraId="2104E90F">
      <w:pPr>
        <w:spacing w:line="240" w:lineRule="auto"/>
        <w:ind w:left="419" w:hanging="559" w:hangingChars="233"/>
        <w:jc w:val="left"/>
        <w:rPr>
          <w:rFonts w:hint="default" w:ascii="宋体" w:hAnsi="宋体" w:eastAsia="宋体" w:cs="宋体"/>
          <w:color w:val="auto"/>
          <w:kern w:val="2"/>
          <w:sz w:val="24"/>
          <w:szCs w:val="24"/>
          <w:highlight w:val="none"/>
          <w:lang w:val="en-US" w:eastAsia="zh-CN" w:bidi="ar-SA"/>
        </w:rPr>
      </w:pPr>
    </w:p>
    <w:p w14:paraId="71670735">
      <w:pPr>
        <w:pStyle w:val="3"/>
        <w:spacing w:before="0" w:beforeLines="0" w:after="0" w:afterLines="0" w:line="240" w:lineRule="auto"/>
        <w:rPr>
          <w:rFonts w:hint="eastAsia" w:ascii="黑体" w:hAnsi="黑体" w:eastAsia="黑体" w:cs="黑体"/>
          <w:bCs w:val="0"/>
          <w:color w:val="auto"/>
          <w:sz w:val="36"/>
          <w:szCs w:val="36"/>
          <w:highlight w:val="none"/>
        </w:rPr>
      </w:pPr>
      <w:r>
        <w:rPr>
          <w:rFonts w:hint="eastAsia" w:ascii="宋体" w:hAnsi="宋体" w:eastAsia="黑体"/>
          <w:color w:val="auto"/>
          <w:sz w:val="28"/>
          <w:szCs w:val="28"/>
          <w:highlight w:val="none"/>
        </w:rPr>
        <w:br w:type="page"/>
      </w:r>
      <w:bookmarkStart w:id="17" w:name="_Toc26980"/>
      <w:bookmarkStart w:id="18" w:name="_Toc452034200"/>
      <w:bookmarkStart w:id="19" w:name="_Toc21425"/>
      <w:bookmarkStart w:id="20" w:name="_Toc448587663"/>
      <w:bookmarkStart w:id="21" w:name="_Toc446666478"/>
      <w:bookmarkStart w:id="22" w:name="_Toc446667097"/>
    </w:p>
    <w:p w14:paraId="4B5496FE">
      <w:pPr>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0E062A3C">
      <w:pPr>
        <w:pStyle w:val="2"/>
        <w:rPr>
          <w:rFonts w:hint="default"/>
          <w:lang w:val="en-US" w:eastAsia="zh-CN"/>
        </w:rPr>
      </w:pPr>
    </w:p>
    <w:p w14:paraId="15BB59FE">
      <w:pPr>
        <w:pStyle w:val="3"/>
        <w:spacing w:before="0" w:beforeLines="0" w:after="0" w:afterLines="0" w:line="240" w:lineRule="auto"/>
        <w:rPr>
          <w:rFonts w:hint="eastAsia" w:ascii="黑体" w:hAnsi="黑体" w:eastAsia="黑体" w:cs="黑体"/>
          <w:bCs w:val="0"/>
          <w:color w:val="auto"/>
          <w:sz w:val="36"/>
          <w:szCs w:val="36"/>
          <w:highlight w:val="none"/>
        </w:rPr>
      </w:pPr>
      <w:r>
        <w:rPr>
          <w:rFonts w:hint="eastAsia" w:ascii="黑体" w:hAnsi="黑体" w:eastAsia="黑体" w:cs="黑体"/>
          <w:bCs w:val="0"/>
          <w:color w:val="auto"/>
          <w:sz w:val="36"/>
          <w:szCs w:val="36"/>
          <w:highlight w:val="none"/>
        </w:rPr>
        <w:t xml:space="preserve"> 评标办法（</w:t>
      </w:r>
      <w:r>
        <w:rPr>
          <w:rFonts w:hint="eastAsia" w:ascii="黑体" w:hAnsi="黑体" w:eastAsia="黑体" w:cs="黑体"/>
          <w:bCs w:val="0"/>
          <w:color w:val="auto"/>
          <w:sz w:val="36"/>
          <w:szCs w:val="36"/>
          <w:highlight w:val="none"/>
          <w:lang w:val="en-US" w:eastAsia="zh-CN"/>
        </w:rPr>
        <w:t>双信封的</w:t>
      </w:r>
      <w:r>
        <w:rPr>
          <w:rFonts w:hint="eastAsia" w:ascii="黑体" w:hAnsi="黑体" w:eastAsia="黑体" w:cs="黑体"/>
          <w:bCs w:val="0"/>
          <w:color w:val="auto"/>
          <w:sz w:val="36"/>
          <w:szCs w:val="36"/>
          <w:highlight w:val="none"/>
        </w:rPr>
        <w:t>综合评分法）</w:t>
      </w:r>
      <w:bookmarkEnd w:id="17"/>
      <w:bookmarkEnd w:id="18"/>
      <w:bookmarkEnd w:id="19"/>
      <w:bookmarkEnd w:id="20"/>
      <w:bookmarkEnd w:id="21"/>
      <w:bookmarkEnd w:id="22"/>
    </w:p>
    <w:p w14:paraId="13CCDC0C">
      <w:pPr>
        <w:spacing w:before="156" w:beforeLines="50" w:after="156" w:afterLines="50" w:line="400" w:lineRule="exact"/>
        <w:rPr>
          <w:rFonts w:ascii="宋体" w:hAnsi="宋体"/>
          <w:b/>
          <w:color w:val="auto"/>
          <w:sz w:val="24"/>
          <w:highlight w:val="none"/>
        </w:rPr>
      </w:pPr>
      <w:r>
        <w:rPr>
          <w:rFonts w:ascii="宋体" w:hAnsi="宋体"/>
          <w:b/>
          <w:color w:val="auto"/>
          <w:sz w:val="24"/>
          <w:highlight w:val="none"/>
        </w:rPr>
        <w:t>评标办法前附表</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916"/>
        <w:gridCol w:w="7598"/>
      </w:tblGrid>
      <w:tr w14:paraId="072D8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1905" w:type="dxa"/>
            <w:gridSpan w:val="2"/>
            <w:tcBorders>
              <w:top w:val="single" w:color="auto" w:sz="4" w:space="0"/>
              <w:bottom w:val="single" w:color="auto" w:sz="4" w:space="0"/>
              <w:right w:val="single" w:color="auto" w:sz="4" w:space="0"/>
            </w:tcBorders>
            <w:noWrap w:val="0"/>
            <w:vAlign w:val="center"/>
          </w:tcPr>
          <w:p w14:paraId="12F1F48D">
            <w:pPr>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598" w:type="dxa"/>
            <w:tcBorders>
              <w:top w:val="single" w:color="auto" w:sz="4" w:space="0"/>
              <w:left w:val="single" w:color="auto" w:sz="4" w:space="0"/>
              <w:bottom w:val="single" w:color="auto" w:sz="4" w:space="0"/>
              <w:right w:val="single" w:color="auto" w:sz="4" w:space="0"/>
            </w:tcBorders>
            <w:noWrap w:val="0"/>
            <w:vAlign w:val="center"/>
          </w:tcPr>
          <w:p w14:paraId="29E06EB3">
            <w:pPr>
              <w:spacing w:line="440" w:lineRule="exact"/>
              <w:jc w:val="center"/>
              <w:rPr>
                <w:rFonts w:hint="eastAsia" w:ascii="宋体" w:hAnsi="宋体" w:cs="宋体"/>
                <w:b/>
                <w:color w:val="auto"/>
                <w:spacing w:val="4"/>
                <w:sz w:val="24"/>
                <w:szCs w:val="24"/>
                <w:highlight w:val="none"/>
              </w:rPr>
            </w:pPr>
            <w:r>
              <w:rPr>
                <w:rFonts w:hint="eastAsia" w:ascii="宋体" w:hAnsi="宋体" w:cs="宋体"/>
                <w:b/>
                <w:color w:val="auto"/>
                <w:spacing w:val="4"/>
                <w:sz w:val="24"/>
                <w:szCs w:val="24"/>
                <w:highlight w:val="none"/>
              </w:rPr>
              <w:t>评审因素与评审标准</w:t>
            </w:r>
          </w:p>
        </w:tc>
      </w:tr>
      <w:tr w14:paraId="47504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3" w:hRule="atLeast"/>
          <w:jc w:val="center"/>
        </w:trPr>
        <w:tc>
          <w:tcPr>
            <w:tcW w:w="989" w:type="dxa"/>
            <w:tcBorders>
              <w:top w:val="single" w:color="auto" w:sz="4" w:space="0"/>
              <w:bottom w:val="single" w:color="auto" w:sz="4" w:space="0"/>
              <w:right w:val="single" w:color="auto" w:sz="4" w:space="0"/>
            </w:tcBorders>
            <w:noWrap w:val="0"/>
            <w:vAlign w:val="center"/>
          </w:tcPr>
          <w:p w14:paraId="2F214E41">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916" w:type="dxa"/>
            <w:tcBorders>
              <w:top w:val="single" w:color="auto" w:sz="4" w:space="0"/>
              <w:bottom w:val="single" w:color="auto" w:sz="4" w:space="0"/>
              <w:right w:val="single" w:color="auto" w:sz="4" w:space="0"/>
            </w:tcBorders>
            <w:noWrap w:val="0"/>
            <w:vAlign w:val="center"/>
          </w:tcPr>
          <w:p w14:paraId="0BE43C60">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w:t>
            </w:r>
          </w:p>
          <w:p w14:paraId="244B67B9">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方法</w:t>
            </w:r>
          </w:p>
        </w:tc>
        <w:tc>
          <w:tcPr>
            <w:tcW w:w="7598" w:type="dxa"/>
            <w:tcBorders>
              <w:top w:val="single" w:color="auto" w:sz="4" w:space="0"/>
              <w:left w:val="single" w:color="auto" w:sz="4" w:space="0"/>
              <w:right w:val="single" w:color="auto" w:sz="4" w:space="0"/>
            </w:tcBorders>
            <w:noWrap w:val="0"/>
            <w:vAlign w:val="center"/>
          </w:tcPr>
          <w:p w14:paraId="0A308F61">
            <w:pPr>
              <w:pStyle w:val="11"/>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综合评分相等时，评标委员会依次按照以下优先顺序推荐中标候选人或确定中标人：</w:t>
            </w:r>
          </w:p>
          <w:p w14:paraId="0EE5F5A0">
            <w:pPr>
              <w:pStyle w:val="11"/>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（1）评标价低的投标人优先；</w:t>
            </w:r>
          </w:p>
          <w:p w14:paraId="753A561E">
            <w:pPr>
              <w:pStyle w:val="11"/>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cs="宋体"/>
                <w:color w:val="auto"/>
                <w:sz w:val="24"/>
                <w:szCs w:val="24"/>
                <w:highlight w:val="none"/>
                <w:lang w:val="en-US" w:eastAsia="zh-CN"/>
              </w:rPr>
              <w:t>2</w:t>
            </w:r>
            <w:r>
              <w:rPr>
                <w:rFonts w:hint="eastAsia" w:ascii="宋体" w:hAnsi="宋体" w:cs="宋体"/>
                <w:color w:val="auto"/>
                <w:sz w:val="24"/>
                <w:szCs w:val="24"/>
                <w:highlight w:val="none"/>
              </w:rPr>
              <w:t>）以投标人企业最新年度净资产较高的优先；</w:t>
            </w:r>
          </w:p>
          <w:p w14:paraId="357175DA">
            <w:pPr>
              <w:pStyle w:val="11"/>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cs="宋体"/>
                <w:color w:val="auto"/>
                <w:sz w:val="24"/>
                <w:szCs w:val="24"/>
                <w:highlight w:val="none"/>
              </w:rPr>
              <w:t>）评标委员会视投标人情况综合比较，投票确定其名次。</w:t>
            </w:r>
          </w:p>
        </w:tc>
      </w:tr>
      <w:tr w14:paraId="3701A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989" w:type="dxa"/>
            <w:tcBorders>
              <w:top w:val="single" w:color="auto" w:sz="4" w:space="0"/>
              <w:bottom w:val="single" w:color="auto" w:sz="4" w:space="0"/>
              <w:right w:val="single" w:color="auto" w:sz="4" w:space="0"/>
            </w:tcBorders>
            <w:noWrap w:val="0"/>
            <w:vAlign w:val="center"/>
          </w:tcPr>
          <w:p w14:paraId="5D85692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2.1.1</w:t>
            </w:r>
          </w:p>
          <w:p w14:paraId="7A9040D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2.1.3</w:t>
            </w:r>
          </w:p>
        </w:tc>
        <w:tc>
          <w:tcPr>
            <w:tcW w:w="916" w:type="dxa"/>
            <w:tcBorders>
              <w:top w:val="single" w:color="auto" w:sz="4" w:space="0"/>
              <w:bottom w:val="single" w:color="auto" w:sz="4" w:space="0"/>
              <w:right w:val="single" w:color="auto" w:sz="4" w:space="0"/>
            </w:tcBorders>
            <w:noWrap w:val="0"/>
            <w:vAlign w:val="center"/>
          </w:tcPr>
          <w:p w14:paraId="75AB102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形式评审与响应性评审标准</w:t>
            </w:r>
          </w:p>
        </w:tc>
        <w:tc>
          <w:tcPr>
            <w:tcW w:w="7598" w:type="dxa"/>
            <w:tcBorders>
              <w:top w:val="single" w:color="auto" w:sz="4" w:space="0"/>
              <w:left w:val="single" w:color="auto" w:sz="4" w:space="0"/>
              <w:right w:val="single" w:color="auto" w:sz="4" w:space="0"/>
            </w:tcBorders>
            <w:noWrap w:val="0"/>
            <w:vAlign w:val="center"/>
          </w:tcPr>
          <w:p w14:paraId="4EFB3007">
            <w:pPr>
              <w:keepNext w:val="0"/>
              <w:keepLines w:val="0"/>
              <w:pageBreakBefore w:val="0"/>
              <w:kinsoku/>
              <w:wordWrap/>
              <w:overflowPunct/>
              <w:topLinePunct w:val="0"/>
              <w:autoSpaceDE/>
              <w:autoSpaceDN/>
              <w:bidi w:val="0"/>
              <w:adjustRightInd/>
              <w:snapToGrid/>
              <w:spacing w:line="360" w:lineRule="auto"/>
              <w:ind w:left="120" w:leftChars="50" w:right="0" w:rightChars="0" w:firstLine="0"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rPr>
              <w:t>第一个信封（商务及技术文件）的评审</w:t>
            </w:r>
            <w:r>
              <w:rPr>
                <w:rFonts w:hint="eastAsia" w:ascii="宋体" w:hAnsi="宋体" w:cs="宋体"/>
                <w:b/>
                <w:color w:val="auto"/>
                <w:sz w:val="24"/>
                <w:szCs w:val="24"/>
                <w:highlight w:val="none"/>
                <w:lang w:eastAsia="zh-CN"/>
              </w:rPr>
              <w:t>：</w:t>
            </w:r>
          </w:p>
          <w:p w14:paraId="3191954B">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（1）投标文件按照招标文件规定的格式、内容填写，字迹清晰可辨： </w:t>
            </w:r>
          </w:p>
          <w:p w14:paraId="37DADB90">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a.投标函按招标文件规定填报了项目名称、标段号（如有)、工期、工程质量要求及安全目标； </w:t>
            </w:r>
          </w:p>
          <w:p w14:paraId="605760B7">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b.投标函附录的所有数据均符合招标文件规定； </w:t>
            </w:r>
          </w:p>
          <w:p w14:paraId="66D83DD5">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c.投标文件组成齐全完整，内容均按规定填写。 </w:t>
            </w:r>
          </w:p>
          <w:p w14:paraId="046D9F81">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（2）投标文件上法定代表人或其委托代理人的签字、投标人的单位章盖章齐全，符合招标文件规定。 </w:t>
            </w:r>
          </w:p>
          <w:p w14:paraId="195BD1F0">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（3）投标人按照招标文件的规定提供了投标保证金： </w:t>
            </w:r>
          </w:p>
          <w:p w14:paraId="7FD2D897">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a.投标保证金金额符合招标文件规定的金额，且投标保证金有效期不少于投标有效期；</w:t>
            </w:r>
          </w:p>
          <w:p w14:paraId="51191B99">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b.若投标保证金采用现金或支票形式提交，投标人应在投标人须知3.4.1款规定的时间，将投标保证金由投标人的基本账户转入招标人指定账户；</w:t>
            </w:r>
          </w:p>
          <w:p w14:paraId="40BC45E5">
            <w:pPr>
              <w:pStyle w:val="11"/>
              <w:keepNext w:val="0"/>
              <w:keepLines w:val="0"/>
              <w:pageBreakBefore w:val="0"/>
              <w:kinsoku/>
              <w:wordWrap/>
              <w:overflowPunct/>
              <w:topLinePunct w:val="0"/>
              <w:autoSpaceDE/>
              <w:autoSpaceDN/>
              <w:bidi w:val="0"/>
              <w:adjustRightInd/>
              <w:snapToGrid/>
              <w:spacing w:line="440" w:lineRule="exact"/>
              <w:ind w:left="120" w:leftChars="50" w:firstLine="0" w:firstLineChars="0"/>
              <w:textAlignment w:val="auto"/>
              <w:rPr>
                <w:rFonts w:hint="eastAsia" w:ascii="宋体" w:hAnsi="宋体" w:cs="宋体"/>
                <w:strike w:val="0"/>
                <w:dstrike w:val="0"/>
                <w:color w:val="FF0000"/>
                <w:szCs w:val="24"/>
                <w:highlight w:val="none"/>
              </w:rPr>
            </w:pPr>
            <w:r>
              <w:rPr>
                <w:rFonts w:hint="eastAsia" w:ascii="宋体" w:hAnsi="宋体" w:eastAsia="宋体" w:cs="宋体"/>
                <w:color w:val="auto"/>
                <w:kern w:val="0"/>
                <w:sz w:val="24"/>
                <w:szCs w:val="24"/>
                <w:highlight w:val="none"/>
                <w:lang w:val="en-US" w:eastAsia="zh-CN" w:bidi="ar"/>
              </w:rPr>
              <w:t>c.</w:t>
            </w:r>
            <w:r>
              <w:rPr>
                <w:rFonts w:hint="eastAsia" w:ascii="宋体" w:hAnsi="宋体" w:cs="宋体"/>
                <w:strike w:val="0"/>
                <w:dstrike w:val="0"/>
                <w:color w:val="auto"/>
                <w:szCs w:val="24"/>
                <w:highlight w:val="none"/>
              </w:rPr>
              <w:t>若投标保证金采用银行保函或投标人须知前附表3.4.1项规定的其他形式提交，应满足招标文件要求。</w:t>
            </w:r>
          </w:p>
          <w:p w14:paraId="4F0D7435">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（4）投标人法定代表人授权委托代理人签署投标文件的，需提交授权委托书，且授权人和被授权人均在授权委托书上签名，未使用印章、签名章或其他电子制版签名代替。</w:t>
            </w:r>
          </w:p>
          <w:p w14:paraId="7EE2B64A">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（5）投标人法定代表人亲自签署投标文件的，提供了法定代表人身份证明，且法定代表人在法定代表人身份证明上签名，未使用印章、签名章或其他电子制版签名代替。 </w:t>
            </w:r>
          </w:p>
          <w:p w14:paraId="09850B03">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（6）同一投标人未提交两个以上不同的投标文件，但招标文件要求提交备选投标的除外。 </w:t>
            </w:r>
          </w:p>
          <w:p w14:paraId="41309AB7">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（7）投标文件中未出现有关投标报价的内容。 </w:t>
            </w:r>
          </w:p>
          <w:p w14:paraId="5DCC00EE">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（8）投标文件载明的招标项目完成期限未超过招标文件规定的时限。 </w:t>
            </w:r>
          </w:p>
          <w:p w14:paraId="711ED632">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（9）投标文件对招标文件的实质性要求和条件作出响应。 </w:t>
            </w:r>
          </w:p>
          <w:p w14:paraId="5E498FDD">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（10）权利义务符合招标文件规定： </w:t>
            </w:r>
          </w:p>
          <w:p w14:paraId="6AC79901">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a.投标人应接受招标文件规定的风险划分原则，未提出新的风险划分办法； </w:t>
            </w:r>
          </w:p>
          <w:p w14:paraId="1058F7B4">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b.投标人未增加发包人的责任范围，或减少投标人义务； </w:t>
            </w:r>
          </w:p>
          <w:p w14:paraId="06DFD673">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C.投标人未提出不同的工程验收、计量、支付办法； </w:t>
            </w:r>
          </w:p>
          <w:p w14:paraId="0A4AAE80">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d.投标人对合同纠纷、事故处理办法未提出异议； </w:t>
            </w:r>
          </w:p>
          <w:p w14:paraId="04F06009">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e.投标人在投标活动中无欺诈行为； </w:t>
            </w:r>
          </w:p>
          <w:p w14:paraId="0A43B856">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f.投标人未对合同条款有重要保留。</w:t>
            </w:r>
          </w:p>
          <w:p w14:paraId="0EBFBC3C">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val="en-US" w:eastAsia="zh-CN" w:bidi="ar"/>
              </w:rPr>
              <w:t xml:space="preserve">投标文件正、副本份数符合招标文件第二章“投标人须知”第3.7.4项规定。 </w:t>
            </w:r>
          </w:p>
          <w:p w14:paraId="6AD46244">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（12）投标文件未附有招标人不能接受的条件。 </w:t>
            </w:r>
          </w:p>
          <w:p w14:paraId="0D510FA7">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第二个信封（报价文件）评审标准： </w:t>
            </w:r>
          </w:p>
          <w:p w14:paraId="2A119ED3">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(1)投标文件按照招标文件规定的格式、内容填写，字迹清晰可辨： </w:t>
            </w:r>
          </w:p>
          <w:p w14:paraId="3095EC8B">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a.投标函按招标文件规定填报了项目名称、标段号（如有)、投标总报价（包括大写金额和小写金额)； </w:t>
            </w:r>
          </w:p>
          <w:p w14:paraId="7A7927A6">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b.已标价工程量清单说明文字与招标文件规定一致，未进行实质性修改和删减； </w:t>
            </w:r>
          </w:p>
          <w:p w14:paraId="7BB5BDA1">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c.投标文件组成齐全完整，内容均按规定填写。 </w:t>
            </w:r>
          </w:p>
          <w:p w14:paraId="251DE058">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（2）投标文件上法定代表人或其委托代理人的签字、投标人的单位章盖章齐全，符合招标文件规定。 </w:t>
            </w:r>
          </w:p>
          <w:p w14:paraId="73E3BD1D">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（3）投标报价或调价函中的报价未超过招标文件设定的最高投标限价（如有)及最高评标限价（如有）。 </w:t>
            </w:r>
          </w:p>
          <w:p w14:paraId="1F7A08D4">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（4）投标</w:t>
            </w:r>
            <w:r>
              <w:rPr>
                <w:rFonts w:hint="eastAsia" w:ascii="宋体" w:hAnsi="宋体" w:cs="宋体"/>
                <w:color w:val="auto"/>
                <w:kern w:val="0"/>
                <w:sz w:val="24"/>
                <w:szCs w:val="24"/>
                <w:highlight w:val="none"/>
                <w:lang w:val="en-US" w:eastAsia="zh-CN" w:bidi="ar"/>
              </w:rPr>
              <w:t>总</w:t>
            </w:r>
            <w:r>
              <w:rPr>
                <w:rFonts w:hint="eastAsia" w:ascii="宋体" w:hAnsi="宋体" w:eastAsia="宋体" w:cs="宋体"/>
                <w:color w:val="auto"/>
                <w:kern w:val="0"/>
                <w:sz w:val="24"/>
                <w:szCs w:val="24"/>
                <w:highlight w:val="none"/>
                <w:lang w:val="en-US" w:eastAsia="zh-CN" w:bidi="ar"/>
              </w:rPr>
              <w:t xml:space="preserve">报价或调价函中报价的大写金额能够确定具体数值。 </w:t>
            </w:r>
          </w:p>
          <w:p w14:paraId="271B8FD4">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（5）同一投标人未提交两个以上不同的投标报价，但招标文件要求提交备选投标的除外。 </w:t>
            </w:r>
          </w:p>
          <w:p w14:paraId="32E08D37">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（6）投标人若填写工程量固化清单，填写完毕的工程量固化清单未对工程量固化清单电子文件中的数据、格式和运算定义进行修改；工程量固化清单中的投标报价和投标函大写金额报价一致。 </w:t>
            </w:r>
          </w:p>
          <w:p w14:paraId="23353E5D">
            <w:pPr>
              <w:keepNext w:val="0"/>
              <w:keepLines w:val="0"/>
              <w:pageBreakBefore w:val="0"/>
              <w:widowControl/>
              <w:suppressLineNumbers w:val="0"/>
              <w:kinsoku/>
              <w:wordWrap/>
              <w:overflowPunct/>
              <w:topLinePunct w:val="0"/>
              <w:autoSpaceDE/>
              <w:autoSpaceDN/>
              <w:bidi w:val="0"/>
              <w:adjustRightInd/>
              <w:snapToGrid/>
              <w:spacing w:line="440" w:lineRule="exact"/>
              <w:ind w:left="120" w:leftChars="50"/>
              <w:jc w:val="left"/>
              <w:textAlignment w:val="auto"/>
              <w:rPr>
                <w:rFonts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（7）投标文件正、副本份数符合招标文件第二章“投标人须知”第 3.7.4项规定。 </w:t>
            </w:r>
          </w:p>
        </w:tc>
      </w:tr>
      <w:tr w14:paraId="65FE9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7" w:hRule="atLeast"/>
          <w:jc w:val="center"/>
        </w:trPr>
        <w:tc>
          <w:tcPr>
            <w:tcW w:w="989" w:type="dxa"/>
            <w:tcBorders>
              <w:top w:val="single" w:color="auto" w:sz="4" w:space="0"/>
              <w:bottom w:val="single" w:color="auto" w:sz="4" w:space="0"/>
              <w:right w:val="single" w:color="auto" w:sz="4" w:space="0"/>
            </w:tcBorders>
            <w:noWrap w:val="0"/>
            <w:vAlign w:val="center"/>
          </w:tcPr>
          <w:p w14:paraId="5F0DE55A">
            <w:pPr>
              <w:keepNext w:val="0"/>
              <w:keepLines w:val="0"/>
              <w:pageBreakBefore w:val="0"/>
              <w:widowControl w:val="0"/>
              <w:kinsoku/>
              <w:wordWrap/>
              <w:bidi w:val="0"/>
              <w:adjustRightInd/>
              <w:snapToGrid/>
              <w:spacing w:beforeAutospacing="0" w:afterAutospacing="0" w:line="360" w:lineRule="auto"/>
              <w:ind w:left="0" w:leftChars="0" w:right="0" w:rightChars="0"/>
              <w:jc w:val="center"/>
              <w:textAlignment w:val="auto"/>
              <w:outlineLvl w:val="9"/>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2.1.2</w:t>
            </w:r>
          </w:p>
        </w:tc>
        <w:tc>
          <w:tcPr>
            <w:tcW w:w="916" w:type="dxa"/>
            <w:tcBorders>
              <w:top w:val="single" w:color="auto" w:sz="4" w:space="0"/>
              <w:bottom w:val="single" w:color="auto" w:sz="4" w:space="0"/>
              <w:right w:val="single" w:color="auto" w:sz="4" w:space="0"/>
            </w:tcBorders>
            <w:noWrap w:val="0"/>
            <w:vAlign w:val="center"/>
          </w:tcPr>
          <w:p w14:paraId="3BEF466E">
            <w:pPr>
              <w:keepNext w:val="0"/>
              <w:keepLines w:val="0"/>
              <w:pageBreakBefore w:val="0"/>
              <w:widowControl w:val="0"/>
              <w:kinsoku/>
              <w:wordWrap/>
              <w:bidi w:val="0"/>
              <w:adjustRightInd/>
              <w:snapToGrid/>
              <w:spacing w:beforeAutospacing="0" w:afterAutospacing="0" w:line="360" w:lineRule="auto"/>
              <w:ind w:left="0" w:leftChars="0" w:right="0" w:rightChars="0"/>
              <w:jc w:val="center"/>
              <w:textAlignment w:val="auto"/>
              <w:outlineLvl w:val="9"/>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598" w:type="dxa"/>
            <w:tcBorders>
              <w:top w:val="single" w:color="auto" w:sz="4" w:space="0"/>
              <w:left w:val="single" w:color="auto" w:sz="4" w:space="0"/>
              <w:right w:val="single" w:color="auto" w:sz="4" w:space="0"/>
            </w:tcBorders>
            <w:noWrap w:val="0"/>
            <w:vAlign w:val="center"/>
          </w:tcPr>
          <w:p w14:paraId="3D4A9F3C">
            <w:pPr>
              <w:keepNext w:val="0"/>
              <w:keepLines w:val="0"/>
              <w:pageBreakBefore w:val="0"/>
              <w:widowControl w:val="0"/>
              <w:kinsoku/>
              <w:wordWrap/>
              <w:overflowPunct/>
              <w:topLinePunct w:val="0"/>
              <w:autoSpaceDE/>
              <w:autoSpaceDN/>
              <w:bidi w:val="0"/>
              <w:adjustRightInd w:val="0"/>
              <w:snapToGrid w:val="0"/>
              <w:spacing w:line="360" w:lineRule="auto"/>
              <w:ind w:left="120" w:leftChars="50" w:right="0" w:rightChars="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投标人具备有效的营业执照、资质证书</w:t>
            </w:r>
            <w:r>
              <w:rPr>
                <w:rFonts w:hint="eastAsia" w:ascii="宋体" w:hAnsi="宋体" w:eastAsia="宋体" w:cs="宋体"/>
                <w:color w:val="auto"/>
                <w:kern w:val="0"/>
                <w:sz w:val="24"/>
                <w:szCs w:val="24"/>
                <w:highlight w:val="none"/>
                <w:lang w:val="en-US" w:eastAsia="zh-CN"/>
              </w:rPr>
              <w:t>和</w:t>
            </w:r>
            <w:r>
              <w:rPr>
                <w:rFonts w:hint="eastAsia" w:ascii="宋体" w:hAnsi="宋体" w:eastAsia="宋体" w:cs="宋体"/>
                <w:color w:val="auto"/>
                <w:kern w:val="0"/>
                <w:sz w:val="24"/>
                <w:szCs w:val="24"/>
                <w:highlight w:val="none"/>
              </w:rPr>
              <w:t>安全生产许可证和基本账户开户许可证</w:t>
            </w:r>
            <w:r>
              <w:rPr>
                <w:rFonts w:hint="eastAsia"/>
                <w:color w:val="auto"/>
                <w:highlight w:val="none"/>
              </w:rPr>
              <w:t>（</w:t>
            </w:r>
            <w:r>
              <w:rPr>
                <w:rFonts w:hint="eastAsia" w:ascii="宋体" w:hAnsi="宋体" w:cs="宋体"/>
                <w:color w:val="auto"/>
                <w:szCs w:val="24"/>
                <w:highlight w:val="none"/>
              </w:rPr>
              <w:t>如企业所在地已取消企业银行账户许可而无法提供开户许可证的，则需附上开户银行出具的“基本存款账户信息”或“人民银行账户管理系统查询的基本账户信息截图”</w:t>
            </w:r>
            <w:r>
              <w:rPr>
                <w:rFonts w:hint="eastAsia"/>
                <w:color w:val="auto"/>
                <w:highlight w:val="none"/>
              </w:rPr>
              <w:t>）</w:t>
            </w:r>
            <w:r>
              <w:rPr>
                <w:rFonts w:hint="eastAsia" w:ascii="宋体" w:hAnsi="宋体" w:eastAsia="宋体" w:cs="宋体"/>
                <w:color w:val="auto"/>
                <w:kern w:val="0"/>
                <w:sz w:val="24"/>
                <w:szCs w:val="24"/>
                <w:highlight w:val="none"/>
              </w:rPr>
              <w:t>；</w:t>
            </w:r>
          </w:p>
          <w:p w14:paraId="158DE8DF">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120" w:leftChars="50" w:right="0" w:rightChars="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投标人的资质等级符合</w:t>
            </w:r>
            <w:r>
              <w:rPr>
                <w:rFonts w:hint="eastAsia" w:ascii="宋体" w:hAnsi="宋体" w:eastAsia="宋体" w:cs="宋体"/>
                <w:color w:val="auto"/>
                <w:kern w:val="0"/>
                <w:sz w:val="24"/>
                <w:szCs w:val="24"/>
                <w:highlight w:val="none"/>
                <w:lang w:val="en-US" w:eastAsia="zh-CN"/>
              </w:rPr>
              <w:t>招标文件</w:t>
            </w:r>
            <w:r>
              <w:rPr>
                <w:rFonts w:hint="eastAsia" w:ascii="宋体" w:hAnsi="宋体" w:eastAsia="宋体" w:cs="宋体"/>
                <w:color w:val="auto"/>
                <w:kern w:val="0"/>
                <w:sz w:val="24"/>
                <w:szCs w:val="24"/>
                <w:highlight w:val="none"/>
              </w:rPr>
              <w:t>规定；</w:t>
            </w:r>
          </w:p>
          <w:p w14:paraId="663841CF">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120" w:leftChars="50" w:right="0" w:rightChars="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投标人的财务状况符合</w:t>
            </w:r>
            <w:r>
              <w:rPr>
                <w:rFonts w:hint="eastAsia" w:ascii="宋体" w:hAnsi="宋体" w:eastAsia="宋体" w:cs="宋体"/>
                <w:color w:val="auto"/>
                <w:kern w:val="0"/>
                <w:sz w:val="24"/>
                <w:szCs w:val="24"/>
                <w:highlight w:val="none"/>
                <w:lang w:val="en-US" w:eastAsia="zh-CN"/>
              </w:rPr>
              <w:t>招标文件</w:t>
            </w:r>
            <w:r>
              <w:rPr>
                <w:rFonts w:hint="eastAsia" w:ascii="宋体" w:hAnsi="宋体" w:eastAsia="宋体" w:cs="宋体"/>
                <w:color w:val="auto"/>
                <w:kern w:val="0"/>
                <w:sz w:val="24"/>
                <w:szCs w:val="24"/>
                <w:highlight w:val="none"/>
              </w:rPr>
              <w:t>规定；</w:t>
            </w:r>
          </w:p>
          <w:p w14:paraId="0E1E1097">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120" w:leftChars="50" w:right="0" w:rightChars="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投标人的类似项目业绩符合</w:t>
            </w:r>
            <w:r>
              <w:rPr>
                <w:rFonts w:hint="eastAsia" w:ascii="宋体" w:hAnsi="宋体" w:eastAsia="宋体" w:cs="宋体"/>
                <w:color w:val="auto"/>
                <w:kern w:val="0"/>
                <w:sz w:val="24"/>
                <w:szCs w:val="24"/>
                <w:highlight w:val="none"/>
                <w:lang w:val="en-US" w:eastAsia="zh-CN"/>
              </w:rPr>
              <w:t>招标文件</w:t>
            </w:r>
            <w:r>
              <w:rPr>
                <w:rFonts w:hint="eastAsia" w:ascii="宋体" w:hAnsi="宋体" w:eastAsia="宋体" w:cs="宋体"/>
                <w:color w:val="auto"/>
                <w:kern w:val="0"/>
                <w:sz w:val="24"/>
                <w:szCs w:val="24"/>
                <w:highlight w:val="none"/>
              </w:rPr>
              <w:t>规定；</w:t>
            </w:r>
          </w:p>
          <w:p w14:paraId="1CF7514B">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120" w:leftChars="50" w:right="0" w:rightChars="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投标人的信誉符合</w:t>
            </w:r>
            <w:r>
              <w:rPr>
                <w:rFonts w:hint="eastAsia" w:ascii="宋体" w:hAnsi="宋体" w:eastAsia="宋体" w:cs="宋体"/>
                <w:color w:val="auto"/>
                <w:kern w:val="0"/>
                <w:sz w:val="24"/>
                <w:szCs w:val="24"/>
                <w:highlight w:val="none"/>
                <w:lang w:val="en-US" w:eastAsia="zh-CN"/>
              </w:rPr>
              <w:t>招标文件</w:t>
            </w:r>
            <w:r>
              <w:rPr>
                <w:rFonts w:hint="eastAsia" w:ascii="宋体" w:hAnsi="宋体" w:eastAsia="宋体" w:cs="宋体"/>
                <w:color w:val="auto"/>
                <w:kern w:val="0"/>
                <w:sz w:val="24"/>
                <w:szCs w:val="24"/>
                <w:highlight w:val="none"/>
              </w:rPr>
              <w:t>规定；</w:t>
            </w:r>
          </w:p>
          <w:p w14:paraId="2753EEE0">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120" w:leftChars="50" w:right="0" w:rightChars="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投标人的项目经理</w:t>
            </w:r>
            <w:r>
              <w:rPr>
                <w:rFonts w:hint="eastAsia" w:ascii="宋体" w:hAnsi="宋体" w:cs="宋体"/>
                <w:color w:val="auto"/>
                <w:kern w:val="0"/>
                <w:sz w:val="24"/>
                <w:szCs w:val="24"/>
                <w:highlight w:val="none"/>
                <w:lang w:val="en-US" w:eastAsia="zh-CN"/>
              </w:rPr>
              <w:t>和项目总工</w:t>
            </w:r>
            <w:r>
              <w:rPr>
                <w:rFonts w:hint="eastAsia" w:ascii="宋体" w:hAnsi="宋体" w:eastAsia="宋体" w:cs="宋体"/>
                <w:color w:val="auto"/>
                <w:kern w:val="0"/>
                <w:sz w:val="24"/>
                <w:szCs w:val="24"/>
                <w:highlight w:val="none"/>
              </w:rPr>
              <w:t>资格符合</w:t>
            </w:r>
            <w:r>
              <w:rPr>
                <w:rFonts w:hint="eastAsia" w:ascii="宋体" w:hAnsi="宋体" w:eastAsia="宋体" w:cs="宋体"/>
                <w:color w:val="auto"/>
                <w:kern w:val="0"/>
                <w:sz w:val="24"/>
                <w:szCs w:val="24"/>
                <w:highlight w:val="none"/>
                <w:lang w:val="en-US" w:eastAsia="zh-CN"/>
              </w:rPr>
              <w:t>招标文件</w:t>
            </w:r>
            <w:r>
              <w:rPr>
                <w:rFonts w:hint="eastAsia" w:ascii="宋体" w:hAnsi="宋体" w:eastAsia="宋体" w:cs="宋体"/>
                <w:color w:val="auto"/>
                <w:kern w:val="0"/>
                <w:sz w:val="24"/>
                <w:szCs w:val="24"/>
                <w:highlight w:val="none"/>
              </w:rPr>
              <w:t>规定</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并按规定在投标文件中签字确认</w:t>
            </w:r>
            <w:r>
              <w:rPr>
                <w:rFonts w:hint="eastAsia" w:ascii="宋体" w:hAnsi="宋体" w:eastAsia="宋体" w:cs="宋体"/>
                <w:color w:val="auto"/>
                <w:kern w:val="0"/>
                <w:sz w:val="24"/>
                <w:szCs w:val="24"/>
                <w:highlight w:val="none"/>
              </w:rPr>
              <w:t>；</w:t>
            </w:r>
          </w:p>
          <w:p w14:paraId="3359F7D1">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120" w:leftChars="50" w:right="0" w:rightChars="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投标人的其他要求符合</w:t>
            </w:r>
            <w:r>
              <w:rPr>
                <w:rFonts w:hint="eastAsia" w:ascii="宋体" w:hAnsi="宋体" w:eastAsia="宋体" w:cs="宋体"/>
                <w:color w:val="auto"/>
                <w:kern w:val="0"/>
                <w:sz w:val="24"/>
                <w:szCs w:val="24"/>
                <w:highlight w:val="none"/>
                <w:lang w:val="en-US" w:eastAsia="zh-CN"/>
              </w:rPr>
              <w:t>招标文件</w:t>
            </w:r>
            <w:r>
              <w:rPr>
                <w:rFonts w:hint="eastAsia" w:ascii="宋体" w:hAnsi="宋体" w:eastAsia="宋体" w:cs="宋体"/>
                <w:color w:val="auto"/>
                <w:kern w:val="0"/>
                <w:sz w:val="24"/>
                <w:szCs w:val="24"/>
                <w:highlight w:val="none"/>
              </w:rPr>
              <w:t>规定；</w:t>
            </w:r>
          </w:p>
          <w:p w14:paraId="747C6B62">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120" w:leftChars="50" w:right="0" w:rightChars="0"/>
              <w:textAlignment w:val="auto"/>
              <w:outlineLvl w:val="9"/>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不存在第二章“投标人须知”</w:t>
            </w:r>
            <w:r>
              <w:rPr>
                <w:rFonts w:hint="eastAsia" w:ascii="宋体" w:hAnsi="宋体" w:cs="宋体"/>
                <w:color w:val="auto"/>
                <w:sz w:val="24"/>
                <w:szCs w:val="24"/>
                <w:highlight w:val="none"/>
              </w:rPr>
              <w:t>第</w:t>
            </w:r>
            <w:r>
              <w:rPr>
                <w:rFonts w:hint="eastAsia" w:ascii="宋体" w:hAnsi="宋体" w:eastAsia="宋体" w:cs="宋体"/>
                <w:color w:val="auto"/>
                <w:kern w:val="0"/>
                <w:sz w:val="24"/>
                <w:szCs w:val="24"/>
                <w:highlight w:val="none"/>
                <w:lang w:val="en-US" w:eastAsia="zh-CN"/>
              </w:rPr>
              <w:t>1.4.3项</w:t>
            </w:r>
            <w:r>
              <w:rPr>
                <w:rFonts w:hint="eastAsia" w:ascii="宋体" w:hAnsi="宋体" w:cs="宋体"/>
                <w:color w:val="auto"/>
                <w:sz w:val="24"/>
                <w:szCs w:val="24"/>
                <w:highlight w:val="none"/>
              </w:rPr>
              <w:t>或第1.4.4项</w:t>
            </w:r>
            <w:r>
              <w:rPr>
                <w:rFonts w:hint="eastAsia" w:ascii="宋体" w:hAnsi="宋体" w:eastAsia="宋体" w:cs="宋体"/>
                <w:color w:val="auto"/>
                <w:kern w:val="0"/>
                <w:sz w:val="24"/>
                <w:szCs w:val="24"/>
                <w:highlight w:val="none"/>
                <w:lang w:val="en-US" w:eastAsia="zh-CN"/>
              </w:rPr>
              <w:t>规定的任何一种情形。</w:t>
            </w:r>
          </w:p>
        </w:tc>
      </w:tr>
      <w:tr w14:paraId="69E99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989" w:type="dxa"/>
            <w:tcBorders>
              <w:top w:val="single" w:color="auto" w:sz="4" w:space="0"/>
              <w:right w:val="single" w:color="auto" w:sz="4" w:space="0"/>
            </w:tcBorders>
            <w:noWrap w:val="0"/>
            <w:vAlign w:val="center"/>
          </w:tcPr>
          <w:p w14:paraId="426D07D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2.2.1</w:t>
            </w:r>
          </w:p>
        </w:tc>
        <w:tc>
          <w:tcPr>
            <w:tcW w:w="916" w:type="dxa"/>
            <w:tcBorders>
              <w:top w:val="single" w:color="auto" w:sz="4" w:space="0"/>
              <w:right w:val="single" w:color="auto" w:sz="4" w:space="0"/>
            </w:tcBorders>
            <w:noWrap w:val="0"/>
            <w:vAlign w:val="center"/>
          </w:tcPr>
          <w:p w14:paraId="7B220D3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分值</w:t>
            </w:r>
          </w:p>
          <w:p w14:paraId="5817A14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构成</w:t>
            </w:r>
          </w:p>
          <w:p w14:paraId="0C23562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(100分)</w:t>
            </w:r>
          </w:p>
        </w:tc>
        <w:tc>
          <w:tcPr>
            <w:tcW w:w="7598" w:type="dxa"/>
            <w:tcBorders>
              <w:top w:val="single" w:color="auto" w:sz="4" w:space="0"/>
              <w:left w:val="single" w:color="auto" w:sz="4" w:space="0"/>
              <w:right w:val="single" w:color="auto" w:sz="4" w:space="0"/>
            </w:tcBorders>
            <w:noWrap w:val="0"/>
            <w:vAlign w:val="center"/>
          </w:tcPr>
          <w:p w14:paraId="3D05A0F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第一</w:t>
            </w:r>
            <w:r>
              <w:rPr>
                <w:rFonts w:hint="eastAsia" w:ascii="宋体" w:hAnsi="宋体" w:cs="宋体"/>
                <w:b/>
                <w:bCs/>
                <w:color w:val="auto"/>
                <w:sz w:val="24"/>
                <w:szCs w:val="24"/>
                <w:highlight w:val="none"/>
                <w:lang w:val="en-US" w:eastAsia="zh-CN"/>
              </w:rPr>
              <w:t>个</w:t>
            </w:r>
            <w:r>
              <w:rPr>
                <w:rFonts w:hint="eastAsia" w:ascii="宋体" w:hAnsi="宋体" w:cs="宋体"/>
                <w:b/>
                <w:bCs/>
                <w:color w:val="auto"/>
                <w:sz w:val="24"/>
                <w:szCs w:val="24"/>
                <w:highlight w:val="none"/>
              </w:rPr>
              <w:t>信封</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商务</w:t>
            </w:r>
            <w:r>
              <w:rPr>
                <w:rFonts w:hint="eastAsia" w:ascii="宋体" w:hAnsi="宋体" w:cs="宋体"/>
                <w:b/>
                <w:bCs/>
                <w:color w:val="auto"/>
                <w:sz w:val="24"/>
                <w:szCs w:val="24"/>
                <w:highlight w:val="none"/>
                <w:lang w:val="en-US" w:eastAsia="zh-CN"/>
              </w:rPr>
              <w:t>及</w:t>
            </w:r>
            <w:r>
              <w:rPr>
                <w:rFonts w:hint="eastAsia" w:ascii="宋体" w:hAnsi="宋体" w:cs="宋体"/>
                <w:b/>
                <w:bCs/>
                <w:color w:val="auto"/>
                <w:sz w:val="24"/>
                <w:szCs w:val="24"/>
                <w:highlight w:val="none"/>
              </w:rPr>
              <w:t>技术文件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评分</w:t>
            </w:r>
            <w:r>
              <w:rPr>
                <w:rFonts w:hint="eastAsia" w:ascii="宋体" w:hAnsi="宋体" w:cs="宋体"/>
                <w:b/>
                <w:bCs/>
                <w:color w:val="auto"/>
                <w:sz w:val="24"/>
                <w:szCs w:val="24"/>
                <w:highlight w:val="none"/>
              </w:rPr>
              <w:t>分值</w:t>
            </w:r>
            <w:r>
              <w:rPr>
                <w:rFonts w:hint="eastAsia" w:ascii="宋体" w:hAnsi="宋体" w:cs="宋体"/>
                <w:b/>
                <w:bCs/>
                <w:color w:val="auto"/>
                <w:sz w:val="24"/>
                <w:szCs w:val="24"/>
                <w:highlight w:val="none"/>
                <w:lang w:val="en-US" w:eastAsia="zh-CN"/>
              </w:rPr>
              <w:t>构成</w:t>
            </w:r>
            <w:r>
              <w:rPr>
                <w:rFonts w:hint="eastAsia" w:ascii="宋体" w:hAnsi="宋体" w:cs="宋体"/>
                <w:b/>
                <w:bCs/>
                <w:color w:val="auto"/>
                <w:sz w:val="24"/>
                <w:szCs w:val="24"/>
                <w:highlight w:val="none"/>
              </w:rPr>
              <w:t>：</w:t>
            </w:r>
          </w:p>
          <w:p w14:paraId="0D14779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施工组织设计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分</w:t>
            </w:r>
          </w:p>
          <w:p w14:paraId="73F56299">
            <w:pPr>
              <w:pStyle w:val="12"/>
              <w:spacing w:after="0" w:line="360" w:lineRule="auto"/>
              <w:jc w:val="both"/>
              <w:rPr>
                <w:rFonts w:hint="eastAsia"/>
                <w:color w:val="auto"/>
                <w:sz w:val="24"/>
                <w:szCs w:val="24"/>
                <w:highlight w:val="none"/>
                <w:lang w:val="en-US" w:eastAsia="zh-CN"/>
              </w:rPr>
            </w:pPr>
            <w:r>
              <w:rPr>
                <w:rFonts w:hint="eastAsia"/>
                <w:color w:val="auto"/>
                <w:sz w:val="24"/>
                <w:szCs w:val="24"/>
                <w:highlight w:val="none"/>
              </w:rPr>
              <w:t xml:space="preserve"> </w:t>
            </w:r>
            <w:r>
              <w:rPr>
                <w:rFonts w:hint="eastAsia"/>
                <w:color w:val="auto"/>
                <w:sz w:val="24"/>
                <w:szCs w:val="24"/>
                <w:highlight w:val="none"/>
                <w:lang w:val="en-US" w:eastAsia="zh-CN"/>
              </w:rPr>
              <w:t>其他因素（D）</w:t>
            </w:r>
          </w:p>
          <w:p w14:paraId="6B23C6AF">
            <w:pPr>
              <w:pStyle w:val="12"/>
              <w:spacing w:after="0" w:line="360" w:lineRule="auto"/>
              <w:ind w:firstLine="240" w:firstLineChars="100"/>
              <w:jc w:val="both"/>
              <w:rPr>
                <w:rFonts w:hint="eastAsia"/>
                <w:color w:val="auto"/>
                <w:sz w:val="24"/>
                <w:szCs w:val="24"/>
                <w:highlight w:val="none"/>
              </w:rPr>
            </w:pPr>
            <w:r>
              <w:rPr>
                <w:rFonts w:hint="eastAsia"/>
                <w:color w:val="auto"/>
                <w:sz w:val="24"/>
                <w:szCs w:val="24"/>
                <w:highlight w:val="none"/>
              </w:rPr>
              <w:t>业绩：</w:t>
            </w:r>
            <w:r>
              <w:rPr>
                <w:rFonts w:hint="eastAsia"/>
                <w:color w:val="auto"/>
                <w:sz w:val="24"/>
                <w:szCs w:val="24"/>
                <w:highlight w:val="none"/>
                <w:u w:val="single"/>
                <w:lang w:val="en-US" w:eastAsia="zh-CN"/>
              </w:rPr>
              <w:t>10</w:t>
            </w:r>
            <w:r>
              <w:rPr>
                <w:rFonts w:hint="eastAsia"/>
                <w:color w:val="auto"/>
                <w:sz w:val="24"/>
                <w:szCs w:val="24"/>
                <w:highlight w:val="none"/>
              </w:rPr>
              <w:t>分</w:t>
            </w:r>
          </w:p>
          <w:p w14:paraId="1679809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第二</w:t>
            </w:r>
            <w:r>
              <w:rPr>
                <w:rFonts w:hint="eastAsia" w:ascii="宋体" w:hAnsi="宋体" w:cs="宋体"/>
                <w:b/>
                <w:bCs/>
                <w:color w:val="auto"/>
                <w:sz w:val="24"/>
                <w:szCs w:val="24"/>
                <w:highlight w:val="none"/>
                <w:lang w:val="en-US" w:eastAsia="zh-CN"/>
              </w:rPr>
              <w:t>个</w:t>
            </w:r>
            <w:r>
              <w:rPr>
                <w:rFonts w:hint="eastAsia" w:ascii="宋体" w:hAnsi="宋体" w:cs="宋体"/>
                <w:b/>
                <w:bCs/>
                <w:color w:val="auto"/>
                <w:sz w:val="24"/>
                <w:szCs w:val="24"/>
                <w:highlight w:val="none"/>
              </w:rPr>
              <w:t>信封（</w:t>
            </w:r>
            <w:r>
              <w:rPr>
                <w:rFonts w:hint="eastAsia" w:ascii="宋体" w:hAnsi="宋体" w:cs="宋体"/>
                <w:b/>
                <w:bCs/>
                <w:color w:val="auto"/>
                <w:sz w:val="24"/>
                <w:szCs w:val="24"/>
                <w:highlight w:val="none"/>
                <w:lang w:val="en-US" w:eastAsia="zh-CN"/>
              </w:rPr>
              <w:t>报价文件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评分</w:t>
            </w:r>
            <w:r>
              <w:rPr>
                <w:rFonts w:hint="eastAsia" w:ascii="宋体" w:hAnsi="宋体" w:cs="宋体"/>
                <w:b/>
                <w:bCs/>
                <w:color w:val="auto"/>
                <w:sz w:val="24"/>
                <w:szCs w:val="24"/>
                <w:highlight w:val="none"/>
              </w:rPr>
              <w:t>分值</w:t>
            </w:r>
            <w:r>
              <w:rPr>
                <w:rFonts w:hint="eastAsia" w:ascii="宋体" w:hAnsi="宋体" w:cs="宋体"/>
                <w:b/>
                <w:bCs/>
                <w:color w:val="auto"/>
                <w:sz w:val="24"/>
                <w:szCs w:val="24"/>
                <w:highlight w:val="none"/>
                <w:lang w:val="en-US" w:eastAsia="zh-CN"/>
              </w:rPr>
              <w:t>构成</w:t>
            </w:r>
            <w:r>
              <w:rPr>
                <w:rFonts w:hint="eastAsia" w:ascii="宋体" w:hAnsi="宋体" w:cs="宋体"/>
                <w:b/>
                <w:bCs/>
                <w:color w:val="auto"/>
                <w:sz w:val="24"/>
                <w:szCs w:val="24"/>
                <w:highlight w:val="none"/>
              </w:rPr>
              <w:t>：</w:t>
            </w:r>
          </w:p>
          <w:p w14:paraId="59ABF718">
            <w:pPr>
              <w:spacing w:line="360" w:lineRule="auto"/>
              <w:rPr>
                <w:rFonts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 xml:space="preserve"> 评标价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rPr>
              <w:t>分</w:t>
            </w:r>
          </w:p>
        </w:tc>
      </w:tr>
      <w:tr w14:paraId="73C70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989" w:type="dxa"/>
            <w:tcBorders>
              <w:top w:val="single" w:color="auto" w:sz="4" w:space="0"/>
              <w:right w:val="single" w:color="auto" w:sz="4" w:space="0"/>
            </w:tcBorders>
            <w:noWrap w:val="0"/>
            <w:vAlign w:val="center"/>
          </w:tcPr>
          <w:p w14:paraId="3409ACE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2.2.2</w:t>
            </w:r>
          </w:p>
        </w:tc>
        <w:tc>
          <w:tcPr>
            <w:tcW w:w="916" w:type="dxa"/>
            <w:tcBorders>
              <w:top w:val="single" w:color="auto" w:sz="4" w:space="0"/>
              <w:right w:val="single" w:color="auto" w:sz="4" w:space="0"/>
            </w:tcBorders>
            <w:noWrap w:val="0"/>
            <w:vAlign w:val="center"/>
          </w:tcPr>
          <w:p w14:paraId="5E012DC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auto"/>
                <w:sz w:val="24"/>
                <w:szCs w:val="24"/>
                <w:highlight w:val="none"/>
              </w:rPr>
            </w:pPr>
            <w:r>
              <w:rPr>
                <w:rFonts w:hint="eastAsia" w:ascii="宋体" w:hAnsi="宋体" w:cs="宋体"/>
                <w:color w:val="auto"/>
                <w:sz w:val="24"/>
                <w:szCs w:val="24"/>
                <w:highlight w:val="none"/>
              </w:rPr>
              <w:t>评标基准价计算方法</w:t>
            </w:r>
          </w:p>
        </w:tc>
        <w:tc>
          <w:tcPr>
            <w:tcW w:w="7598" w:type="dxa"/>
            <w:tcBorders>
              <w:top w:val="single" w:color="auto" w:sz="4" w:space="0"/>
              <w:left w:val="single" w:color="auto" w:sz="4" w:space="0"/>
              <w:right w:val="single" w:color="auto" w:sz="4" w:space="0"/>
            </w:tcBorders>
            <w:noWrap w:val="0"/>
            <w:vAlign w:val="center"/>
          </w:tcPr>
          <w:p w14:paraId="5439190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kern w:val="0"/>
                <w:szCs w:val="21"/>
                <w:highlight w:val="none"/>
              </w:rPr>
            </w:pPr>
            <w:r>
              <w:rPr>
                <w:rFonts w:hint="eastAsia" w:ascii="宋体" w:hAnsi="宋体"/>
                <w:color w:val="auto"/>
                <w:kern w:val="0"/>
                <w:szCs w:val="21"/>
                <w:highlight w:val="none"/>
              </w:rPr>
              <w:t xml:space="preserve"> 评标基准价的计算：</w:t>
            </w:r>
          </w:p>
          <w:p w14:paraId="1F9073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bCs/>
                <w:color w:val="auto"/>
                <w:kern w:val="0"/>
                <w:szCs w:val="21"/>
                <w:highlight w:val="none"/>
              </w:rPr>
            </w:pPr>
            <w:r>
              <w:rPr>
                <w:rFonts w:hint="eastAsia" w:ascii="宋体" w:hAnsi="宋体"/>
                <w:b/>
                <w:bCs/>
                <w:color w:val="auto"/>
                <w:kern w:val="0"/>
                <w:szCs w:val="21"/>
                <w:highlight w:val="none"/>
              </w:rPr>
              <w:t xml:space="preserve"> </w:t>
            </w:r>
            <w:r>
              <w:rPr>
                <w:rFonts w:hint="eastAsia" w:ascii="宋体" w:hAnsi="宋体" w:cs="宋体"/>
                <w:color w:val="auto"/>
                <w:sz w:val="24"/>
                <w:szCs w:val="24"/>
                <w:highlight w:val="none"/>
              </w:rPr>
              <w:t>在开标现场，招标人将当场计算并宣布评标基准价。</w:t>
            </w:r>
          </w:p>
          <w:p w14:paraId="1EA32A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bCs/>
                <w:color w:val="auto"/>
                <w:kern w:val="0"/>
                <w:szCs w:val="21"/>
                <w:highlight w:val="none"/>
              </w:rPr>
            </w:pPr>
            <w:r>
              <w:rPr>
                <w:rFonts w:hint="eastAsia" w:ascii="宋体" w:hAnsi="宋体"/>
                <w:b/>
                <w:bCs/>
                <w:color w:val="auto"/>
                <w:kern w:val="0"/>
                <w:szCs w:val="21"/>
                <w:highlight w:val="none"/>
              </w:rPr>
              <w:t xml:space="preserve"> (1) 评标价的确定：</w:t>
            </w:r>
          </w:p>
          <w:p w14:paraId="135F3A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kern w:val="0"/>
                <w:szCs w:val="21"/>
                <w:highlight w:val="none"/>
              </w:rPr>
            </w:pPr>
            <w:r>
              <w:rPr>
                <w:rFonts w:hint="eastAsia" w:ascii="宋体" w:hAnsi="宋体"/>
                <w:color w:val="auto"/>
                <w:kern w:val="0"/>
                <w:szCs w:val="21"/>
                <w:highlight w:val="none"/>
              </w:rPr>
              <w:t xml:space="preserve"> 投标人评标价＝投标函文字报价</w:t>
            </w:r>
          </w:p>
          <w:p w14:paraId="013D08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bCs/>
                <w:color w:val="auto"/>
                <w:kern w:val="0"/>
                <w:szCs w:val="21"/>
                <w:highlight w:val="none"/>
              </w:rPr>
            </w:pPr>
            <w:r>
              <w:rPr>
                <w:rFonts w:hint="eastAsia" w:ascii="宋体" w:hAnsi="宋体"/>
                <w:b/>
                <w:bCs/>
                <w:color w:val="auto"/>
                <w:kern w:val="0"/>
                <w:szCs w:val="21"/>
                <w:highlight w:val="none"/>
              </w:rPr>
              <w:t xml:space="preserve"> (2) </w:t>
            </w:r>
            <w:r>
              <w:rPr>
                <w:rFonts w:hint="eastAsia" w:ascii="宋体" w:hAnsi="宋体"/>
                <w:b/>
                <w:bCs/>
                <w:color w:val="auto"/>
                <w:kern w:val="0"/>
                <w:szCs w:val="21"/>
                <w:highlight w:val="none"/>
                <w:lang w:val="en-US" w:eastAsia="zh-CN"/>
              </w:rPr>
              <w:t>最高评</w:t>
            </w:r>
            <w:r>
              <w:rPr>
                <w:rFonts w:hint="eastAsia" w:ascii="宋体" w:hAnsi="宋体"/>
                <w:b/>
                <w:bCs/>
                <w:color w:val="auto"/>
                <w:kern w:val="0"/>
                <w:szCs w:val="21"/>
                <w:highlight w:val="none"/>
              </w:rPr>
              <w:t>标限价的确定</w:t>
            </w:r>
          </w:p>
          <w:p w14:paraId="5EBD9C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①最高评标限价的确定</w:t>
            </w:r>
          </w:p>
          <w:p w14:paraId="33309D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最高投标限价</w:t>
            </w:r>
            <w:r>
              <w:rPr>
                <w:rFonts w:hint="eastAsia" w:ascii="宋体" w:hAnsi="宋体" w:cs="宋体"/>
                <w:color w:val="auto"/>
                <w:sz w:val="24"/>
                <w:szCs w:val="24"/>
                <w:highlight w:val="none"/>
              </w:rPr>
              <w:t>下浮率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以下简称“下浮率”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在开标前在开标现场采取摇珠方式确定。摇珠操作办法如下：在下浮率摇珠范围内，以0.1%为一档次增序确定摇珠号码，</w:t>
            </w:r>
            <w:r>
              <w:rPr>
                <w:rFonts w:hint="eastAsia" w:ascii="宋体" w:hAnsi="宋体" w:cs="宋体"/>
                <w:color w:val="auto"/>
                <w:sz w:val="24"/>
                <w:szCs w:val="24"/>
                <w:highlight w:val="none"/>
                <w:lang w:val="en-US" w:eastAsia="zh-CN"/>
              </w:rPr>
              <w:t>不少于</w:t>
            </w:r>
            <w:r>
              <w:rPr>
                <w:rFonts w:hint="eastAsia" w:ascii="宋体" w:hAnsi="宋体" w:cs="宋体"/>
                <w:color w:val="auto"/>
                <w:sz w:val="24"/>
                <w:szCs w:val="24"/>
                <w:highlight w:val="none"/>
              </w:rPr>
              <w:t>31个球，每个标段各一次性摇出3个球(摇出的球不放回)，摇出3个球对应的下浮率的平均值即为本标段招标的下浮率（注：摇出3个下浮率的平均值四舍五入取整到0.001％）。</w:t>
            </w:r>
          </w:p>
          <w:p w14:paraId="3146A7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②最高评标限价=最高投标限价×（1-下浮率）</w:t>
            </w:r>
          </w:p>
          <w:p w14:paraId="4170D3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bCs/>
                <w:color w:val="auto"/>
                <w:szCs w:val="21"/>
                <w:highlight w:val="none"/>
              </w:rPr>
            </w:pPr>
            <w:bookmarkStart w:id="23" w:name="_GoBack"/>
            <w:bookmarkEnd w:id="23"/>
            <w:r>
              <w:rPr>
                <w:rFonts w:hint="eastAsia" w:ascii="宋体" w:hAnsi="宋体" w:cs="宋体"/>
                <w:color w:val="auto"/>
                <w:sz w:val="24"/>
                <w:szCs w:val="24"/>
                <w:highlight w:val="none"/>
              </w:rPr>
              <w:t>最高投标限价、下浮率有效范围在投标文件递交截止日15天前以补遗书的形式通知各投标人。</w:t>
            </w:r>
          </w:p>
          <w:p w14:paraId="5C591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（3）有效评标价范围：</w:t>
            </w:r>
          </w:p>
          <w:p w14:paraId="0C225A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highlight w:val="none"/>
              </w:rPr>
            </w:pPr>
            <w:r>
              <w:rPr>
                <w:rFonts w:hint="eastAsia" w:ascii="宋体" w:hAnsi="宋体" w:cs="宋体"/>
                <w:color w:val="auto"/>
                <w:szCs w:val="21"/>
                <w:highlight w:val="none"/>
              </w:rPr>
              <w:t>有效评标价范围为：不大于最高</w:t>
            </w:r>
            <w:r>
              <w:rPr>
                <w:rFonts w:hint="eastAsia" w:ascii="宋体" w:hAnsi="宋体" w:cs="宋体"/>
                <w:color w:val="auto"/>
                <w:szCs w:val="21"/>
                <w:highlight w:val="none"/>
                <w:lang w:val="en-US" w:eastAsia="zh-CN"/>
              </w:rPr>
              <w:t>评</w:t>
            </w:r>
            <w:r>
              <w:rPr>
                <w:rFonts w:hint="eastAsia" w:ascii="宋体" w:hAnsi="宋体" w:cs="宋体"/>
                <w:color w:val="auto"/>
                <w:szCs w:val="21"/>
                <w:highlight w:val="none"/>
              </w:rPr>
              <w:t>标限价的</w:t>
            </w:r>
            <w:r>
              <w:rPr>
                <w:rFonts w:hint="eastAsia" w:ascii="宋体" w:hAnsi="宋体" w:cs="宋体"/>
                <w:color w:val="auto"/>
                <w:szCs w:val="21"/>
                <w:highlight w:val="none"/>
                <w:lang w:val="en-US" w:eastAsia="zh-CN"/>
              </w:rPr>
              <w:t>评标价</w:t>
            </w:r>
            <w:r>
              <w:rPr>
                <w:rFonts w:hint="eastAsia" w:ascii="宋体" w:hAnsi="宋体" w:cs="宋体"/>
                <w:color w:val="auto"/>
                <w:szCs w:val="21"/>
                <w:highlight w:val="none"/>
              </w:rPr>
              <w:t>为有效评标价。</w:t>
            </w:r>
            <w:r>
              <w:rPr>
                <w:rFonts w:hint="eastAsia" w:ascii="宋体" w:hAnsi="宋体" w:cs="宋体"/>
                <w:color w:val="auto"/>
                <w:szCs w:val="21"/>
                <w:highlight w:val="none"/>
                <w:lang w:val="en-US" w:eastAsia="zh-CN"/>
              </w:rPr>
              <w:t>若</w:t>
            </w:r>
            <w:r>
              <w:rPr>
                <w:rFonts w:hint="eastAsia" w:ascii="宋体" w:hAnsi="宋体" w:cs="宋体"/>
                <w:color w:val="auto"/>
                <w:szCs w:val="21"/>
                <w:highlight w:val="none"/>
              </w:rPr>
              <w:t>大于最高</w:t>
            </w:r>
            <w:r>
              <w:rPr>
                <w:rFonts w:hint="eastAsia" w:ascii="宋体" w:hAnsi="宋体" w:cs="宋体"/>
                <w:color w:val="auto"/>
                <w:szCs w:val="21"/>
                <w:highlight w:val="none"/>
                <w:lang w:val="en-US" w:eastAsia="zh-CN"/>
              </w:rPr>
              <w:t>评</w:t>
            </w:r>
            <w:r>
              <w:rPr>
                <w:rFonts w:hint="eastAsia" w:ascii="宋体" w:hAnsi="宋体" w:cs="宋体"/>
                <w:color w:val="auto"/>
                <w:szCs w:val="21"/>
                <w:highlight w:val="none"/>
              </w:rPr>
              <w:t>标限价的评标价，将否决其投标。</w:t>
            </w:r>
          </w:p>
          <w:p w14:paraId="216D10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bCs/>
                <w:color w:val="auto"/>
                <w:kern w:val="0"/>
                <w:szCs w:val="21"/>
                <w:highlight w:val="none"/>
              </w:rPr>
            </w:pPr>
            <w:r>
              <w:rPr>
                <w:rFonts w:hint="eastAsia" w:ascii="宋体" w:hAnsi="宋体"/>
                <w:b/>
                <w:bCs/>
                <w:color w:val="auto"/>
                <w:kern w:val="0"/>
                <w:szCs w:val="21"/>
                <w:highlight w:val="none"/>
              </w:rPr>
              <w:t>（4）评标基准价的确定</w:t>
            </w:r>
          </w:p>
          <w:p w14:paraId="34C02A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kern w:val="0"/>
                <w:szCs w:val="21"/>
                <w:highlight w:val="none"/>
              </w:rPr>
            </w:pPr>
            <w:r>
              <w:rPr>
                <w:rFonts w:hint="eastAsia" w:ascii="宋体" w:hAnsi="宋体" w:cs="宋体"/>
                <w:color w:val="auto"/>
                <w:sz w:val="24"/>
                <w:szCs w:val="24"/>
                <w:highlight w:val="none"/>
              </w:rPr>
              <w:t>将最高评标限价下浮</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%，作为评标基准价。</w:t>
            </w:r>
          </w:p>
          <w:p w14:paraId="6A348C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0308A495">
            <w:pPr>
              <w:spacing w:line="400" w:lineRule="exact"/>
              <w:ind w:firstLine="480" w:firstLineChars="200"/>
              <w:rPr>
                <w:rFonts w:hint="eastAsia" w:ascii="宋体" w:hAnsi="宋体"/>
                <w:b/>
                <w:bCs/>
                <w:color w:val="auto"/>
                <w:kern w:val="0"/>
                <w:szCs w:val="21"/>
                <w:highlight w:val="none"/>
              </w:rPr>
            </w:pPr>
            <w:r>
              <w:rPr>
                <w:rFonts w:hint="eastAsia" w:ascii="宋体" w:hAnsi="宋体" w:cs="宋体"/>
                <w:color w:val="auto"/>
                <w:sz w:val="24"/>
                <w:szCs w:val="24"/>
                <w:highlight w:val="none"/>
              </w:rPr>
              <w:t>注：最高评标限价、评标基准价均四舍五入至个位整数。</w:t>
            </w:r>
          </w:p>
          <w:p w14:paraId="669FF86E">
            <w:pPr>
              <w:spacing w:line="400" w:lineRule="exact"/>
              <w:ind w:firstLine="480" w:firstLineChars="200"/>
              <w:rPr>
                <w:rFonts w:ascii="宋体" w:hAnsi="宋体" w:cs="宋体"/>
                <w:color w:val="auto"/>
                <w:sz w:val="24"/>
                <w:szCs w:val="24"/>
                <w:highlight w:val="none"/>
              </w:rPr>
            </w:pPr>
          </w:p>
        </w:tc>
      </w:tr>
      <w:tr w14:paraId="700BC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989" w:type="dxa"/>
            <w:tcBorders>
              <w:top w:val="single" w:color="auto" w:sz="4" w:space="0"/>
              <w:right w:val="single" w:color="auto" w:sz="4" w:space="0"/>
            </w:tcBorders>
            <w:noWrap w:val="0"/>
            <w:vAlign w:val="center"/>
          </w:tcPr>
          <w:p w14:paraId="52D29EC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2.2.3</w:t>
            </w:r>
          </w:p>
        </w:tc>
        <w:tc>
          <w:tcPr>
            <w:tcW w:w="916" w:type="dxa"/>
            <w:tcBorders>
              <w:top w:val="single" w:color="auto" w:sz="4" w:space="0"/>
              <w:right w:val="single" w:color="auto" w:sz="4" w:space="0"/>
            </w:tcBorders>
            <w:noWrap w:val="0"/>
            <w:vAlign w:val="center"/>
          </w:tcPr>
          <w:p w14:paraId="75A9392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评标价的偏差率计算公式</w:t>
            </w:r>
          </w:p>
        </w:tc>
        <w:tc>
          <w:tcPr>
            <w:tcW w:w="7598" w:type="dxa"/>
            <w:tcBorders>
              <w:top w:val="single" w:color="auto" w:sz="4" w:space="0"/>
              <w:left w:val="single" w:color="auto" w:sz="4" w:space="0"/>
              <w:right w:val="single" w:color="auto" w:sz="4" w:space="0"/>
            </w:tcBorders>
            <w:noWrap w:val="0"/>
            <w:vAlign w:val="center"/>
          </w:tcPr>
          <w:p w14:paraId="1D1CC61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Cs w:val="21"/>
                <w:highlight w:val="none"/>
              </w:rPr>
              <w:t>偏差率＝100%×（投标人评标价－评标基准价）／评标基准价</w:t>
            </w:r>
          </w:p>
        </w:tc>
      </w:tr>
    </w:tbl>
    <w:p w14:paraId="75BCAC64">
      <w:pPr>
        <w:rPr>
          <w:color w:val="auto"/>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439"/>
        <w:gridCol w:w="395"/>
        <w:gridCol w:w="742"/>
        <w:gridCol w:w="1155"/>
        <w:gridCol w:w="780"/>
        <w:gridCol w:w="5003"/>
      </w:tblGrid>
      <w:tr w14:paraId="62B9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blHeader/>
          <w:jc w:val="center"/>
        </w:trPr>
        <w:tc>
          <w:tcPr>
            <w:tcW w:w="4500" w:type="dxa"/>
            <w:gridSpan w:val="6"/>
            <w:noWrap w:val="0"/>
            <w:vAlign w:val="bottom"/>
          </w:tcPr>
          <w:p w14:paraId="74156BB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评分因素与权重分值</w:t>
            </w:r>
          </w:p>
        </w:tc>
        <w:tc>
          <w:tcPr>
            <w:tcW w:w="5003" w:type="dxa"/>
            <w:noWrap w:val="0"/>
            <w:vAlign w:val="bottom"/>
          </w:tcPr>
          <w:p w14:paraId="454FB12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76B0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blHeader/>
          <w:jc w:val="center"/>
        </w:trPr>
        <w:tc>
          <w:tcPr>
            <w:tcW w:w="989" w:type="dxa"/>
            <w:noWrap w:val="0"/>
            <w:vAlign w:val="center"/>
          </w:tcPr>
          <w:p w14:paraId="15ABF0E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834" w:type="dxa"/>
            <w:gridSpan w:val="2"/>
            <w:noWrap w:val="0"/>
            <w:vAlign w:val="center"/>
          </w:tcPr>
          <w:p w14:paraId="59E6B42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742" w:type="dxa"/>
            <w:noWrap w:val="0"/>
            <w:vAlign w:val="center"/>
          </w:tcPr>
          <w:p w14:paraId="7F5783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评分因素权重分值</w:t>
            </w:r>
          </w:p>
        </w:tc>
        <w:tc>
          <w:tcPr>
            <w:tcW w:w="1155" w:type="dxa"/>
            <w:noWrap w:val="0"/>
            <w:vAlign w:val="center"/>
          </w:tcPr>
          <w:p w14:paraId="1E926B1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各评分因素细分项</w:t>
            </w:r>
          </w:p>
        </w:tc>
        <w:tc>
          <w:tcPr>
            <w:tcW w:w="780" w:type="dxa"/>
            <w:noWrap w:val="0"/>
            <w:vAlign w:val="center"/>
          </w:tcPr>
          <w:p w14:paraId="2627D53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分值</w:t>
            </w:r>
          </w:p>
        </w:tc>
        <w:tc>
          <w:tcPr>
            <w:tcW w:w="5003" w:type="dxa"/>
            <w:noWrap w:val="0"/>
            <w:vAlign w:val="center"/>
          </w:tcPr>
          <w:p w14:paraId="20B2E99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p>
        </w:tc>
      </w:tr>
      <w:tr w14:paraId="407E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9" w:type="dxa"/>
            <w:vMerge w:val="restart"/>
            <w:noWrap w:val="0"/>
            <w:vAlign w:val="center"/>
          </w:tcPr>
          <w:p w14:paraId="0B3A4F0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2.2.4（1）</w:t>
            </w:r>
          </w:p>
        </w:tc>
        <w:tc>
          <w:tcPr>
            <w:tcW w:w="834" w:type="dxa"/>
            <w:gridSpan w:val="2"/>
            <w:vMerge w:val="restart"/>
            <w:noWrap w:val="0"/>
            <w:vAlign w:val="center"/>
          </w:tcPr>
          <w:p w14:paraId="563ECBF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施工组织设计</w:t>
            </w:r>
          </w:p>
        </w:tc>
        <w:tc>
          <w:tcPr>
            <w:tcW w:w="742" w:type="dxa"/>
            <w:vMerge w:val="restart"/>
            <w:noWrap w:val="0"/>
            <w:vAlign w:val="center"/>
          </w:tcPr>
          <w:p w14:paraId="385C198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分</w:t>
            </w:r>
          </w:p>
        </w:tc>
        <w:tc>
          <w:tcPr>
            <w:tcW w:w="1155" w:type="dxa"/>
            <w:noWrap w:val="0"/>
            <w:vAlign w:val="center"/>
          </w:tcPr>
          <w:p w14:paraId="5C3D6FB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工期保证体系及保证措施</w:t>
            </w:r>
          </w:p>
        </w:tc>
        <w:tc>
          <w:tcPr>
            <w:tcW w:w="780" w:type="dxa"/>
            <w:noWrap w:val="0"/>
            <w:vAlign w:val="center"/>
          </w:tcPr>
          <w:p w14:paraId="7D17345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eastAsia="宋体" w:cs="宋体"/>
                <w:color w:val="auto"/>
                <w:szCs w:val="21"/>
                <w:highlight w:val="none"/>
                <w:lang w:val="en-US" w:eastAsia="zh-CN"/>
              </w:rPr>
            </w:pP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rPr>
              <w:t>分</w:t>
            </w:r>
          </w:p>
        </w:tc>
        <w:tc>
          <w:tcPr>
            <w:tcW w:w="5003" w:type="dxa"/>
            <w:noWrap w:val="0"/>
            <w:vAlign w:val="center"/>
          </w:tcPr>
          <w:p w14:paraId="36AFAC2D">
            <w:pPr>
              <w:tabs>
                <w:tab w:val="left" w:pos="380"/>
                <w:tab w:val="left" w:pos="840"/>
                <w:tab w:val="left" w:pos="1260"/>
              </w:tabs>
              <w:spacing w:line="360" w:lineRule="auto"/>
              <w:rPr>
                <w:rFonts w:hint="eastAsia" w:ascii="宋体" w:hAnsi="宋体" w:cs="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进度控制措施科学合理；</w:t>
            </w:r>
            <w:r>
              <w:rPr>
                <w:rFonts w:ascii="宋体" w:hAnsi="宋体" w:cs="宋体"/>
                <w:color w:val="auto"/>
                <w:szCs w:val="21"/>
                <w:highlight w:val="none"/>
              </w:rPr>
              <w:t>对</w:t>
            </w:r>
            <w:r>
              <w:rPr>
                <w:rFonts w:hint="eastAsia" w:ascii="宋体" w:hAnsi="宋体" w:cs="宋体"/>
                <w:color w:val="auto"/>
                <w:szCs w:val="21"/>
                <w:highlight w:val="none"/>
              </w:rPr>
              <w:t>本项目的工期重要性理解特别透彻，</w:t>
            </w:r>
            <w:r>
              <w:rPr>
                <w:rFonts w:ascii="宋体" w:hAnsi="宋体" w:cs="宋体"/>
                <w:color w:val="auto"/>
                <w:szCs w:val="21"/>
                <w:highlight w:val="none"/>
              </w:rPr>
              <w:t>对迁改线路途经的地区特征、人文环境</w:t>
            </w:r>
            <w:r>
              <w:rPr>
                <w:rFonts w:hint="eastAsia" w:ascii="宋体" w:hAnsi="宋体" w:cs="宋体"/>
                <w:color w:val="auto"/>
                <w:szCs w:val="21"/>
                <w:highlight w:val="none"/>
              </w:rPr>
              <w:t>、产权单位等</w:t>
            </w:r>
            <w:r>
              <w:rPr>
                <w:rFonts w:ascii="宋体" w:hAnsi="宋体" w:cs="宋体"/>
                <w:color w:val="auto"/>
                <w:szCs w:val="21"/>
                <w:highlight w:val="none"/>
              </w:rPr>
              <w:t>非常熟悉，</w:t>
            </w:r>
            <w:r>
              <w:rPr>
                <w:rFonts w:hint="eastAsia" w:ascii="宋体" w:hAnsi="宋体" w:cs="宋体"/>
                <w:color w:val="auto"/>
                <w:szCs w:val="21"/>
                <w:highlight w:val="none"/>
              </w:rPr>
              <w:t>协调能力强，能在24小时内响应招标人服务，迁改方案能</w:t>
            </w:r>
            <w:r>
              <w:rPr>
                <w:rFonts w:ascii="宋体" w:hAnsi="宋体" w:cs="宋体"/>
                <w:color w:val="auto"/>
                <w:szCs w:val="21"/>
                <w:highlight w:val="none"/>
              </w:rPr>
              <w:t>最</w:t>
            </w:r>
            <w:r>
              <w:rPr>
                <w:rFonts w:hint="eastAsia" w:ascii="宋体" w:hAnsi="宋体" w:cs="宋体"/>
                <w:color w:val="auto"/>
                <w:szCs w:val="21"/>
                <w:highlight w:val="none"/>
              </w:rPr>
              <w:t>快</w:t>
            </w:r>
            <w:r>
              <w:rPr>
                <w:rFonts w:ascii="宋体" w:hAnsi="宋体" w:cs="宋体"/>
                <w:color w:val="auto"/>
                <w:szCs w:val="21"/>
                <w:highlight w:val="none"/>
              </w:rPr>
              <w:t>时间内减少对</w:t>
            </w:r>
            <w:r>
              <w:rPr>
                <w:rFonts w:hint="eastAsia" w:ascii="宋体" w:hAnsi="宋体" w:cs="宋体"/>
                <w:color w:val="auto"/>
                <w:szCs w:val="21"/>
                <w:highlight w:val="none"/>
              </w:rPr>
              <w:t>高速公路</w:t>
            </w:r>
            <w:r>
              <w:rPr>
                <w:rFonts w:ascii="宋体" w:hAnsi="宋体" w:cs="宋体"/>
                <w:color w:val="auto"/>
                <w:szCs w:val="21"/>
                <w:highlight w:val="none"/>
              </w:rPr>
              <w:t>施工</w:t>
            </w:r>
            <w:r>
              <w:rPr>
                <w:rFonts w:hint="eastAsia" w:ascii="宋体" w:hAnsi="宋体" w:cs="宋体"/>
                <w:color w:val="auto"/>
                <w:szCs w:val="21"/>
                <w:highlight w:val="none"/>
              </w:rPr>
              <w:t>的</w:t>
            </w:r>
            <w:r>
              <w:rPr>
                <w:rFonts w:ascii="宋体" w:hAnsi="宋体" w:cs="宋体"/>
                <w:color w:val="auto"/>
                <w:szCs w:val="21"/>
                <w:highlight w:val="none"/>
              </w:rPr>
              <w:t>影响</w:t>
            </w:r>
            <w:r>
              <w:rPr>
                <w:rFonts w:hint="eastAsia" w:ascii="宋体" w:hAnsi="宋体" w:cs="宋体"/>
                <w:color w:val="auto"/>
                <w:szCs w:val="21"/>
                <w:highlight w:val="none"/>
              </w:rPr>
              <w:t>；</w:t>
            </w:r>
            <w:r>
              <w:rPr>
                <w:rFonts w:ascii="宋体" w:hAnsi="宋体" w:cs="宋体"/>
                <w:color w:val="auto"/>
                <w:szCs w:val="21"/>
                <w:highlight w:val="none"/>
              </w:rPr>
              <w:t>对本工程施工的重点与难点分析准确、方案合理、针对性强，施工主要设备及进场计划、劳动力及材料计划科学合理，可操作性</w:t>
            </w:r>
            <w:r>
              <w:rPr>
                <w:rFonts w:hint="eastAsia" w:ascii="宋体" w:hAnsi="宋体" w:cs="宋体"/>
                <w:color w:val="auto"/>
                <w:szCs w:val="21"/>
                <w:highlight w:val="none"/>
              </w:rPr>
              <w:t>高</w:t>
            </w:r>
            <w:r>
              <w:rPr>
                <w:rFonts w:ascii="宋体" w:hAnsi="宋体" w:cs="宋体"/>
                <w:color w:val="auto"/>
                <w:szCs w:val="21"/>
                <w:highlight w:val="none"/>
              </w:rPr>
              <w:t>的</w:t>
            </w:r>
            <w:r>
              <w:rPr>
                <w:rFonts w:hint="eastAsia" w:ascii="宋体" w:hAnsi="宋体" w:cs="宋体"/>
                <w:color w:val="auto"/>
                <w:szCs w:val="21"/>
                <w:highlight w:val="none"/>
              </w:rPr>
              <w:t>，可</w:t>
            </w:r>
            <w:r>
              <w:rPr>
                <w:rFonts w:ascii="宋体" w:hAnsi="宋体" w:cs="宋体"/>
                <w:color w:val="auto"/>
                <w:szCs w:val="21"/>
                <w:highlight w:val="none"/>
              </w:rPr>
              <w:t>得</w:t>
            </w: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025CBE76">
            <w:pPr>
              <w:tabs>
                <w:tab w:val="left" w:pos="380"/>
                <w:tab w:val="left" w:pos="840"/>
                <w:tab w:val="left" w:pos="126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2．工期保证体系及保证措施基本可行，内容较为充实、全面的；可得</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 xml:space="preserve">分； </w:t>
            </w:r>
          </w:p>
          <w:p w14:paraId="70CD6D0A">
            <w:pPr>
              <w:keepNext w:val="0"/>
              <w:keepLines w:val="0"/>
              <w:pageBreakBefore w:val="0"/>
              <w:tabs>
                <w:tab w:val="left" w:pos="380"/>
                <w:tab w:val="left" w:pos="840"/>
                <w:tab w:val="left" w:pos="126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Cs w:val="21"/>
                <w:highlight w:val="none"/>
                <w:lang w:val="en-US" w:eastAsia="zh-CN"/>
              </w:rPr>
            </w:pPr>
            <w:r>
              <w:rPr>
                <w:rFonts w:hint="eastAsia" w:ascii="宋体" w:hAnsi="宋体" w:cs="宋体"/>
                <w:color w:val="auto"/>
                <w:szCs w:val="21"/>
                <w:highlight w:val="none"/>
              </w:rPr>
              <w:t>3.一般但不被评定为不响应的,起评分</w:t>
            </w:r>
            <w:r>
              <w:rPr>
                <w:rFonts w:hint="eastAsia" w:ascii="宋体" w:hAnsi="宋体" w:cs="宋体"/>
                <w:color w:val="auto"/>
                <w:szCs w:val="21"/>
                <w:highlight w:val="none"/>
                <w:lang w:val="en-US" w:eastAsia="zh-CN"/>
              </w:rPr>
              <w:t>2.4</w:t>
            </w:r>
            <w:r>
              <w:rPr>
                <w:rFonts w:ascii="宋体" w:hAnsi="宋体" w:cs="宋体"/>
                <w:color w:val="auto"/>
                <w:szCs w:val="21"/>
                <w:highlight w:val="none"/>
              </w:rPr>
              <w:t>分</w:t>
            </w:r>
            <w:r>
              <w:rPr>
                <w:rFonts w:hint="eastAsia" w:ascii="宋体" w:hAnsi="宋体" w:cs="宋体"/>
                <w:color w:val="auto"/>
                <w:szCs w:val="21"/>
                <w:highlight w:val="none"/>
              </w:rPr>
              <w:t>。</w:t>
            </w:r>
          </w:p>
        </w:tc>
      </w:tr>
      <w:tr w14:paraId="5260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9" w:type="dxa"/>
            <w:vMerge w:val="continue"/>
            <w:noWrap w:val="0"/>
            <w:vAlign w:val="center"/>
          </w:tcPr>
          <w:p w14:paraId="634DFF8B">
            <w:pPr>
              <w:tabs>
                <w:tab w:val="left" w:pos="1260"/>
              </w:tabs>
              <w:spacing w:line="360" w:lineRule="auto"/>
              <w:rPr>
                <w:highlight w:val="none"/>
              </w:rPr>
            </w:pPr>
          </w:p>
        </w:tc>
        <w:tc>
          <w:tcPr>
            <w:tcW w:w="834" w:type="dxa"/>
            <w:gridSpan w:val="2"/>
            <w:vMerge w:val="continue"/>
            <w:noWrap w:val="0"/>
            <w:vAlign w:val="center"/>
          </w:tcPr>
          <w:p w14:paraId="07AA7869">
            <w:pPr>
              <w:tabs>
                <w:tab w:val="left" w:pos="1260"/>
              </w:tabs>
              <w:spacing w:line="360" w:lineRule="auto"/>
              <w:rPr>
                <w:highlight w:val="none"/>
              </w:rPr>
            </w:pPr>
          </w:p>
        </w:tc>
        <w:tc>
          <w:tcPr>
            <w:tcW w:w="742" w:type="dxa"/>
            <w:vMerge w:val="continue"/>
            <w:noWrap w:val="0"/>
            <w:vAlign w:val="center"/>
          </w:tcPr>
          <w:p w14:paraId="4C79A872">
            <w:pPr>
              <w:tabs>
                <w:tab w:val="left" w:pos="1260"/>
              </w:tabs>
              <w:spacing w:line="360" w:lineRule="auto"/>
              <w:rPr>
                <w:highlight w:val="none"/>
              </w:rPr>
            </w:pPr>
          </w:p>
        </w:tc>
        <w:tc>
          <w:tcPr>
            <w:tcW w:w="1155" w:type="dxa"/>
            <w:noWrap w:val="0"/>
            <w:vAlign w:val="center"/>
          </w:tcPr>
          <w:p w14:paraId="32864AD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质量、安全保证体系及保证措施</w:t>
            </w:r>
          </w:p>
        </w:tc>
        <w:tc>
          <w:tcPr>
            <w:tcW w:w="780" w:type="dxa"/>
            <w:noWrap w:val="0"/>
            <w:vAlign w:val="center"/>
          </w:tcPr>
          <w:p w14:paraId="20980D7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tc>
        <w:tc>
          <w:tcPr>
            <w:tcW w:w="5003" w:type="dxa"/>
            <w:noWrap w:val="0"/>
            <w:vAlign w:val="center"/>
          </w:tcPr>
          <w:p w14:paraId="459BD33E">
            <w:pPr>
              <w:tabs>
                <w:tab w:val="left" w:pos="1260"/>
              </w:tabs>
              <w:spacing w:line="360" w:lineRule="auto"/>
              <w:rPr>
                <w:rFonts w:ascii="宋体" w:hAnsi="宋体" w:cs="宋体"/>
                <w:color w:val="auto"/>
                <w:szCs w:val="21"/>
                <w:highlight w:val="none"/>
              </w:rPr>
            </w:pPr>
            <w:r>
              <w:rPr>
                <w:rFonts w:hint="eastAsia" w:ascii="宋体" w:hAnsi="宋体" w:cs="宋体"/>
                <w:color w:val="auto"/>
                <w:szCs w:val="21"/>
                <w:highlight w:val="none"/>
              </w:rPr>
              <w:t>1．对本项目质量及安全控制有透彻的认识，对施工过程中可能发生的各种质量和安全问题有深刻的认识和合理的预见，并有相应的应对措施，应对措施应科学、充分，能有效处理各种突发问题的，得</w:t>
            </w: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5D1FBFC">
            <w:pPr>
              <w:tabs>
                <w:tab w:val="left" w:pos="1260"/>
              </w:tabs>
              <w:spacing w:line="360" w:lineRule="auto"/>
              <w:rPr>
                <w:rFonts w:ascii="宋体" w:hAnsi="宋体" w:cs="宋体"/>
                <w:color w:val="auto"/>
                <w:szCs w:val="21"/>
                <w:highlight w:val="none"/>
              </w:rPr>
            </w:pPr>
            <w:r>
              <w:rPr>
                <w:rFonts w:hint="eastAsia" w:ascii="宋体" w:hAnsi="宋体" w:cs="宋体"/>
                <w:color w:val="auto"/>
                <w:szCs w:val="21"/>
                <w:highlight w:val="none"/>
              </w:rPr>
              <w:t>2．对本项目质量及安全控制有一定的认识，基本能合理的预见施工过程中可能发生的各种质量和安全问题，并有相应的应对措施，应对措施较为科学、充分，基本能有效处理各种质量和安全问题的，得</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分；</w:t>
            </w:r>
          </w:p>
          <w:p w14:paraId="4B239BAC">
            <w:pPr>
              <w:keepNext w:val="0"/>
              <w:keepLines w:val="0"/>
              <w:pageBreakBefore w:val="0"/>
              <w:tabs>
                <w:tab w:val="left" w:pos="126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Cs w:val="21"/>
                <w:highlight w:val="none"/>
              </w:rPr>
              <w:t>3．一般但不被评定为不响应的，起评分</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分。</w:t>
            </w:r>
          </w:p>
        </w:tc>
      </w:tr>
      <w:tr w14:paraId="1A83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9" w:type="dxa"/>
            <w:vMerge w:val="continue"/>
            <w:noWrap w:val="0"/>
            <w:vAlign w:val="center"/>
          </w:tcPr>
          <w:p w14:paraId="593D4826">
            <w:pPr>
              <w:tabs>
                <w:tab w:val="left" w:pos="1260"/>
              </w:tabs>
              <w:spacing w:line="360" w:lineRule="auto"/>
              <w:rPr>
                <w:rFonts w:ascii="宋体" w:hAnsi="宋体" w:cs="宋体"/>
                <w:color w:val="auto"/>
                <w:sz w:val="24"/>
                <w:szCs w:val="24"/>
                <w:highlight w:val="none"/>
              </w:rPr>
            </w:pPr>
          </w:p>
        </w:tc>
        <w:tc>
          <w:tcPr>
            <w:tcW w:w="834" w:type="dxa"/>
            <w:gridSpan w:val="2"/>
            <w:vMerge w:val="continue"/>
            <w:noWrap w:val="0"/>
            <w:vAlign w:val="center"/>
          </w:tcPr>
          <w:p w14:paraId="65D165A9">
            <w:pPr>
              <w:tabs>
                <w:tab w:val="left" w:pos="1260"/>
              </w:tabs>
              <w:spacing w:line="360" w:lineRule="auto"/>
              <w:rPr>
                <w:rFonts w:ascii="宋体" w:hAnsi="宋体" w:cs="宋体"/>
                <w:color w:val="auto"/>
                <w:sz w:val="24"/>
                <w:szCs w:val="24"/>
                <w:highlight w:val="none"/>
              </w:rPr>
            </w:pPr>
          </w:p>
        </w:tc>
        <w:tc>
          <w:tcPr>
            <w:tcW w:w="742" w:type="dxa"/>
            <w:vMerge w:val="continue"/>
            <w:noWrap w:val="0"/>
            <w:vAlign w:val="center"/>
          </w:tcPr>
          <w:p w14:paraId="3A410EBC">
            <w:pPr>
              <w:tabs>
                <w:tab w:val="left" w:pos="1260"/>
              </w:tabs>
              <w:spacing w:line="360" w:lineRule="auto"/>
              <w:rPr>
                <w:rFonts w:ascii="宋体" w:hAnsi="宋体" w:cs="宋体"/>
                <w:color w:val="auto"/>
                <w:sz w:val="24"/>
                <w:szCs w:val="24"/>
                <w:highlight w:val="none"/>
              </w:rPr>
            </w:pPr>
          </w:p>
        </w:tc>
        <w:tc>
          <w:tcPr>
            <w:tcW w:w="1155" w:type="dxa"/>
            <w:noWrap w:val="0"/>
            <w:vAlign w:val="center"/>
          </w:tcPr>
          <w:p w14:paraId="4C7A6C8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环境保护、文明施工保证体系及措施</w:t>
            </w:r>
          </w:p>
        </w:tc>
        <w:tc>
          <w:tcPr>
            <w:tcW w:w="780" w:type="dxa"/>
            <w:noWrap w:val="0"/>
            <w:vAlign w:val="center"/>
          </w:tcPr>
          <w:p w14:paraId="4992B3B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tc>
        <w:tc>
          <w:tcPr>
            <w:tcW w:w="5003" w:type="dxa"/>
            <w:noWrap w:val="0"/>
            <w:vAlign w:val="center"/>
          </w:tcPr>
          <w:p w14:paraId="62C768B2">
            <w:pPr>
              <w:tabs>
                <w:tab w:val="left" w:pos="1260"/>
              </w:tabs>
              <w:spacing w:line="360" w:lineRule="auto"/>
              <w:rPr>
                <w:rFonts w:ascii="宋体" w:hAnsi="宋体" w:cs="宋体"/>
                <w:color w:val="auto"/>
                <w:szCs w:val="21"/>
                <w:highlight w:val="none"/>
              </w:rPr>
            </w:pPr>
            <w:r>
              <w:rPr>
                <w:rFonts w:hint="eastAsia" w:ascii="宋体" w:hAnsi="宋体" w:cs="宋体"/>
                <w:color w:val="auto"/>
                <w:szCs w:val="21"/>
                <w:highlight w:val="none"/>
              </w:rPr>
              <w:t>1．对本项目的环保及文明施工等工作有独到的见解，能制定科学的措施，施工做到符合环保的要求，对文明施工有相应的措施，能创造良好的施工环境的，得</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7EE0A3EB">
            <w:pPr>
              <w:tabs>
                <w:tab w:val="left" w:pos="1260"/>
              </w:tabs>
              <w:spacing w:line="360" w:lineRule="auto"/>
              <w:rPr>
                <w:rFonts w:ascii="宋体" w:hAnsi="宋体" w:cs="宋体"/>
                <w:color w:val="auto"/>
                <w:szCs w:val="21"/>
                <w:highlight w:val="none"/>
              </w:rPr>
            </w:pPr>
            <w:r>
              <w:rPr>
                <w:rFonts w:hint="eastAsia" w:ascii="宋体" w:hAnsi="宋体" w:cs="宋体"/>
                <w:color w:val="auto"/>
                <w:szCs w:val="21"/>
                <w:highlight w:val="none"/>
              </w:rPr>
              <w:t>2．对工程环保及文明施工等工作制定有相关的措施，基本能满足本项目环保及文明施工的要求的，得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分；</w:t>
            </w:r>
          </w:p>
          <w:p w14:paraId="1B73D4F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Cs w:val="21"/>
                <w:highlight w:val="none"/>
              </w:rPr>
              <w:t>3．一般但不被评定为不响应的，起评分</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r>
      <w:tr w14:paraId="1396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9" w:type="dxa"/>
            <w:noWrap w:val="0"/>
            <w:vAlign w:val="center"/>
          </w:tcPr>
          <w:p w14:paraId="5FD1BA6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2.2.4（3）</w:t>
            </w:r>
          </w:p>
        </w:tc>
        <w:tc>
          <w:tcPr>
            <w:tcW w:w="834" w:type="dxa"/>
            <w:gridSpan w:val="2"/>
            <w:noWrap w:val="0"/>
            <w:vAlign w:val="center"/>
          </w:tcPr>
          <w:p w14:paraId="201330A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评标价</w:t>
            </w:r>
          </w:p>
        </w:tc>
        <w:tc>
          <w:tcPr>
            <w:tcW w:w="742" w:type="dxa"/>
            <w:noWrap w:val="0"/>
            <w:vAlign w:val="center"/>
          </w:tcPr>
          <w:p w14:paraId="43C0D6A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80</w:t>
            </w:r>
            <w:r>
              <w:rPr>
                <w:rFonts w:hint="eastAsia" w:ascii="宋体" w:hAnsi="宋体" w:cs="宋体"/>
                <w:color w:val="auto"/>
                <w:sz w:val="24"/>
                <w:szCs w:val="24"/>
                <w:highlight w:val="none"/>
              </w:rPr>
              <w:t>分</w:t>
            </w:r>
          </w:p>
        </w:tc>
        <w:tc>
          <w:tcPr>
            <w:tcW w:w="6938" w:type="dxa"/>
            <w:gridSpan w:val="3"/>
            <w:noWrap w:val="0"/>
            <w:vAlign w:val="center"/>
          </w:tcPr>
          <w:p w14:paraId="76F92811">
            <w:pPr>
              <w:spacing w:line="360" w:lineRule="auto"/>
              <w:rPr>
                <w:rFonts w:ascii="宋体" w:hAnsi="宋体" w:cs="宋体"/>
                <w:color w:val="auto"/>
                <w:szCs w:val="21"/>
                <w:highlight w:val="none"/>
              </w:rPr>
            </w:pPr>
            <w:r>
              <w:rPr>
                <w:rFonts w:hint="eastAsia" w:ascii="宋体" w:hAnsi="宋体" w:cs="宋体"/>
                <w:color w:val="auto"/>
                <w:szCs w:val="21"/>
                <w:highlight w:val="none"/>
              </w:rPr>
              <w:t>评标价得分计算公式示例：</w:t>
            </w:r>
          </w:p>
          <w:p w14:paraId="6CDFCF97">
            <w:pPr>
              <w:spacing w:line="360" w:lineRule="auto"/>
              <w:rPr>
                <w:rFonts w:ascii="宋体" w:hAnsi="宋体" w:cs="宋体"/>
                <w:color w:val="auto"/>
                <w:szCs w:val="21"/>
                <w:highlight w:val="none"/>
              </w:rPr>
            </w:pPr>
            <w:r>
              <w:rPr>
                <w:rFonts w:hint="eastAsia" w:ascii="宋体" w:hAnsi="宋体" w:cs="宋体"/>
                <w:color w:val="auto"/>
                <w:szCs w:val="21"/>
                <w:highlight w:val="none"/>
              </w:rPr>
              <w:t>（1）如果投标人的评标价&gt;评标基准价，则评标价得分＝</w:t>
            </w:r>
            <w:r>
              <w:rPr>
                <w:rFonts w:hint="eastAsia" w:ascii="宋体" w:hAnsi="宋体" w:cs="宋体"/>
                <w:color w:val="auto"/>
                <w:szCs w:val="21"/>
                <w:highlight w:val="none"/>
                <w:lang w:val="en-US" w:eastAsia="zh-CN"/>
              </w:rPr>
              <w:t>F</w:t>
            </w:r>
            <w:r>
              <w:rPr>
                <w:rFonts w:hint="eastAsia" w:ascii="宋体" w:hAnsi="宋体" w:cs="宋体"/>
                <w:color w:val="auto"/>
                <w:szCs w:val="21"/>
                <w:highlight w:val="none"/>
              </w:rPr>
              <w:t>－偏差率×100×D1；</w:t>
            </w:r>
          </w:p>
          <w:p w14:paraId="367E09E4">
            <w:pPr>
              <w:spacing w:line="360" w:lineRule="auto"/>
              <w:rPr>
                <w:rFonts w:ascii="宋体" w:hAnsi="宋体" w:cs="宋体"/>
                <w:color w:val="auto"/>
                <w:szCs w:val="21"/>
                <w:highlight w:val="none"/>
              </w:rPr>
            </w:pPr>
            <w:r>
              <w:rPr>
                <w:rFonts w:hint="eastAsia" w:ascii="宋体" w:hAnsi="宋体" w:cs="宋体"/>
                <w:color w:val="auto"/>
                <w:szCs w:val="21"/>
                <w:highlight w:val="none"/>
              </w:rPr>
              <w:t>（2）如果投标人的评标价≤评标基准价，则评标价得分＝</w:t>
            </w:r>
            <w:r>
              <w:rPr>
                <w:rFonts w:hint="eastAsia" w:ascii="宋体" w:hAnsi="宋体" w:cs="宋体"/>
                <w:color w:val="auto"/>
                <w:szCs w:val="21"/>
                <w:highlight w:val="none"/>
                <w:lang w:val="en-US" w:eastAsia="zh-CN"/>
              </w:rPr>
              <w:t>F</w:t>
            </w:r>
            <w:r>
              <w:rPr>
                <w:rFonts w:hint="eastAsia" w:ascii="宋体" w:hAnsi="宋体" w:cs="宋体"/>
                <w:color w:val="auto"/>
                <w:szCs w:val="21"/>
                <w:highlight w:val="none"/>
              </w:rPr>
              <w:t>＋偏差率×100×D2。</w:t>
            </w:r>
          </w:p>
          <w:p w14:paraId="086B6BC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其中：F=</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0，D1=1.5，D2=0.5</w:t>
            </w:r>
          </w:p>
          <w:p w14:paraId="2034BBB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Cs w:val="21"/>
                <w:highlight w:val="none"/>
              </w:rPr>
              <w:t>备注：评标价得分计算保留小数点后四位，小数点后第五位“四舍五入”。</w:t>
            </w:r>
          </w:p>
        </w:tc>
      </w:tr>
      <w:tr w14:paraId="64E1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89" w:type="dxa"/>
            <w:noWrap w:val="0"/>
            <w:vAlign w:val="center"/>
          </w:tcPr>
          <w:p w14:paraId="439687A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2.2.4（4）</w:t>
            </w:r>
          </w:p>
          <w:p w14:paraId="336C9C7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color w:val="auto"/>
                <w:highlight w:val="none"/>
              </w:rPr>
            </w:pPr>
          </w:p>
          <w:p w14:paraId="2FE843D3">
            <w:pPr>
              <w:pStyle w:val="6"/>
              <w:rPr>
                <w:color w:val="auto"/>
                <w:highlight w:val="none"/>
              </w:rPr>
            </w:pPr>
          </w:p>
        </w:tc>
        <w:tc>
          <w:tcPr>
            <w:tcW w:w="439" w:type="dxa"/>
            <w:noWrap w:val="0"/>
            <w:vAlign w:val="center"/>
          </w:tcPr>
          <w:p w14:paraId="3C656C7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b/>
                <w:color w:val="auto"/>
                <w:sz w:val="24"/>
                <w:szCs w:val="24"/>
                <w:highlight w:val="none"/>
              </w:rPr>
            </w:pPr>
            <w:r>
              <w:rPr>
                <w:rFonts w:hint="eastAsia" w:ascii="宋体" w:hAnsi="宋体" w:cs="宋体"/>
                <w:color w:val="auto"/>
                <w:sz w:val="24"/>
                <w:szCs w:val="24"/>
                <w:highlight w:val="none"/>
              </w:rPr>
              <w:t>其他因素</w:t>
            </w:r>
          </w:p>
        </w:tc>
        <w:tc>
          <w:tcPr>
            <w:tcW w:w="395" w:type="dxa"/>
            <w:noWrap w:val="0"/>
            <w:vAlign w:val="center"/>
          </w:tcPr>
          <w:p w14:paraId="45DB4FB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业绩</w:t>
            </w:r>
          </w:p>
        </w:tc>
        <w:tc>
          <w:tcPr>
            <w:tcW w:w="742" w:type="dxa"/>
            <w:noWrap w:val="0"/>
            <w:vAlign w:val="center"/>
          </w:tcPr>
          <w:p w14:paraId="12E88C6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6938" w:type="dxa"/>
            <w:gridSpan w:val="3"/>
            <w:noWrap w:val="0"/>
            <w:vAlign w:val="center"/>
          </w:tcPr>
          <w:p w14:paraId="41CCC50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Cs/>
                <w:color w:val="auto"/>
                <w:spacing w:val="-4"/>
                <w:sz w:val="24"/>
                <w:szCs w:val="24"/>
                <w:highlight w:val="none"/>
              </w:rPr>
            </w:pPr>
            <w:r>
              <w:rPr>
                <w:rFonts w:hint="eastAsia" w:ascii="宋体" w:hAnsi="宋体" w:cs="宋体"/>
                <w:color w:val="auto"/>
                <w:szCs w:val="21"/>
                <w:highlight w:val="none"/>
              </w:rPr>
              <w:t>满足资格审查条件（业绩最低要求）得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分，在此基础上，</w:t>
            </w:r>
            <w:r>
              <w:rPr>
                <w:rFonts w:hint="eastAsia" w:ascii="宋体" w:hAnsi="宋体" w:cs="宋体"/>
                <w:color w:val="auto"/>
                <w:szCs w:val="21"/>
                <w:highlight w:val="none"/>
                <w:lang w:val="en-US" w:eastAsia="zh-CN"/>
              </w:rPr>
              <w:t>近五年内独立完成：</w:t>
            </w:r>
            <w:r>
              <w:rPr>
                <w:rFonts w:hint="eastAsia" w:ascii="宋体" w:hAnsi="宋体" w:cs="宋体"/>
                <w:color w:val="auto"/>
                <w:spacing w:val="2"/>
                <w:szCs w:val="21"/>
                <w:highlight w:val="none"/>
              </w:rPr>
              <w:t>每增加完成</w:t>
            </w:r>
            <w:r>
              <w:rPr>
                <w:rFonts w:hint="eastAsia" w:ascii="宋体" w:hAnsi="宋体" w:cs="宋体"/>
                <w:color w:val="auto"/>
                <w:spacing w:val="2"/>
                <w:szCs w:val="21"/>
                <w:highlight w:val="none"/>
                <w:lang w:val="en-US" w:eastAsia="zh-CN"/>
              </w:rPr>
              <w:t>一项合同金额不少于2000万元的类似工程</w:t>
            </w:r>
            <w:r>
              <w:rPr>
                <w:rFonts w:hint="eastAsia" w:ascii="宋体" w:hAnsi="宋体" w:cs="宋体"/>
                <w:color w:val="auto"/>
                <w:spacing w:val="2"/>
                <w:szCs w:val="21"/>
                <w:highlight w:val="none"/>
              </w:rPr>
              <w:t>通信管线迁改</w:t>
            </w:r>
            <w:r>
              <w:rPr>
                <w:rFonts w:hint="eastAsia" w:ascii="宋体" w:hAnsi="宋体" w:cs="宋体"/>
                <w:color w:val="auto"/>
                <w:spacing w:val="2"/>
                <w:szCs w:val="21"/>
                <w:highlight w:val="none"/>
                <w:lang w:val="en-US" w:eastAsia="zh-CN"/>
              </w:rPr>
              <w:t>工程</w:t>
            </w:r>
            <w:r>
              <w:rPr>
                <w:rFonts w:hint="eastAsia" w:ascii="宋体" w:hAnsi="宋体" w:cs="宋体"/>
                <w:color w:val="auto"/>
                <w:spacing w:val="2"/>
                <w:szCs w:val="21"/>
                <w:highlight w:val="none"/>
              </w:rPr>
              <w:t>，加</w:t>
            </w:r>
            <w:r>
              <w:rPr>
                <w:rFonts w:hint="eastAsia" w:ascii="宋体" w:hAnsi="宋体" w:cs="宋体"/>
                <w:color w:val="auto"/>
                <w:spacing w:val="2"/>
                <w:szCs w:val="21"/>
                <w:highlight w:val="none"/>
                <w:lang w:val="en-US" w:eastAsia="zh-CN"/>
              </w:rPr>
              <w:t>1</w:t>
            </w:r>
            <w:r>
              <w:rPr>
                <w:rFonts w:hint="eastAsia" w:ascii="宋体" w:hAnsi="宋体" w:cs="宋体"/>
                <w:color w:val="auto"/>
                <w:spacing w:val="2"/>
                <w:szCs w:val="21"/>
                <w:highlight w:val="none"/>
              </w:rPr>
              <w:t>分，</w:t>
            </w:r>
            <w:r>
              <w:rPr>
                <w:rFonts w:hint="eastAsia" w:ascii="宋体" w:hAnsi="宋体" w:cs="宋体"/>
                <w:color w:val="auto"/>
                <w:szCs w:val="21"/>
                <w:highlight w:val="none"/>
              </w:rPr>
              <w:t>最高加</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r>
      <w:tr w14:paraId="5498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03" w:type="dxa"/>
            <w:gridSpan w:val="7"/>
            <w:noWrap w:val="0"/>
            <w:vAlign w:val="center"/>
          </w:tcPr>
          <w:p w14:paraId="634FB80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b/>
                <w:color w:val="auto"/>
                <w:sz w:val="24"/>
                <w:szCs w:val="24"/>
                <w:highlight w:val="none"/>
              </w:rPr>
            </w:pPr>
            <w:r>
              <w:rPr>
                <w:rFonts w:ascii="宋体" w:hAnsi="宋体"/>
                <w:b/>
                <w:color w:val="auto"/>
                <w:sz w:val="24"/>
                <w:szCs w:val="24"/>
                <w:highlight w:val="none"/>
              </w:rPr>
              <w:t>需要补充的其他内容：</w:t>
            </w:r>
          </w:p>
        </w:tc>
      </w:tr>
      <w:tr w14:paraId="5C7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989" w:type="dxa"/>
            <w:noWrap w:val="0"/>
            <w:vAlign w:val="center"/>
          </w:tcPr>
          <w:p w14:paraId="4D7D67E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b/>
                <w:color w:val="auto"/>
                <w:sz w:val="24"/>
                <w:szCs w:val="24"/>
                <w:highlight w:val="none"/>
              </w:rPr>
            </w:pPr>
            <w:r>
              <w:rPr>
                <w:rFonts w:ascii="宋体" w:hAnsi="宋体"/>
                <w:b/>
                <w:color w:val="auto"/>
                <w:sz w:val="24"/>
                <w:szCs w:val="24"/>
                <w:highlight w:val="none"/>
              </w:rPr>
              <w:t>条款号</w:t>
            </w:r>
          </w:p>
        </w:tc>
        <w:tc>
          <w:tcPr>
            <w:tcW w:w="8514" w:type="dxa"/>
            <w:gridSpan w:val="6"/>
            <w:noWrap w:val="0"/>
            <w:vAlign w:val="center"/>
          </w:tcPr>
          <w:p w14:paraId="7BD9098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b/>
                <w:color w:val="auto"/>
                <w:sz w:val="24"/>
                <w:szCs w:val="24"/>
                <w:highlight w:val="none"/>
              </w:rPr>
            </w:pPr>
            <w:r>
              <w:rPr>
                <w:rFonts w:ascii="宋体" w:hAnsi="宋体"/>
                <w:b/>
                <w:color w:val="auto"/>
                <w:sz w:val="24"/>
                <w:szCs w:val="24"/>
                <w:highlight w:val="none"/>
              </w:rPr>
              <w:t>补充或修改的内容</w:t>
            </w:r>
          </w:p>
        </w:tc>
      </w:tr>
      <w:tr w14:paraId="5CE1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89" w:type="dxa"/>
            <w:noWrap w:val="0"/>
            <w:vAlign w:val="center"/>
          </w:tcPr>
          <w:p w14:paraId="41AE9E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auto"/>
                <w:sz w:val="24"/>
                <w:szCs w:val="24"/>
                <w:highlight w:val="none"/>
              </w:rPr>
            </w:pPr>
            <w:r>
              <w:rPr>
                <w:rFonts w:ascii="宋体" w:hAnsi="宋体"/>
                <w:color w:val="auto"/>
                <w:sz w:val="24"/>
                <w:szCs w:val="24"/>
                <w:highlight w:val="none"/>
              </w:rPr>
              <w:t>1</w:t>
            </w:r>
          </w:p>
        </w:tc>
        <w:tc>
          <w:tcPr>
            <w:tcW w:w="8514" w:type="dxa"/>
            <w:gridSpan w:val="6"/>
            <w:noWrap w:val="0"/>
            <w:vAlign w:val="center"/>
          </w:tcPr>
          <w:p w14:paraId="47D4FA97">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将评标办法范本原文第1条“评标方法”改为“评标方法、组织及工作程序”，并且原文内容修改如下：</w:t>
            </w:r>
          </w:p>
          <w:p w14:paraId="1554EB1A">
            <w:pPr>
              <w:pStyle w:val="13"/>
              <w:keepNext w:val="0"/>
              <w:keepLines w:val="0"/>
              <w:pageBreakBefore w:val="0"/>
              <w:widowControl w:val="0"/>
              <w:numPr>
                <w:ilvl w:val="0"/>
                <w:numId w:val="4"/>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20" w:after="60" w:line="440" w:lineRule="exact"/>
              <w:ind w:firstLine="482" w:firstLineChars="200"/>
              <w:jc w:val="left"/>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评标方法、组织及工作程序 </w:t>
            </w:r>
          </w:p>
          <w:p w14:paraId="07365A5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1.1评标方法</w:t>
            </w:r>
          </w:p>
          <w:p w14:paraId="712D35F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本次评标采用双信封的综合评分法。评标委员会对满足招标文件实质性要求的投标文件，按照本章第2.2款规定的评分标准进行打分，并按得分由高到低顺序推荐中标候选人，但投标报价低于其成本的除外。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sz w:val="24"/>
                <w:szCs w:val="24"/>
                <w:highlight w:val="none"/>
              </w:rPr>
              <w:t xml:space="preserve">综合评分相等时，评标委员会应按照评标办法前附表规定的优先次序推荐中标候选人或确定中标人。 </w:t>
            </w:r>
          </w:p>
          <w:p w14:paraId="6BFF80C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1.2评标组织</w:t>
            </w:r>
          </w:p>
          <w:p w14:paraId="40A0DCA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1.2.1协助工作组</w:t>
            </w:r>
          </w:p>
          <w:p w14:paraId="1BDA2B5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协助工作组由招标人在评标工作开始前成立协助工作组，选派熟悉招标工作、政治素质高的人员组成，协助评标委员会工作。协助工作组人员的具体数量由招标人视评标工作量确定。</w:t>
            </w:r>
          </w:p>
          <w:p w14:paraId="0E290FC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lang w:eastAsia="zh-CN"/>
              </w:rPr>
              <w:t>招标人可以协助</w:t>
            </w:r>
            <w:r>
              <w:rPr>
                <w:rFonts w:hint="eastAsia" w:ascii="宋体" w:hAnsi="宋体"/>
                <w:color w:val="auto"/>
                <w:sz w:val="24"/>
                <w:szCs w:val="24"/>
                <w:highlight w:val="none"/>
              </w:rPr>
              <w:t>评标委员会开展下列工作并提供相关信息：</w:t>
            </w:r>
          </w:p>
          <w:p w14:paraId="12BDF4B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(1)根据招标文件，制定评标使用的相应表格；</w:t>
            </w:r>
          </w:p>
          <w:p w14:paraId="25A9AD5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(2)以评标标准和方法为依据，列出投标文件相对于招标文件的所有偏差，并进行归类汇总；</w:t>
            </w:r>
          </w:p>
          <w:p w14:paraId="019B76C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(3)对投标人的资质、业绩、财务、主要人员资历和目前在岗情况、信用等级</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如有）</w:t>
            </w:r>
            <w:r>
              <w:rPr>
                <w:rFonts w:hint="eastAsia" w:ascii="宋体" w:hAnsi="宋体"/>
                <w:color w:val="auto"/>
                <w:sz w:val="24"/>
                <w:szCs w:val="24"/>
                <w:highlight w:val="none"/>
              </w:rPr>
              <w:t>进行核实。</w:t>
            </w:r>
          </w:p>
          <w:p w14:paraId="0CD3D04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招标人不得对投标文件作出任何评价，不得故意遗漏或者片面摘录，不得在评标委员会对所有偏差定性前透露存有偏差的投标人名称。</w:t>
            </w:r>
          </w:p>
          <w:p w14:paraId="2E8B665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1.2.2评标委员会</w:t>
            </w:r>
          </w:p>
          <w:p w14:paraId="7F548C3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评标委员会由招标人按国家和广东省的有关规定依法组建，评标委员会的主要工作内容包括：</w:t>
            </w:r>
          </w:p>
          <w:p w14:paraId="6E187F8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(1)评标委员会开始评标工作之前，首先听取招标人、协助工作组关于工程情况和辅助工作的说明，并认真研读招标文件，获取评标所需的重要信息和数据；</w:t>
            </w:r>
          </w:p>
          <w:p w14:paraId="31AE1CF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(2)对协助工作组提供的评标工作用表和评标内容进行认真</w:t>
            </w:r>
            <w:r>
              <w:rPr>
                <w:rFonts w:hint="eastAsia" w:ascii="宋体" w:hAnsi="宋体"/>
                <w:color w:val="auto"/>
                <w:sz w:val="24"/>
                <w:szCs w:val="24"/>
                <w:highlight w:val="none"/>
                <w:lang w:val="en-US" w:eastAsia="zh-CN"/>
              </w:rPr>
              <w:t>核查</w:t>
            </w:r>
            <w:r>
              <w:rPr>
                <w:rFonts w:hint="eastAsia" w:ascii="宋体" w:hAnsi="宋体"/>
                <w:color w:val="auto"/>
                <w:sz w:val="24"/>
                <w:szCs w:val="24"/>
                <w:highlight w:val="none"/>
              </w:rPr>
              <w:t>；</w:t>
            </w:r>
          </w:p>
          <w:p w14:paraId="46A7889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(3)按照以下1.3款程序进行各项评审工作。</w:t>
            </w:r>
          </w:p>
          <w:p w14:paraId="2ADCAEC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1.3评审工作程序</w:t>
            </w:r>
          </w:p>
          <w:p w14:paraId="638414D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评标委员会将按以下程序开展评标工作：</w:t>
            </w:r>
          </w:p>
          <w:p w14:paraId="7E28B73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（一）第一信封（商务文件和技术文件）：</w:t>
            </w:r>
          </w:p>
          <w:p w14:paraId="5D753D1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l、初步评审：包括对投标文件进行形式评审与响应性评审、资格评审；</w:t>
            </w:r>
          </w:p>
          <w:p w14:paraId="09213D1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2、详细评审（评审打分）：评标委员会首先对通过初步评审的投标文件第一个信封（商务及技术文件）进行详细评审，对投标人的施工组织设计、其他</w:t>
            </w:r>
            <w:r>
              <w:rPr>
                <w:rFonts w:hint="eastAsia" w:ascii="宋体" w:hAnsi="宋体"/>
                <w:color w:val="auto"/>
                <w:sz w:val="24"/>
                <w:szCs w:val="24"/>
                <w:highlight w:val="none"/>
                <w:lang w:eastAsia="zh-CN"/>
              </w:rPr>
              <w:t>因素（业绩）</w:t>
            </w:r>
            <w:r>
              <w:rPr>
                <w:rFonts w:hint="eastAsia" w:ascii="宋体" w:hAnsi="宋体"/>
                <w:color w:val="auto"/>
                <w:sz w:val="24"/>
                <w:szCs w:val="24"/>
                <w:highlight w:val="none"/>
              </w:rPr>
              <w:t>分别评审打分。</w:t>
            </w:r>
          </w:p>
          <w:p w14:paraId="6BF413E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olor w:val="auto"/>
                <w:sz w:val="24"/>
                <w:szCs w:val="24"/>
                <w:highlight w:val="none"/>
              </w:rPr>
              <w:t>3、对投标文件进行必要的澄清和说明（如果需要）；</w:t>
            </w:r>
          </w:p>
          <w:p w14:paraId="6A9A90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ascii="宋体" w:hAnsi="宋体"/>
                <w:b/>
                <w:bCs/>
                <w:color w:val="auto"/>
                <w:sz w:val="24"/>
                <w:szCs w:val="24"/>
                <w:highlight w:val="none"/>
              </w:rPr>
            </w:pPr>
            <w:r>
              <w:rPr>
                <w:rFonts w:ascii="宋体" w:hAnsi="宋体"/>
                <w:b/>
                <w:bCs/>
                <w:color w:val="auto"/>
                <w:sz w:val="24"/>
                <w:szCs w:val="24"/>
                <w:highlight w:val="none"/>
              </w:rPr>
              <w:t>（二）第二信封报价文件：</w:t>
            </w:r>
          </w:p>
          <w:p w14:paraId="63CEBC12">
            <w:pPr>
              <w:pStyle w:val="11"/>
              <w:spacing w:line="440" w:lineRule="exact"/>
              <w:ind w:firstLine="480"/>
              <w:rPr>
                <w:rFonts w:hint="eastAsia" w:ascii="宋体" w:hAnsi="宋体" w:cs="宋体"/>
                <w:color w:val="auto"/>
                <w:szCs w:val="24"/>
                <w:highlight w:val="none"/>
              </w:rPr>
            </w:pPr>
            <w:r>
              <w:rPr>
                <w:rFonts w:hint="eastAsia" w:ascii="宋体" w:hAnsi="宋体" w:cs="宋体"/>
                <w:color w:val="auto"/>
                <w:szCs w:val="24"/>
                <w:highlight w:val="none"/>
              </w:rPr>
              <w:t xml:space="preserve">1、初步评审： </w:t>
            </w:r>
          </w:p>
          <w:p w14:paraId="488E5D4A">
            <w:pPr>
              <w:pStyle w:val="1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（1）只有投标文件第一个信封通过详细评审的投标人才能继续参加第二信封报价文件的形式评审与响应性评审； </w:t>
            </w:r>
          </w:p>
          <w:p w14:paraId="7B059748">
            <w:pPr>
              <w:pStyle w:val="1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（2）报价算术性修正（如采用固化工程量清单，本步骤省略）； </w:t>
            </w:r>
          </w:p>
          <w:p w14:paraId="68F9866C">
            <w:pPr>
              <w:pStyle w:val="1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2、详细评审：计算评标基准价、评标价得分及综合得分； </w:t>
            </w:r>
          </w:p>
          <w:p w14:paraId="5B7F9801">
            <w:pPr>
              <w:pStyle w:val="1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（三）投标文件相关信息的核查。 </w:t>
            </w:r>
          </w:p>
          <w:p w14:paraId="3988DFE8">
            <w:pPr>
              <w:pStyle w:val="1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Cs w:val="24"/>
                <w:highlight w:val="none"/>
              </w:rPr>
            </w:pPr>
            <w:r>
              <w:rPr>
                <w:rFonts w:hint="eastAsia" w:ascii="宋体" w:hAnsi="宋体" w:cs="宋体"/>
                <w:color w:val="auto"/>
                <w:szCs w:val="24"/>
                <w:highlight w:val="none"/>
              </w:rPr>
              <w:t>（四）投标文件的澄清和说明（如有）</w:t>
            </w:r>
          </w:p>
          <w:p w14:paraId="3730D3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auto"/>
                <w:sz w:val="24"/>
                <w:szCs w:val="24"/>
                <w:highlight w:val="none"/>
              </w:rPr>
            </w:pPr>
            <w:r>
              <w:rPr>
                <w:rFonts w:hint="eastAsia" w:ascii="宋体" w:hAnsi="宋体" w:cs="宋体"/>
                <w:color w:val="auto"/>
                <w:szCs w:val="24"/>
                <w:highlight w:val="none"/>
              </w:rPr>
              <w:t>（五）按评标办法规定推荐中标候选人，编写评标报告。</w:t>
            </w:r>
          </w:p>
        </w:tc>
      </w:tr>
      <w:tr w14:paraId="7F0A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89" w:type="dxa"/>
            <w:noWrap w:val="0"/>
            <w:vAlign w:val="center"/>
          </w:tcPr>
          <w:p w14:paraId="2C054356">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3.2.2</w:t>
            </w:r>
          </w:p>
        </w:tc>
        <w:tc>
          <w:tcPr>
            <w:tcW w:w="8514" w:type="dxa"/>
            <w:gridSpan w:val="6"/>
            <w:noWrap w:val="0"/>
            <w:vAlign w:val="center"/>
          </w:tcPr>
          <w:p w14:paraId="6E4F1751">
            <w:pPr>
              <w:pStyle w:val="11"/>
              <w:spacing w:line="440" w:lineRule="exact"/>
              <w:ind w:left="0" w:leftChars="0" w:firstLine="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将评标办法原文第 3.2.2 项修改如下：</w:t>
            </w:r>
          </w:p>
          <w:p w14:paraId="0DA40B31">
            <w:pPr>
              <w:pStyle w:val="11"/>
              <w:spacing w:line="440" w:lineRule="exact"/>
              <w:ind w:firstLine="480" w:firstLineChars="200"/>
              <w:rPr>
                <w:rFonts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Cs w:val="24"/>
                <w:highlight w:val="none"/>
              </w:rPr>
              <w:t>投标人的商务和技术得分分值计算保留小数点后三位，小数点后第四位“四舍五入”。</w:t>
            </w:r>
          </w:p>
        </w:tc>
      </w:tr>
      <w:tr w14:paraId="1021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89" w:type="dxa"/>
            <w:noWrap w:val="0"/>
            <w:vAlign w:val="center"/>
          </w:tcPr>
          <w:p w14:paraId="6FC325A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ascii="宋体" w:hAnsi="宋体"/>
                <w:color w:val="auto"/>
                <w:sz w:val="24"/>
                <w:szCs w:val="24"/>
                <w:highlight w:val="none"/>
              </w:rPr>
            </w:pPr>
            <w:r>
              <w:rPr>
                <w:rFonts w:ascii="宋体" w:hAnsi="宋体"/>
                <w:color w:val="auto"/>
                <w:sz w:val="24"/>
                <w:szCs w:val="24"/>
                <w:highlight w:val="none"/>
              </w:rPr>
              <w:t>3.2.3</w:t>
            </w:r>
          </w:p>
        </w:tc>
        <w:tc>
          <w:tcPr>
            <w:tcW w:w="8514" w:type="dxa"/>
            <w:gridSpan w:val="6"/>
            <w:noWrap w:val="0"/>
            <w:vAlign w:val="center"/>
          </w:tcPr>
          <w:p w14:paraId="70A00817">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olor w:val="auto"/>
                <w:sz w:val="24"/>
                <w:szCs w:val="24"/>
                <w:highlight w:val="none"/>
              </w:rPr>
            </w:pPr>
            <w:r>
              <w:rPr>
                <w:rFonts w:ascii="宋体" w:hAnsi="宋体"/>
                <w:color w:val="auto"/>
                <w:sz w:val="24"/>
                <w:szCs w:val="24"/>
                <w:highlight w:val="none"/>
              </w:rPr>
              <w:t>将评标办法范本原文第3.2.3款细化如下：</w:t>
            </w:r>
          </w:p>
          <w:p w14:paraId="0444B7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auto"/>
                <w:sz w:val="24"/>
                <w:szCs w:val="24"/>
                <w:highlight w:val="none"/>
              </w:rPr>
            </w:pPr>
            <w:r>
              <w:rPr>
                <w:rFonts w:ascii="宋体" w:hAnsi="宋体"/>
                <w:color w:val="auto"/>
                <w:sz w:val="24"/>
                <w:szCs w:val="24"/>
                <w:highlight w:val="none"/>
              </w:rPr>
              <w:t>投标人得分＝A＋B＋</w:t>
            </w:r>
            <w:r>
              <w:rPr>
                <w:rFonts w:hint="eastAsia" w:ascii="宋体" w:hAnsi="宋体"/>
                <w:color w:val="auto"/>
                <w:sz w:val="24"/>
                <w:szCs w:val="24"/>
                <w:highlight w:val="none"/>
                <w:lang w:val="en-US" w:eastAsia="zh-CN"/>
              </w:rPr>
              <w:t>D</w:t>
            </w:r>
            <w:r>
              <w:rPr>
                <w:rFonts w:ascii="宋体" w:hAnsi="宋体"/>
                <w:color w:val="auto"/>
                <w:sz w:val="24"/>
                <w:szCs w:val="24"/>
                <w:highlight w:val="none"/>
              </w:rPr>
              <w:t>。</w:t>
            </w:r>
          </w:p>
          <w:p w14:paraId="5BAE5F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 w:val="24"/>
                <w:szCs w:val="24"/>
                <w:highlight w:val="none"/>
                <w:lang w:val="en-US" w:eastAsia="zh-CN"/>
              </w:rPr>
            </w:pPr>
            <w:r>
              <w:rPr>
                <w:rFonts w:ascii="宋体" w:hAnsi="宋体"/>
                <w:color w:val="auto"/>
                <w:sz w:val="24"/>
                <w:szCs w:val="24"/>
                <w:highlight w:val="none"/>
              </w:rPr>
              <w:t>除报价得分外，投标文件</w:t>
            </w:r>
            <w:r>
              <w:rPr>
                <w:rFonts w:hint="eastAsia" w:ascii="宋体" w:hAnsi="宋体" w:cs="宋体"/>
                <w:color w:val="auto"/>
                <w:szCs w:val="24"/>
                <w:highlight w:val="none"/>
              </w:rPr>
              <w:t>各评分因素细分项</w:t>
            </w:r>
            <w:r>
              <w:rPr>
                <w:rFonts w:ascii="宋体" w:hAnsi="宋体"/>
                <w:color w:val="auto"/>
                <w:sz w:val="24"/>
                <w:szCs w:val="24"/>
                <w:highlight w:val="none"/>
              </w:rPr>
              <w:t>得分均不应低于其权重分的60%</w:t>
            </w:r>
            <w:r>
              <w:rPr>
                <w:rFonts w:hint="eastAsia" w:ascii="宋体" w:hAnsi="宋体"/>
                <w:color w:val="auto"/>
                <w:sz w:val="24"/>
                <w:szCs w:val="24"/>
                <w:highlight w:val="none"/>
              </w:rPr>
              <w:t>，</w:t>
            </w:r>
            <w:r>
              <w:rPr>
                <w:rFonts w:ascii="宋体" w:hAnsi="宋体"/>
                <w:color w:val="auto"/>
                <w:sz w:val="24"/>
                <w:szCs w:val="24"/>
                <w:highlight w:val="none"/>
              </w:rPr>
              <w:t>评分低于权重分值</w:t>
            </w:r>
            <w:r>
              <w:rPr>
                <w:rFonts w:hint="eastAsia" w:ascii="宋体" w:hAnsi="宋体"/>
                <w:color w:val="auto"/>
                <w:sz w:val="24"/>
                <w:szCs w:val="24"/>
                <w:highlight w:val="none"/>
              </w:rPr>
              <w:t>60%的，评标委员会成员应当在评标报告中作出说明。</w:t>
            </w:r>
            <w:r>
              <w:rPr>
                <w:rFonts w:hint="eastAsia" w:ascii="宋体" w:hAnsi="宋体"/>
                <w:color w:val="auto"/>
                <w:sz w:val="24"/>
                <w:szCs w:val="24"/>
                <w:highlight w:val="none"/>
                <w:lang w:val="en-US" w:eastAsia="zh-CN"/>
              </w:rPr>
              <w:t xml:space="preserve"> </w:t>
            </w:r>
          </w:p>
          <w:p w14:paraId="1BB796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（一）</w:t>
            </w:r>
            <w:r>
              <w:rPr>
                <w:rFonts w:hint="eastAsia" w:ascii="宋体" w:hAnsi="宋体"/>
                <w:b/>
                <w:bCs/>
                <w:color w:val="auto"/>
                <w:sz w:val="24"/>
                <w:szCs w:val="24"/>
                <w:highlight w:val="none"/>
                <w:lang w:val="en-US" w:eastAsia="zh-CN"/>
              </w:rPr>
              <w:t>评标委员会成员为9人时</w:t>
            </w:r>
            <w:r>
              <w:rPr>
                <w:rFonts w:hint="eastAsia" w:ascii="宋体" w:hAnsi="宋体"/>
                <w:b w:val="0"/>
                <w:bCs w:val="0"/>
                <w:color w:val="auto"/>
                <w:sz w:val="24"/>
                <w:szCs w:val="24"/>
                <w:highlight w:val="none"/>
                <w:lang w:val="en-US" w:eastAsia="zh-CN"/>
              </w:rPr>
              <w:t>，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4D5808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b/>
                <w:bCs/>
                <w:color w:val="auto"/>
                <w:sz w:val="24"/>
                <w:szCs w:val="24"/>
                <w:highlight w:val="none"/>
                <w:lang w:val="en-US" w:eastAsia="zh-CN"/>
              </w:rPr>
            </w:pPr>
            <w:r>
              <w:rPr>
                <w:rFonts w:hint="eastAsia" w:ascii="宋体" w:hAnsi="宋体"/>
                <w:b w:val="0"/>
                <w:bCs w:val="0"/>
                <w:color w:val="auto"/>
                <w:sz w:val="24"/>
                <w:szCs w:val="24"/>
                <w:highlight w:val="none"/>
                <w:lang w:val="en-US" w:eastAsia="zh-CN"/>
              </w:rPr>
              <w:t>取消其中1名评委所有评分的办法一（依次按照以下流程）：（1）对比上述出现技术评分总分差值最大值相等的评委的次分差值（次分差值＝某一评委技术评分总分的最高分－该评委技术评分总分的次低分），取消次分差值最大的评委所有评分；（2）如次分差值仍相同，则按随机抽取的方式选定取消1名评委评分。</w:t>
            </w:r>
          </w:p>
          <w:p w14:paraId="024731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color w:val="auto"/>
                <w:sz w:val="24"/>
                <w:szCs w:val="24"/>
                <w:highlight w:val="none"/>
                <w:lang w:eastAsia="zh-CN"/>
              </w:rPr>
            </w:pPr>
            <w:r>
              <w:rPr>
                <w:rFonts w:hint="eastAsia" w:ascii="宋体" w:hAnsi="宋体"/>
                <w:b/>
                <w:bCs/>
                <w:color w:val="auto"/>
                <w:sz w:val="24"/>
                <w:szCs w:val="24"/>
                <w:highlight w:val="none"/>
                <w:lang w:val="en-US" w:eastAsia="zh-CN"/>
              </w:rPr>
              <w:t>（二）评标委员会成员为7人时</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计算投标人技术得分时</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对各评分因素细分项中取消一个最高分、一个最低分后计算算术平均值的和为投标人的最终技术得分，</w:t>
            </w:r>
            <w:r>
              <w:rPr>
                <w:rFonts w:hint="eastAsia" w:ascii="宋体" w:hAnsi="宋体" w:cs="宋体"/>
                <w:color w:val="auto"/>
                <w:sz w:val="24"/>
                <w:szCs w:val="24"/>
                <w:highlight w:val="none"/>
              </w:rPr>
              <w:t>平均值计算保留小数点后三位，小数点后第四位“四舍五入”</w:t>
            </w:r>
            <w:r>
              <w:rPr>
                <w:rFonts w:hint="eastAsia" w:ascii="宋体" w:hAnsi="宋体" w:cs="宋体"/>
                <w:color w:val="auto"/>
                <w:sz w:val="24"/>
                <w:szCs w:val="24"/>
                <w:highlight w:val="none"/>
                <w:lang w:eastAsia="zh-CN"/>
              </w:rPr>
              <w:t>。</w:t>
            </w:r>
          </w:p>
          <w:p w14:paraId="5A3811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color w:val="auto"/>
                <w:sz w:val="24"/>
                <w:szCs w:val="24"/>
                <w:highlight w:val="none"/>
                <w:lang w:eastAsia="zh-CN"/>
              </w:rPr>
            </w:pPr>
            <w:r>
              <w:rPr>
                <w:rFonts w:hint="eastAsia" w:ascii="宋体" w:hAnsi="宋体"/>
                <w:b/>
                <w:bCs/>
                <w:color w:val="auto"/>
                <w:sz w:val="24"/>
                <w:szCs w:val="24"/>
                <w:highlight w:val="none"/>
                <w:lang w:val="en-US" w:eastAsia="zh-CN"/>
              </w:rPr>
              <w:t>（三）评标委员会成员为5人时</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以评标委员会各成员对该投标人的技术评分</w:t>
            </w:r>
            <w:r>
              <w:rPr>
                <w:rFonts w:hint="eastAsia" w:ascii="宋体" w:hAnsi="宋体"/>
                <w:color w:val="auto"/>
                <w:sz w:val="24"/>
                <w:szCs w:val="24"/>
                <w:highlight w:val="none"/>
                <w:lang w:val="en-US" w:eastAsia="zh-CN"/>
              </w:rPr>
              <w:t>各评分因素细分项</w:t>
            </w:r>
            <w:r>
              <w:rPr>
                <w:rFonts w:hint="eastAsia" w:ascii="宋体" w:hAnsi="宋体"/>
                <w:color w:val="auto"/>
                <w:sz w:val="24"/>
                <w:szCs w:val="24"/>
                <w:highlight w:val="none"/>
              </w:rPr>
              <w:t>的算术平均值</w:t>
            </w:r>
            <w:r>
              <w:rPr>
                <w:rFonts w:hint="eastAsia" w:ascii="宋体" w:hAnsi="宋体"/>
                <w:color w:val="auto"/>
                <w:sz w:val="24"/>
                <w:szCs w:val="24"/>
                <w:highlight w:val="none"/>
                <w:lang w:val="en-US" w:eastAsia="zh-CN"/>
              </w:rPr>
              <w:t>的和</w:t>
            </w:r>
            <w:r>
              <w:rPr>
                <w:rFonts w:hint="eastAsia" w:ascii="宋体" w:hAnsi="宋体"/>
                <w:color w:val="auto"/>
                <w:sz w:val="24"/>
                <w:szCs w:val="24"/>
                <w:highlight w:val="none"/>
              </w:rPr>
              <w:t>为投标人的最终技术得分，</w:t>
            </w:r>
            <w:r>
              <w:rPr>
                <w:rFonts w:hint="eastAsia" w:ascii="宋体" w:hAnsi="宋体" w:cs="宋体"/>
                <w:color w:val="auto"/>
                <w:sz w:val="24"/>
                <w:szCs w:val="24"/>
                <w:highlight w:val="none"/>
              </w:rPr>
              <w:t>平均值计算保留小数点后三位，小数点后第四位“四舍五入”</w:t>
            </w:r>
            <w:r>
              <w:rPr>
                <w:rFonts w:hint="eastAsia" w:ascii="宋体" w:hAnsi="宋体" w:cs="宋体"/>
                <w:color w:val="auto"/>
                <w:sz w:val="24"/>
                <w:szCs w:val="24"/>
                <w:highlight w:val="none"/>
                <w:lang w:eastAsia="zh-CN"/>
              </w:rPr>
              <w:t>。</w:t>
            </w:r>
          </w:p>
          <w:p w14:paraId="55B312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auto"/>
                <w:sz w:val="24"/>
                <w:szCs w:val="24"/>
                <w:highlight w:val="none"/>
              </w:rPr>
            </w:pPr>
          </w:p>
        </w:tc>
      </w:tr>
      <w:tr w14:paraId="52A3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89" w:type="dxa"/>
            <w:noWrap w:val="0"/>
            <w:vAlign w:val="center"/>
          </w:tcPr>
          <w:p w14:paraId="51D89D6F">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3.5.2</w:t>
            </w:r>
          </w:p>
        </w:tc>
        <w:tc>
          <w:tcPr>
            <w:tcW w:w="8514" w:type="dxa"/>
            <w:gridSpan w:val="6"/>
            <w:noWrap w:val="0"/>
            <w:vAlign w:val="center"/>
          </w:tcPr>
          <w:p w14:paraId="6793300B">
            <w:pPr>
              <w:adjustRightInd w:val="0"/>
              <w:spacing w:line="360" w:lineRule="auto"/>
              <w:ind w:right="120" w:rightChars="50"/>
              <w:textAlignment w:val="baseline"/>
              <w:rPr>
                <w:rFonts w:hint="eastAsia" w:ascii="宋体" w:hAnsi="宋体" w:cs="Times New Roman"/>
                <w:color w:val="auto"/>
                <w:sz w:val="24"/>
                <w:szCs w:val="24"/>
                <w:highlight w:val="none"/>
                <w:lang w:val="en-US"/>
              </w:rPr>
            </w:pPr>
            <w:r>
              <w:rPr>
                <w:rFonts w:ascii="宋体" w:hAnsi="宋体" w:cs="Times New Roman"/>
                <w:color w:val="auto"/>
                <w:sz w:val="24"/>
                <w:szCs w:val="24"/>
                <w:highlight w:val="none"/>
                <w:lang w:val="en-US"/>
              </w:rPr>
              <w:t>将评标办法原文第</w:t>
            </w:r>
            <w:r>
              <w:rPr>
                <w:rFonts w:hint="eastAsia" w:ascii="宋体" w:hAnsi="宋体" w:cs="Times New Roman"/>
                <w:color w:val="auto"/>
                <w:sz w:val="24"/>
                <w:szCs w:val="24"/>
                <w:highlight w:val="none"/>
                <w:lang w:val="en-US"/>
              </w:rPr>
              <w:t>3.5.2项细化</w:t>
            </w:r>
            <w:r>
              <w:rPr>
                <w:rFonts w:ascii="宋体" w:hAnsi="宋体" w:cs="Times New Roman"/>
                <w:color w:val="auto"/>
                <w:sz w:val="24"/>
                <w:szCs w:val="24"/>
                <w:highlight w:val="none"/>
                <w:lang w:val="en-US"/>
              </w:rPr>
              <w:t>如下：</w:t>
            </w:r>
          </w:p>
          <w:p w14:paraId="2F5150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sz w:val="24"/>
                <w:szCs w:val="24"/>
                <w:highlight w:val="none"/>
                <w:lang w:val="en-US"/>
              </w:rPr>
              <w:t>投标人综合得分=投标人的商务和技术得分+C。（计算保留小数点后四位，小数点后第五位“</w:t>
            </w:r>
            <w:r>
              <w:rPr>
                <w:rFonts w:ascii="宋体" w:hAnsi="宋体" w:cs="Times New Roman"/>
                <w:color w:val="auto"/>
                <w:sz w:val="24"/>
                <w:szCs w:val="24"/>
                <w:highlight w:val="none"/>
                <w:lang w:val="en-US"/>
              </w:rPr>
              <w:t>四舍五入</w:t>
            </w:r>
            <w:r>
              <w:rPr>
                <w:rFonts w:hint="eastAsia" w:ascii="宋体" w:hAnsi="宋体" w:cs="Times New Roman"/>
                <w:color w:val="auto"/>
                <w:sz w:val="24"/>
                <w:szCs w:val="24"/>
                <w:highlight w:val="none"/>
                <w:lang w:val="en-US"/>
              </w:rPr>
              <w:t>”）</w:t>
            </w:r>
          </w:p>
        </w:tc>
      </w:tr>
      <w:tr w14:paraId="7483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9" w:type="dxa"/>
            <w:noWrap w:val="0"/>
            <w:vAlign w:val="center"/>
          </w:tcPr>
          <w:p w14:paraId="341787E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olor w:val="auto"/>
                <w:sz w:val="24"/>
                <w:szCs w:val="24"/>
                <w:highlight w:val="none"/>
                <w:lang w:val="en-US" w:eastAsia="zh-CN"/>
              </w:rPr>
            </w:pPr>
            <w:r>
              <w:rPr>
                <w:rFonts w:ascii="宋体" w:hAnsi="宋体"/>
                <w:color w:val="auto"/>
                <w:sz w:val="24"/>
                <w:szCs w:val="24"/>
                <w:highlight w:val="none"/>
              </w:rPr>
              <w:t>3.</w:t>
            </w:r>
            <w:r>
              <w:rPr>
                <w:rFonts w:hint="eastAsia" w:ascii="宋体" w:hAnsi="宋体"/>
                <w:color w:val="auto"/>
                <w:sz w:val="24"/>
                <w:szCs w:val="24"/>
                <w:highlight w:val="none"/>
                <w:lang w:val="en-US" w:eastAsia="zh-CN"/>
              </w:rPr>
              <w:t>4</w:t>
            </w:r>
            <w:r>
              <w:rPr>
                <w:rFonts w:ascii="宋体" w:hAnsi="宋体"/>
                <w:color w:val="auto"/>
                <w:sz w:val="24"/>
                <w:szCs w:val="24"/>
                <w:highlight w:val="none"/>
              </w:rPr>
              <w:t>.</w:t>
            </w:r>
            <w:r>
              <w:rPr>
                <w:rFonts w:hint="eastAsia" w:ascii="宋体" w:hAnsi="宋体"/>
                <w:color w:val="auto"/>
                <w:sz w:val="24"/>
                <w:szCs w:val="24"/>
                <w:highlight w:val="none"/>
                <w:lang w:val="en-US" w:eastAsia="zh-CN"/>
              </w:rPr>
              <w:t>2</w:t>
            </w:r>
          </w:p>
        </w:tc>
        <w:tc>
          <w:tcPr>
            <w:tcW w:w="8514" w:type="dxa"/>
            <w:gridSpan w:val="6"/>
            <w:noWrap w:val="0"/>
            <w:vAlign w:val="center"/>
          </w:tcPr>
          <w:p w14:paraId="4301B51F">
            <w:pPr>
              <w:keepNext w:val="0"/>
              <w:keepLines w:val="0"/>
              <w:pageBreakBefore w:val="0"/>
              <w:widowControl w:val="0"/>
              <w:tabs>
                <w:tab w:val="left" w:pos="858"/>
              </w:tabs>
              <w:kinsoku/>
              <w:wordWrap/>
              <w:overflowPunct/>
              <w:topLinePunct w:val="0"/>
              <w:autoSpaceDE/>
              <w:autoSpaceDN/>
              <w:bidi w:val="0"/>
              <w:adjustRightInd/>
              <w:snapToGrid/>
              <w:spacing w:line="360" w:lineRule="auto"/>
              <w:ind w:right="0" w:rightChars="0"/>
              <w:jc w:val="both"/>
              <w:textAlignment w:val="auto"/>
              <w:outlineLvl w:val="9"/>
              <w:rPr>
                <w:rFonts w:ascii="宋体" w:hAnsi="宋体"/>
                <w:snapToGrid w:val="0"/>
                <w:color w:val="auto"/>
                <w:sz w:val="24"/>
                <w:szCs w:val="24"/>
                <w:highlight w:val="none"/>
              </w:rPr>
            </w:pPr>
            <w:r>
              <w:rPr>
                <w:rFonts w:ascii="宋体" w:hAnsi="宋体"/>
                <w:snapToGrid w:val="0"/>
                <w:color w:val="auto"/>
                <w:sz w:val="24"/>
                <w:szCs w:val="24"/>
                <w:highlight w:val="none"/>
              </w:rPr>
              <w:t>将评标办法范本原文第3.</w:t>
            </w:r>
            <w:r>
              <w:rPr>
                <w:rFonts w:hint="eastAsia" w:ascii="宋体" w:hAnsi="宋体"/>
                <w:snapToGrid w:val="0"/>
                <w:color w:val="auto"/>
                <w:sz w:val="24"/>
                <w:szCs w:val="24"/>
                <w:highlight w:val="none"/>
                <w:lang w:val="en-US" w:eastAsia="zh-CN"/>
              </w:rPr>
              <w:t>4</w:t>
            </w:r>
            <w:r>
              <w:rPr>
                <w:rFonts w:ascii="宋体" w:hAnsi="宋体"/>
                <w:snapToGrid w:val="0"/>
                <w:color w:val="auto"/>
                <w:sz w:val="24"/>
                <w:szCs w:val="24"/>
                <w:highlight w:val="none"/>
              </w:rPr>
              <w:t>.</w:t>
            </w:r>
            <w:r>
              <w:rPr>
                <w:rFonts w:hint="eastAsia" w:ascii="宋体" w:hAnsi="宋体"/>
                <w:snapToGrid w:val="0"/>
                <w:color w:val="auto"/>
                <w:sz w:val="24"/>
                <w:szCs w:val="24"/>
                <w:highlight w:val="none"/>
                <w:lang w:val="en-US" w:eastAsia="zh-CN"/>
              </w:rPr>
              <w:t>2</w:t>
            </w:r>
            <w:r>
              <w:rPr>
                <w:rFonts w:ascii="宋体" w:hAnsi="宋体"/>
                <w:snapToGrid w:val="0"/>
                <w:color w:val="auto"/>
                <w:sz w:val="24"/>
                <w:szCs w:val="24"/>
                <w:highlight w:val="none"/>
              </w:rPr>
              <w:t>款第（2）、（3）、（4）条修改为：</w:t>
            </w:r>
          </w:p>
          <w:p w14:paraId="03D4710B">
            <w:pPr>
              <w:keepNext w:val="0"/>
              <w:keepLines w:val="0"/>
              <w:pageBreakBefore w:val="0"/>
              <w:widowControl w:val="0"/>
              <w:tabs>
                <w:tab w:val="left" w:pos="858"/>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snapToGrid w:val="0"/>
                <w:color w:val="auto"/>
                <w:sz w:val="24"/>
                <w:szCs w:val="24"/>
                <w:highlight w:val="none"/>
              </w:rPr>
            </w:pPr>
            <w:r>
              <w:rPr>
                <w:rFonts w:ascii="宋体" w:hAnsi="宋体"/>
                <w:snapToGrid w:val="0"/>
                <w:color w:val="auto"/>
                <w:sz w:val="24"/>
                <w:szCs w:val="24"/>
                <w:highlight w:val="none"/>
              </w:rPr>
              <w:t>（2）总价金额与依据单价计算出的结果不一致的，在保证投标总价不变的前提下予以合理调整单价。</w:t>
            </w:r>
          </w:p>
          <w:p w14:paraId="08C0EE3D">
            <w:pPr>
              <w:keepNext w:val="0"/>
              <w:keepLines w:val="0"/>
              <w:pageBreakBefore w:val="0"/>
              <w:widowControl w:val="0"/>
              <w:tabs>
                <w:tab w:val="left" w:pos="858"/>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snapToGrid w:val="0"/>
                <w:color w:val="auto"/>
                <w:sz w:val="24"/>
                <w:szCs w:val="24"/>
                <w:highlight w:val="none"/>
              </w:rPr>
            </w:pPr>
            <w:r>
              <w:rPr>
                <w:rFonts w:ascii="宋体" w:hAnsi="宋体"/>
                <w:snapToGrid w:val="0"/>
                <w:color w:val="auto"/>
                <w:sz w:val="24"/>
                <w:szCs w:val="24"/>
                <w:highlight w:val="none"/>
              </w:rPr>
              <w:t>（3）当单价与数量相乘不等于合价时，应以标出的合价为准，同时对单价予以修正；</w:t>
            </w:r>
          </w:p>
          <w:p w14:paraId="08F130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snapToGrid w:val="0"/>
                <w:color w:val="auto"/>
                <w:sz w:val="24"/>
                <w:szCs w:val="24"/>
                <w:highlight w:val="none"/>
              </w:rPr>
            </w:pPr>
            <w:r>
              <w:rPr>
                <w:rFonts w:ascii="宋体" w:hAnsi="宋体"/>
                <w:snapToGrid w:val="0"/>
                <w:color w:val="auto"/>
                <w:sz w:val="24"/>
                <w:szCs w:val="24"/>
                <w:highlight w:val="none"/>
              </w:rPr>
              <w:t>（4）当各子目的合价累计不等于总价时，应以总价不变的前提下，修正各子目合价。</w:t>
            </w:r>
          </w:p>
        </w:tc>
      </w:tr>
      <w:tr w14:paraId="6D8E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9" w:type="dxa"/>
            <w:noWrap w:val="0"/>
            <w:vAlign w:val="center"/>
          </w:tcPr>
          <w:p w14:paraId="0A03F1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olor w:val="auto"/>
                <w:sz w:val="24"/>
                <w:szCs w:val="24"/>
                <w:highlight w:val="none"/>
                <w:lang w:eastAsia="zh-CN"/>
              </w:rPr>
            </w:pPr>
            <w:r>
              <w:rPr>
                <w:rFonts w:ascii="宋体" w:hAnsi="宋体"/>
                <w:color w:val="auto"/>
                <w:sz w:val="24"/>
                <w:szCs w:val="24"/>
                <w:highlight w:val="none"/>
              </w:rPr>
              <w:t>3.</w:t>
            </w:r>
            <w:r>
              <w:rPr>
                <w:rFonts w:hint="eastAsia" w:ascii="宋体" w:hAnsi="宋体"/>
                <w:color w:val="auto"/>
                <w:sz w:val="24"/>
                <w:szCs w:val="24"/>
                <w:highlight w:val="none"/>
                <w:lang w:val="en-US" w:eastAsia="zh-CN"/>
              </w:rPr>
              <w:t>6</w:t>
            </w:r>
          </w:p>
        </w:tc>
        <w:tc>
          <w:tcPr>
            <w:tcW w:w="8514" w:type="dxa"/>
            <w:gridSpan w:val="6"/>
            <w:noWrap w:val="0"/>
            <w:vAlign w:val="center"/>
          </w:tcPr>
          <w:p w14:paraId="27EF1F62">
            <w:pPr>
              <w:adjustRightInd w:val="0"/>
              <w:spacing w:line="360" w:lineRule="auto"/>
              <w:ind w:left="120" w:leftChars="50" w:right="120" w:rightChars="50"/>
              <w:textAlignment w:val="baseline"/>
              <w:rPr>
                <w:rFonts w:ascii="宋体" w:hAnsi="宋体" w:cs="Times New Roman"/>
                <w:b/>
                <w:bCs/>
                <w:color w:val="auto"/>
                <w:sz w:val="24"/>
                <w:szCs w:val="24"/>
                <w:highlight w:val="none"/>
                <w:lang w:val="en-US"/>
              </w:rPr>
            </w:pPr>
            <w:r>
              <w:rPr>
                <w:rFonts w:ascii="宋体" w:hAnsi="宋体" w:cs="Times New Roman"/>
                <w:b/>
                <w:bCs/>
                <w:color w:val="auto"/>
                <w:sz w:val="24"/>
                <w:szCs w:val="24"/>
                <w:highlight w:val="none"/>
                <w:lang w:val="en-US"/>
              </w:rPr>
              <w:t>3.6.2项（2）目末增加以下条款：</w:t>
            </w:r>
          </w:p>
          <w:p w14:paraId="281B652E">
            <w:pPr>
              <w:pStyle w:val="7"/>
              <w:spacing w:line="360" w:lineRule="auto"/>
              <w:ind w:left="120" w:leftChars="50" w:right="120" w:rightChars="50"/>
              <w:rPr>
                <w:rFonts w:hint="eastAsia" w:hAnsi="宋体" w:cs="宋体"/>
                <w:kern w:val="0"/>
                <w:sz w:val="24"/>
                <w:szCs w:val="24"/>
                <w:highlight w:val="none"/>
                <w:lang w:val="zh-CN" w:eastAsia="zh-CN"/>
              </w:rPr>
            </w:pPr>
            <w:r>
              <w:rPr>
                <w:rFonts w:hint="eastAsia" w:hAnsi="宋体" w:cs="宋体"/>
                <w:kern w:val="0"/>
                <w:sz w:val="24"/>
                <w:szCs w:val="24"/>
                <w:highlight w:val="none"/>
                <w:lang w:val="zh-CN" w:eastAsia="zh-CN"/>
              </w:rPr>
              <w:t>g.当一家以上投标人评标价相同时，若各投标人工程量清单细目单价也相同，视为串标（一个标段仅一工作细目报价的除外）。</w:t>
            </w:r>
          </w:p>
          <w:p w14:paraId="12E1399B">
            <w:pPr>
              <w:adjustRightInd w:val="0"/>
              <w:spacing w:line="360" w:lineRule="auto"/>
              <w:ind w:left="120" w:leftChars="50" w:right="120" w:rightChars="50"/>
              <w:textAlignment w:val="baseline"/>
              <w:rPr>
                <w:rFonts w:hint="eastAsia" w:ascii="宋体" w:hAnsi="宋体" w:cs="宋体"/>
                <w:color w:val="auto"/>
                <w:szCs w:val="24"/>
                <w:highlight w:val="none"/>
              </w:rPr>
            </w:pPr>
            <w:r>
              <w:rPr>
                <w:rFonts w:hint="eastAsia" w:ascii="宋体" w:hAnsi="宋体" w:cs="宋体"/>
                <w:color w:val="auto"/>
                <w:sz w:val="24"/>
                <w:szCs w:val="22"/>
                <w:highlight w:val="none"/>
                <w:lang w:val="en-US"/>
              </w:rPr>
              <w:t>h</w:t>
            </w:r>
            <w:r>
              <w:rPr>
                <w:rFonts w:hint="eastAsia" w:ascii="宋体" w:hAnsi="宋体" w:cs="宋体"/>
                <w:color w:val="auto"/>
                <w:sz w:val="24"/>
                <w:szCs w:val="24"/>
                <w:highlight w:val="none"/>
              </w:rPr>
              <w:t>.</w:t>
            </w:r>
            <w:r>
              <w:rPr>
                <w:rFonts w:ascii="宋体" w:hAnsi="宋体" w:cs="Times New Roman"/>
                <w:color w:val="auto"/>
                <w:sz w:val="24"/>
                <w:szCs w:val="24"/>
                <w:highlight w:val="none"/>
                <w:lang w:val="en-US"/>
              </w:rPr>
              <w:t>广东省实施《中华人民共和国招标投标法》办法第十六条规定的情形。</w:t>
            </w:r>
          </w:p>
          <w:p w14:paraId="0BCB108C">
            <w:pPr>
              <w:pStyle w:val="14"/>
              <w:spacing w:line="440" w:lineRule="exact"/>
              <w:ind w:firstLine="0" w:firstLineChars="0"/>
              <w:rPr>
                <w:rFonts w:hint="eastAsia" w:ascii="宋体" w:hAnsi="宋体" w:cs="宋体"/>
                <w:color w:val="auto"/>
                <w:szCs w:val="24"/>
                <w:highlight w:val="none"/>
              </w:rPr>
            </w:pPr>
          </w:p>
          <w:p w14:paraId="3487CB2E">
            <w:pPr>
              <w:pStyle w:val="14"/>
              <w:keepNext w:val="0"/>
              <w:keepLines w:val="0"/>
              <w:pageBreakBefore w:val="0"/>
              <w:widowControl w:val="0"/>
              <w:kinsoku/>
              <w:wordWrap/>
              <w:overflowPunct/>
              <w:topLinePunct w:val="0"/>
              <w:autoSpaceDE/>
              <w:autoSpaceDN/>
              <w:bidi w:val="0"/>
              <w:adjustRightInd/>
              <w:snapToGrid/>
              <w:spacing w:line="440" w:lineRule="exact"/>
              <w:ind w:left="120" w:leftChars="50" w:firstLine="0" w:firstLineChars="0"/>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评标办法范本原文第3.6款增加 3.6.3项： </w:t>
            </w:r>
          </w:p>
          <w:p w14:paraId="11C3BBB6">
            <w:pPr>
              <w:pStyle w:val="15"/>
              <w:spacing w:line="440" w:lineRule="exact"/>
              <w:ind w:firstLine="480"/>
              <w:rPr>
                <w:rFonts w:hint="eastAsia" w:ascii="宋体" w:hAnsi="宋体"/>
                <w:color w:val="auto"/>
                <w:sz w:val="24"/>
                <w:szCs w:val="24"/>
                <w:highlight w:val="none"/>
              </w:rPr>
            </w:pPr>
            <w:r>
              <w:rPr>
                <w:rFonts w:hint="eastAsia" w:ascii="宋体" w:hAnsi="宋体" w:cs="宋体"/>
                <w:color w:val="auto"/>
                <w:szCs w:val="24"/>
                <w:highlight w:val="none"/>
              </w:rPr>
              <w:t>3.6.3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21CF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9" w:type="dxa"/>
            <w:noWrap w:val="0"/>
            <w:vAlign w:val="center"/>
          </w:tcPr>
          <w:p w14:paraId="66B3A52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3.9</w:t>
            </w:r>
          </w:p>
        </w:tc>
        <w:tc>
          <w:tcPr>
            <w:tcW w:w="8514" w:type="dxa"/>
            <w:gridSpan w:val="6"/>
            <w:noWrap w:val="0"/>
            <w:vAlign w:val="center"/>
          </w:tcPr>
          <w:p w14:paraId="4D415CF9">
            <w:pPr>
              <w:pStyle w:val="14"/>
              <w:keepNext w:val="0"/>
              <w:keepLines w:val="0"/>
              <w:pageBreakBefore w:val="0"/>
              <w:widowControl w:val="0"/>
              <w:kinsoku/>
              <w:wordWrap/>
              <w:overflowPunct/>
              <w:topLinePunct w:val="0"/>
              <w:autoSpaceDE/>
              <w:autoSpaceDN/>
              <w:bidi w:val="0"/>
              <w:adjustRightInd/>
              <w:snapToGrid/>
              <w:spacing w:line="440" w:lineRule="exact"/>
              <w:ind w:left="120" w:leftChars="50" w:firstLine="0" w:firstLineChars="0"/>
              <w:textAlignment w:val="auto"/>
              <w:rPr>
                <w:rFonts w:hint="eastAsia" w:ascii="宋体" w:hAnsi="宋体" w:cs="宋体"/>
                <w:color w:val="auto"/>
                <w:szCs w:val="24"/>
                <w:highlight w:val="none"/>
              </w:rPr>
            </w:pPr>
            <w:r>
              <w:rPr>
                <w:rFonts w:hint="eastAsia" w:ascii="宋体" w:hAnsi="宋体" w:cs="宋体"/>
                <w:color w:val="auto"/>
                <w:szCs w:val="24"/>
                <w:highlight w:val="none"/>
              </w:rPr>
              <w:t>增加3.9.3-3.9.</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 xml:space="preserve">项： </w:t>
            </w:r>
          </w:p>
          <w:p w14:paraId="7A9A1EBC">
            <w:pPr>
              <w:pStyle w:val="15"/>
              <w:spacing w:line="440" w:lineRule="exact"/>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3.9.3 推荐中标候选人方式：按照综合得分排名次序依次推荐出第一、二、三中标候选人（若不足3名，则按实际数量选取）。</w:t>
            </w:r>
          </w:p>
          <w:p w14:paraId="47DC7948">
            <w:pPr>
              <w:pStyle w:val="15"/>
              <w:spacing w:line="440" w:lineRule="exact"/>
              <w:ind w:firstLine="480"/>
              <w:rPr>
                <w:rFonts w:hint="eastAsia" w:ascii="宋体" w:hAnsi="宋体" w:cs="宋体"/>
                <w:color w:val="auto"/>
                <w:szCs w:val="24"/>
                <w:highlight w:val="none"/>
              </w:rPr>
            </w:pPr>
            <w:r>
              <w:rPr>
                <w:rFonts w:hint="eastAsia" w:ascii="宋体" w:hAnsi="宋体" w:cs="宋体"/>
                <w:color w:val="auto"/>
                <w:szCs w:val="24"/>
                <w:highlight w:val="none"/>
              </w:rPr>
              <w:t>3.9.4 通过第一</w:t>
            </w:r>
            <w:r>
              <w:rPr>
                <w:rFonts w:hint="eastAsia" w:ascii="宋体" w:hAnsi="宋体" w:cs="宋体"/>
                <w:color w:val="auto"/>
                <w:szCs w:val="24"/>
                <w:highlight w:val="none"/>
                <w:lang w:val="en-US" w:eastAsia="zh-CN"/>
              </w:rPr>
              <w:t>个</w:t>
            </w:r>
            <w:r>
              <w:rPr>
                <w:rFonts w:hint="eastAsia" w:ascii="宋体" w:hAnsi="宋体" w:cs="宋体"/>
                <w:color w:val="auto"/>
                <w:szCs w:val="24"/>
                <w:highlight w:val="none"/>
              </w:rPr>
              <w:t>信封商务及技术文件评审的投标人少于3个的，评标委员会可以否决全部投标；未否决全部投标的，评标委员会应当在评标报告中阐明理由，招标人应当按照招标文件规定的程序进行第二</w:t>
            </w:r>
            <w:r>
              <w:rPr>
                <w:rFonts w:hint="eastAsia" w:ascii="宋体" w:hAnsi="宋体" w:cs="宋体"/>
                <w:color w:val="auto"/>
                <w:szCs w:val="24"/>
                <w:highlight w:val="none"/>
                <w:lang w:val="en-US" w:eastAsia="zh-CN"/>
              </w:rPr>
              <w:t>个</w:t>
            </w:r>
            <w:r>
              <w:rPr>
                <w:rFonts w:hint="eastAsia" w:ascii="宋体" w:hAnsi="宋体" w:cs="宋体"/>
                <w:color w:val="auto"/>
                <w:szCs w:val="24"/>
                <w:highlight w:val="none"/>
              </w:rPr>
              <w:t xml:space="preserve">信封报价文件开标，但评标委员会在进行报价文件评审时仍有权否决全部投标；评标委员会未在报价文件评审时否决全部投标的，应当在评标报告中阐明理由并推荐中标候选人。 </w:t>
            </w:r>
          </w:p>
          <w:p w14:paraId="52D2558C">
            <w:pPr>
              <w:pStyle w:val="15"/>
              <w:spacing w:line="440" w:lineRule="exact"/>
              <w:ind w:firstLine="480"/>
              <w:rPr>
                <w:rFonts w:hint="eastAsia" w:ascii="宋体" w:hAnsi="宋体" w:cs="宋体"/>
                <w:color w:val="auto"/>
                <w:szCs w:val="24"/>
                <w:highlight w:val="none"/>
              </w:rPr>
            </w:pPr>
            <w:r>
              <w:rPr>
                <w:rFonts w:hint="eastAsia" w:ascii="宋体" w:hAnsi="宋体" w:cs="宋体"/>
                <w:color w:val="auto"/>
                <w:szCs w:val="24"/>
                <w:highlight w:val="none"/>
              </w:rPr>
              <w:t>3.9.5 通过第一</w:t>
            </w:r>
            <w:r>
              <w:rPr>
                <w:rFonts w:hint="eastAsia" w:ascii="宋体" w:hAnsi="宋体" w:cs="宋体"/>
                <w:color w:val="auto"/>
                <w:szCs w:val="24"/>
                <w:highlight w:val="none"/>
                <w:lang w:val="en-US" w:eastAsia="zh-CN"/>
              </w:rPr>
              <w:t>个</w:t>
            </w:r>
            <w:r>
              <w:rPr>
                <w:rFonts w:hint="eastAsia" w:ascii="宋体" w:hAnsi="宋体" w:cs="宋体"/>
                <w:color w:val="auto"/>
                <w:szCs w:val="24"/>
                <w:highlight w:val="none"/>
              </w:rPr>
              <w:t>信封商务及技术文件评审的投标人在3个及以上的，招标人应当按照招标文件规定的程序进行第二</w:t>
            </w:r>
            <w:r>
              <w:rPr>
                <w:rFonts w:hint="eastAsia" w:ascii="宋体" w:hAnsi="宋体" w:cs="宋体"/>
                <w:color w:val="auto"/>
                <w:szCs w:val="24"/>
                <w:highlight w:val="none"/>
                <w:lang w:val="en-US" w:eastAsia="zh-CN"/>
              </w:rPr>
              <w:t>个</w:t>
            </w:r>
            <w:r>
              <w:rPr>
                <w:rFonts w:hint="eastAsia" w:ascii="宋体" w:hAnsi="宋体" w:cs="宋体"/>
                <w:color w:val="auto"/>
                <w:szCs w:val="24"/>
                <w:highlight w:val="none"/>
              </w:rPr>
              <w:t xml:space="preserve">信封报价文件开标；在对报价文件进行评审后，有效投标不足3个的，评标委员会可以否决全部投标。未否决全部投标的，评标委员会应当在评标报告中阐明理由并推荐中标候选人。 </w:t>
            </w:r>
          </w:p>
          <w:p w14:paraId="239CBA74">
            <w:pPr>
              <w:pStyle w:val="15"/>
              <w:spacing w:line="440" w:lineRule="exact"/>
              <w:ind w:firstLine="48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 xml:space="preserve">3.9.6 如果发生无法确定推荐中标候选人的其它意外情况，评标委员会可建议招标人重新招标。 </w:t>
            </w:r>
          </w:p>
          <w:p w14:paraId="68BF83B6">
            <w:pPr>
              <w:pStyle w:val="15"/>
              <w:spacing w:line="440" w:lineRule="exact"/>
              <w:ind w:firstLine="480"/>
              <w:rPr>
                <w:rFonts w:hint="eastAsia" w:ascii="宋体" w:hAnsi="宋体" w:cs="宋体"/>
                <w:color w:val="auto"/>
                <w:szCs w:val="24"/>
                <w:highlight w:val="none"/>
              </w:rPr>
            </w:pPr>
            <w:r>
              <w:rPr>
                <w:rFonts w:hint="eastAsia" w:ascii="宋体" w:hAnsi="宋体" w:eastAsia="宋体" w:cs="宋体"/>
                <w:color w:val="auto"/>
                <w:szCs w:val="24"/>
                <w:highlight w:val="none"/>
              </w:rPr>
              <w:t>3.9</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 xml:space="preserve"> 如果推</w:t>
            </w:r>
            <w:r>
              <w:rPr>
                <w:rFonts w:hint="eastAsia" w:ascii="宋体" w:hAnsi="宋体" w:cs="宋体"/>
                <w:color w:val="auto"/>
                <w:szCs w:val="24"/>
                <w:highlight w:val="none"/>
              </w:rPr>
              <w:t>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但第一中标候选人的投标保证金不予退还。</w:t>
            </w:r>
          </w:p>
          <w:p w14:paraId="39A2E2E6">
            <w:pPr>
              <w:pStyle w:val="15"/>
              <w:spacing w:line="440" w:lineRule="exact"/>
              <w:ind w:firstLine="48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3.9.8 本招标文件规定的否决投标条款包含在以下条款：</w:t>
            </w:r>
          </w:p>
          <w:p w14:paraId="3D64955A">
            <w:pPr>
              <w:pStyle w:val="15"/>
              <w:spacing w:line="440" w:lineRule="exact"/>
              <w:ind w:firstLine="48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（1）招标公告第3点投标人资格要求；</w:t>
            </w:r>
          </w:p>
          <w:p w14:paraId="3D4D943E">
            <w:pPr>
              <w:pStyle w:val="15"/>
              <w:spacing w:line="440" w:lineRule="exact"/>
              <w:ind w:firstLine="48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（2）投标人须知1.4.3款、1.4.4款、1.12款、3.2款、3.3款、3.4款、3.5款、3.6款；</w:t>
            </w:r>
          </w:p>
          <w:p w14:paraId="5EDC95DA">
            <w:pPr>
              <w:pStyle w:val="15"/>
              <w:spacing w:line="440" w:lineRule="exact"/>
              <w:ind w:firstLine="48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（3）本评标办法否决条款。</w:t>
            </w:r>
          </w:p>
          <w:p w14:paraId="06BD0840">
            <w:pPr>
              <w:pStyle w:val="15"/>
              <w:spacing w:line="440" w:lineRule="exact"/>
              <w:ind w:firstLine="48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（4）法律、法规及招标文件等规定的其它否决投标的情形。</w:t>
            </w:r>
          </w:p>
        </w:tc>
      </w:tr>
    </w:tbl>
    <w:p w14:paraId="20B883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4F0AE"/>
    <w:multiLevelType w:val="singleLevel"/>
    <w:tmpl w:val="A0B4F0AE"/>
    <w:lvl w:ilvl="0" w:tentative="0">
      <w:start w:val="2"/>
      <w:numFmt w:val="decimal"/>
      <w:suff w:val="nothing"/>
      <w:lvlText w:val="%1."/>
      <w:lvlJc w:val="left"/>
      <w:pPr>
        <w:ind w:left="420" w:firstLine="0"/>
      </w:pPr>
    </w:lvl>
  </w:abstractNum>
  <w:abstractNum w:abstractNumId="1">
    <w:nsid w:val="C8D042AE"/>
    <w:multiLevelType w:val="singleLevel"/>
    <w:tmpl w:val="C8D042AE"/>
    <w:lvl w:ilvl="0" w:tentative="0">
      <w:start w:val="1"/>
      <w:numFmt w:val="decimal"/>
      <w:suff w:val="nothing"/>
      <w:lvlText w:val="%1、"/>
      <w:lvlJc w:val="left"/>
    </w:lvl>
  </w:abstractNum>
  <w:abstractNum w:abstractNumId="2">
    <w:nsid w:val="D9689887"/>
    <w:multiLevelType w:val="singleLevel"/>
    <w:tmpl w:val="D9689887"/>
    <w:lvl w:ilvl="0" w:tentative="0">
      <w:start w:val="1"/>
      <w:numFmt w:val="decimal"/>
      <w:suff w:val="nothing"/>
      <w:lvlText w:val="%1、"/>
      <w:lvlJc w:val="left"/>
    </w:lvl>
  </w:abstractNum>
  <w:abstractNum w:abstractNumId="3">
    <w:nsid w:val="5BA717EF"/>
    <w:multiLevelType w:val="singleLevel"/>
    <w:tmpl w:val="5BA717EF"/>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E6AA0"/>
    <w:rsid w:val="213E6AA0"/>
    <w:rsid w:val="34A32581"/>
    <w:rsid w:val="511F5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2"/>
    <w:basedOn w:val="1"/>
    <w:next w:val="4"/>
    <w:qFormat/>
    <w:uiPriority w:val="0"/>
    <w:pPr>
      <w:keepNext/>
      <w:jc w:val="center"/>
      <w:outlineLvl w:val="1"/>
    </w:pPr>
    <w:rPr>
      <w:rFonts w:eastAsia="方正楷体简体"/>
      <w:kern w:val="2"/>
      <w:sz w:val="28"/>
      <w:szCs w:val="24"/>
      <w:lang w:val="en-US" w:eastAsia="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表格文字"/>
    <w:basedOn w:val="1"/>
    <w:uiPriority w:val="0"/>
    <w:pPr>
      <w:adjustRightInd w:val="0"/>
      <w:spacing w:line="420" w:lineRule="atLeast"/>
      <w:jc w:val="left"/>
      <w:textAlignment w:val="baseline"/>
    </w:pPr>
    <w:rPr>
      <w:kern w:val="0"/>
      <w:szCs w:val="20"/>
    </w:rPr>
  </w:style>
  <w:style w:type="paragraph" w:styleId="4">
    <w:name w:val="Normal Indent"/>
    <w:basedOn w:val="1"/>
    <w:qFormat/>
    <w:uiPriority w:val="0"/>
    <w:pPr>
      <w:ind w:firstLine="420" w:firstLineChars="200"/>
    </w:pPr>
    <w:rPr>
      <w:kern w:val="0"/>
      <w:sz w:val="20"/>
    </w:rPr>
  </w:style>
  <w:style w:type="paragraph" w:styleId="5">
    <w:name w:val="Body Text"/>
    <w:basedOn w:val="1"/>
    <w:next w:val="1"/>
    <w:qFormat/>
    <w:uiPriority w:val="0"/>
    <w:rPr>
      <w:rFonts w:ascii="仿宋_GB2312" w:eastAsia="仿宋_GB2312"/>
      <w:kern w:val="2"/>
      <w:sz w:val="28"/>
      <w:szCs w:val="24"/>
      <w:lang w:val="en-US" w:eastAsia="zh-CN"/>
    </w:rPr>
  </w:style>
  <w:style w:type="paragraph" w:styleId="6">
    <w:name w:val="Body Text Indent"/>
    <w:basedOn w:val="5"/>
    <w:next w:val="1"/>
    <w:uiPriority w:val="0"/>
    <w:pPr>
      <w:spacing w:after="120" w:afterLines="0" w:afterAutospacing="0"/>
      <w:ind w:left="420" w:leftChars="200"/>
    </w:pPr>
    <w:rPr>
      <w:rFonts w:eastAsia="宋体"/>
      <w:b/>
      <w:sz w:val="28"/>
      <w:lang w:val="en-US" w:eastAsia="zh-CN"/>
    </w:rPr>
  </w:style>
  <w:style w:type="paragraph" w:styleId="7">
    <w:name w:val="Plain Text"/>
    <w:basedOn w:val="1"/>
    <w:qFormat/>
    <w:uiPriority w:val="0"/>
    <w:rPr>
      <w:rFonts w:ascii="宋体" w:hAnsi="Courier New"/>
      <w:kern w:val="0"/>
      <w:sz w:val="20"/>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1">
    <w:name w:val="正文1"/>
    <w:basedOn w:val="1"/>
    <w:qFormat/>
    <w:uiPriority w:val="0"/>
    <w:pPr>
      <w:spacing w:line="400" w:lineRule="exact"/>
      <w:ind w:firstLine="480" w:firstLineChars="200"/>
    </w:pPr>
    <w:rPr>
      <w:rFonts w:ascii="宋体" w:hAnsi="宋体"/>
      <w:kern w:val="2"/>
      <w:sz w:val="24"/>
      <w:szCs w:val="24"/>
    </w:rPr>
  </w:style>
  <w:style w:type="paragraph" w:customStyle="1" w:styleId="12">
    <w:name w:val="p0"/>
    <w:basedOn w:val="1"/>
    <w:uiPriority w:val="0"/>
    <w:pPr>
      <w:widowControl/>
      <w:spacing w:after="200" w:afterLines="0" w:line="273" w:lineRule="auto"/>
      <w:jc w:val="left"/>
    </w:pPr>
    <w:rPr>
      <w:rFonts w:ascii="宋体" w:hAnsi="宋体" w:cs="宋体"/>
      <w:kern w:val="0"/>
      <w:sz w:val="22"/>
      <w:szCs w:val="22"/>
    </w:rPr>
  </w:style>
  <w:style w:type="paragraph" w:customStyle="1" w:styleId="13">
    <w:name w:val="小标1"/>
    <w:basedOn w:val="8"/>
    <w:uiPriority w:val="0"/>
    <w:pPr>
      <w:spacing w:line="440" w:lineRule="exact"/>
      <w:ind w:firstLine="480" w:firstLineChars="200"/>
    </w:pPr>
    <w:rPr>
      <w:b/>
      <w:kern w:val="20"/>
      <w:sz w:val="24"/>
    </w:rPr>
  </w:style>
  <w:style w:type="paragraph" w:customStyle="1" w:styleId="14">
    <w:name w:val="小标2"/>
    <w:basedOn w:val="11"/>
    <w:qFormat/>
    <w:uiPriority w:val="0"/>
    <w:pPr>
      <w:spacing w:line="500" w:lineRule="exact"/>
      <w:ind w:firstLine="964" w:firstLineChars="200"/>
    </w:pPr>
    <w:rPr>
      <w:rFonts w:ascii="Times New Roman" w:hAnsi="Times New Roman"/>
      <w:b/>
      <w:sz w:val="24"/>
    </w:rPr>
  </w:style>
  <w:style w:type="paragraph" w:customStyle="1" w:styleId="15">
    <w:name w:val="正文2"/>
    <w:basedOn w:val="1"/>
    <w:qFormat/>
    <w:uiPriority w:val="0"/>
    <w:pPr>
      <w:overflowPunct w:val="0"/>
      <w:spacing w:line="400" w:lineRule="exact"/>
      <w:ind w:firstLine="200" w:firstLineChars="200"/>
      <w:contextualSpacing/>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7851</Words>
  <Characters>8227</Characters>
  <Lines>0</Lines>
  <Paragraphs>0</Paragraphs>
  <TotalTime>0</TotalTime>
  <ScaleCrop>false</ScaleCrop>
  <LinksUpToDate>false</LinksUpToDate>
  <CharactersWithSpaces>8332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2025-11-17T12:30:00Z</dcterms:created>
  <dc:creator>郑晓晖</dc:creator>
  <cp:lastModifiedBy>郑晓晖</cp:lastModifiedBy>
  <dcterms:modified xsi:type="dcterms:W3CDTF">2025-11-18T05:44:57Z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1182EB097DF24F5B98201B903CEAAA53_11</vt:lpwstr>
  </property>
  <property fmtid="{D5CDD505-2E9C-101B-9397-08002B2CF9AE}" pid="4" name="KSOTemplateDocerSaveRecord">
    <vt:lpwstr>eyJoZGlkIjoiOTFlMzY1MGNkNTdhMTI1NTU2MjA4MDc1OGIxNzU0OGYiLCJ1c2VySWQiOiI2Mzg2MDI0MTcifQ==</vt:lpwstr>
  </property>
</Properties>
</file>