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128E9">
      <w:pPr>
        <w:rPr>
          <w:rFonts w:hint="default" w:ascii="宋体" w:hAnsi="宋体"/>
          <w:color w:val="auto"/>
          <w:szCs w:val="21"/>
          <w:highlight w:val="none"/>
        </w:rPr>
      </w:pPr>
      <w:bookmarkStart w:id="0" w:name="_Toc82141020"/>
      <w:bookmarkEnd w:id="0"/>
      <w:bookmarkStart w:id="1" w:name="_Toc81802534"/>
      <w:bookmarkEnd w:id="1"/>
      <w:bookmarkStart w:id="2" w:name="_Toc115711396"/>
      <w:bookmarkEnd w:id="2"/>
      <w:bookmarkStart w:id="3" w:name="_Toc115711029"/>
      <w:bookmarkEnd w:id="3"/>
      <w:bookmarkStart w:id="4" w:name="_Toc81802526"/>
      <w:bookmarkEnd w:id="4"/>
      <w:bookmarkStart w:id="5" w:name="_Toc114119681"/>
      <w:bookmarkEnd w:id="5"/>
    </w:p>
    <w:p w14:paraId="40833A51">
      <w:pPr>
        <w:pStyle w:val="8"/>
        <w:rPr>
          <w:color w:val="auto"/>
          <w:highlight w:val="none"/>
        </w:rPr>
      </w:pPr>
    </w:p>
    <w:p w14:paraId="31FC6411">
      <w:pPr>
        <w:spacing w:line="360" w:lineRule="auto"/>
        <w:jc w:val="center"/>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广州医科大学新造校区科研中心</w:t>
      </w:r>
    </w:p>
    <w:p w14:paraId="33194701">
      <w:pPr>
        <w:spacing w:line="360" w:lineRule="auto"/>
        <w:jc w:val="center"/>
        <w:rPr>
          <w:rFonts w:ascii="宋体" w:hAnsi="宋体"/>
          <w:b/>
          <w:color w:val="auto"/>
          <w:sz w:val="52"/>
          <w:szCs w:val="52"/>
          <w:highlight w:val="none"/>
        </w:rPr>
      </w:pPr>
      <w:r>
        <w:rPr>
          <w:rFonts w:hint="eastAsia" w:ascii="宋体" w:hAnsi="宋体" w:cs="宋体"/>
          <w:b/>
          <w:color w:val="auto"/>
          <w:sz w:val="52"/>
          <w:szCs w:val="52"/>
          <w:highlight w:val="none"/>
          <w:lang w:eastAsia="zh-CN"/>
        </w:rPr>
        <w:t>勘察设计</w:t>
      </w:r>
    </w:p>
    <w:p w14:paraId="4DAF23C6">
      <w:pPr>
        <w:spacing w:line="360" w:lineRule="auto"/>
        <w:jc w:val="center"/>
        <w:rPr>
          <w:rFonts w:hint="eastAsia" w:ascii="宋体" w:hAnsi="宋体"/>
          <w:b/>
          <w:color w:val="auto"/>
          <w:sz w:val="52"/>
          <w:szCs w:val="52"/>
          <w:highlight w:val="none"/>
        </w:rPr>
      </w:pPr>
    </w:p>
    <w:p w14:paraId="41BBD7B7">
      <w:pPr>
        <w:pStyle w:val="8"/>
        <w:rPr>
          <w:color w:val="auto"/>
          <w:highlight w:val="none"/>
        </w:rPr>
      </w:pPr>
    </w:p>
    <w:p w14:paraId="272FF380">
      <w:pPr>
        <w:pStyle w:val="8"/>
        <w:rPr>
          <w:rFonts w:hint="eastAsia"/>
          <w:color w:val="auto"/>
          <w:highlight w:val="none"/>
        </w:rPr>
      </w:pPr>
    </w:p>
    <w:p w14:paraId="2C1A8422">
      <w:pPr>
        <w:pStyle w:val="8"/>
        <w:rPr>
          <w:color w:val="auto"/>
          <w:highlight w:val="none"/>
        </w:rPr>
      </w:pPr>
    </w:p>
    <w:p w14:paraId="3B95CE8E">
      <w:pPr>
        <w:spacing w:line="360" w:lineRule="auto"/>
        <w:jc w:val="center"/>
        <w:outlineLvl w:val="0"/>
        <w:rPr>
          <w:rFonts w:ascii="宋体" w:hAnsi="宋体" w:eastAsia="宋体" w:cs="Times New Roman"/>
          <w:b/>
          <w:color w:val="auto"/>
          <w:sz w:val="96"/>
          <w:szCs w:val="96"/>
          <w:highlight w:val="none"/>
        </w:rPr>
      </w:pPr>
      <w:r>
        <w:rPr>
          <w:rFonts w:hint="eastAsia" w:ascii="宋体" w:hAnsi="宋体" w:eastAsia="宋体" w:cs="宋体"/>
          <w:b/>
          <w:color w:val="auto"/>
          <w:sz w:val="96"/>
          <w:szCs w:val="96"/>
          <w:highlight w:val="none"/>
          <w:lang w:bidi="ar"/>
        </w:rPr>
        <w:t>招标公告</w:t>
      </w:r>
    </w:p>
    <w:p w14:paraId="586A8496">
      <w:pPr>
        <w:spacing w:line="273" w:lineRule="auto"/>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bidi="ar"/>
        </w:rPr>
        <w:t xml:space="preserve"> </w:t>
      </w:r>
    </w:p>
    <w:p w14:paraId="40427A58">
      <w:pPr>
        <w:spacing w:line="273" w:lineRule="auto"/>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bidi="ar"/>
        </w:rPr>
        <w:t xml:space="preserve"> </w:t>
      </w:r>
    </w:p>
    <w:p w14:paraId="13CF8DB0">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582473AD">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4178DADA">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2C45B532">
      <w:pPr>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lang w:bidi="ar"/>
        </w:rPr>
        <w:t xml:space="preserve"> </w:t>
      </w:r>
    </w:p>
    <w:p w14:paraId="68946B36">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22A30F39">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38DE7F6F">
      <w:pPr>
        <w:spacing w:line="273"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635A81AC">
      <w:pPr>
        <w:spacing w:line="273" w:lineRule="auto"/>
        <w:ind w:firstLine="838" w:firstLineChars="261"/>
        <w:jc w:val="left"/>
        <w:rPr>
          <w:rFonts w:ascii="宋体" w:hAnsi="宋体" w:eastAsia="宋体" w:cs="Times New Roman"/>
          <w:b/>
          <w:color w:val="auto"/>
          <w:sz w:val="32"/>
          <w:szCs w:val="32"/>
          <w:highlight w:val="none"/>
        </w:rPr>
      </w:pPr>
      <w:r>
        <w:rPr>
          <w:rFonts w:hint="eastAsia" w:ascii="宋体" w:hAnsi="宋体" w:eastAsia="宋体" w:cs="宋体"/>
          <w:b/>
          <w:color w:val="auto"/>
          <w:sz w:val="32"/>
          <w:szCs w:val="32"/>
          <w:highlight w:val="none"/>
          <w:lang w:bidi="ar"/>
        </w:rPr>
        <w:t>招</w:t>
      </w:r>
      <w:r>
        <w:rPr>
          <w:rFonts w:hint="eastAsia" w:ascii="宋体" w:hAnsi="宋体" w:eastAsia="宋体" w:cs="宋体"/>
          <w:b/>
          <w:color w:val="auto"/>
          <w:sz w:val="32"/>
          <w:szCs w:val="32"/>
          <w:highlight w:val="none"/>
          <w:lang w:val="en-US" w:eastAsia="zh-CN" w:bidi="ar"/>
        </w:rPr>
        <w:t xml:space="preserve">   </w:t>
      </w:r>
      <w:r>
        <w:rPr>
          <w:rFonts w:hint="eastAsia" w:ascii="宋体" w:hAnsi="宋体" w:eastAsia="宋体" w:cs="宋体"/>
          <w:b/>
          <w:color w:val="auto"/>
          <w:sz w:val="32"/>
          <w:szCs w:val="32"/>
          <w:highlight w:val="none"/>
          <w:lang w:bidi="ar"/>
        </w:rPr>
        <w:t>标</w:t>
      </w:r>
      <w:r>
        <w:rPr>
          <w:rFonts w:hint="eastAsia" w:ascii="宋体" w:hAnsi="宋体" w:eastAsia="宋体" w:cs="宋体"/>
          <w:b/>
          <w:color w:val="auto"/>
          <w:sz w:val="32"/>
          <w:szCs w:val="32"/>
          <w:highlight w:val="none"/>
          <w:lang w:val="en-US" w:eastAsia="zh-CN" w:bidi="ar"/>
        </w:rPr>
        <w:t xml:space="preserve">   </w:t>
      </w:r>
      <w:r>
        <w:rPr>
          <w:rFonts w:hint="eastAsia" w:ascii="宋体" w:hAnsi="宋体" w:eastAsia="宋体" w:cs="宋体"/>
          <w:b/>
          <w:color w:val="auto"/>
          <w:sz w:val="32"/>
          <w:szCs w:val="32"/>
          <w:highlight w:val="none"/>
          <w:lang w:bidi="ar"/>
        </w:rPr>
        <w:t>人：</w:t>
      </w:r>
      <w:r>
        <w:rPr>
          <w:rFonts w:hint="eastAsia" w:ascii="宋体" w:hAnsi="宋体" w:eastAsia="宋体" w:cs="宋体"/>
          <w:b/>
          <w:color w:val="auto"/>
          <w:sz w:val="32"/>
          <w:szCs w:val="32"/>
          <w:highlight w:val="none"/>
          <w:u w:val="single"/>
          <w:lang w:bidi="ar"/>
        </w:rPr>
        <w:t>广州市重点公共建设项目管理中心</w:t>
      </w:r>
    </w:p>
    <w:p w14:paraId="2E8B3060">
      <w:pPr>
        <w:spacing w:line="273" w:lineRule="auto"/>
        <w:ind w:firstLine="838" w:firstLineChars="261"/>
        <w:jc w:val="left"/>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招标代理机构：</w:t>
      </w:r>
      <w:r>
        <w:rPr>
          <w:rFonts w:hint="eastAsia" w:ascii="宋体" w:hAnsi="宋体" w:eastAsia="宋体" w:cs="宋体"/>
          <w:b/>
          <w:color w:val="auto"/>
          <w:sz w:val="32"/>
          <w:szCs w:val="32"/>
          <w:highlight w:val="none"/>
          <w:u w:val="single"/>
          <w:lang w:bidi="ar"/>
        </w:rPr>
        <w:t>广州筑正工程建设管理有限公司</w:t>
      </w:r>
    </w:p>
    <w:p w14:paraId="3AD2EA67">
      <w:pPr>
        <w:spacing w:line="273" w:lineRule="auto"/>
        <w:ind w:firstLine="838" w:firstLineChars="261"/>
        <w:jc w:val="left"/>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日</w:t>
      </w:r>
      <w:r>
        <w:rPr>
          <w:rFonts w:hint="eastAsia" w:ascii="宋体" w:hAnsi="宋体" w:eastAsia="宋体" w:cs="宋体"/>
          <w:b/>
          <w:color w:val="auto"/>
          <w:sz w:val="32"/>
          <w:szCs w:val="32"/>
          <w:highlight w:val="none"/>
          <w:lang w:val="en-US" w:eastAsia="zh-CN" w:bidi="ar"/>
        </w:rPr>
        <w:t xml:space="preserve">        </w:t>
      </w:r>
      <w:r>
        <w:rPr>
          <w:rFonts w:hint="eastAsia" w:ascii="宋体" w:hAnsi="宋体" w:eastAsia="宋体" w:cs="宋体"/>
          <w:b/>
          <w:color w:val="auto"/>
          <w:sz w:val="32"/>
          <w:szCs w:val="32"/>
          <w:highlight w:val="none"/>
          <w:lang w:bidi="ar"/>
        </w:rPr>
        <w:t>期：</w:t>
      </w:r>
      <w:r>
        <w:rPr>
          <w:rFonts w:hint="eastAsia" w:ascii="宋体" w:hAnsi="宋体" w:eastAsia="宋体" w:cs="宋体"/>
          <w:b/>
          <w:color w:val="auto"/>
          <w:sz w:val="32"/>
          <w:szCs w:val="32"/>
          <w:highlight w:val="none"/>
          <w:u w:val="single"/>
          <w:lang w:eastAsia="zh-CN" w:bidi="ar"/>
        </w:rPr>
        <w:t>202</w:t>
      </w:r>
      <w:r>
        <w:rPr>
          <w:rFonts w:hint="eastAsia" w:ascii="宋体" w:hAnsi="宋体" w:eastAsia="宋体" w:cs="宋体"/>
          <w:b/>
          <w:color w:val="auto"/>
          <w:sz w:val="32"/>
          <w:szCs w:val="32"/>
          <w:highlight w:val="none"/>
          <w:u w:val="single"/>
          <w:lang w:val="en-US" w:eastAsia="zh-CN" w:bidi="ar"/>
        </w:rPr>
        <w:t>5</w:t>
      </w:r>
      <w:r>
        <w:rPr>
          <w:rFonts w:hint="eastAsia" w:ascii="宋体" w:hAnsi="宋体" w:eastAsia="宋体" w:cs="宋体"/>
          <w:b/>
          <w:color w:val="auto"/>
          <w:sz w:val="32"/>
          <w:szCs w:val="32"/>
          <w:highlight w:val="none"/>
          <w:lang w:bidi="ar"/>
        </w:rPr>
        <w:t>年</w:t>
      </w:r>
      <w:r>
        <w:rPr>
          <w:rFonts w:hint="eastAsia" w:ascii="宋体" w:hAnsi="宋体" w:eastAsia="宋体" w:cs="宋体"/>
          <w:b/>
          <w:color w:val="auto"/>
          <w:sz w:val="32"/>
          <w:szCs w:val="32"/>
          <w:highlight w:val="none"/>
          <w:u w:val="single"/>
          <w:lang w:val="en-US" w:eastAsia="zh-CN" w:bidi="ar"/>
        </w:rPr>
        <w:t xml:space="preserve"> 11 </w:t>
      </w:r>
      <w:r>
        <w:rPr>
          <w:rFonts w:hint="eastAsia" w:ascii="宋体" w:hAnsi="宋体" w:eastAsia="宋体" w:cs="宋体"/>
          <w:b/>
          <w:color w:val="auto"/>
          <w:sz w:val="32"/>
          <w:szCs w:val="32"/>
          <w:highlight w:val="none"/>
          <w:lang w:bidi="ar"/>
        </w:rPr>
        <w:t>月</w:t>
      </w:r>
    </w:p>
    <w:p w14:paraId="5BCFD704">
      <w:pPr>
        <w:spacing w:line="273" w:lineRule="auto"/>
        <w:ind w:firstLine="838" w:firstLineChars="261"/>
        <w:jc w:val="left"/>
        <w:rPr>
          <w:rFonts w:hint="eastAsia" w:ascii="宋体" w:hAnsi="宋体" w:eastAsia="宋体" w:cs="宋体"/>
          <w:b/>
          <w:color w:val="auto"/>
          <w:sz w:val="32"/>
          <w:szCs w:val="32"/>
          <w:highlight w:val="none"/>
          <w:lang w:bidi="ar"/>
        </w:rPr>
      </w:pPr>
    </w:p>
    <w:p w14:paraId="671B617C">
      <w:pPr>
        <w:spacing w:line="360" w:lineRule="auto"/>
        <w:jc w:val="center"/>
        <w:rPr>
          <w:rFonts w:hint="eastAsia" w:ascii="宋体" w:hAnsi="宋体" w:eastAsia="宋体" w:cs="宋体"/>
          <w:b/>
          <w:color w:val="auto"/>
          <w:kern w:val="44"/>
          <w:sz w:val="32"/>
          <w:szCs w:val="36"/>
          <w:highlight w:val="none"/>
          <w:lang w:eastAsia="zh-CN" w:bidi="ar"/>
        </w:rPr>
        <w:sectPr>
          <w:headerReference r:id="rId3" w:type="default"/>
          <w:footerReference r:id="rId4" w:type="default"/>
          <w:pgSz w:w="11906" w:h="16838"/>
          <w:pgMar w:top="1417" w:right="1417" w:bottom="1417" w:left="1417" w:header="851" w:footer="992" w:gutter="0"/>
          <w:pgNumType w:start="1"/>
          <w:cols w:space="0" w:num="1"/>
          <w:rtlGutter w:val="0"/>
          <w:docGrid w:type="lines" w:linePitch="312" w:charSpace="0"/>
        </w:sectPr>
      </w:pPr>
    </w:p>
    <w:p w14:paraId="3DDA4A9A">
      <w:pPr>
        <w:spacing w:line="360" w:lineRule="auto"/>
        <w:jc w:val="center"/>
        <w:rPr>
          <w:rFonts w:hint="eastAsia" w:ascii="宋体" w:hAnsi="宋体" w:eastAsia="宋体" w:cs="宋体"/>
          <w:b/>
          <w:color w:val="auto"/>
          <w:kern w:val="44"/>
          <w:sz w:val="32"/>
          <w:szCs w:val="36"/>
          <w:highlight w:val="none"/>
          <w:lang w:eastAsia="zh-CN" w:bidi="ar"/>
        </w:rPr>
      </w:pPr>
      <w:r>
        <w:rPr>
          <w:rFonts w:hint="eastAsia" w:ascii="宋体" w:hAnsi="宋体" w:eastAsia="宋体" w:cs="宋体"/>
          <w:b/>
          <w:color w:val="auto"/>
          <w:kern w:val="44"/>
          <w:sz w:val="32"/>
          <w:szCs w:val="36"/>
          <w:highlight w:val="none"/>
          <w:lang w:eastAsia="zh-CN" w:bidi="ar"/>
        </w:rPr>
        <w:t>广州医科大学新造校区科研中心勘察设计</w:t>
      </w:r>
    </w:p>
    <w:p w14:paraId="56E3C5B6">
      <w:pPr>
        <w:spacing w:line="360" w:lineRule="auto"/>
        <w:jc w:val="center"/>
        <w:outlineLvl w:val="9"/>
        <w:rPr>
          <w:rFonts w:ascii="宋体" w:hAnsi="宋体" w:eastAsia="宋体" w:cs="Times New Roman"/>
          <w:color w:val="auto"/>
          <w:sz w:val="22"/>
          <w:highlight w:val="none"/>
        </w:rPr>
      </w:pPr>
      <w:r>
        <w:rPr>
          <w:rFonts w:hint="eastAsia" w:ascii="宋体" w:hAnsi="宋体" w:eastAsia="宋体" w:cs="宋体"/>
          <w:b/>
          <w:color w:val="auto"/>
          <w:kern w:val="44"/>
          <w:sz w:val="32"/>
          <w:szCs w:val="36"/>
          <w:highlight w:val="none"/>
          <w:lang w:bidi="ar"/>
        </w:rPr>
        <w:t>招标公告</w:t>
      </w:r>
    </w:p>
    <w:p w14:paraId="5C057765">
      <w:pPr>
        <w:spacing w:line="360" w:lineRule="auto"/>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1.1    </w:t>
      </w:r>
      <w:r>
        <w:rPr>
          <w:rFonts w:hint="eastAsia" w:ascii="宋体" w:hAnsi="宋体" w:eastAsia="宋体" w:cs="Times New Roman"/>
          <w:b/>
          <w:color w:val="auto"/>
          <w:sz w:val="24"/>
          <w:szCs w:val="24"/>
          <w:highlight w:val="none"/>
        </w:rPr>
        <w:t>招标目的</w:t>
      </w:r>
    </w:p>
    <w:p w14:paraId="0E163383">
      <w:pPr>
        <w:spacing w:line="360" w:lineRule="auto"/>
        <w:ind w:left="840" w:hanging="840" w:hangingChars="350"/>
        <w:rPr>
          <w:rFonts w:hint="eastAsia" w:ascii="宋体" w:hAnsi="宋体" w:eastAsia="宋体" w:cs="Times New Roman"/>
          <w:color w:val="auto"/>
          <w:sz w:val="24"/>
          <w:szCs w:val="24"/>
          <w:highlight w:val="none"/>
          <w:u w:val="single"/>
          <w:lang w:val="en-US" w:eastAsia="zh-CN"/>
        </w:rPr>
      </w:pPr>
      <w:r>
        <w:rPr>
          <w:rFonts w:ascii="宋体" w:hAnsi="宋体" w:eastAsia="宋体" w:cs="Times New Roman"/>
          <w:color w:val="auto"/>
          <w:sz w:val="24"/>
          <w:szCs w:val="24"/>
          <w:highlight w:val="none"/>
        </w:rPr>
        <w:t xml:space="preserve">1.1.1  </w:t>
      </w:r>
      <w:r>
        <w:rPr>
          <w:rFonts w:hint="eastAsia" w:ascii="宋体" w:hAnsi="宋体" w:eastAsia="宋体" w:cs="Times New Roman"/>
          <w:color w:val="auto"/>
          <w:sz w:val="24"/>
          <w:szCs w:val="24"/>
          <w:highlight w:val="none"/>
        </w:rPr>
        <w:t>为了获得工程勘察设计方案，招标人以公开招标方式，在给定任务书、投标人满足投标资格的前提下，通过评标委员会的评审推荐，确定最佳勘察设计方案及其勘察设计承包人。</w:t>
      </w:r>
    </w:p>
    <w:p w14:paraId="7487DB62">
      <w:pPr>
        <w:spacing w:line="360" w:lineRule="auto"/>
        <w:jc w:val="left"/>
        <w:outlineLvl w:val="9"/>
        <w:rPr>
          <w:rFonts w:ascii="宋体" w:hAnsi="宋体" w:eastAsia="宋体" w:cs="Times New Roman"/>
          <w:b/>
          <w:color w:val="auto"/>
          <w:sz w:val="24"/>
          <w:szCs w:val="24"/>
          <w:highlight w:val="none"/>
        </w:rPr>
      </w:pPr>
    </w:p>
    <w:p w14:paraId="5C096C59">
      <w:pPr>
        <w:spacing w:line="360" w:lineRule="auto"/>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项目概况</w:t>
      </w:r>
    </w:p>
    <w:p w14:paraId="01CBC7A7">
      <w:pPr>
        <w:widowControl/>
        <w:spacing w:line="360" w:lineRule="auto"/>
        <w:ind w:left="821" w:hanging="820" w:hangingChars="34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1.2.1  工程名称：</w:t>
      </w:r>
      <w:r>
        <w:rPr>
          <w:rFonts w:hint="eastAsia" w:ascii="宋体" w:hAnsi="宋体" w:eastAsia="宋体" w:cs="宋体"/>
          <w:color w:val="auto"/>
          <w:sz w:val="24"/>
          <w:szCs w:val="24"/>
          <w:highlight w:val="none"/>
          <w:u w:val="single"/>
          <w:lang w:eastAsia="zh-CN"/>
        </w:rPr>
        <w:t>广州医科大学新造校区科研中心勘察设计</w:t>
      </w:r>
    </w:p>
    <w:p w14:paraId="471C4860">
      <w:pPr>
        <w:widowControl/>
        <w:spacing w:line="360" w:lineRule="auto"/>
        <w:ind w:left="821" w:hanging="820" w:hangingChars="34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工程位置：</w:t>
      </w:r>
      <w:r>
        <w:rPr>
          <w:rFonts w:hint="eastAsia" w:ascii="宋体" w:hAnsi="宋体" w:eastAsia="宋体" w:cs="宋体"/>
          <w:color w:val="auto"/>
          <w:sz w:val="24"/>
          <w:szCs w:val="24"/>
          <w:highlight w:val="none"/>
          <w:u w:val="single"/>
          <w:lang w:val="en-US" w:eastAsia="zh-CN"/>
        </w:rPr>
        <w:t>广州市番禺区广州医科大学新造校区校园内。</w:t>
      </w:r>
    </w:p>
    <w:p w14:paraId="4A690EC2">
      <w:pPr>
        <w:keepNext w:val="0"/>
        <w:keepLines w:val="0"/>
        <w:widowControl/>
        <w:suppressLineNumbers w:val="0"/>
        <w:spacing w:before="0" w:beforeAutospacing="0" w:after="0" w:afterAutospacing="0" w:line="360" w:lineRule="auto"/>
        <w:ind w:left="840" w:leftChars="0" w:right="0" w:hanging="840" w:hangingChars="350"/>
        <w:jc w:val="left"/>
        <w:rPr>
          <w:rFonts w:hint="eastAsia" w:ascii="宋体" w:hAnsi="宋体" w:eastAsia="宋体" w:cs="宋体"/>
          <w:b/>
          <w:bCs/>
          <w:color w:val="auto"/>
          <w:sz w:val="24"/>
          <w:szCs w:val="24"/>
          <w:highlight w:val="none"/>
          <w:u w:val="single"/>
          <w:lang w:eastAsia="zh-CN"/>
        </w:rPr>
      </w:pPr>
      <w:r>
        <w:rPr>
          <w:rFonts w:hint="eastAsia" w:ascii="宋体" w:hAnsi="宋体" w:eastAsia="宋体" w:cs="宋体"/>
          <w:color w:val="auto"/>
          <w:sz w:val="24"/>
          <w:szCs w:val="24"/>
          <w:highlight w:val="none"/>
        </w:rPr>
        <w:t>1.2.3  工程范围：</w:t>
      </w:r>
      <w:r>
        <w:rPr>
          <w:rFonts w:hint="eastAsia" w:ascii="宋体" w:hAnsi="宋体" w:eastAsia="宋体" w:cs="宋体"/>
          <w:color w:val="auto"/>
          <w:sz w:val="24"/>
          <w:szCs w:val="24"/>
          <w:highlight w:val="none"/>
          <w:u w:val="single"/>
          <w:lang w:val="en-US" w:eastAsia="zh-CN"/>
        </w:rPr>
        <w:t>项目新建建筑面积6.35万平方米，其中，科研用房面积4.70万平方米。建设内容包括科研中心及道路广场、绿化、公用工程配套设施等。</w:t>
      </w:r>
      <w:r>
        <w:rPr>
          <w:rFonts w:hint="eastAsia" w:ascii="宋体" w:hAnsi="宋体" w:eastAsia="宋体" w:cs="宋体"/>
          <w:b w:val="0"/>
          <w:bCs w:val="0"/>
          <w:color w:val="auto"/>
          <w:sz w:val="24"/>
          <w:szCs w:val="24"/>
          <w:highlight w:val="none"/>
          <w:u w:val="single"/>
          <w:lang w:eastAsia="zh-CN"/>
        </w:rPr>
        <w:t>本项目</w:t>
      </w:r>
      <w:r>
        <w:rPr>
          <w:rFonts w:hint="eastAsia" w:ascii="宋体" w:hAnsi="宋体" w:eastAsia="宋体" w:cs="宋体"/>
          <w:b w:val="0"/>
          <w:bCs w:val="0"/>
          <w:color w:val="auto"/>
          <w:sz w:val="24"/>
          <w:szCs w:val="24"/>
          <w:highlight w:val="none"/>
          <w:u w:val="single"/>
        </w:rPr>
        <w:t>最大单体建筑面积</w:t>
      </w:r>
      <w:r>
        <w:rPr>
          <w:rFonts w:hint="eastAsia" w:ascii="宋体" w:hAnsi="宋体" w:eastAsia="宋体" w:cs="宋体"/>
          <w:b w:val="0"/>
          <w:bCs w:val="0"/>
          <w:color w:val="auto"/>
          <w:sz w:val="24"/>
          <w:szCs w:val="24"/>
          <w:highlight w:val="none"/>
          <w:u w:val="single"/>
          <w:lang w:val="en-US" w:eastAsia="zh-CN"/>
        </w:rPr>
        <w:t>63495</w:t>
      </w:r>
      <w:r>
        <w:rPr>
          <w:rFonts w:hint="eastAsia" w:ascii="宋体" w:hAnsi="宋体" w:eastAsia="宋体" w:cs="宋体"/>
          <w:b w:val="0"/>
          <w:bCs w:val="0"/>
          <w:color w:val="auto"/>
          <w:sz w:val="24"/>
          <w:szCs w:val="24"/>
          <w:highlight w:val="none"/>
          <w:u w:val="single"/>
        </w:rPr>
        <w:t>㎡，最高高度为</w:t>
      </w:r>
      <w:r>
        <w:rPr>
          <w:rFonts w:hint="eastAsia" w:ascii="宋体" w:hAnsi="宋体" w:eastAsia="宋体" w:cs="宋体"/>
          <w:b w:val="0"/>
          <w:bCs w:val="0"/>
          <w:color w:val="auto"/>
          <w:sz w:val="24"/>
          <w:szCs w:val="24"/>
          <w:highlight w:val="none"/>
          <w:u w:val="single"/>
          <w:lang w:val="en-US" w:eastAsia="zh-CN"/>
        </w:rPr>
        <w:t>73.5</w:t>
      </w:r>
      <w:r>
        <w:rPr>
          <w:rFonts w:hint="eastAsia" w:ascii="宋体" w:hAnsi="宋体" w:eastAsia="宋体" w:cs="宋体"/>
          <w:b w:val="0"/>
          <w:bCs w:val="0"/>
          <w:color w:val="auto"/>
          <w:sz w:val="24"/>
          <w:szCs w:val="24"/>
          <w:highlight w:val="none"/>
          <w:u w:val="single"/>
        </w:rPr>
        <w:t>米</w:t>
      </w:r>
      <w:r>
        <w:rPr>
          <w:rFonts w:hint="eastAsia" w:ascii="宋体" w:hAnsi="宋体" w:eastAsia="宋体" w:cs="宋体"/>
          <w:b w:val="0"/>
          <w:bCs w:val="0"/>
          <w:color w:val="auto"/>
          <w:sz w:val="24"/>
          <w:szCs w:val="24"/>
          <w:highlight w:val="none"/>
          <w:u w:val="single"/>
          <w:lang w:eastAsia="zh-CN"/>
        </w:rPr>
        <w:t>，本项目拟按绿色建筑二星级标准进行建设。</w:t>
      </w:r>
      <w:r>
        <w:rPr>
          <w:rFonts w:hint="eastAsia" w:ascii="宋体" w:hAnsi="宋体" w:eastAsia="宋体" w:cs="宋体"/>
          <w:b w:val="0"/>
          <w:bCs w:val="0"/>
          <w:color w:val="auto"/>
          <w:sz w:val="24"/>
          <w:szCs w:val="24"/>
          <w:highlight w:val="none"/>
          <w:u w:val="single"/>
          <w:lang w:val="en-US" w:eastAsia="zh-CN"/>
        </w:rPr>
        <w:t>本次招标划分为1个标段。</w:t>
      </w:r>
    </w:p>
    <w:p w14:paraId="06D07D05">
      <w:pPr>
        <w:spacing w:line="360" w:lineRule="auto"/>
        <w:ind w:left="821" w:hanging="820" w:hanging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规划用地文件：</w:t>
      </w:r>
      <w:r>
        <w:rPr>
          <w:rFonts w:hint="eastAsia" w:ascii="宋体" w:hAnsi="宋体" w:eastAsia="宋体" w:cs="宋体"/>
          <w:color w:val="auto"/>
          <w:kern w:val="2"/>
          <w:sz w:val="24"/>
          <w:szCs w:val="24"/>
          <w:highlight w:val="none"/>
          <w:u w:val="single"/>
          <w:lang w:val="en-US" w:eastAsia="zh-CN" w:bidi="ar"/>
        </w:rPr>
        <w:t>已批准</w:t>
      </w:r>
      <w:r>
        <w:rPr>
          <w:rFonts w:hint="eastAsia" w:ascii="宋体" w:hAnsi="宋体" w:eastAsia="宋体" w:cs="宋体"/>
          <w:color w:val="auto"/>
          <w:sz w:val="24"/>
          <w:szCs w:val="24"/>
          <w:highlight w:val="none"/>
        </w:rPr>
        <w:t>。</w:t>
      </w:r>
    </w:p>
    <w:p w14:paraId="787D7D0D">
      <w:pPr>
        <w:keepNext w:val="0"/>
        <w:keepLines w:val="0"/>
        <w:pageBreakBefore w:val="0"/>
        <w:widowControl/>
        <w:suppressLineNumbers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1.2.5  项目批准文件：</w:t>
      </w:r>
      <w:r>
        <w:rPr>
          <w:rFonts w:hint="eastAsia" w:ascii="宋体" w:hAnsi="宋体" w:eastAsia="宋体" w:cs="宋体"/>
          <w:color w:val="auto"/>
          <w:sz w:val="24"/>
          <w:szCs w:val="24"/>
          <w:highlight w:val="none"/>
          <w:u w:val="single"/>
          <w:lang w:eastAsia="zh-CN"/>
        </w:rPr>
        <w:t>《广州市发展和改革委员会关于广州医科大学新造校区科研中心项目建议书的复</w:t>
      </w:r>
      <w:r>
        <w:rPr>
          <w:rFonts w:hint="eastAsia" w:ascii="宋体" w:hAnsi="宋体" w:eastAsia="宋体" w:cs="宋体"/>
          <w:color w:val="auto"/>
          <w:sz w:val="24"/>
          <w:szCs w:val="24"/>
          <w:highlight w:val="none"/>
          <w:u w:val="single"/>
          <w:lang w:val="en-US" w:eastAsia="zh-CN"/>
        </w:rPr>
        <w:t>函</w:t>
      </w:r>
      <w:r>
        <w:rPr>
          <w:rFonts w:hint="eastAsia" w:ascii="宋体" w:hAnsi="宋体" w:eastAsia="宋体" w:cs="宋体"/>
          <w:color w:val="auto"/>
          <w:sz w:val="24"/>
          <w:szCs w:val="24"/>
          <w:highlight w:val="none"/>
          <w:u w:val="single"/>
          <w:lang w:eastAsia="zh-CN"/>
        </w:rPr>
        <w:t>》（穗发改投批〔202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113</w:t>
      </w:r>
      <w:r>
        <w:rPr>
          <w:rFonts w:hint="eastAsia" w:ascii="宋体" w:hAnsi="宋体" w:eastAsia="宋体" w:cs="宋体"/>
          <w:color w:val="auto"/>
          <w:sz w:val="24"/>
          <w:szCs w:val="24"/>
          <w:highlight w:val="none"/>
          <w:u w:val="single"/>
          <w:lang w:eastAsia="zh-CN"/>
        </w:rPr>
        <w:t>号）《广州市发展和改革委员会关于广州医科大学新造校区科研中心项目建议书批复延期的复函》（穗发改投批〔2025〕10号)。</w:t>
      </w:r>
    </w:p>
    <w:p w14:paraId="53320C9C">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3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广东省投资项目代码</w:t>
      </w:r>
      <w:r>
        <w:rPr>
          <w:rFonts w:hint="eastAsia" w:ascii="宋体" w:hAnsi="宋体" w:eastAsia="宋体" w:cs="宋体"/>
          <w:color w:val="auto"/>
          <w:sz w:val="24"/>
          <w:szCs w:val="24"/>
          <w:highlight w:val="none"/>
          <w:u w:val="single"/>
          <w:lang w:val="en-US" w:eastAsia="zh-CN"/>
        </w:rPr>
        <w:t>：2205-440113-04-01-775646。</w:t>
      </w:r>
    </w:p>
    <w:p w14:paraId="5B96B445">
      <w:pPr>
        <w:spacing w:line="360" w:lineRule="auto"/>
        <w:ind w:left="720" w:hanging="720" w:hanging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  资金来源：</w:t>
      </w:r>
      <w:r>
        <w:rPr>
          <w:rFonts w:hint="eastAsia" w:ascii="宋体" w:hAnsi="宋体" w:eastAsia="宋体" w:cs="宋体"/>
          <w:color w:val="auto"/>
          <w:sz w:val="24"/>
          <w:szCs w:val="24"/>
          <w:highlight w:val="none"/>
          <w:u w:val="single"/>
          <w:lang w:val="en-US" w:eastAsia="zh-CN"/>
        </w:rPr>
        <w:t>基本建设投资由市本级基本建设统筹资金安排解决并积极争取国家、省财政资金支持，征地拆迁费由市财政局安排专项经费解决</w:t>
      </w:r>
      <w:r>
        <w:rPr>
          <w:rFonts w:hint="eastAsia" w:ascii="宋体" w:hAnsi="宋体" w:eastAsia="宋体" w:cs="宋体"/>
          <w:color w:val="auto"/>
          <w:sz w:val="24"/>
          <w:szCs w:val="24"/>
          <w:highlight w:val="none"/>
        </w:rPr>
        <w:t>。</w:t>
      </w:r>
    </w:p>
    <w:p w14:paraId="53F04B0B">
      <w:pPr>
        <w:spacing w:line="360" w:lineRule="auto"/>
        <w:ind w:left="821" w:hanging="820" w:hanging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投资总额：</w:t>
      </w:r>
      <w:r>
        <w:rPr>
          <w:rFonts w:hint="eastAsia" w:ascii="宋体" w:hAnsi="宋体" w:eastAsia="宋体" w:cs="宋体"/>
          <w:color w:val="auto"/>
          <w:sz w:val="24"/>
          <w:szCs w:val="24"/>
          <w:highlight w:val="none"/>
          <w:u w:val="single"/>
          <w:lang w:val="en-US" w:eastAsia="zh-CN"/>
        </w:rPr>
        <w:t>项目总投资估算93274.84万元。其中：工程费用34459.95万元，征地拆迁费52000万元（最终以实际评估为准），工程建设其它费用4849.42万元，基本预备费1965.47万元</w:t>
      </w:r>
      <w:r>
        <w:rPr>
          <w:rFonts w:hint="eastAsia" w:ascii="宋体" w:hAnsi="宋体" w:eastAsia="宋体" w:cs="宋体"/>
          <w:color w:val="auto"/>
          <w:sz w:val="24"/>
          <w:szCs w:val="24"/>
          <w:highlight w:val="none"/>
        </w:rPr>
        <w:t>。</w:t>
      </w:r>
    </w:p>
    <w:p w14:paraId="0F270F34">
      <w:pPr>
        <w:widowControl/>
        <w:adjustRightInd/>
        <w:snapToGrid/>
        <w:spacing w:line="360" w:lineRule="auto"/>
        <w:ind w:left="840" w:leftChars="0" w:right="0" w:hanging="840" w:hangingChars="3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1.2.8  招标内容：</w:t>
      </w:r>
      <w:r>
        <w:rPr>
          <w:rFonts w:hint="eastAsia" w:ascii="宋体" w:hAnsi="宋体" w:eastAsia="宋体" w:cs="宋体"/>
          <w:color w:val="auto"/>
          <w:sz w:val="24"/>
          <w:szCs w:val="24"/>
          <w:highlight w:val="none"/>
          <w:u w:val="single"/>
        </w:rPr>
        <w:t>完成本项目立项范围内所有建设内容的勘察设计工作，包括但不限于：</w:t>
      </w:r>
    </w:p>
    <w:p w14:paraId="4BD27C51">
      <w:pPr>
        <w:adjustRightInd/>
        <w:snapToGrid/>
        <w:spacing w:line="360" w:lineRule="auto"/>
        <w:ind w:left="960" w:leftChars="0" w:right="0" w:hanging="960" w:hanging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（1）工程勘察工作：岩土工程勘察，包括但不限于初步勘察、详细勘察工作。</w:t>
      </w:r>
    </w:p>
    <w:p w14:paraId="347C0148">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14:paraId="58FEDE7F">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设计方案报审工作(含修建性详细规划设计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招标人要求为准）。</w:t>
      </w:r>
    </w:p>
    <w:p w14:paraId="728CF72C">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（4）设计工作：所有建设内容的方案设计及方案深化设计、初步设计、施工图设计、竣工图审核。</w:t>
      </w:r>
    </w:p>
    <w:p w14:paraId="1F8B8037">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（5）建筑节能新技术的应用及设计：包括但不限于节能、环保、绿色建筑（二星）等专项工程设计。</w:t>
      </w:r>
    </w:p>
    <w:p w14:paraId="2BAF3702">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（6）装配式建筑设计，装配率需满足广州市住房和城乡建设局相关规定的要求（如有）。</w:t>
      </w:r>
    </w:p>
    <w:p w14:paraId="7E084118">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（7）其他工作：</w:t>
      </w:r>
    </w:p>
    <w:p w14:paraId="2B3BAA72">
      <w:pPr>
        <w:adjustRightInd/>
        <w:snapToGrid/>
        <w:spacing w:line="360" w:lineRule="auto"/>
        <w:ind w:left="664" w:leftChars="145" w:right="0" w:hanging="360" w:hangingChars="1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1）造价文件编制工作：完成本项目招标范围内工程投资估算、概算及设计变更、预算（含变更预算）等造价文件的编制工作（含场地平整、管线迁移、临设搭建等）及相关配合报审工作；</w:t>
      </w:r>
    </w:p>
    <w:p w14:paraId="0F01C75C">
      <w:pPr>
        <w:adjustRightInd/>
        <w:snapToGrid/>
        <w:spacing w:line="360" w:lineRule="auto"/>
        <w:ind w:left="664" w:leftChars="145" w:right="0" w:hanging="360" w:hangingChars="1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2）技术配合工作：招标人后续各类招标工作配合、施工配合、现场服务、竣工图编制配合服务等；</w:t>
      </w:r>
    </w:p>
    <w:p w14:paraId="24D72E5A">
      <w:pPr>
        <w:adjustRightInd/>
        <w:snapToGrid/>
        <w:spacing w:line="360" w:lineRule="auto"/>
        <w:ind w:left="664" w:leftChars="145" w:right="0" w:hanging="360" w:hangingChars="1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3）报建配合工作：立项（含可研）范围内综合管线规划设计报批、建筑设计方案审查等的所有用地、规划、建筑、技术、管线、专项等各类报建配合、协调工作等。</w:t>
      </w:r>
    </w:p>
    <w:p w14:paraId="20B4BCFD">
      <w:pPr>
        <w:adjustRightInd/>
        <w:snapToGrid/>
        <w:spacing w:line="360" w:lineRule="auto"/>
        <w:ind w:left="664" w:leftChars="145" w:right="0" w:hanging="360" w:hangingChars="1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517584CD">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（8）负责本项目设计阶段正向BIM设计及技术应用。</w:t>
      </w:r>
    </w:p>
    <w:p w14:paraId="67A9EFDD">
      <w:pPr>
        <w:adjustRightInd/>
        <w:snapToGrid/>
        <w:spacing w:line="360" w:lineRule="auto"/>
        <w:ind w:left="600" w:leftChars="0" w:right="0" w:hanging="600" w:hangingChars="25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9）按照建设方案联审决策审批要求，需在建设方案中编制“古树名木及大树保护、历史文化风貌保护、防范大规模拆建、海绵城市”等四个专篇内容（若需），进行方案比选及论证，确保建设方案科学、合理、合规。按照绿化行业主管部门审批要求，设计阶段配合树木保护服务单位编制《树木保护专章》（深度按照《广州市城市树木保护专章编制技术指引》）。</w:t>
      </w:r>
    </w:p>
    <w:p w14:paraId="779AC02A">
      <w:pPr>
        <w:adjustRightInd/>
        <w:snapToGrid/>
        <w:spacing w:line="360" w:lineRule="auto"/>
        <w:ind w:left="960" w:leftChars="0" w:right="0" w:hanging="960" w:hangingChars="4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 xml:space="preserve">    【上述招标内容最终以</w:t>
      </w:r>
      <w:r>
        <w:rPr>
          <w:rFonts w:hint="eastAsia" w:ascii="宋体" w:hAnsi="宋体" w:eastAsia="宋体" w:cs="宋体"/>
          <w:color w:val="auto"/>
          <w:sz w:val="24"/>
          <w:szCs w:val="24"/>
          <w:highlight w:val="none"/>
          <w:u w:val="none"/>
          <w:lang w:val="en-US" w:eastAsia="zh-CN"/>
        </w:rPr>
        <w:t>勘察设计</w:t>
      </w:r>
      <w:r>
        <w:rPr>
          <w:rFonts w:hint="eastAsia" w:ascii="宋体" w:hAnsi="宋体" w:eastAsia="宋体" w:cs="宋体"/>
          <w:color w:val="auto"/>
          <w:sz w:val="24"/>
          <w:szCs w:val="24"/>
          <w:highlight w:val="none"/>
          <w:u w:val="none"/>
        </w:rPr>
        <w:t>任务书为准。】</w:t>
      </w:r>
    </w:p>
    <w:p w14:paraId="50563A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1.2.9 </w:t>
      </w:r>
      <w:r>
        <w:rPr>
          <w:rFonts w:hint="eastAsia" w:ascii="宋体" w:hAnsi="宋体" w:eastAsia="宋体" w:cs="宋体"/>
          <w:color w:val="auto"/>
          <w:sz w:val="24"/>
          <w:szCs w:val="24"/>
          <w:highlight w:val="none"/>
          <w:u w:val="single"/>
        </w:rPr>
        <w:t>工程建议施工工期为：</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rPr>
        <w:t>个月。</w:t>
      </w:r>
    </w:p>
    <w:p w14:paraId="5A6F6790">
      <w:pPr>
        <w:spacing w:line="360" w:lineRule="auto"/>
        <w:jc w:val="left"/>
        <w:outlineLvl w:val="9"/>
        <w:rPr>
          <w:rFonts w:ascii="宋体" w:hAnsi="宋体" w:eastAsia="宋体" w:cs="Times New Roman"/>
          <w:b/>
          <w:color w:val="auto"/>
          <w:sz w:val="24"/>
          <w:szCs w:val="24"/>
          <w:highlight w:val="none"/>
        </w:rPr>
      </w:pPr>
    </w:p>
    <w:p w14:paraId="26FDA6B9">
      <w:pPr>
        <w:spacing w:line="360" w:lineRule="auto"/>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前期服务机构</w:t>
      </w:r>
    </w:p>
    <w:p w14:paraId="5EA1FF0F">
      <w:pPr>
        <w:widowControl/>
        <w:spacing w:line="360" w:lineRule="auto"/>
        <w:ind w:left="840" w:hanging="840" w:hangingChars="35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1.3.1  机构名称：</w:t>
      </w:r>
      <w:r>
        <w:rPr>
          <w:rFonts w:hint="eastAsia" w:ascii="宋体" w:hAnsi="宋体" w:eastAsia="宋体" w:cs="宋体"/>
          <w:color w:val="auto"/>
          <w:sz w:val="24"/>
          <w:szCs w:val="24"/>
          <w:highlight w:val="none"/>
          <w:u w:val="single"/>
          <w:lang w:val="en-US" w:eastAsia="zh-CN"/>
        </w:rPr>
        <w:t>广州市国际工程咨询有限公司</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lang w:val="en-US" w:eastAsia="zh-CN"/>
        </w:rPr>
        <w:t>建议</w:t>
      </w:r>
      <w:r>
        <w:rPr>
          <w:rFonts w:hint="eastAsia" w:ascii="宋体" w:hAnsi="宋体" w:eastAsia="宋体" w:cs="宋体"/>
          <w:color w:val="auto"/>
          <w:sz w:val="24"/>
          <w:szCs w:val="24"/>
          <w:highlight w:val="none"/>
          <w:u w:val="single"/>
          <w:lang w:eastAsia="zh-CN"/>
        </w:rPr>
        <w:t>书编制单位）</w:t>
      </w:r>
      <w:r>
        <w:rPr>
          <w:rFonts w:hint="default" w:ascii="宋体" w:hAnsi="宋体" w:eastAsia="宋体" w:cs="宋体"/>
          <w:color w:val="auto"/>
          <w:sz w:val="24"/>
          <w:szCs w:val="24"/>
          <w:highlight w:val="none"/>
          <w:u w:val="single"/>
          <w:lang w:eastAsia="zh-CN"/>
        </w:rPr>
        <w:t>；广州市城市规划设计有限公司（</w:t>
      </w:r>
      <w:r>
        <w:rPr>
          <w:rFonts w:ascii="宋体" w:hAnsi="宋体" w:eastAsia="宋体" w:cs="宋体"/>
          <w:i w:val="0"/>
          <w:caps w:val="0"/>
          <w:color w:val="auto"/>
          <w:spacing w:val="0"/>
          <w:sz w:val="24"/>
          <w:szCs w:val="24"/>
          <w:highlight w:val="none"/>
          <w:u w:val="single"/>
          <w:shd w:val="clear" w:fill="auto"/>
        </w:rPr>
        <w:t>广州医科大学新造校区控制性详细规划调整</w:t>
      </w:r>
      <w:r>
        <w:rPr>
          <w:rFonts w:ascii="宋体" w:hAnsi="宋体" w:eastAsia="宋体" w:cs="宋体"/>
          <w:i w:val="0"/>
          <w:caps w:val="0"/>
          <w:color w:val="auto"/>
          <w:spacing w:val="0"/>
          <w:sz w:val="24"/>
          <w:szCs w:val="24"/>
          <w:highlight w:val="none"/>
          <w:u w:val="single"/>
          <w:shd w:val="clear"/>
        </w:rPr>
        <w:t>单位，成果尚在编制中，其中校园城市设计仅作参考，详见勘察设计任务书附件</w:t>
      </w:r>
      <w:r>
        <w:rPr>
          <w:rFonts w:hint="default" w:ascii="宋体" w:hAnsi="宋体" w:eastAsia="宋体" w:cs="宋体"/>
          <w:color w:val="auto"/>
          <w:sz w:val="24"/>
          <w:szCs w:val="24"/>
          <w:highlight w:val="none"/>
          <w:u w:val="single"/>
          <w:lang w:eastAsia="zh-CN"/>
        </w:rPr>
        <w:t>）。</w:t>
      </w:r>
    </w:p>
    <w:p w14:paraId="60C52476">
      <w:pPr>
        <w:spacing w:line="360" w:lineRule="auto"/>
        <w:ind w:left="821" w:hanging="820" w:hanging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 如果有前期服务机构，应公开披露其名称。</w:t>
      </w:r>
    </w:p>
    <w:p w14:paraId="22D93FFB">
      <w:pPr>
        <w:widowControl/>
        <w:spacing w:line="360" w:lineRule="auto"/>
        <w:ind w:left="840" w:hanging="840" w:hanging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如果前期服务机构参加本次投标，应将本公告发布前最终完成的工作成果（含电子文件）在投标人购买招标文件的同时提供给所有投标人参考，否则前期参与的服务机构中标无效。</w:t>
      </w:r>
    </w:p>
    <w:p w14:paraId="7AC2C339">
      <w:pPr>
        <w:spacing w:line="360" w:lineRule="auto"/>
        <w:jc w:val="left"/>
        <w:outlineLvl w:val="9"/>
        <w:rPr>
          <w:rFonts w:ascii="宋体" w:hAnsi="宋体" w:eastAsia="宋体" w:cs="Times New Roman"/>
          <w:b/>
          <w:color w:val="auto"/>
          <w:sz w:val="24"/>
          <w:szCs w:val="24"/>
          <w:highlight w:val="none"/>
        </w:rPr>
      </w:pPr>
    </w:p>
    <w:p w14:paraId="22D3D7C2">
      <w:pPr>
        <w:spacing w:line="360" w:lineRule="auto"/>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投标资格</w:t>
      </w:r>
    </w:p>
    <w:p w14:paraId="127886A2">
      <w:pPr>
        <w:widowControl/>
        <w:spacing w:line="360" w:lineRule="auto"/>
        <w:ind w:left="840" w:hanging="840" w:hanging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申请人（如为联合体，则联合体各方）与招标人过去3年内无合同履约纠纷，没有不得参加投标的情形。</w:t>
      </w:r>
    </w:p>
    <w:p w14:paraId="3884514A">
      <w:pPr>
        <w:widowControl/>
        <w:spacing w:line="348" w:lineRule="auto"/>
        <w:ind w:left="840" w:leftChars="0" w:hanging="840" w:hanging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 合同履约纠纷是指招标人过去3年内曾与申请人签订合同，并且对申请人不满意。不得参加投标的情形详见招标文件第三章第3.11条。</w:t>
      </w:r>
    </w:p>
    <w:p w14:paraId="019E6508">
      <w:pPr>
        <w:widowControl/>
        <w:spacing w:line="360" w:lineRule="auto"/>
        <w:ind w:left="840" w:hanging="840" w:hangingChars="3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国内申请人须具备建设行政主管部门颁发的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资质证书：</w:t>
      </w:r>
    </w:p>
    <w:p w14:paraId="7BF58E84">
      <w:pPr>
        <w:spacing w:line="360" w:lineRule="auto"/>
        <w:ind w:left="239" w:leftChars="114"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工程勘察资质：工程勘察综合甲级资质，或工程勘察专业类（岩土工程）甲级资质，或工程勘察专业类（岩土工程）（分项）岩土工程勘察甲级资质。</w:t>
      </w:r>
    </w:p>
    <w:p w14:paraId="65698724">
      <w:pPr>
        <w:spacing w:line="360" w:lineRule="auto"/>
        <w:ind w:left="239" w:leftChars="114"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香港企业独立参加投标的，须在广东省住房和城乡建设主管部门备案且备案的业务范围应符合本招标项目对工程勘察资质的要求。</w:t>
      </w:r>
    </w:p>
    <w:p w14:paraId="298EA63A">
      <w:pPr>
        <w:spacing w:line="360" w:lineRule="auto"/>
        <w:ind w:left="0" w:leftChars="0"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工程设计资质：具备以下①、②项设计资质之一：</w:t>
      </w:r>
    </w:p>
    <w:p w14:paraId="486E6A5F">
      <w:pPr>
        <w:spacing w:line="360" w:lineRule="auto"/>
        <w:ind w:left="0" w:leftChars="0" w:firstLine="1320" w:firstLineChars="5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①工程设计综合甲级资质；</w:t>
      </w:r>
    </w:p>
    <w:p w14:paraId="7F3C72A4">
      <w:pPr>
        <w:spacing w:line="360" w:lineRule="auto"/>
        <w:ind w:left="718" w:leftChars="342" w:firstLine="600" w:firstLineChars="250"/>
        <w:rPr>
          <w:rFonts w:hint="eastAsia" w:ascii="宋体" w:hAnsi="宋体" w:cs="宋体" w:eastAsiaTheme="minorEastAsia"/>
          <w:color w:val="auto"/>
          <w:sz w:val="24"/>
          <w:szCs w:val="24"/>
          <w:highlight w:val="none"/>
          <w:u w:val="single"/>
          <w:lang w:eastAsia="zh-CN"/>
        </w:rPr>
      </w:pPr>
      <w:r>
        <w:rPr>
          <w:rFonts w:hint="eastAsia" w:ascii="宋体" w:hAnsi="宋体" w:eastAsia="宋体" w:cs="宋体"/>
          <w:color w:val="auto"/>
          <w:sz w:val="24"/>
          <w:szCs w:val="24"/>
          <w:highlight w:val="none"/>
          <w:u w:val="single"/>
        </w:rPr>
        <w:t>②</w:t>
      </w:r>
      <w:r>
        <w:rPr>
          <w:rFonts w:hint="eastAsia" w:ascii="宋体" w:hAnsi="宋体" w:cs="宋体"/>
          <w:color w:val="auto"/>
          <w:sz w:val="24"/>
          <w:szCs w:val="24"/>
          <w:highlight w:val="none"/>
          <w:u w:val="single"/>
        </w:rPr>
        <w:t>工程设计（建筑行业） 甲 级资质，或建筑行业（建筑工程）专业设计 甲 级资质，或建筑设计事务所资质</w:t>
      </w:r>
      <w:r>
        <w:rPr>
          <w:rFonts w:hint="eastAsia" w:ascii="宋体" w:hAnsi="宋体" w:cs="宋体"/>
          <w:color w:val="auto"/>
          <w:sz w:val="24"/>
          <w:szCs w:val="24"/>
          <w:highlight w:val="none"/>
          <w:u w:val="single"/>
          <w:lang w:eastAsia="zh-CN"/>
        </w:rPr>
        <w:t>。</w:t>
      </w:r>
    </w:p>
    <w:p w14:paraId="2CE07FAF">
      <w:pPr>
        <w:spacing w:line="360" w:lineRule="auto"/>
        <w:ind w:left="239" w:leftChars="114"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香港企业独立参加投标的，须在广东省住房和城乡建设主管部门备案且备案的业务范围应符合本招标项目对工程设计资质的要求。</w:t>
      </w:r>
    </w:p>
    <w:p w14:paraId="0BDFD8F3">
      <w:pPr>
        <w:spacing w:line="360" w:lineRule="auto"/>
        <w:ind w:left="239" w:leftChars="114"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[注释] 国内申请人具体资质要求按照《建设工程勘察设计资质管理规定》（建设部令第160号）、《工程勘察资质分级标准》（建设〔2001〕22号）、《工程勘察、工程设计资质分级标准补充规定》（建设〔2001〕178号）、《工程设计资质标准》（建市〔2007〕86号）、《建设工程勘察设计资质管理规定实施意见》（建市〔2007〕202号）、《工程勘察资质标准》（建市〔2013〕9号）、《住房城乡建设部关于促进建筑工程设计事务所发展有关事项的通知》（建市〔2016〕261号）填写。</w:t>
      </w:r>
    </w:p>
    <w:p w14:paraId="4CC7DCE7">
      <w:pPr>
        <w:spacing w:line="360" w:lineRule="auto"/>
        <w:ind w:left="239" w:leftChars="114"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w:t>
      </w:r>
      <w:r>
        <w:rPr>
          <w:rFonts w:hint="eastAsia" w:ascii="宋体" w:hAnsi="宋体" w:eastAsia="宋体" w:cs="宋体"/>
          <w:color w:val="auto"/>
          <w:sz w:val="24"/>
          <w:szCs w:val="24"/>
          <w:highlight w:val="none"/>
          <w:u w:val="single"/>
          <w:lang w:eastAsia="zh-CN"/>
        </w:rPr>
        <w:t>、《广东省住房和城乡建设厅关于做好有关建设工程企业资质证书换领工作的通知》（粤建许函〔2024〕124号）</w:t>
      </w:r>
      <w:r>
        <w:rPr>
          <w:rFonts w:hint="eastAsia" w:ascii="宋体" w:hAnsi="宋体" w:eastAsia="宋体" w:cs="宋体"/>
          <w:color w:val="auto"/>
          <w:sz w:val="24"/>
          <w:szCs w:val="24"/>
          <w:highlight w:val="none"/>
          <w:u w:val="single"/>
        </w:rPr>
        <w:t>等相关规定执行。根据上述文件的要求，投标人需办理企业资质有效期延续的，应当按照相关规定及时办理。</w:t>
      </w:r>
    </w:p>
    <w:p w14:paraId="1D63AB85">
      <w:pPr>
        <w:spacing w:line="360" w:lineRule="auto"/>
        <w:ind w:left="239" w:leftChars="114"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）香港企业独立参加投标的，须在广东省住房和城乡建设主管部门备案且备案的业务范围应符合本招标项目对工程勘察、设计资质的要求。</w:t>
      </w:r>
    </w:p>
    <w:p w14:paraId="6E82EB8E">
      <w:pPr>
        <w:keepNext w:val="0"/>
        <w:keepLines w:val="0"/>
        <w:widowControl/>
        <w:suppressLineNumbers w:val="0"/>
        <w:spacing w:before="0" w:beforeAutospacing="0" w:after="0" w:afterAutospacing="0" w:line="360" w:lineRule="auto"/>
        <w:ind w:left="239" w:leftChars="114" w:right="0" w:firstLine="480" w:firstLineChars="200"/>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"http://zfcxjst.gd.gov.cn/xxgk/wjtz/content/post_3137220.html）确定。香港企业须提供满足招标文件要求的相应资质证书及备案证明资料扫描件。"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http://zfcxjst.gd.gov.cn/xxgk/wjtz/content/post_3137220.html）确定。香港企业须提供满足招标文件要求的相应资质证书及备案证明资料扫描件。</w:t>
      </w:r>
      <w:r>
        <w:rPr>
          <w:rFonts w:hint="eastAsia" w:ascii="宋体" w:hAnsi="宋体" w:eastAsia="宋体" w:cs="宋体"/>
          <w:color w:val="auto"/>
          <w:sz w:val="24"/>
          <w:szCs w:val="24"/>
          <w:highlight w:val="none"/>
          <w:u w:val="single"/>
        </w:rPr>
        <w:fldChar w:fldCharType="end"/>
      </w:r>
    </w:p>
    <w:p w14:paraId="3CB0E162">
      <w:pPr>
        <w:widowControl/>
        <w:spacing w:line="360" w:lineRule="auto"/>
        <w:ind w:left="239" w:leftChars="114"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本次招标</w:t>
      </w:r>
      <w:r>
        <w:rPr>
          <w:rFonts w:hint="eastAsia" w:ascii="宋体" w:hAnsi="宋体" w:eastAsia="宋体" w:cs="宋体"/>
          <w:b/>
          <w:bCs/>
          <w:color w:val="auto"/>
          <w:sz w:val="24"/>
          <w:highlight w:val="none"/>
          <w:u w:val="single"/>
        </w:rPr>
        <w:t>接受</w:t>
      </w:r>
      <w:r>
        <w:rPr>
          <w:rFonts w:hint="eastAsia" w:ascii="宋体" w:hAnsi="宋体" w:eastAsia="宋体" w:cs="宋体"/>
          <w:color w:val="auto"/>
          <w:sz w:val="24"/>
          <w:highlight w:val="none"/>
          <w:u w:val="single"/>
        </w:rPr>
        <w:t>联合体投标，但只接受最多由2家单位【</w:t>
      </w:r>
      <w:r>
        <w:rPr>
          <w:rFonts w:hint="eastAsia" w:ascii="宋体" w:hAnsi="宋体" w:eastAsia="宋体" w:cs="宋体"/>
          <w:b/>
          <w:color w:val="auto"/>
          <w:sz w:val="24"/>
          <w:highlight w:val="none"/>
          <w:u w:val="single"/>
        </w:rPr>
        <w:t>即一家勘察单位</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rPr>
        <w:t>负责全部勘察工作内容</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rPr>
        <w:t>、一家设计单位（负责全部设计工作内容）</w:t>
      </w:r>
      <w:r>
        <w:rPr>
          <w:rFonts w:hint="eastAsia" w:ascii="宋体" w:hAnsi="宋体" w:eastAsia="宋体" w:cs="宋体"/>
          <w:color w:val="auto"/>
          <w:sz w:val="24"/>
          <w:highlight w:val="none"/>
          <w:u w:val="single"/>
        </w:rPr>
        <w:t>】组成的联合体。联合体投标的，应满足下列要求：申请人可以组成联合体投标，并签订联合体共同投标协议（联合体共同投标协议应明确约定各方拟承担的工作和责任。投标登记截止后联合体增减、更换成员的，其投标无效）。</w:t>
      </w:r>
      <w:r>
        <w:rPr>
          <w:rFonts w:hint="eastAsia" w:ascii="宋体" w:hAnsi="宋体" w:eastAsia="宋体" w:cs="宋体"/>
          <w:b/>
          <w:color w:val="auto"/>
          <w:sz w:val="24"/>
          <w:highlight w:val="none"/>
          <w:u w:val="single"/>
        </w:rPr>
        <w:t>以具有符合本招标项目要求的工程设计资质，</w:t>
      </w:r>
      <w:r>
        <w:rPr>
          <w:rFonts w:hint="eastAsia" w:ascii="宋体" w:hAnsi="宋体" w:eastAsia="宋体" w:cs="宋体"/>
          <w:b/>
          <w:bCs w:val="0"/>
          <w:color w:val="auto"/>
          <w:kern w:val="2"/>
          <w:sz w:val="24"/>
          <w:szCs w:val="24"/>
          <w:highlight w:val="none"/>
          <w:u w:val="single"/>
          <w:lang w:val="en-US" w:eastAsia="zh-CN" w:bidi="ar"/>
        </w:rPr>
        <w:t>承担工程设计一方为主办方</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sz w:val="24"/>
          <w:highlight w:val="none"/>
          <w:u w:val="single"/>
        </w:rPr>
        <w:t>联合体各方（包括主办方及联合体成员）不得再单独或与其他单位组成联合体参与本项目投标。</w:t>
      </w:r>
    </w:p>
    <w:p w14:paraId="3CD652BF">
      <w:pPr>
        <w:widowControl/>
        <w:spacing w:line="360" w:lineRule="auto"/>
        <w:ind w:left="840" w:leftChars="0" w:hanging="840" w:hangingChars="350"/>
        <w:jc w:val="left"/>
        <w:rPr>
          <w:rFonts w:hint="eastAsia" w:ascii="宋体" w:hAnsi="宋体" w:eastAsia="宋体" w:cs="Times New Roman"/>
          <w:color w:val="auto"/>
          <w:sz w:val="24"/>
          <w:szCs w:val="24"/>
          <w:highlight w:val="none"/>
          <w:lang w:bidi="ar"/>
        </w:rPr>
      </w:pPr>
      <w:r>
        <w:rPr>
          <w:rFonts w:ascii="宋体" w:hAnsi="宋体" w:eastAsia="宋体" w:cs="Times New Roman"/>
          <w:color w:val="auto"/>
          <w:sz w:val="24"/>
          <w:szCs w:val="24"/>
          <w:highlight w:val="none"/>
          <w:lang w:bidi="ar"/>
        </w:rPr>
        <w:t xml:space="preserve">1.4.3  </w:t>
      </w:r>
      <w:r>
        <w:rPr>
          <w:rFonts w:hint="eastAsia" w:ascii="宋体" w:hAnsi="宋体" w:eastAsia="宋体" w:cs="Times New Roman"/>
          <w:color w:val="auto"/>
          <w:sz w:val="24"/>
          <w:szCs w:val="24"/>
          <w:highlight w:val="none"/>
          <w:lang w:bidi="ar"/>
        </w:rPr>
        <w:t>外国或澳门、台湾的设计企业必须选择一家符合上述条件的企业进行合作设计。香港企业如不单独参加投标，也必须选择一家符合上述条件的企业进行合作设计。</w:t>
      </w:r>
    </w:p>
    <w:p w14:paraId="26AD6877">
      <w:pPr>
        <w:keepNext w:val="0"/>
        <w:keepLines w:val="0"/>
        <w:pageBreakBefore w:val="0"/>
        <w:widowControl/>
        <w:kinsoku/>
        <w:wordWrap/>
        <w:overflowPunct/>
        <w:topLinePunct w:val="0"/>
        <w:autoSpaceDE/>
        <w:autoSpaceDN/>
        <w:bidi w:val="0"/>
        <w:adjustRightInd/>
        <w:snapToGrid/>
        <w:spacing w:line="360" w:lineRule="auto"/>
        <w:ind w:left="840" w:leftChars="0" w:hanging="840" w:hangingChars="350"/>
        <w:jc w:val="left"/>
        <w:textAlignment w:val="auto"/>
        <w:rPr>
          <w:rFonts w:hint="eastAsia" w:ascii="宋体" w:hAnsi="宋体" w:eastAsia="宋体" w:cs="Times New Roman"/>
          <w:color w:val="auto"/>
          <w:sz w:val="24"/>
          <w:szCs w:val="24"/>
          <w:highlight w:val="none"/>
          <w:lang w:bidi="ar"/>
        </w:rPr>
      </w:pPr>
      <w:r>
        <w:rPr>
          <w:rFonts w:ascii="宋体" w:hAnsi="宋体" w:eastAsia="宋体" w:cs="Times New Roman"/>
          <w:color w:val="auto"/>
          <w:sz w:val="24"/>
          <w:szCs w:val="24"/>
          <w:highlight w:val="none"/>
        </w:rPr>
        <w:t xml:space="preserve">1.4.4  </w:t>
      </w:r>
      <w:r>
        <w:rPr>
          <w:rFonts w:hint="eastAsia" w:ascii="宋体" w:hAnsi="宋体" w:eastAsia="宋体" w:cs="Times New Roman"/>
          <w:color w:val="auto"/>
          <w:sz w:val="24"/>
          <w:szCs w:val="24"/>
          <w:highlight w:val="none"/>
          <w:lang w:bidi="ar"/>
        </w:rPr>
        <w:t>申请人（如为联合体，则联合体各方）已在广州市住房和城乡建设局建立企业信用档案，拟委派的项目负责人</w:t>
      </w:r>
      <w:r>
        <w:rPr>
          <w:rFonts w:hint="eastAsia" w:ascii="宋体" w:hAnsi="宋体" w:eastAsia="宋体" w:cs="Times New Roman"/>
          <w:color w:val="auto"/>
          <w:sz w:val="24"/>
          <w:szCs w:val="24"/>
          <w:highlight w:val="none"/>
          <w:lang w:eastAsia="zh-CN" w:bidi="ar"/>
        </w:rPr>
        <w:t>（如为联合体，则联合体主办方）</w:t>
      </w:r>
      <w:r>
        <w:rPr>
          <w:rFonts w:hint="eastAsia" w:ascii="宋体" w:hAnsi="宋体" w:eastAsia="宋体" w:cs="Times New Roman"/>
          <w:color w:val="auto"/>
          <w:sz w:val="24"/>
          <w:szCs w:val="24"/>
          <w:highlight w:val="none"/>
          <w:lang w:bidi="ar"/>
        </w:rPr>
        <w:t>须是本企业信用档案中的在册人员。（信用档案办理详见《广州市住建行业信用管理平台勘察企业信息录入办理指引》http://zfcj.gz.gov.cn/zjyw/xyjs/content/post_10168477.html、《广州市住建行业信用管理平台设计企业信息录入指引》http://zfcj.gz.gov.cn/zwgk/zsdwxxgkzl/gzsjzyglfwzx/bszy/content/post_9116013.html）</w:t>
      </w:r>
    </w:p>
    <w:p w14:paraId="02758004">
      <w:pPr>
        <w:keepNext w:val="0"/>
        <w:keepLines w:val="0"/>
        <w:pageBreakBefore w:val="0"/>
        <w:widowControl w:val="0"/>
        <w:kinsoku/>
        <w:wordWrap w:val="0"/>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
          <w:bCs/>
          <w:color w:val="auto"/>
          <w:kern w:val="2"/>
          <w:sz w:val="24"/>
          <w:szCs w:val="24"/>
          <w:highlight w:val="none"/>
          <w:u w:val="single"/>
          <w:lang w:val="en-US" w:eastAsia="zh-CN" w:bidi="ar"/>
        </w:rPr>
      </w:pPr>
      <w:r>
        <w:rPr>
          <w:rFonts w:hint="eastAsia" w:ascii="宋体" w:hAnsi="宋体" w:eastAsia="宋体" w:cs="宋体"/>
          <w:b/>
          <w:bCs/>
          <w:color w:val="auto"/>
          <w:kern w:val="2"/>
          <w:sz w:val="24"/>
          <w:szCs w:val="24"/>
          <w:highlight w:val="none"/>
          <w:u w:val="single"/>
          <w:lang w:val="en-US" w:eastAsia="zh-CN" w:bidi="ar"/>
        </w:rPr>
        <w:t>注：申请人在投标登记时选择了拟投入本项目的项目负责人即已满足“申请人（如为联合体，则联合体各方）已在广州市住房和城乡建设局建立企业信用档案，拟委派的项目负责人须是本企业信用档案中的在册人员”的要求，申请人无需提供证明材料。</w:t>
      </w:r>
    </w:p>
    <w:p w14:paraId="5AB0BED5">
      <w:pPr>
        <w:widowControl/>
        <w:spacing w:line="360" w:lineRule="auto"/>
        <w:ind w:left="840" w:leftChars="0" w:hanging="840" w:hangingChars="350"/>
        <w:jc w:val="left"/>
        <w:rPr>
          <w:rFonts w:hint="eastAsia" w:ascii="宋体" w:hAnsi="宋体" w:eastAsia="宋体" w:cs="Times New Roman"/>
          <w:color w:val="auto"/>
          <w:sz w:val="24"/>
          <w:szCs w:val="24"/>
          <w:highlight w:val="none"/>
          <w:lang w:eastAsia="zh-CN" w:bidi="ar"/>
        </w:rPr>
      </w:pPr>
      <w:r>
        <w:rPr>
          <w:rFonts w:ascii="宋体" w:hAnsi="宋体" w:eastAsia="宋体" w:cs="Times New Roman"/>
          <w:color w:val="auto"/>
          <w:sz w:val="24"/>
          <w:szCs w:val="24"/>
          <w:highlight w:val="none"/>
        </w:rPr>
        <w:t xml:space="preserve">1.4.5  </w:t>
      </w:r>
      <w:r>
        <w:rPr>
          <w:rFonts w:hint="eastAsia" w:ascii="宋体" w:hAnsi="宋体" w:eastAsia="宋体" w:cs="Times New Roman"/>
          <w:color w:val="auto"/>
          <w:sz w:val="24"/>
          <w:szCs w:val="24"/>
          <w:highlight w:val="none"/>
        </w:rPr>
        <w:t>申请人</w:t>
      </w:r>
      <w:r>
        <w:rPr>
          <w:rFonts w:hint="eastAsia" w:ascii="宋体" w:hAnsi="宋体" w:eastAsia="宋体" w:cs="Times New Roman"/>
          <w:color w:val="auto"/>
          <w:sz w:val="24"/>
          <w:szCs w:val="24"/>
          <w:highlight w:val="none"/>
          <w:lang w:eastAsia="zh-CN" w:bidi="ar"/>
        </w:rPr>
        <w:t>委派的项目负责人（如为联合体，则联合体主办方）须具备</w:t>
      </w:r>
      <w:r>
        <w:rPr>
          <w:rFonts w:hint="eastAsia" w:ascii="宋体" w:hAnsi="宋体" w:eastAsia="宋体" w:cs="Times New Roman"/>
          <w:b/>
          <w:bCs/>
          <w:color w:val="auto"/>
          <w:sz w:val="24"/>
          <w:szCs w:val="24"/>
          <w:highlight w:val="none"/>
          <w:u w:val="single"/>
          <w:lang w:eastAsia="zh-CN" w:bidi="ar"/>
        </w:rPr>
        <w:t>一级注册建筑师</w:t>
      </w:r>
      <w:r>
        <w:rPr>
          <w:rFonts w:hint="eastAsia" w:ascii="宋体" w:hAnsi="宋体" w:eastAsia="宋体" w:cs="Times New Roman"/>
          <w:color w:val="auto"/>
          <w:sz w:val="24"/>
          <w:szCs w:val="24"/>
          <w:highlight w:val="none"/>
          <w:lang w:eastAsia="zh-CN" w:bidi="ar"/>
        </w:rPr>
        <w:t>资格，</w:t>
      </w:r>
      <w:r>
        <w:rPr>
          <w:rFonts w:hint="eastAsia" w:ascii="宋体" w:hAnsi="宋体" w:eastAsia="宋体" w:cs="Times New Roman"/>
          <w:color w:val="auto"/>
          <w:sz w:val="24"/>
          <w:szCs w:val="24"/>
          <w:highlight w:val="none"/>
          <w:u w:val="single"/>
          <w:lang w:eastAsia="zh-CN" w:bidi="ar"/>
        </w:rPr>
        <w:t>或在广东省住房和城乡建设主管部门备案且备案的业务范围符合本招标项目对项目负责人要求的香港专业人士</w:t>
      </w:r>
      <w:r>
        <w:rPr>
          <w:rFonts w:hint="eastAsia" w:ascii="宋体" w:hAnsi="宋体" w:eastAsia="宋体" w:cs="宋体"/>
          <w:color w:val="auto"/>
          <w:kern w:val="2"/>
          <w:sz w:val="24"/>
          <w:szCs w:val="24"/>
          <w:highlight w:val="none"/>
          <w:u w:val="single"/>
          <w:lang w:val="en-US" w:eastAsia="zh-CN" w:bidi="ar"/>
        </w:rPr>
        <w:t>，香港专业人士的备案业务范围依据《广东省住房和城乡建设厅关于印发香港工程建设咨询企业和专业人士在粤港澳大湾区内地城市开业执业试点管理暂行办法的通知》（粤建规范〔2020〕1号）确定。</w:t>
      </w:r>
    </w:p>
    <w:p w14:paraId="595218E2">
      <w:pPr>
        <w:keepNext w:val="0"/>
        <w:keepLines w:val="0"/>
        <w:widowControl w:val="0"/>
        <w:suppressLineNumbers w:val="0"/>
        <w:spacing w:before="0" w:beforeAutospacing="0" w:after="0" w:afterAutospacing="0" w:line="360" w:lineRule="auto"/>
        <w:ind w:left="840" w:leftChars="400" w:right="0" w:firstLine="0" w:firstLineChars="0"/>
        <w:jc w:val="both"/>
        <w:rPr>
          <w:rFonts w:hint="eastAsia" w:ascii="宋体" w:hAnsi="宋体" w:eastAsia="宋体" w:cs="Times New Roman"/>
          <w:color w:val="auto"/>
          <w:sz w:val="24"/>
          <w:szCs w:val="24"/>
          <w:highlight w:val="none"/>
          <w:lang w:eastAsia="zh-CN" w:bidi="ar"/>
        </w:rPr>
      </w:pPr>
      <w:r>
        <w:rPr>
          <w:rFonts w:hint="eastAsia" w:ascii="宋体" w:hAnsi="宋体" w:eastAsia="宋体" w:cs="Times New Roman"/>
          <w:color w:val="auto"/>
          <w:sz w:val="24"/>
          <w:szCs w:val="24"/>
          <w:highlight w:val="none"/>
          <w:lang w:eastAsia="zh-CN" w:bidi="ar"/>
        </w:rPr>
        <w:t>注：根据《全国注册建筑师管理委员会关于开展使用一级注册建筑师电子注册证书工作的通知》（注建</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Times New Roman"/>
          <w:color w:val="auto"/>
          <w:sz w:val="24"/>
          <w:szCs w:val="24"/>
          <w:highlight w:val="none"/>
          <w:lang w:eastAsia="zh-CN" w:bidi="ar"/>
        </w:rPr>
        <w:t>2021</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Times New Roman"/>
          <w:color w:val="auto"/>
          <w:sz w:val="24"/>
          <w:szCs w:val="24"/>
          <w:highlight w:val="none"/>
          <w:lang w:eastAsia="zh-CN" w:bidi="ar"/>
        </w:rPr>
        <w:t>2号）要求，自2022年7月1日起，一级注册建筑师统一使用电子证书，纸质注册证书作废。若</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szCs w:val="24"/>
          <w:highlight w:val="none"/>
          <w:lang w:eastAsia="zh-CN" w:bidi="ar"/>
        </w:rPr>
        <w:t>提供的一级注册建筑师电子证书未在个人签名处手写签名或手写签名与签名图像笔迹存在差异的</w:t>
      </w:r>
      <w:r>
        <w:rPr>
          <w:rFonts w:hint="default" w:ascii="宋体" w:hAnsi="宋体" w:eastAsia="宋体" w:cs="Times New Roman"/>
          <w:color w:val="auto"/>
          <w:sz w:val="24"/>
          <w:szCs w:val="24"/>
          <w:highlight w:val="none"/>
          <w:lang w:eastAsia="zh-CN" w:bidi="ar"/>
        </w:rPr>
        <w:t>或</w:t>
      </w:r>
      <w:r>
        <w:rPr>
          <w:rFonts w:hint="eastAsia" w:ascii="宋体" w:hAnsi="宋体" w:eastAsia="宋体" w:cs="Times New Roman"/>
          <w:color w:val="auto"/>
          <w:sz w:val="24"/>
          <w:szCs w:val="24"/>
          <w:highlight w:val="none"/>
          <w:lang w:val="en-US" w:eastAsia="zh-CN" w:bidi="ar"/>
        </w:rPr>
        <w:t>超出</w:t>
      </w:r>
      <w:r>
        <w:rPr>
          <w:rFonts w:hint="default" w:ascii="宋体" w:hAnsi="宋体" w:eastAsia="宋体" w:cs="Times New Roman"/>
          <w:color w:val="auto"/>
          <w:sz w:val="24"/>
          <w:szCs w:val="24"/>
          <w:highlight w:val="none"/>
          <w:lang w:eastAsia="zh-CN" w:bidi="ar"/>
        </w:rPr>
        <w:t>使用有效期的，</w:t>
      </w:r>
      <w:r>
        <w:rPr>
          <w:rFonts w:hint="eastAsia" w:ascii="宋体" w:hAnsi="宋体" w:eastAsia="宋体" w:cs="Times New Roman"/>
          <w:color w:val="auto"/>
          <w:sz w:val="24"/>
          <w:szCs w:val="24"/>
          <w:highlight w:val="none"/>
          <w:lang w:eastAsia="zh-CN" w:bidi="ar"/>
        </w:rPr>
        <w:t>资格审查时应通过“全国建筑市场监管公共服务平台”查询渠道查询持证人注册建筑师注册信息，注册信息与投标文件所附电子证书一致的，上述情形不影响</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szCs w:val="24"/>
          <w:highlight w:val="none"/>
          <w:lang w:eastAsia="zh-CN" w:bidi="ar"/>
        </w:rPr>
        <w:t>通过资格审查。评标结束后，若该</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szCs w:val="24"/>
          <w:highlight w:val="none"/>
          <w:lang w:eastAsia="zh-CN" w:bidi="ar"/>
        </w:rPr>
        <w:t>为中标候选人的，</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szCs w:val="24"/>
          <w:highlight w:val="none"/>
          <w:lang w:eastAsia="zh-CN" w:bidi="ar"/>
        </w:rPr>
        <w:t>应在招标人规定的时限内提交符合要求的电子证书打印件和持证人出具的知情承诺。</w:t>
      </w: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Times New Roman"/>
          <w:color w:val="auto"/>
          <w:sz w:val="24"/>
          <w:szCs w:val="24"/>
          <w:highlight w:val="none"/>
          <w:lang w:eastAsia="zh-CN" w:bidi="ar"/>
        </w:rPr>
        <w:t>未按时提交或提交资料不符合上述要求的，视为放弃中标资格。</w:t>
      </w:r>
    </w:p>
    <w:p w14:paraId="6CD1713C">
      <w:pPr>
        <w:widowControl/>
        <w:spacing w:line="360" w:lineRule="auto"/>
        <w:ind w:left="840" w:leftChars="0" w:hanging="840" w:hangingChars="350"/>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 xml:space="preserve">1.4.6  </w:t>
      </w:r>
      <w:r>
        <w:rPr>
          <w:rFonts w:hint="eastAsia" w:ascii="宋体" w:hAnsi="宋体" w:eastAsia="宋体" w:cs="Times New Roman"/>
          <w:color w:val="auto"/>
          <w:sz w:val="24"/>
          <w:szCs w:val="24"/>
          <w:highlight w:val="none"/>
        </w:rPr>
        <w:t>信誉要求：申请人</w:t>
      </w:r>
      <w:r>
        <w:rPr>
          <w:rFonts w:hint="eastAsia" w:ascii="宋体" w:hAnsi="宋体" w:eastAsia="宋体" w:cs="Times New Roman"/>
          <w:color w:val="auto"/>
          <w:sz w:val="24"/>
          <w:szCs w:val="24"/>
          <w:highlight w:val="none"/>
          <w:u w:val="single"/>
        </w:rPr>
        <w:t>（如为联合体，则联合体各方）未在以往工程中因不充分履约行为被本项目招标人书面拒绝投标的（被招标人拒绝投标的名单详见本招标公告附件</w:t>
      </w:r>
      <w:r>
        <w:rPr>
          <w:rFonts w:hint="default" w:ascii="宋体" w:hAnsi="宋体" w:eastAsia="宋体" w:cs="Times New Roman"/>
          <w:color w:val="auto"/>
          <w:sz w:val="24"/>
          <w:szCs w:val="24"/>
          <w:highlight w:val="none"/>
          <w:u w:val="single"/>
        </w:rPr>
        <w:t>一</w:t>
      </w:r>
      <w:r>
        <w:rPr>
          <w:rFonts w:hint="eastAsia" w:ascii="宋体" w:hAnsi="宋体" w:eastAsia="宋体" w:cs="Times New Roman"/>
          <w:color w:val="auto"/>
          <w:sz w:val="24"/>
          <w:szCs w:val="24"/>
          <w:highlight w:val="none"/>
          <w:u w:val="single"/>
        </w:rPr>
        <w:t>）。</w:t>
      </w:r>
    </w:p>
    <w:p w14:paraId="05312841">
      <w:pPr>
        <w:widowControl/>
        <w:spacing w:line="360" w:lineRule="auto"/>
        <w:ind w:left="840" w:leftChars="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1.4.7  </w:t>
      </w:r>
      <w:r>
        <w:rPr>
          <w:rFonts w:hint="eastAsia" w:ascii="宋体" w:hAnsi="宋体" w:eastAsia="宋体" w:cs="Times New Roman"/>
          <w:color w:val="auto"/>
          <w:sz w:val="24"/>
          <w:szCs w:val="24"/>
          <w:highlight w:val="none"/>
        </w:rPr>
        <w:t>申请人</w:t>
      </w:r>
      <w:r>
        <w:rPr>
          <w:rFonts w:hint="eastAsia" w:ascii="宋体" w:hAnsi="宋体" w:eastAsia="宋体" w:cs="Times New Roman"/>
          <w:color w:val="auto"/>
          <w:sz w:val="24"/>
          <w:szCs w:val="24"/>
          <w:highlight w:val="none"/>
          <w:u w:val="single"/>
        </w:rPr>
        <w:t>（如为联合体，则联合体各方）</w:t>
      </w:r>
      <w:r>
        <w:rPr>
          <w:rFonts w:hint="eastAsia" w:ascii="宋体" w:hAnsi="宋体" w:eastAsia="宋体" w:cs="Times New Roman"/>
          <w:b/>
          <w:bCs/>
          <w:color w:val="auto"/>
          <w:sz w:val="24"/>
          <w:szCs w:val="24"/>
          <w:highlight w:val="none"/>
          <w:u w:val="single"/>
        </w:rPr>
        <w:t>未被列入拖欠农民工工资失信联合惩戒对象名单和失信被执行人</w:t>
      </w:r>
      <w:r>
        <w:rPr>
          <w:rFonts w:hint="eastAsia" w:ascii="宋体" w:hAnsi="宋体" w:eastAsia="宋体" w:cs="Times New Roman"/>
          <w:b/>
          <w:bCs/>
          <w:color w:val="auto"/>
          <w:sz w:val="24"/>
          <w:szCs w:val="24"/>
          <w:highlight w:val="none"/>
          <w:u w:val="single"/>
          <w:lang w:eastAsia="zh-CN"/>
        </w:rPr>
        <w:t>。</w:t>
      </w:r>
      <w:r>
        <w:rPr>
          <w:rFonts w:hint="eastAsia" w:ascii="宋体" w:hAnsi="宋体" w:eastAsia="宋体" w:cs="Times New Roman"/>
          <w:b/>
          <w:bCs/>
          <w:color w:val="auto"/>
          <w:sz w:val="24"/>
          <w:szCs w:val="24"/>
          <w:highlight w:val="none"/>
          <w:u w:val="single"/>
        </w:rPr>
        <w:t>（</w:t>
      </w:r>
      <w:r>
        <w:rPr>
          <w:rFonts w:hint="eastAsia" w:ascii="宋体" w:hAnsi="宋体" w:eastAsia="宋体" w:cs="Times New Roman"/>
          <w:b/>
          <w:bCs/>
          <w:color w:val="auto"/>
          <w:sz w:val="24"/>
          <w:szCs w:val="24"/>
          <w:highlight w:val="none"/>
          <w:u w:val="single"/>
          <w:lang w:eastAsia="zh-CN"/>
        </w:rPr>
        <w:t>投标人无需提供资料，按</w:t>
      </w:r>
      <w:r>
        <w:rPr>
          <w:rFonts w:hint="eastAsia" w:ascii="宋体" w:hAnsi="宋体" w:eastAsia="宋体" w:cs="Times New Roman"/>
          <w:b/>
          <w:bCs/>
          <w:color w:val="auto"/>
          <w:sz w:val="24"/>
          <w:szCs w:val="24"/>
          <w:highlight w:val="none"/>
          <w:u w:val="single"/>
          <w:lang w:val="en-US" w:eastAsia="zh-CN"/>
        </w:rPr>
        <w:t>投标截止时间广州交易集团有限公司（广州公共资源交易中心）</w:t>
      </w:r>
      <w:r>
        <w:rPr>
          <w:rFonts w:hint="eastAsia" w:ascii="宋体" w:hAnsi="宋体" w:eastAsia="宋体" w:cs="Times New Roman"/>
          <w:b/>
          <w:bCs/>
          <w:color w:val="auto"/>
          <w:sz w:val="24"/>
          <w:szCs w:val="24"/>
          <w:highlight w:val="none"/>
          <w:u w:val="single"/>
        </w:rPr>
        <w:t>交易</w:t>
      </w:r>
      <w:r>
        <w:rPr>
          <w:rFonts w:hint="eastAsia" w:ascii="宋体" w:hAnsi="宋体" w:eastAsia="宋体" w:cs="Times New Roman"/>
          <w:b/>
          <w:bCs/>
          <w:color w:val="auto"/>
          <w:sz w:val="24"/>
          <w:szCs w:val="24"/>
          <w:highlight w:val="none"/>
          <w:u w:val="single"/>
          <w:lang w:eastAsia="zh-CN"/>
        </w:rPr>
        <w:t>系统</w:t>
      </w:r>
      <w:r>
        <w:rPr>
          <w:rFonts w:hint="eastAsia" w:ascii="宋体" w:hAnsi="宋体" w:eastAsia="宋体" w:cs="Times New Roman"/>
          <w:b/>
          <w:bCs/>
          <w:color w:val="auto"/>
          <w:sz w:val="24"/>
          <w:szCs w:val="24"/>
          <w:highlight w:val="none"/>
          <w:u w:val="single"/>
        </w:rPr>
        <w:t>比对</w:t>
      </w:r>
      <w:r>
        <w:rPr>
          <w:rFonts w:hint="eastAsia" w:ascii="宋体" w:hAnsi="宋体" w:eastAsia="宋体" w:cs="Times New Roman"/>
          <w:b/>
          <w:bCs/>
          <w:color w:val="auto"/>
          <w:sz w:val="24"/>
          <w:szCs w:val="24"/>
          <w:highlight w:val="none"/>
          <w:u w:val="single"/>
          <w:lang w:val="en-US" w:eastAsia="zh-CN"/>
        </w:rPr>
        <w:t>的</w:t>
      </w:r>
      <w:r>
        <w:rPr>
          <w:rFonts w:hint="eastAsia" w:ascii="宋体" w:hAnsi="宋体" w:eastAsia="宋体" w:cs="Times New Roman"/>
          <w:b/>
          <w:bCs/>
          <w:color w:val="auto"/>
          <w:sz w:val="24"/>
          <w:szCs w:val="24"/>
          <w:highlight w:val="none"/>
          <w:u w:val="single"/>
        </w:rPr>
        <w:t>结果</w:t>
      </w:r>
      <w:r>
        <w:rPr>
          <w:rFonts w:hint="eastAsia" w:ascii="宋体" w:hAnsi="宋体" w:eastAsia="宋体" w:cs="Times New Roman"/>
          <w:b/>
          <w:bCs/>
          <w:color w:val="auto"/>
          <w:sz w:val="24"/>
          <w:szCs w:val="24"/>
          <w:highlight w:val="none"/>
          <w:u w:val="single"/>
          <w:lang w:val="en-US" w:eastAsia="zh-CN"/>
        </w:rPr>
        <w:t>进行评审</w:t>
      </w:r>
      <w:r>
        <w:rPr>
          <w:rFonts w:hint="eastAsia" w:ascii="宋体" w:hAnsi="宋体" w:eastAsia="宋体" w:cs="Times New Roman"/>
          <w:b/>
          <w:bCs/>
          <w:color w:val="auto"/>
          <w:sz w:val="24"/>
          <w:szCs w:val="24"/>
          <w:highlight w:val="none"/>
          <w:u w:val="single"/>
        </w:rPr>
        <w:t>）</w:t>
      </w:r>
      <w:r>
        <w:rPr>
          <w:rFonts w:hint="eastAsia" w:ascii="宋体" w:hAnsi="宋体" w:eastAsia="宋体" w:cs="Times New Roman"/>
          <w:color w:val="auto"/>
          <w:sz w:val="24"/>
          <w:szCs w:val="24"/>
          <w:highlight w:val="none"/>
        </w:rPr>
        <w:t>。</w:t>
      </w:r>
    </w:p>
    <w:p w14:paraId="2AE3726E">
      <w:pPr>
        <w:spacing w:line="360" w:lineRule="auto"/>
        <w:jc w:val="left"/>
        <w:outlineLvl w:val="9"/>
        <w:rPr>
          <w:rFonts w:ascii="宋体" w:hAnsi="宋体" w:eastAsia="宋体" w:cs="Times New Roman"/>
          <w:b/>
          <w:color w:val="auto"/>
          <w:sz w:val="24"/>
          <w:szCs w:val="24"/>
          <w:highlight w:val="none"/>
        </w:rPr>
      </w:pPr>
    </w:p>
    <w:p w14:paraId="29B0FEDB">
      <w:pPr>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1.5  </w:t>
      </w:r>
      <w:r>
        <w:rPr>
          <w:rFonts w:hint="default" w:ascii="宋体" w:hAnsi="宋体" w:eastAsia="宋体" w:cs="Times New Roman"/>
          <w:b/>
          <w:color w:val="auto"/>
          <w:sz w:val="24"/>
          <w:szCs w:val="24"/>
          <w:highlight w:val="none"/>
          <w:lang w:val="en-US" w:eastAsia="zh-CN"/>
        </w:rPr>
        <w:t xml:space="preserve"> </w:t>
      </w:r>
      <w:r>
        <w:rPr>
          <w:rFonts w:ascii="宋体" w:hAnsi="宋体" w:eastAsia="宋体" w:cs="Times New Roman"/>
          <w:b/>
          <w:color w:val="auto"/>
          <w:sz w:val="24"/>
          <w:szCs w:val="24"/>
          <w:highlight w:val="none"/>
        </w:rPr>
        <w:t xml:space="preserve"> </w:t>
      </w:r>
      <w:r>
        <w:rPr>
          <w:rFonts w:hint="default" w:ascii="宋体" w:hAnsi="宋体" w:eastAsia="宋体" w:cs="Times New Roman"/>
          <w:b/>
          <w:color w:val="auto"/>
          <w:sz w:val="24"/>
          <w:szCs w:val="24"/>
          <w:highlight w:val="none"/>
        </w:rPr>
        <w:t>招标文件的获取及</w:t>
      </w:r>
      <w:r>
        <w:rPr>
          <w:rFonts w:ascii="宋体" w:hAnsi="宋体" w:eastAsia="宋体" w:cs="Times New Roman"/>
          <w:b/>
          <w:color w:val="auto"/>
          <w:sz w:val="24"/>
          <w:szCs w:val="24"/>
          <w:highlight w:val="none"/>
        </w:rPr>
        <w:t>资格审查</w:t>
      </w:r>
    </w:p>
    <w:p w14:paraId="4F19AF1D">
      <w:pPr>
        <w:widowControl/>
        <w:spacing w:line="360" w:lineRule="auto"/>
        <w:ind w:left="840" w:leftChars="0" w:hanging="840" w:hangingChars="350"/>
        <w:jc w:val="left"/>
        <w:rPr>
          <w:rFonts w:ascii="Calibri" w:hAnsi="Calibri" w:eastAsia="宋体" w:cs="Times New Roman"/>
          <w:color w:val="auto"/>
          <w:sz w:val="24"/>
          <w:szCs w:val="24"/>
          <w:highlight w:val="none"/>
        </w:rPr>
      </w:pPr>
      <w:r>
        <w:rPr>
          <w:rFonts w:ascii="宋体" w:hAnsi="宋体" w:eastAsia="宋体" w:cs="Times New Roman"/>
          <w:color w:val="auto"/>
          <w:sz w:val="24"/>
          <w:szCs w:val="24"/>
          <w:highlight w:val="none"/>
        </w:rPr>
        <w:t xml:space="preserve">1.5.1  </w:t>
      </w:r>
      <w:r>
        <w:rPr>
          <w:rFonts w:hint="eastAsia" w:ascii="Calibri" w:hAnsi="Calibri" w:eastAsia="宋体" w:cs="Times New Roman"/>
          <w:color w:val="auto"/>
          <w:sz w:val="24"/>
          <w:szCs w:val="24"/>
          <w:highlight w:val="none"/>
        </w:rPr>
        <w:t>公告发布时间：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分至</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分（北京时间，下同）凡有意参加投标者，请登录</w:t>
      </w:r>
      <w:r>
        <w:rPr>
          <w:rFonts w:hint="eastAsia" w:ascii="Calibri" w:hAnsi="Calibri" w:eastAsia="宋体" w:cs="Times New Roman"/>
          <w:color w:val="auto"/>
          <w:sz w:val="24"/>
          <w:szCs w:val="24"/>
          <w:highlight w:val="none"/>
          <w:u w:val="single"/>
          <w:lang w:eastAsia="zh-CN"/>
        </w:rPr>
        <w:t>广州交易集团有限公司（广州公共资源交易中心）</w:t>
      </w:r>
      <w:r>
        <w:rPr>
          <w:rFonts w:hint="eastAsia" w:ascii="Calibri" w:hAnsi="Calibri" w:eastAsia="宋体" w:cs="Times New Roman"/>
          <w:color w:val="auto"/>
          <w:sz w:val="24"/>
          <w:szCs w:val="24"/>
          <w:highlight w:val="none"/>
        </w:rPr>
        <w:t>网站（网址：</w:t>
      </w:r>
      <w:r>
        <w:rPr>
          <w:rFonts w:ascii="宋体" w:hAnsi="宋体" w:eastAsia="宋体" w:cs="宋体"/>
          <w:color w:val="auto"/>
          <w:sz w:val="24"/>
          <w:szCs w:val="24"/>
          <w:highlight w:val="none"/>
        </w:rPr>
        <w:t>http://www.gzggzy.cn</w:t>
      </w:r>
      <w:r>
        <w:rPr>
          <w:rFonts w:hint="eastAsia" w:ascii="Calibri" w:hAnsi="Calibri" w:eastAsia="宋体" w:cs="Times New Roman"/>
          <w:color w:val="auto"/>
          <w:sz w:val="24"/>
          <w:szCs w:val="24"/>
          <w:highlight w:val="none"/>
        </w:rPr>
        <w:t>）下载电子招标文件。</w:t>
      </w:r>
    </w:p>
    <w:p w14:paraId="5508FB02">
      <w:pPr>
        <w:spacing w:line="360" w:lineRule="auto"/>
        <w:ind w:left="840" w:leftChars="400" w:firstLine="0" w:firstLineChars="0"/>
        <w:jc w:val="both"/>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注：发布招标公告的时间为招标公告发出之日起至递交投标文件截止时间止。</w:t>
      </w:r>
    </w:p>
    <w:p w14:paraId="3F31BC4F">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1.5.2  </w:t>
      </w:r>
      <w:r>
        <w:rPr>
          <w:rFonts w:hint="eastAsia" w:ascii="Calibri" w:hAnsi="Calibri" w:eastAsia="宋体" w:cs="Times New Roman"/>
          <w:color w:val="auto"/>
          <w:sz w:val="24"/>
          <w:szCs w:val="24"/>
          <w:highlight w:val="none"/>
        </w:rPr>
        <w:t>本项目招标文件随招标公告一并在</w:t>
      </w:r>
      <w:r>
        <w:rPr>
          <w:rFonts w:hint="eastAsia" w:ascii="Calibri" w:hAnsi="Calibri" w:eastAsia="宋体" w:cs="Times New Roman"/>
          <w:color w:val="auto"/>
          <w:sz w:val="24"/>
          <w:szCs w:val="24"/>
          <w:highlight w:val="none"/>
          <w:u w:val="single"/>
          <w:lang w:eastAsia="zh-CN"/>
        </w:rPr>
        <w:t>广州交易集团有限公司（广州公共资源交易中心）</w:t>
      </w:r>
      <w:r>
        <w:rPr>
          <w:rFonts w:hint="eastAsia" w:ascii="Calibri" w:hAnsi="Calibri" w:eastAsia="宋体" w:cs="Times New Roman"/>
          <w:color w:val="auto"/>
          <w:sz w:val="24"/>
          <w:szCs w:val="24"/>
          <w:highlight w:val="none"/>
        </w:rPr>
        <w:t>交易平台网站发布。招标文件一经在交易平台发布，视为发出给投标人，招标文件由投标人自行在交易平台网站下载。</w:t>
      </w:r>
    </w:p>
    <w:p w14:paraId="736876FA">
      <w:pPr>
        <w:widowControl/>
        <w:spacing w:line="360" w:lineRule="auto"/>
        <w:ind w:left="840" w:hanging="840" w:hangingChars="350"/>
        <w:jc w:val="left"/>
        <w:rPr>
          <w:rFonts w:ascii="Calibri" w:hAnsi="Calibri" w:eastAsia="宋体" w:cs="Times New Roman"/>
          <w:color w:val="auto"/>
          <w:sz w:val="24"/>
          <w:szCs w:val="24"/>
          <w:highlight w:val="none"/>
        </w:rPr>
      </w:pPr>
      <w:r>
        <w:rPr>
          <w:rFonts w:ascii="宋体" w:hAnsi="宋体" w:eastAsia="宋体" w:cs="Times New Roman"/>
          <w:color w:val="auto"/>
          <w:sz w:val="24"/>
          <w:szCs w:val="24"/>
          <w:highlight w:val="none"/>
        </w:rPr>
        <w:t xml:space="preserve">1.5.3  </w:t>
      </w:r>
      <w:r>
        <w:rPr>
          <w:rFonts w:hint="eastAsia" w:ascii="Calibri" w:hAnsi="Calibri" w:eastAsia="宋体" w:cs="Times New Roman"/>
          <w:color w:val="auto"/>
          <w:sz w:val="24"/>
          <w:szCs w:val="24"/>
          <w:highlight w:val="none"/>
        </w:rPr>
        <w:t>本项目资格审查采用方式</w:t>
      </w: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u w:val="single"/>
        </w:rPr>
        <w:t>一</w:t>
      </w: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w:t>
      </w:r>
    </w:p>
    <w:p w14:paraId="2A4D8232">
      <w:pPr>
        <w:spacing w:line="360" w:lineRule="auto"/>
        <w:ind w:left="840" w:leftChars="400" w:firstLine="0" w:firstLineChars="0"/>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rPr>
        <w:t>方式一、资格后审方式，由评标委员会负责资格审查</w:t>
      </w:r>
      <w:r>
        <w:rPr>
          <w:rFonts w:hint="eastAsia" w:ascii="Calibri" w:hAnsi="Calibri" w:eastAsia="宋体" w:cs="Times New Roman"/>
          <w:color w:val="auto"/>
          <w:sz w:val="24"/>
          <w:szCs w:val="24"/>
          <w:highlight w:val="none"/>
          <w:lang w:val="en-US" w:eastAsia="zh-CN"/>
        </w:rPr>
        <w:t>。</w:t>
      </w:r>
    </w:p>
    <w:p w14:paraId="52DE842E">
      <w:pPr>
        <w:spacing w:line="360" w:lineRule="auto"/>
        <w:jc w:val="left"/>
        <w:outlineLvl w:val="9"/>
        <w:rPr>
          <w:rFonts w:ascii="宋体" w:hAnsi="宋体" w:eastAsia="宋体" w:cs="Times New Roman"/>
          <w:b/>
          <w:color w:val="auto"/>
          <w:sz w:val="24"/>
          <w:szCs w:val="24"/>
          <w:highlight w:val="none"/>
        </w:rPr>
      </w:pPr>
    </w:p>
    <w:p w14:paraId="3A214BD5">
      <w:pPr>
        <w:widowControl/>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1.6    投标</w:t>
      </w:r>
      <w:r>
        <w:rPr>
          <w:rFonts w:hint="default" w:ascii="宋体" w:hAnsi="宋体" w:eastAsia="宋体" w:cs="Times New Roman"/>
          <w:b/>
          <w:color w:val="auto"/>
          <w:sz w:val="24"/>
          <w:szCs w:val="24"/>
          <w:highlight w:val="none"/>
        </w:rPr>
        <w:t>截止时间</w:t>
      </w:r>
    </w:p>
    <w:p w14:paraId="0152EE85">
      <w:pPr>
        <w:widowControl/>
        <w:spacing w:line="360" w:lineRule="auto"/>
        <w:ind w:left="840" w:hanging="840" w:hangingChars="350"/>
        <w:jc w:val="left"/>
        <w:rPr>
          <w:rFonts w:ascii="宋体" w:hAnsi="宋体" w:eastAsia="宋体" w:cs="仿宋_GB2312"/>
          <w:color w:val="auto"/>
          <w:sz w:val="24"/>
          <w:szCs w:val="24"/>
          <w:highlight w:val="none"/>
        </w:rPr>
      </w:pPr>
      <w:r>
        <w:rPr>
          <w:rFonts w:ascii="宋体" w:hAnsi="宋体" w:eastAsia="宋体" w:cs="Times New Roman"/>
          <w:color w:val="auto"/>
          <w:sz w:val="24"/>
          <w:szCs w:val="24"/>
          <w:highlight w:val="none"/>
        </w:rPr>
        <w:t>1.6.1</w:t>
      </w:r>
      <w:r>
        <w:rPr>
          <w:rFonts w:ascii="Calibri" w:hAnsi="Calibri" w:eastAsia="宋体" w:cs="Times New Roman"/>
          <w:color w:val="auto"/>
          <w:sz w:val="24"/>
          <w:szCs w:val="24"/>
          <w:highlight w:val="none"/>
        </w:rPr>
        <w:t xml:space="preserve">  </w:t>
      </w:r>
      <w:r>
        <w:rPr>
          <w:rFonts w:hint="eastAsia" w:ascii="Calibri" w:hAnsi="Calibri" w:eastAsia="宋体" w:cs="Times New Roman"/>
          <w:color w:val="auto"/>
          <w:sz w:val="24"/>
          <w:szCs w:val="24"/>
          <w:highlight w:val="none"/>
        </w:rPr>
        <w:t>投标截止时间为</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分，投标人应在截止时间前通过</w:t>
      </w:r>
      <w:r>
        <w:rPr>
          <w:rFonts w:hint="eastAsia" w:ascii="Calibri" w:hAnsi="Calibri" w:eastAsia="宋体" w:cs="Times New Roman"/>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rPr>
        <w:t>交易平台网站</w:t>
      </w:r>
      <w:r>
        <w:rPr>
          <w:rFonts w:hint="eastAsia" w:ascii="Calibri" w:hAnsi="Calibri" w:eastAsia="宋体" w:cs="Times New Roman"/>
          <w:color w:val="auto"/>
          <w:sz w:val="24"/>
          <w:szCs w:val="24"/>
          <w:highlight w:val="none"/>
        </w:rPr>
        <w:t>递交电子投标文件。投标人完成电子投标上传后，交易平台即时向投标人发出递交回执通知。递交时间以递交回执通知载明的传输时间为准。</w:t>
      </w:r>
    </w:p>
    <w:p w14:paraId="3B046AC4">
      <w:pPr>
        <w:widowControl/>
        <w:spacing w:line="360" w:lineRule="auto"/>
        <w:ind w:left="840" w:hanging="840" w:hangingChars="350"/>
        <w:jc w:val="left"/>
        <w:rPr>
          <w:rFonts w:ascii="Calibri" w:hAnsi="Calibri" w:eastAsia="宋体" w:cs="Times New Roman"/>
          <w:color w:val="auto"/>
          <w:sz w:val="24"/>
          <w:szCs w:val="24"/>
          <w:highlight w:val="none"/>
        </w:rPr>
      </w:pPr>
      <w:r>
        <w:rPr>
          <w:rFonts w:ascii="宋体" w:hAnsi="宋体" w:eastAsia="宋体" w:cs="Times New Roman"/>
          <w:color w:val="auto"/>
          <w:sz w:val="24"/>
          <w:szCs w:val="24"/>
          <w:highlight w:val="none"/>
        </w:rPr>
        <w:t>1.6.2</w:t>
      </w:r>
      <w:r>
        <w:rPr>
          <w:rFonts w:ascii="Calibri" w:hAnsi="Calibri" w:eastAsia="宋体" w:cs="Times New Roman"/>
          <w:color w:val="auto"/>
          <w:sz w:val="24"/>
          <w:szCs w:val="24"/>
          <w:highlight w:val="none"/>
        </w:rPr>
        <w:t xml:space="preserve"> </w:t>
      </w:r>
      <w:r>
        <w:rPr>
          <w:rFonts w:ascii="宋体" w:hAnsi="宋体" w:eastAsia="宋体" w:cs="仿宋_GB2312"/>
          <w:color w:val="auto"/>
          <w:sz w:val="24"/>
          <w:szCs w:val="24"/>
          <w:highlight w:val="none"/>
        </w:rPr>
        <w:t xml:space="preserve"> </w:t>
      </w:r>
      <w:r>
        <w:rPr>
          <w:rFonts w:hint="eastAsia" w:ascii="宋体" w:hAnsi="宋体" w:eastAsia="宋体" w:cs="仿宋_GB2312"/>
          <w:color w:val="auto"/>
          <w:sz w:val="24"/>
          <w:szCs w:val="24"/>
          <w:highlight w:val="none"/>
        </w:rPr>
        <w:t>投标人应在递交投标文件截止时间前，登录</w:t>
      </w:r>
      <w:r>
        <w:rPr>
          <w:rFonts w:hint="eastAsia" w:ascii="宋体" w:hAnsi="宋体" w:eastAsia="宋体" w:cs="Times New Roman"/>
          <w:color w:val="auto"/>
          <w:sz w:val="24"/>
          <w:szCs w:val="24"/>
          <w:highlight w:val="none"/>
        </w:rPr>
        <w:t>交易平台</w:t>
      </w:r>
      <w:r>
        <w:rPr>
          <w:rFonts w:hint="eastAsia" w:ascii="宋体" w:hAnsi="宋体" w:eastAsia="宋体" w:cs="仿宋_GB2312"/>
          <w:color w:val="auto"/>
          <w:sz w:val="24"/>
          <w:szCs w:val="24"/>
          <w:highlight w:val="none"/>
        </w:rPr>
        <w:t>网站办理网上投标登记手续。按照交易平台关于全流程电子化项目的相关指南进行操作。</w:t>
      </w:r>
    </w:p>
    <w:p w14:paraId="7D0AA9CC">
      <w:pPr>
        <w:widowControl/>
        <w:spacing w:line="360" w:lineRule="auto"/>
        <w:ind w:left="840" w:hanging="840" w:hangingChars="350"/>
        <w:jc w:val="left"/>
        <w:rPr>
          <w:rFonts w:hint="default" w:ascii="Calibri" w:hAnsi="Calibri" w:eastAsia="宋体" w:cs="Times New Roman"/>
          <w:color w:val="auto"/>
          <w:sz w:val="24"/>
          <w:szCs w:val="24"/>
          <w:highlight w:val="none"/>
          <w:lang w:val="en-US"/>
        </w:rPr>
      </w:pPr>
      <w:r>
        <w:rPr>
          <w:rFonts w:ascii="宋体" w:hAnsi="宋体" w:eastAsia="宋体" w:cs="Times New Roman"/>
          <w:color w:val="auto"/>
          <w:sz w:val="24"/>
          <w:szCs w:val="24"/>
          <w:highlight w:val="none"/>
        </w:rPr>
        <w:t>1.6.3</w:t>
      </w:r>
      <w:r>
        <w:rPr>
          <w:rFonts w:ascii="Calibri" w:hAnsi="Calibri" w:eastAsia="宋体" w:cs="Times New Roman"/>
          <w:color w:val="auto"/>
          <w:sz w:val="24"/>
          <w:szCs w:val="24"/>
          <w:highlight w:val="none"/>
        </w:rPr>
        <w:t xml:space="preserve">  </w:t>
      </w:r>
      <w:r>
        <w:rPr>
          <w:rFonts w:hint="eastAsia" w:ascii="Calibri" w:hAnsi="Calibri" w:eastAsia="宋体" w:cs="Times New Roman"/>
          <w:color w:val="auto"/>
          <w:sz w:val="24"/>
          <w:szCs w:val="24"/>
          <w:highlight w:val="none"/>
        </w:rPr>
        <w:t>提交投标文件光盘备用</w:t>
      </w:r>
    </w:p>
    <w:p w14:paraId="7A13E819">
      <w:pPr>
        <w:spacing w:line="360" w:lineRule="auto"/>
        <w:ind w:left="840" w:leftChars="400" w:firstLine="0" w:firstLineChars="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投标文件光盘（备用）递交时间：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分至</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分；地点：</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eastAsia="宋体" w:cs="宋体"/>
          <w:color w:val="auto"/>
          <w:sz w:val="24"/>
          <w:szCs w:val="24"/>
          <w:highlight w:val="none"/>
          <w:u w:val="single"/>
        </w:rPr>
        <w:t>第</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开标室</w:t>
      </w:r>
      <w:r>
        <w:rPr>
          <w:rFonts w:hint="eastAsia" w:ascii="Calibri" w:hAnsi="Calibri" w:eastAsia="宋体" w:cs="Times New Roman"/>
          <w:color w:val="auto"/>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hint="eastAsia" w:ascii="Calibri" w:hAnsi="Calibri" w:eastAsia="宋体" w:cs="Times New Roman"/>
          <w:color w:val="auto"/>
          <w:sz w:val="24"/>
          <w:szCs w:val="24"/>
          <w:highlight w:val="none"/>
        </w:rPr>
        <w:t>（电子光盘需按规定封装。投标人将数据刻录到光盘之后，投标前自行检查文件是否可以读取。）</w:t>
      </w:r>
    </w:p>
    <w:p w14:paraId="32C67C62">
      <w:pPr>
        <w:widowControl/>
        <w:spacing w:line="360" w:lineRule="auto"/>
        <w:ind w:left="840" w:hanging="840" w:hangingChars="350"/>
        <w:jc w:val="left"/>
        <w:rPr>
          <w:rFonts w:hint="eastAsia" w:ascii="Calibri" w:hAnsi="Calibri" w:eastAsia="宋体" w:cs="Times New Roman"/>
          <w:color w:val="auto"/>
          <w:sz w:val="24"/>
          <w:szCs w:val="24"/>
          <w:highlight w:val="none"/>
        </w:rPr>
      </w:pP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lang w:val="en-US" w:eastAsia="zh-CN"/>
        </w:rPr>
        <w:t>4</w:t>
      </w:r>
      <w:r>
        <w:rPr>
          <w:rFonts w:ascii="Calibri" w:hAnsi="Calibri" w:eastAsia="宋体" w:cs="Times New Roman"/>
          <w:color w:val="auto"/>
          <w:sz w:val="24"/>
          <w:szCs w:val="24"/>
          <w:highlight w:val="none"/>
        </w:rPr>
        <w:t xml:space="preserve">  </w:t>
      </w:r>
      <w:r>
        <w:rPr>
          <w:rFonts w:hint="eastAsia" w:ascii="Calibri" w:hAnsi="Calibri" w:eastAsia="宋体" w:cs="Times New Roman"/>
          <w:color w:val="auto"/>
          <w:sz w:val="24"/>
          <w:szCs w:val="24"/>
          <w:highlight w:val="none"/>
        </w:rPr>
        <w:t>逾期送达的投标文件，交易平台将予以拒收。</w:t>
      </w:r>
    </w:p>
    <w:p w14:paraId="0C149FB7">
      <w:pPr>
        <w:spacing w:line="360" w:lineRule="auto"/>
        <w:ind w:left="0" w:hanging="840" w:hanging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在规定的投标截止时间，递交投标文件的申请单位不足3名时，为招标失败，招标人分析招标失败原因，修正招标方案，报有关管理部门核准后，重新组织招标。</w:t>
      </w:r>
    </w:p>
    <w:p w14:paraId="072564FB">
      <w:pPr>
        <w:spacing w:line="360" w:lineRule="auto"/>
        <w:jc w:val="left"/>
        <w:outlineLvl w:val="9"/>
        <w:rPr>
          <w:rFonts w:ascii="宋体" w:hAnsi="宋体" w:eastAsia="宋体" w:cs="Times New Roman"/>
          <w:b/>
          <w:color w:val="auto"/>
          <w:sz w:val="24"/>
          <w:szCs w:val="24"/>
          <w:highlight w:val="none"/>
        </w:rPr>
      </w:pPr>
    </w:p>
    <w:p w14:paraId="435BD1A4">
      <w:pPr>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1.7    </w:t>
      </w:r>
      <w:r>
        <w:rPr>
          <w:rFonts w:hint="default" w:ascii="宋体" w:hAnsi="宋体" w:eastAsia="宋体" w:cs="Times New Roman"/>
          <w:b/>
          <w:color w:val="auto"/>
          <w:sz w:val="24"/>
          <w:szCs w:val="24"/>
          <w:highlight w:val="none"/>
        </w:rPr>
        <w:t>开标开始时间和地点</w:t>
      </w:r>
    </w:p>
    <w:p w14:paraId="760AAEF9">
      <w:pPr>
        <w:widowControl/>
        <w:spacing w:line="360" w:lineRule="auto"/>
        <w:ind w:left="840" w:hanging="840" w:hangingChars="350"/>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 xml:space="preserve">1.7.1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采用电子开标，在招标投标交易平台上公开进行。开标开始时间：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年</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月</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日</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时</w:t>
      </w:r>
      <w:r>
        <w:rPr>
          <w:rFonts w:hint="eastAsia" w:ascii="Calibri" w:hAnsi="Calibri" w:eastAsia="宋体" w:cs="Times New Roman"/>
          <w:color w:val="auto"/>
          <w:sz w:val="24"/>
          <w:szCs w:val="24"/>
          <w:highlight w:val="none"/>
          <w:u w:val="single"/>
          <w:lang w:val="en-US" w:eastAsia="zh-CN"/>
        </w:rPr>
        <w:t xml:space="preserve">  </w:t>
      </w:r>
      <w:r>
        <w:rPr>
          <w:rFonts w:hint="eastAsia" w:ascii="Calibri" w:hAnsi="Calibri" w:eastAsia="宋体" w:cs="Times New Roman"/>
          <w:color w:val="auto"/>
          <w:sz w:val="24"/>
          <w:szCs w:val="24"/>
          <w:highlight w:val="none"/>
        </w:rPr>
        <w:t>分</w:t>
      </w:r>
      <w:r>
        <w:rPr>
          <w:rFonts w:hint="eastAsia" w:ascii="宋体" w:hAnsi="宋体" w:eastAsia="宋体" w:cs="Times New Roman"/>
          <w:color w:val="auto"/>
          <w:sz w:val="24"/>
          <w:szCs w:val="24"/>
          <w:highlight w:val="none"/>
        </w:rPr>
        <w:t>（与</w:t>
      </w:r>
      <w:r>
        <w:rPr>
          <w:rFonts w:ascii="宋体" w:hAnsi="宋体" w:eastAsia="宋体" w:cs="Times New Roman"/>
          <w:color w:val="auto"/>
          <w:sz w:val="24"/>
          <w:szCs w:val="24"/>
          <w:highlight w:val="none"/>
        </w:rPr>
        <w:t>投标截止时间</w:t>
      </w:r>
      <w:r>
        <w:rPr>
          <w:rFonts w:hint="eastAsia" w:ascii="宋体" w:hAnsi="宋体" w:eastAsia="宋体" w:cs="Times New Roman"/>
          <w:color w:val="auto"/>
          <w:sz w:val="24"/>
          <w:szCs w:val="24"/>
          <w:highlight w:val="none"/>
        </w:rPr>
        <w:t>为</w:t>
      </w:r>
      <w:r>
        <w:rPr>
          <w:rFonts w:ascii="宋体" w:hAnsi="宋体" w:eastAsia="宋体" w:cs="Times New Roman"/>
          <w:color w:val="auto"/>
          <w:sz w:val="24"/>
          <w:szCs w:val="24"/>
          <w:highlight w:val="none"/>
        </w:rPr>
        <w:t>同一时间</w:t>
      </w:r>
      <w:r>
        <w:rPr>
          <w:rFonts w:hint="eastAsia" w:ascii="宋体" w:hAnsi="宋体" w:eastAsia="宋体" w:cs="Times New Roman"/>
          <w:color w:val="auto"/>
          <w:sz w:val="24"/>
          <w:szCs w:val="24"/>
          <w:highlight w:val="none"/>
        </w:rPr>
        <w:t>）。所有投标人均应当准时在线参加开标。</w:t>
      </w:r>
      <w:r>
        <w:rPr>
          <w:rFonts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rPr>
        <w:t>参与电子</w:t>
      </w:r>
      <w:r>
        <w:rPr>
          <w:rFonts w:ascii="宋体" w:hAnsi="宋体" w:eastAsia="宋体" w:cs="Times New Roman"/>
          <w:color w:val="auto"/>
          <w:sz w:val="24"/>
          <w:szCs w:val="24"/>
          <w:highlight w:val="none"/>
        </w:rPr>
        <w:t>开标</w:t>
      </w:r>
      <w:r>
        <w:rPr>
          <w:rFonts w:hint="eastAsia" w:ascii="宋体" w:hAnsi="宋体" w:eastAsia="宋体" w:cs="Times New Roman"/>
          <w:color w:val="auto"/>
          <w:sz w:val="24"/>
          <w:szCs w:val="24"/>
          <w:highlight w:val="none"/>
        </w:rPr>
        <w:t>的</w:t>
      </w:r>
      <w:r>
        <w:rPr>
          <w:rFonts w:ascii="宋体" w:hAnsi="宋体" w:eastAsia="宋体" w:cs="Times New Roman"/>
          <w:color w:val="auto"/>
          <w:sz w:val="24"/>
          <w:szCs w:val="24"/>
          <w:highlight w:val="none"/>
        </w:rPr>
        <w:t>具体操作详见交易平台</w:t>
      </w:r>
      <w:r>
        <w:rPr>
          <w:rFonts w:hint="eastAsia" w:ascii="宋体" w:hAnsi="宋体" w:eastAsia="宋体" w:cs="Times New Roman"/>
          <w:color w:val="auto"/>
          <w:sz w:val="24"/>
          <w:szCs w:val="24"/>
          <w:highlight w:val="none"/>
        </w:rPr>
        <w:t>发布</w:t>
      </w:r>
      <w:r>
        <w:rPr>
          <w:rFonts w:ascii="宋体" w:hAnsi="宋体" w:eastAsia="宋体" w:cs="Times New Roman"/>
          <w:color w:val="auto"/>
          <w:sz w:val="24"/>
          <w:szCs w:val="24"/>
          <w:highlight w:val="none"/>
        </w:rPr>
        <w:t>的相关操作指引</w:t>
      </w:r>
      <w:r>
        <w:rPr>
          <w:rFonts w:hint="eastAsia" w:ascii="宋体" w:hAnsi="宋体" w:eastAsia="宋体" w:cs="Times New Roman"/>
          <w:color w:val="auto"/>
          <w:sz w:val="24"/>
          <w:szCs w:val="24"/>
          <w:highlight w:val="none"/>
        </w:rPr>
        <w:t>。</w:t>
      </w:r>
    </w:p>
    <w:p w14:paraId="59B653D3">
      <w:pPr>
        <w:spacing w:line="360" w:lineRule="auto"/>
        <w:jc w:val="left"/>
        <w:outlineLvl w:val="9"/>
        <w:rPr>
          <w:rFonts w:ascii="宋体" w:hAnsi="宋体" w:eastAsia="宋体" w:cs="Times New Roman"/>
          <w:b/>
          <w:color w:val="auto"/>
          <w:sz w:val="24"/>
          <w:szCs w:val="24"/>
          <w:highlight w:val="none"/>
        </w:rPr>
      </w:pPr>
    </w:p>
    <w:p w14:paraId="5DC19D5B">
      <w:pPr>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1.8    </w:t>
      </w:r>
      <w:r>
        <w:rPr>
          <w:rFonts w:hint="default" w:ascii="宋体" w:hAnsi="宋体" w:eastAsia="宋体" w:cs="Times New Roman"/>
          <w:b/>
          <w:color w:val="auto"/>
          <w:sz w:val="24"/>
          <w:szCs w:val="24"/>
          <w:highlight w:val="none"/>
        </w:rPr>
        <w:t>现场考察</w:t>
      </w:r>
    </w:p>
    <w:p w14:paraId="2BE9CE23">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1.8.1  </w:t>
      </w:r>
      <w:r>
        <w:rPr>
          <w:rFonts w:hint="eastAsia" w:ascii="宋体" w:hAnsi="宋体" w:eastAsia="宋体" w:cs="Times New Roman"/>
          <w:color w:val="auto"/>
          <w:sz w:val="24"/>
          <w:szCs w:val="24"/>
          <w:highlight w:val="none"/>
        </w:rPr>
        <w:t>时间：</w:t>
      </w:r>
      <w:r>
        <w:rPr>
          <w:rFonts w:hint="eastAsia" w:ascii="宋体" w:hAnsi="宋体" w:eastAsia="宋体" w:cs="Times New Roman"/>
          <w:color w:val="auto"/>
          <w:sz w:val="24"/>
          <w:szCs w:val="24"/>
          <w:highlight w:val="none"/>
          <w:u w:val="single"/>
        </w:rPr>
        <w:t>不安排统一考察，由投标人自行考察</w:t>
      </w:r>
      <w:r>
        <w:rPr>
          <w:rFonts w:hint="eastAsia" w:ascii="宋体" w:hAnsi="宋体" w:eastAsia="宋体" w:cs="Times New Roman"/>
          <w:color w:val="auto"/>
          <w:sz w:val="24"/>
          <w:szCs w:val="24"/>
          <w:highlight w:val="none"/>
        </w:rPr>
        <w:t>。</w:t>
      </w:r>
    </w:p>
    <w:p w14:paraId="2A5AE91A">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1.8.2  </w:t>
      </w:r>
      <w:r>
        <w:rPr>
          <w:rFonts w:hint="eastAsia" w:ascii="宋体" w:hAnsi="宋体" w:eastAsia="宋体" w:cs="Times New Roman"/>
          <w:color w:val="auto"/>
          <w:sz w:val="24"/>
          <w:szCs w:val="24"/>
          <w:highlight w:val="none"/>
        </w:rPr>
        <w:t>地点：</w:t>
      </w:r>
      <w:r>
        <w:rPr>
          <w:rFonts w:hint="eastAsia" w:ascii="宋体" w:hAnsi="宋体" w:eastAsia="宋体" w:cs="Times New Roman"/>
          <w:color w:val="auto"/>
          <w:sz w:val="24"/>
          <w:szCs w:val="24"/>
          <w:highlight w:val="none"/>
          <w:u w:val="single"/>
        </w:rPr>
        <w:t>不安排统一考察，由投标人自行考察</w:t>
      </w:r>
      <w:r>
        <w:rPr>
          <w:rFonts w:hint="eastAsia" w:ascii="宋体" w:hAnsi="宋体" w:eastAsia="宋体" w:cs="Times New Roman"/>
          <w:color w:val="auto"/>
          <w:sz w:val="24"/>
          <w:szCs w:val="24"/>
          <w:highlight w:val="none"/>
        </w:rPr>
        <w:t>。</w:t>
      </w:r>
    </w:p>
    <w:p w14:paraId="354ED430">
      <w:pPr>
        <w:spacing w:line="360" w:lineRule="auto"/>
        <w:jc w:val="left"/>
        <w:outlineLvl w:val="9"/>
        <w:rPr>
          <w:rFonts w:ascii="宋体" w:hAnsi="宋体" w:eastAsia="宋体" w:cs="Times New Roman"/>
          <w:b/>
          <w:color w:val="auto"/>
          <w:sz w:val="24"/>
          <w:szCs w:val="24"/>
          <w:highlight w:val="none"/>
        </w:rPr>
      </w:pPr>
    </w:p>
    <w:p w14:paraId="1C082492">
      <w:pPr>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1.9    </w:t>
      </w:r>
      <w:r>
        <w:rPr>
          <w:rFonts w:hint="default" w:ascii="宋体" w:hAnsi="宋体" w:eastAsia="宋体" w:cs="Times New Roman"/>
          <w:b/>
          <w:color w:val="auto"/>
          <w:sz w:val="24"/>
          <w:szCs w:val="24"/>
          <w:highlight w:val="none"/>
        </w:rPr>
        <w:t>费用</w:t>
      </w:r>
    </w:p>
    <w:p w14:paraId="3ED40DAD">
      <w:pPr>
        <w:keepNext w:val="0"/>
        <w:keepLines w:val="0"/>
        <w:widowControl/>
        <w:suppressLineNumbers w:val="0"/>
        <w:spacing w:before="0" w:beforeAutospacing="0" w:after="0" w:afterAutospacing="0" w:line="360" w:lineRule="auto"/>
        <w:ind w:left="840" w:right="0" w:hanging="840" w:hangingChars="350"/>
        <w:jc w:val="left"/>
        <w:rPr>
          <w:rFonts w:hint="eastAsia" w:ascii="宋体" w:hAnsi="宋体" w:eastAsia="宋体" w:cs="Times New Roman"/>
          <w:color w:val="auto"/>
          <w:sz w:val="24"/>
          <w:szCs w:val="24"/>
          <w:highlight w:val="none"/>
          <w:u w:val="single"/>
          <w:lang w:eastAsia="zh-CN"/>
        </w:rPr>
      </w:pPr>
      <w:r>
        <w:rPr>
          <w:rFonts w:ascii="宋体" w:hAnsi="宋体" w:eastAsia="宋体" w:cs="Times New Roman"/>
          <w:color w:val="auto"/>
          <w:sz w:val="24"/>
          <w:szCs w:val="24"/>
          <w:highlight w:val="none"/>
        </w:rPr>
        <w:t xml:space="preserve">1.9.1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u w:val="single"/>
        </w:rPr>
        <w:t>最高投标限价：本项目工程勘察设计费最高投标限价总价为</w:t>
      </w:r>
      <w:r>
        <w:rPr>
          <w:rFonts w:hint="eastAsia" w:ascii="宋体" w:hAnsi="宋体" w:eastAsia="宋体" w:cs="Times New Roman"/>
          <w:b/>
          <w:bCs/>
          <w:color w:val="auto"/>
          <w:sz w:val="24"/>
          <w:szCs w:val="24"/>
          <w:highlight w:val="none"/>
          <w:u w:val="single"/>
          <w:lang w:val="en-US" w:eastAsia="zh-CN"/>
        </w:rPr>
        <w:t>1086.336</w:t>
      </w:r>
      <w:r>
        <w:rPr>
          <w:rFonts w:hint="eastAsia" w:ascii="宋体" w:hAnsi="宋体" w:eastAsia="宋体" w:cs="Times New Roman"/>
          <w:b w:val="0"/>
          <w:bCs w:val="0"/>
          <w:color w:val="auto"/>
          <w:sz w:val="24"/>
          <w:szCs w:val="24"/>
          <w:highlight w:val="none"/>
          <w:u w:val="single"/>
        </w:rPr>
        <w:t>万元</w:t>
      </w:r>
      <w:r>
        <w:rPr>
          <w:rFonts w:hint="eastAsia" w:ascii="宋体" w:hAnsi="宋体" w:eastAsia="宋体" w:cs="Times New Roman"/>
          <w:color w:val="auto"/>
          <w:sz w:val="24"/>
          <w:szCs w:val="24"/>
          <w:highlight w:val="none"/>
          <w:u w:val="single"/>
        </w:rPr>
        <w:t>，其中</w:t>
      </w:r>
      <w:r>
        <w:rPr>
          <w:rFonts w:hint="eastAsia" w:ascii="宋体" w:hAnsi="宋体" w:eastAsia="宋体" w:cs="Times New Roman"/>
          <w:color w:val="auto"/>
          <w:sz w:val="24"/>
          <w:szCs w:val="24"/>
          <w:highlight w:val="none"/>
          <w:u w:val="single"/>
          <w:lang w:eastAsia="zh-CN"/>
        </w:rPr>
        <w:t>：</w:t>
      </w:r>
    </w:p>
    <w:p w14:paraId="61F6E2CC">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工程设计费最高投标限价为</w:t>
      </w:r>
      <w:r>
        <w:rPr>
          <w:rFonts w:hint="eastAsia" w:ascii="宋体" w:hAnsi="宋体" w:eastAsia="宋体" w:cs="Times New Roman"/>
          <w:b/>
          <w:bCs/>
          <w:color w:val="auto"/>
          <w:sz w:val="24"/>
          <w:szCs w:val="24"/>
          <w:highlight w:val="none"/>
          <w:u w:val="single"/>
          <w:lang w:val="en-US" w:eastAsia="zh-CN"/>
        </w:rPr>
        <w:t>817.136</w:t>
      </w:r>
      <w:r>
        <w:rPr>
          <w:rFonts w:hint="eastAsia" w:ascii="宋体" w:hAnsi="宋体" w:eastAsia="宋体" w:cs="Times New Roman"/>
          <w:b w:val="0"/>
          <w:bCs w:val="0"/>
          <w:color w:val="auto"/>
          <w:sz w:val="24"/>
          <w:szCs w:val="24"/>
          <w:highlight w:val="none"/>
          <w:u w:val="single"/>
        </w:rPr>
        <w:t>万元</w:t>
      </w:r>
      <w:r>
        <w:rPr>
          <w:rFonts w:hint="eastAsia" w:ascii="宋体" w:hAnsi="宋体" w:eastAsia="宋体" w:cs="Times New Roman"/>
          <w:color w:val="auto"/>
          <w:sz w:val="24"/>
          <w:szCs w:val="24"/>
          <w:highlight w:val="none"/>
          <w:u w:val="single"/>
        </w:rPr>
        <w:t>；</w:t>
      </w:r>
    </w:p>
    <w:p w14:paraId="6B04BC22">
      <w:pPr>
        <w:keepNext w:val="0"/>
        <w:keepLines w:val="0"/>
        <w:widowControl/>
        <w:suppressLineNumbers w:val="0"/>
        <w:spacing w:before="0" w:beforeAutospacing="0" w:after="0" w:afterAutospacing="0" w:line="360" w:lineRule="auto"/>
        <w:ind w:left="840" w:leftChars="400" w:right="0" w:firstLine="0" w:firstLineChars="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2</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工程勘察费最高投标限价为</w:t>
      </w:r>
      <w:r>
        <w:rPr>
          <w:rFonts w:hint="eastAsia" w:ascii="宋体" w:hAnsi="宋体" w:eastAsia="宋体" w:cs="Times New Roman"/>
          <w:b/>
          <w:bCs/>
          <w:color w:val="auto"/>
          <w:sz w:val="24"/>
          <w:szCs w:val="24"/>
          <w:highlight w:val="none"/>
          <w:u w:val="single"/>
          <w:lang w:val="en-US" w:eastAsia="zh-CN"/>
        </w:rPr>
        <w:t>172.3</w:t>
      </w:r>
      <w:r>
        <w:rPr>
          <w:rFonts w:hint="eastAsia" w:ascii="宋体" w:hAnsi="宋体" w:eastAsia="宋体" w:cs="Times New Roman"/>
          <w:color w:val="auto"/>
          <w:sz w:val="24"/>
          <w:szCs w:val="24"/>
          <w:highlight w:val="none"/>
          <w:u w:val="single"/>
        </w:rPr>
        <w:t>万元（岩土工程勘察费综合包干单价最高投标限价为</w:t>
      </w:r>
      <w:r>
        <w:rPr>
          <w:rFonts w:hint="eastAsia" w:ascii="宋体" w:hAnsi="宋体" w:eastAsia="宋体" w:cs="Times New Roman"/>
          <w:b/>
          <w:bCs/>
          <w:color w:val="auto"/>
          <w:sz w:val="24"/>
          <w:szCs w:val="24"/>
          <w:highlight w:val="none"/>
          <w:u w:val="single"/>
          <w:lang w:val="en-US" w:eastAsia="zh-CN"/>
        </w:rPr>
        <w:t>150</w:t>
      </w:r>
      <w:r>
        <w:rPr>
          <w:rFonts w:hint="eastAsia" w:ascii="宋体" w:hAnsi="宋体" w:eastAsia="宋体" w:cs="Times New Roman"/>
          <w:b/>
          <w:bCs/>
          <w:color w:val="auto"/>
          <w:sz w:val="24"/>
          <w:szCs w:val="24"/>
          <w:highlight w:val="none"/>
          <w:u w:val="single"/>
        </w:rPr>
        <w:t>元</w:t>
      </w:r>
      <w:r>
        <w:rPr>
          <w:rFonts w:ascii="宋体" w:hAnsi="宋体" w:eastAsia="宋体" w:cs="Times New Roman"/>
          <w:color w:val="auto"/>
          <w:sz w:val="24"/>
          <w:szCs w:val="24"/>
          <w:highlight w:val="none"/>
          <w:u w:val="single"/>
        </w:rPr>
        <w:t>/米）；</w:t>
      </w:r>
    </w:p>
    <w:p w14:paraId="23133A4B">
      <w:pPr>
        <w:widowControl/>
        <w:adjustRightInd/>
        <w:snapToGrid/>
        <w:spacing w:line="360" w:lineRule="auto"/>
        <w:ind w:left="840" w:leftChars="400" w:right="0" w:firstLine="0" w:firstLineChars="0"/>
        <w:jc w:val="left"/>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设计方案报审（含修建性详细规划编制）</w:t>
      </w:r>
      <w:r>
        <w:rPr>
          <w:rFonts w:hint="eastAsia" w:ascii="宋体" w:hAnsi="宋体" w:eastAsia="宋体" w:cs="Times New Roman"/>
          <w:color w:val="auto"/>
          <w:sz w:val="24"/>
          <w:szCs w:val="24"/>
          <w:highlight w:val="none"/>
          <w:u w:val="single"/>
          <w:lang w:val="en-US" w:eastAsia="zh-CN"/>
        </w:rPr>
        <w:t>费</w:t>
      </w:r>
      <w:r>
        <w:rPr>
          <w:rFonts w:hint="eastAsia" w:ascii="宋体" w:hAnsi="宋体" w:eastAsia="宋体" w:cs="Times New Roman"/>
          <w:color w:val="auto"/>
          <w:sz w:val="24"/>
          <w:szCs w:val="24"/>
          <w:highlight w:val="none"/>
          <w:u w:val="single"/>
        </w:rPr>
        <w:t>最高投标限价为</w:t>
      </w:r>
      <w:r>
        <w:rPr>
          <w:rFonts w:hint="eastAsia" w:ascii="宋体" w:hAnsi="宋体" w:eastAsia="宋体" w:cs="Times New Roman"/>
          <w:b/>
          <w:bCs/>
          <w:color w:val="auto"/>
          <w:sz w:val="24"/>
          <w:szCs w:val="24"/>
          <w:highlight w:val="none"/>
          <w:u w:val="single"/>
          <w:lang w:val="en-US" w:eastAsia="zh-CN"/>
        </w:rPr>
        <w:t>8.0</w:t>
      </w:r>
      <w:r>
        <w:rPr>
          <w:rFonts w:hint="eastAsia" w:ascii="宋体" w:hAnsi="宋体" w:eastAsia="宋体" w:cs="Times New Roman"/>
          <w:b/>
          <w:bCs/>
          <w:color w:val="auto"/>
          <w:sz w:val="24"/>
          <w:szCs w:val="24"/>
          <w:highlight w:val="none"/>
          <w:u w:val="single"/>
        </w:rPr>
        <w:t>万元</w:t>
      </w:r>
      <w:r>
        <w:rPr>
          <w:rFonts w:hint="eastAsia" w:ascii="宋体" w:hAnsi="宋体" w:eastAsia="宋体" w:cs="Times New Roman"/>
          <w:b w:val="0"/>
          <w:bCs w:val="0"/>
          <w:color w:val="auto"/>
          <w:sz w:val="24"/>
          <w:szCs w:val="24"/>
          <w:highlight w:val="none"/>
          <w:u w:val="single"/>
          <w:lang w:eastAsia="zh-CN"/>
        </w:rPr>
        <w:t>（</w:t>
      </w:r>
      <w:r>
        <w:rPr>
          <w:rFonts w:hint="eastAsia" w:ascii="宋体" w:hAnsi="宋体" w:eastAsia="宋体" w:cs="Times New Roman"/>
          <w:color w:val="auto"/>
          <w:kern w:val="2"/>
          <w:sz w:val="24"/>
          <w:szCs w:val="24"/>
          <w:highlight w:val="none"/>
          <w:u w:val="single"/>
          <w:lang w:val="en-US" w:eastAsia="zh-CN" w:bidi="ar"/>
        </w:rPr>
        <w:t>设计方案报审（含修建性详细规划编制）综合包干单价最高投标限价为</w:t>
      </w:r>
      <w:r>
        <w:rPr>
          <w:rFonts w:hint="eastAsia" w:ascii="宋体" w:hAnsi="宋体" w:eastAsia="宋体" w:cs="Times New Roman"/>
          <w:b/>
          <w:bCs/>
          <w:color w:val="auto"/>
          <w:kern w:val="2"/>
          <w:sz w:val="24"/>
          <w:szCs w:val="24"/>
          <w:highlight w:val="none"/>
          <w:u w:val="single"/>
          <w:lang w:val="en-US" w:eastAsia="zh-CN" w:bidi="ar"/>
        </w:rPr>
        <w:t>2万元</w:t>
      </w:r>
      <w:r>
        <w:rPr>
          <w:rFonts w:hint="eastAsia" w:ascii="宋体" w:hAnsi="宋体" w:eastAsia="宋体" w:cs="Times New Roman"/>
          <w:color w:val="auto"/>
          <w:kern w:val="2"/>
          <w:sz w:val="24"/>
          <w:szCs w:val="24"/>
          <w:highlight w:val="none"/>
          <w:u w:val="single"/>
          <w:lang w:val="en-US" w:eastAsia="zh-CN" w:bidi="ar"/>
        </w:rPr>
        <w:t>/公顷</w:t>
      </w:r>
      <w:r>
        <w:rPr>
          <w:rFonts w:hint="eastAsia" w:ascii="宋体" w:hAnsi="宋体" w:eastAsia="宋体" w:cs="Times New Roman"/>
          <w:b w:val="0"/>
          <w:bCs w:val="0"/>
          <w:color w:val="auto"/>
          <w:sz w:val="24"/>
          <w:szCs w:val="24"/>
          <w:highlight w:val="none"/>
          <w:u w:val="single"/>
          <w:lang w:eastAsia="zh-CN"/>
        </w:rPr>
        <w:t>）；</w:t>
      </w:r>
    </w:p>
    <w:p w14:paraId="35234B39">
      <w:pPr>
        <w:keepNext w:val="0"/>
        <w:keepLines w:val="0"/>
        <w:widowControl/>
        <w:suppressLineNumbers w:val="0"/>
        <w:spacing w:before="0" w:beforeAutospacing="0" w:after="0" w:afterAutospacing="0" w:line="360" w:lineRule="auto"/>
        <w:ind w:left="840" w:leftChars="400" w:right="0" w:firstLine="0" w:firstLineChars="0"/>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4</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BIM正向设计技术应用费最高投标限价为</w:t>
      </w:r>
      <w:r>
        <w:rPr>
          <w:rFonts w:hint="eastAsia" w:ascii="宋体" w:hAnsi="宋体" w:eastAsia="宋体" w:cs="Times New Roman"/>
          <w:b/>
          <w:bCs/>
          <w:color w:val="auto"/>
          <w:sz w:val="24"/>
          <w:szCs w:val="24"/>
          <w:highlight w:val="none"/>
          <w:u w:val="single"/>
          <w:lang w:val="en-US" w:eastAsia="zh-CN"/>
        </w:rPr>
        <w:t>88.9</w:t>
      </w:r>
      <w:r>
        <w:rPr>
          <w:rFonts w:hint="eastAsia" w:ascii="宋体" w:hAnsi="宋体" w:eastAsia="宋体" w:cs="Times New Roman"/>
          <w:b/>
          <w:bCs/>
          <w:color w:val="auto"/>
          <w:sz w:val="24"/>
          <w:szCs w:val="24"/>
          <w:highlight w:val="none"/>
          <w:u w:val="single"/>
        </w:rPr>
        <w:t>万元</w:t>
      </w:r>
      <w:r>
        <w:rPr>
          <w:rFonts w:hint="default" w:ascii="宋体" w:hAnsi="宋体" w:eastAsia="宋体" w:cs="Times New Roman"/>
          <w:color w:val="auto"/>
          <w:sz w:val="24"/>
          <w:szCs w:val="24"/>
          <w:highlight w:val="none"/>
          <w:u w:val="single"/>
        </w:rPr>
        <w:t>（综合</w:t>
      </w:r>
      <w:r>
        <w:rPr>
          <w:rFonts w:hint="eastAsia" w:ascii="宋体" w:hAnsi="宋体" w:eastAsia="宋体" w:cs="Times New Roman"/>
          <w:color w:val="auto"/>
          <w:sz w:val="24"/>
          <w:szCs w:val="24"/>
          <w:highlight w:val="none"/>
          <w:u w:val="single"/>
          <w:lang w:val="en-US" w:eastAsia="zh-CN"/>
        </w:rPr>
        <w:t>包干</w:t>
      </w:r>
      <w:r>
        <w:rPr>
          <w:rFonts w:hint="default" w:ascii="宋体" w:hAnsi="宋体" w:eastAsia="宋体" w:cs="Times New Roman"/>
          <w:color w:val="auto"/>
          <w:sz w:val="24"/>
          <w:szCs w:val="24"/>
          <w:highlight w:val="none"/>
          <w:u w:val="single"/>
        </w:rPr>
        <w:t>单价最高投标限价为</w:t>
      </w:r>
      <w:r>
        <w:rPr>
          <w:rFonts w:hint="eastAsia" w:ascii="宋体" w:hAnsi="宋体" w:eastAsia="宋体" w:cs="Times New Roman"/>
          <w:b/>
          <w:bCs/>
          <w:color w:val="auto"/>
          <w:sz w:val="24"/>
          <w:szCs w:val="24"/>
          <w:highlight w:val="none"/>
          <w:u w:val="single"/>
          <w:lang w:val="en-US" w:eastAsia="zh-CN"/>
        </w:rPr>
        <w:t>14</w:t>
      </w:r>
      <w:r>
        <w:rPr>
          <w:rFonts w:hint="default" w:ascii="宋体" w:hAnsi="宋体" w:eastAsia="宋体" w:cs="Times New Roman"/>
          <w:b/>
          <w:bCs/>
          <w:color w:val="auto"/>
          <w:sz w:val="24"/>
          <w:szCs w:val="24"/>
          <w:highlight w:val="none"/>
          <w:u w:val="single"/>
        </w:rPr>
        <w:t>元</w:t>
      </w:r>
      <w:r>
        <w:rPr>
          <w:rFonts w:hint="default" w:ascii="宋体" w:hAnsi="宋体" w:eastAsia="宋体" w:cs="Times New Roman"/>
          <w:color w:val="auto"/>
          <w:sz w:val="24"/>
          <w:szCs w:val="24"/>
          <w:highlight w:val="none"/>
          <w:u w:val="single"/>
        </w:rPr>
        <w:t>/平方米）</w:t>
      </w:r>
      <w:r>
        <w:rPr>
          <w:rFonts w:hint="eastAsia" w:ascii="宋体" w:hAnsi="宋体" w:eastAsia="宋体" w:cs="Times New Roman"/>
          <w:color w:val="auto"/>
          <w:sz w:val="24"/>
          <w:szCs w:val="24"/>
          <w:highlight w:val="none"/>
          <w:u w:val="single"/>
        </w:rPr>
        <w:t>。</w:t>
      </w:r>
    </w:p>
    <w:p w14:paraId="23694BFD">
      <w:pPr>
        <w:widowControl/>
        <w:spacing w:line="360" w:lineRule="auto"/>
        <w:ind w:left="840" w:leftChars="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1.9.2  </w:t>
      </w:r>
      <w:r>
        <w:rPr>
          <w:rFonts w:hint="eastAsia" w:ascii="宋体" w:hAnsi="宋体" w:eastAsia="宋体" w:cs="宋体"/>
          <w:color w:val="auto"/>
          <w:kern w:val="2"/>
          <w:sz w:val="24"/>
          <w:szCs w:val="24"/>
          <w:highlight w:val="none"/>
          <w:lang w:val="en-US" w:eastAsia="zh-CN" w:bidi="ar"/>
        </w:rPr>
        <w:t>财政投资项目应实行限额设计，初步设计的建设内容和建设标准不得超过可行性研究报告批复的范围，编制初步设计概算</w:t>
      </w:r>
      <w:r>
        <w:rPr>
          <w:rFonts w:hint="eastAsia" w:ascii="宋体" w:hAnsi="宋体" w:eastAsia="宋体" w:cs="宋体"/>
          <w:color w:val="auto"/>
          <w:kern w:val="2"/>
          <w:sz w:val="24"/>
          <w:szCs w:val="24"/>
          <w:highlight w:val="none"/>
          <w:u w:val="single"/>
          <w:lang w:val="en-US" w:eastAsia="zh-CN" w:bidi="ar"/>
        </w:rPr>
        <w:t>原则上控制在经批准的可行性研究报告中总投资以内</w:t>
      </w:r>
      <w:r>
        <w:rPr>
          <w:rFonts w:hint="eastAsia" w:ascii="宋体" w:hAnsi="宋体" w:eastAsia="宋体" w:cs="宋体"/>
          <w:color w:val="auto"/>
          <w:kern w:val="2"/>
          <w:sz w:val="24"/>
          <w:szCs w:val="24"/>
          <w:highlight w:val="none"/>
          <w:lang w:val="en-US" w:eastAsia="zh-CN" w:bidi="ar"/>
        </w:rPr>
        <w:t>。</w:t>
      </w:r>
    </w:p>
    <w:p w14:paraId="02556F73">
      <w:pPr>
        <w:spacing w:line="360" w:lineRule="auto"/>
        <w:ind w:left="840" w:leftChars="400"/>
        <w:jc w:val="left"/>
        <w:rPr>
          <w:rFonts w:ascii="宋体" w:hAnsi="宋体" w:eastAsia="宋体" w:cs="Times New Roman"/>
          <w:color w:val="auto"/>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政府固定资产投资控制原则：确保工程设计概算不超过政府主管部门核准的工程投资估算总额，造价预算不超过有权审核部门审定工程设计概算中的建安工程费总额。</w:t>
      </w:r>
    </w:p>
    <w:p w14:paraId="5DC02BDD">
      <w:pPr>
        <w:keepNext w:val="0"/>
        <w:keepLines w:val="0"/>
        <w:widowControl/>
        <w:suppressLineNumbers w:val="0"/>
        <w:spacing w:before="0" w:beforeAutospacing="0" w:after="0" w:afterAutospacing="0" w:line="360" w:lineRule="auto"/>
        <w:ind w:left="840" w:right="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1.9.3  </w:t>
      </w:r>
      <w:r>
        <w:rPr>
          <w:rFonts w:hint="eastAsia" w:ascii="宋体" w:hAnsi="宋体" w:eastAsia="宋体" w:cs="Times New Roman"/>
          <w:color w:val="auto"/>
          <w:sz w:val="24"/>
          <w:szCs w:val="24"/>
          <w:highlight w:val="none"/>
        </w:rPr>
        <w:t>未中标单位经济补偿及补偿金额</w:t>
      </w:r>
    </w:p>
    <w:p w14:paraId="41D2BCA7">
      <w:pPr>
        <w:keepNext w:val="0"/>
        <w:keepLines w:val="0"/>
        <w:widowControl/>
        <w:suppressLineNumbers w:val="0"/>
        <w:spacing w:before="0" w:beforeAutospacing="0" w:after="0" w:afterAutospacing="0" w:line="360" w:lineRule="auto"/>
        <w:ind w:left="840" w:leftChars="400" w:right="0" w:firstLine="0" w:firstLineChars="0"/>
        <w:jc w:val="left"/>
        <w:rPr>
          <w:rFonts w:hint="default" w:ascii="宋体" w:hAnsi="宋体" w:eastAsia="宋体" w:cs="宋体"/>
          <w:strike/>
          <w:color w:val="auto"/>
          <w:kern w:val="2"/>
          <w:sz w:val="24"/>
          <w:szCs w:val="24"/>
          <w:highlight w:val="none"/>
          <w:u w:val="single"/>
          <w:lang w:eastAsia="zh-CN" w:bidi="ar"/>
        </w:rPr>
      </w:pPr>
      <w:r>
        <w:rPr>
          <w:rFonts w:hint="eastAsia" w:ascii="宋体" w:hAnsi="宋体" w:eastAsia="宋体" w:cs="宋体"/>
          <w:color w:val="auto"/>
          <w:kern w:val="2"/>
          <w:sz w:val="24"/>
          <w:szCs w:val="24"/>
          <w:highlight w:val="none"/>
          <w:u w:val="single"/>
          <w:lang w:val="en-US" w:eastAsia="zh-CN" w:bidi="ar"/>
        </w:rPr>
        <w:t>本次招标对未中标人投标文件中的技术成果给予经济补偿。给予经济补偿的，招标人将按如下标准支付经济补偿费，分配办法如下：</w:t>
      </w:r>
    </w:p>
    <w:tbl>
      <w:tblPr>
        <w:tblStyle w:val="15"/>
        <w:tblW w:w="80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0" w:type="dxa"/>
          <w:bottom w:w="0" w:type="dxa"/>
          <w:right w:w="0" w:type="dxa"/>
        </w:tblCellMar>
      </w:tblPr>
      <w:tblGrid>
        <w:gridCol w:w="3098"/>
        <w:gridCol w:w="1138"/>
        <w:gridCol w:w="1267"/>
        <w:gridCol w:w="1267"/>
        <w:gridCol w:w="1267"/>
      </w:tblGrid>
      <w:tr w14:paraId="6A7C9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735" w:hRule="atLeast"/>
          <w:jc w:val="center"/>
        </w:trPr>
        <w:tc>
          <w:tcPr>
            <w:tcW w:w="309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55628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u w:val="single"/>
              </w:rPr>
            </w:pPr>
            <w:r>
              <w:rPr>
                <w:rFonts w:hint="eastAsia" w:ascii="宋体" w:hAnsi="宋体" w:eastAsia="宋体" w:cs="宋体"/>
                <w:b/>
                <w:bCs/>
                <w:color w:val="auto"/>
                <w:sz w:val="24"/>
                <w:szCs w:val="24"/>
                <w:highlight w:val="none"/>
                <w:u w:val="single"/>
              </w:rPr>
              <w:t>定标综合评价最终排序</w:t>
            </w:r>
          </w:p>
        </w:tc>
        <w:tc>
          <w:tcPr>
            <w:tcW w:w="113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9E650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第2名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F6DE15">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第3名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B3BA762">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
              </w:rPr>
              <w:t>第4名</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BA301B">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第5名</w:t>
            </w:r>
          </w:p>
        </w:tc>
      </w:tr>
      <w:tr w14:paraId="23B21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20" w:hRule="atLeast"/>
          <w:jc w:val="center"/>
        </w:trPr>
        <w:tc>
          <w:tcPr>
            <w:tcW w:w="309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top"/>
          </w:tcPr>
          <w:p w14:paraId="66450D7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auto"/>
                <w:kern w:val="2"/>
                <w:sz w:val="24"/>
                <w:szCs w:val="24"/>
                <w:highlight w:val="none"/>
                <w:u w:val="none"/>
                <w:lang w:val="en-US" w:eastAsia="zh-CN" w:bidi="ar"/>
              </w:rPr>
            </w:pPr>
            <w:r>
              <w:rPr>
                <w:rFonts w:hint="eastAsia" w:ascii="宋体" w:hAnsi="宋体" w:eastAsia="宋体" w:cs="宋体"/>
                <w:b/>
                <w:color w:val="auto"/>
                <w:kern w:val="2"/>
                <w:sz w:val="24"/>
                <w:szCs w:val="24"/>
                <w:highlight w:val="none"/>
                <w:u w:val="none"/>
                <w:lang w:val="en-US" w:eastAsia="zh-CN" w:bidi="ar"/>
              </w:rPr>
              <w:t>投标经济补偿金额</w:t>
            </w:r>
          </w:p>
          <w:p w14:paraId="3D3CFCC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u w:val="none"/>
              </w:rPr>
            </w:pPr>
            <w:r>
              <w:rPr>
                <w:rFonts w:hint="eastAsia" w:ascii="宋体" w:hAnsi="宋体" w:eastAsia="宋体" w:cs="宋体"/>
                <w:b/>
                <w:color w:val="auto"/>
                <w:kern w:val="2"/>
                <w:sz w:val="24"/>
                <w:szCs w:val="24"/>
                <w:highlight w:val="none"/>
                <w:u w:val="none"/>
                <w:lang w:val="en-US" w:eastAsia="zh-CN" w:bidi="ar"/>
              </w:rPr>
              <w:t>（人民币，万元）</w:t>
            </w:r>
          </w:p>
        </w:tc>
        <w:tc>
          <w:tcPr>
            <w:tcW w:w="113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C86E91">
            <w:pPr>
              <w:keepNext w:val="0"/>
              <w:keepLines w:val="0"/>
              <w:widowControl w:val="0"/>
              <w:suppressLineNumbers w:val="0"/>
              <w:spacing w:before="0" w:beforeAutospacing="0" w:after="0" w:afterAutospacing="0" w:line="360" w:lineRule="exact"/>
              <w:ind w:left="0" w:right="0"/>
              <w:jc w:val="center"/>
              <w:rPr>
                <w:rFonts w:hint="default" w:ascii="宋体" w:hAnsi="宋体" w:eastAsia="宋体" w:cs="宋体"/>
                <w:b/>
                <w:color w:val="auto"/>
                <w:kern w:val="2"/>
                <w:sz w:val="24"/>
                <w:szCs w:val="24"/>
                <w:highlight w:val="none"/>
                <w:u w:val="none"/>
                <w:lang w:val="en-US"/>
              </w:rPr>
            </w:pPr>
            <w:r>
              <w:rPr>
                <w:rFonts w:hint="eastAsia" w:ascii="宋体" w:hAnsi="宋体" w:eastAsia="宋体" w:cs="宋体"/>
                <w:color w:val="auto"/>
                <w:kern w:val="2"/>
                <w:sz w:val="24"/>
                <w:szCs w:val="24"/>
                <w:highlight w:val="none"/>
                <w:u w:val="none"/>
                <w:lang w:val="en-US" w:eastAsia="zh-CN" w:bidi="ar"/>
              </w:rPr>
              <w:t>5</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E2C278">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2</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01D88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u w:val="none"/>
                <w:lang w:val="en-US"/>
              </w:rPr>
            </w:pPr>
            <w:r>
              <w:rPr>
                <w:rFonts w:hint="eastAsia" w:ascii="宋体" w:hAnsi="宋体" w:eastAsia="宋体" w:cs="宋体"/>
                <w:color w:val="auto"/>
                <w:kern w:val="2"/>
                <w:sz w:val="24"/>
                <w:szCs w:val="24"/>
                <w:highlight w:val="none"/>
                <w:u w:val="none"/>
                <w:lang w:val="en-US" w:eastAsia="zh-CN" w:bidi="ar"/>
              </w:rPr>
              <w:t>2</w:t>
            </w:r>
          </w:p>
        </w:tc>
        <w:tc>
          <w:tcPr>
            <w:tcW w:w="12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2A02A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1</w:t>
            </w:r>
          </w:p>
        </w:tc>
      </w:tr>
    </w:tbl>
    <w:p w14:paraId="47DED476">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其余投标人费用自理。</w:t>
      </w:r>
    </w:p>
    <w:p w14:paraId="11DE9E44">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[注释]</w:t>
      </w:r>
    </w:p>
    <w:p w14:paraId="54565D66">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①</w:t>
      </w:r>
      <w:r>
        <w:rPr>
          <w:rFonts w:ascii="宋体" w:hAnsi="宋体"/>
          <w:color w:val="auto"/>
          <w:sz w:val="24"/>
          <w:szCs w:val="24"/>
          <w:highlight w:val="none"/>
          <w:u w:val="single"/>
        </w:rPr>
        <w:t>未中标单位</w:t>
      </w:r>
      <w:r>
        <w:rPr>
          <w:rFonts w:hint="eastAsia" w:ascii="宋体" w:hAnsi="宋体"/>
          <w:color w:val="auto"/>
          <w:sz w:val="24"/>
          <w:szCs w:val="24"/>
          <w:highlight w:val="none"/>
          <w:u w:val="single"/>
        </w:rPr>
        <w:t>经济补偿不包括在投标人中标价中，由招标人直接支付。招标人（或授权的招标代理机构）在中标人公示结束后以书面形式通知获得经济补偿的投标人在规定期限内领取补偿。如果招标失败，则当次不作经济补偿。</w:t>
      </w:r>
    </w:p>
    <w:p w14:paraId="6F9EAFFD">
      <w:pPr>
        <w:keepNext w:val="0"/>
        <w:keepLines w:val="0"/>
        <w:widowControl/>
        <w:suppressLineNumbers w:val="0"/>
        <w:spacing w:before="0" w:beforeAutospacing="0" w:after="0" w:afterAutospacing="0" w:line="360" w:lineRule="auto"/>
        <w:ind w:left="840" w:leftChars="400" w:right="0" w:firstLine="0" w:firstLineChars="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lang w:val="en-US" w:eastAsia="zh-CN" w:bidi="ar"/>
        </w:rPr>
        <w:t>②招标人和中标人有权在实施方案中参考使用获得经济补偿的所有投标方案成果的部分内容。</w:t>
      </w:r>
    </w:p>
    <w:p w14:paraId="5D4B7E54">
      <w:pPr>
        <w:spacing w:line="360" w:lineRule="auto"/>
        <w:jc w:val="left"/>
        <w:outlineLvl w:val="9"/>
        <w:rPr>
          <w:rFonts w:ascii="宋体" w:hAnsi="宋体" w:eastAsia="宋体" w:cs="Times New Roman"/>
          <w:b/>
          <w:color w:val="auto"/>
          <w:sz w:val="24"/>
          <w:szCs w:val="24"/>
          <w:highlight w:val="none"/>
        </w:rPr>
      </w:pPr>
    </w:p>
    <w:p w14:paraId="789F5511">
      <w:pPr>
        <w:spacing w:line="360" w:lineRule="auto"/>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1.10   </w:t>
      </w:r>
      <w:r>
        <w:rPr>
          <w:rFonts w:hint="default" w:ascii="宋体" w:hAnsi="宋体" w:eastAsia="宋体" w:cs="Times New Roman"/>
          <w:b/>
          <w:color w:val="auto"/>
          <w:sz w:val="24"/>
          <w:szCs w:val="24"/>
          <w:highlight w:val="none"/>
        </w:rPr>
        <w:t>工期</w:t>
      </w:r>
    </w:p>
    <w:p w14:paraId="1C0048F6">
      <w:pPr>
        <w:keepNext w:val="0"/>
        <w:keepLines w:val="0"/>
        <w:widowControl/>
        <w:suppressLineNumbers w:val="0"/>
        <w:spacing w:before="0" w:beforeAutospacing="0" w:after="0" w:afterAutospacing="0" w:line="360" w:lineRule="auto"/>
        <w:ind w:left="840" w:right="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1.10.1 </w:t>
      </w:r>
      <w:r>
        <w:rPr>
          <w:rFonts w:hint="eastAsia" w:ascii="宋体" w:hAnsi="宋体" w:eastAsia="宋体" w:cs="Times New Roman"/>
          <w:color w:val="auto"/>
          <w:sz w:val="24"/>
          <w:szCs w:val="24"/>
          <w:highlight w:val="none"/>
        </w:rPr>
        <w:t>设计工期：中标人应在</w:t>
      </w:r>
      <w:r>
        <w:rPr>
          <w:rFonts w:hint="default" w:ascii="宋体" w:hAnsi="宋体" w:eastAsia="宋体" w:cs="Times New Roman"/>
          <w:color w:val="auto"/>
          <w:sz w:val="24"/>
          <w:szCs w:val="24"/>
          <w:highlight w:val="none"/>
        </w:rPr>
        <w:t>勘察</w:t>
      </w:r>
      <w:r>
        <w:rPr>
          <w:rFonts w:hint="eastAsia" w:ascii="宋体" w:hAnsi="宋体" w:eastAsia="宋体" w:cs="Times New Roman"/>
          <w:color w:val="auto"/>
          <w:sz w:val="24"/>
          <w:szCs w:val="24"/>
          <w:highlight w:val="none"/>
        </w:rPr>
        <w:t>设计合同签订后</w:t>
      </w:r>
      <w:r>
        <w:rPr>
          <w:rFonts w:hint="eastAsia" w:ascii="宋体" w:hAnsi="宋体" w:eastAsia="宋体" w:cs="Times New Roman"/>
          <w:color w:val="auto"/>
          <w:sz w:val="24"/>
          <w:szCs w:val="24"/>
          <w:highlight w:val="none"/>
          <w:u w:val="single"/>
          <w:lang w:val="en-US" w:eastAsia="zh-CN"/>
        </w:rPr>
        <w:t xml:space="preserve"> 30 </w:t>
      </w:r>
      <w:r>
        <w:rPr>
          <w:rFonts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rPr>
        <w:t>内完成方案修改，方案确定后</w:t>
      </w:r>
      <w:r>
        <w:rPr>
          <w:rFonts w:hint="eastAsia" w:ascii="宋体" w:hAnsi="宋体" w:eastAsia="宋体" w:cs="Times New Roman"/>
          <w:color w:val="auto"/>
          <w:sz w:val="24"/>
          <w:szCs w:val="24"/>
          <w:highlight w:val="none"/>
          <w:u w:val="single"/>
          <w:lang w:val="en-US" w:eastAsia="zh-CN"/>
        </w:rPr>
        <w:t xml:space="preserve"> 45 </w:t>
      </w:r>
      <w:r>
        <w:rPr>
          <w:rFonts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rPr>
        <w:t>内完成初步设计，初步设计审查批准后</w:t>
      </w:r>
      <w:r>
        <w:rPr>
          <w:rFonts w:hint="eastAsia" w:ascii="宋体" w:hAnsi="宋体" w:eastAsia="宋体" w:cs="Times New Roman"/>
          <w:color w:val="auto"/>
          <w:sz w:val="24"/>
          <w:szCs w:val="24"/>
          <w:highlight w:val="none"/>
          <w:u w:val="single"/>
          <w:lang w:val="en-US" w:eastAsia="zh-CN"/>
        </w:rPr>
        <w:t xml:space="preserve"> 45 </w:t>
      </w:r>
      <w:r>
        <w:rPr>
          <w:rFonts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rPr>
        <w:t>内完成施工图设计，施工图设计文件经审查发现问题后</w:t>
      </w:r>
      <w:r>
        <w:rPr>
          <w:rFonts w:hint="eastAsia" w:ascii="宋体" w:hAnsi="宋体" w:eastAsia="宋体" w:cs="Times New Roman"/>
          <w:color w:val="auto"/>
          <w:sz w:val="24"/>
          <w:szCs w:val="24"/>
          <w:highlight w:val="none"/>
          <w:u w:val="single"/>
          <w:lang w:val="en-US" w:eastAsia="zh-CN"/>
        </w:rPr>
        <w:t xml:space="preserve"> 10 </w:t>
      </w:r>
      <w:r>
        <w:rPr>
          <w:rFonts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rPr>
        <w:t>内完成补充、修改。</w:t>
      </w:r>
      <w:r>
        <w:rPr>
          <w:rFonts w:hint="default" w:ascii="宋体" w:hAnsi="宋体" w:eastAsia="宋体" w:cs="Times New Roman"/>
          <w:color w:val="auto"/>
          <w:sz w:val="24"/>
          <w:szCs w:val="24"/>
          <w:highlight w:val="none"/>
        </w:rPr>
        <w:t>各阶段成果文件提交时间以</w:t>
      </w:r>
      <w:r>
        <w:rPr>
          <w:rFonts w:hint="eastAsia" w:ascii="宋体" w:hAnsi="宋体" w:eastAsia="宋体" w:cs="Times New Roman"/>
          <w:color w:val="auto"/>
          <w:sz w:val="24"/>
          <w:szCs w:val="24"/>
          <w:highlight w:val="none"/>
        </w:rPr>
        <w:t>满足</w:t>
      </w:r>
      <w:r>
        <w:rPr>
          <w:rFonts w:hint="default" w:ascii="宋体" w:hAnsi="宋体" w:eastAsia="宋体" w:cs="Times New Roman"/>
          <w:color w:val="auto"/>
          <w:sz w:val="24"/>
          <w:szCs w:val="24"/>
          <w:highlight w:val="none"/>
        </w:rPr>
        <w:t>本</w:t>
      </w:r>
      <w:r>
        <w:rPr>
          <w:rFonts w:hint="eastAsia" w:ascii="宋体" w:hAnsi="宋体" w:eastAsia="宋体" w:cs="Times New Roman"/>
          <w:color w:val="auto"/>
          <w:sz w:val="24"/>
          <w:szCs w:val="24"/>
          <w:highlight w:val="none"/>
        </w:rPr>
        <w:t>项目</w:t>
      </w:r>
      <w:r>
        <w:rPr>
          <w:rFonts w:hint="default" w:ascii="宋体" w:hAnsi="宋体" w:eastAsia="宋体" w:cs="Times New Roman"/>
          <w:color w:val="auto"/>
          <w:sz w:val="24"/>
          <w:szCs w:val="24"/>
          <w:highlight w:val="none"/>
        </w:rPr>
        <w:t>建设</w:t>
      </w:r>
      <w:r>
        <w:rPr>
          <w:rFonts w:hint="eastAsia" w:ascii="宋体" w:hAnsi="宋体" w:eastAsia="宋体" w:cs="Times New Roman"/>
          <w:color w:val="auto"/>
          <w:sz w:val="24"/>
          <w:szCs w:val="24"/>
          <w:highlight w:val="none"/>
        </w:rPr>
        <w:t>进度要求为准</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如果延误工期，按合同约定承担违约责任。</w:t>
      </w:r>
    </w:p>
    <w:p w14:paraId="144916CA">
      <w:pPr>
        <w:spacing w:line="360" w:lineRule="auto"/>
        <w:ind w:left="821" w:hanging="820" w:hangingChars="342"/>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1.10.2</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勘察工期：以满足设计进度要求为准。</w:t>
      </w:r>
    </w:p>
    <w:p w14:paraId="6EC54AA1">
      <w:pPr>
        <w:spacing w:line="360" w:lineRule="auto"/>
        <w:jc w:val="left"/>
        <w:outlineLvl w:val="9"/>
        <w:rPr>
          <w:rFonts w:ascii="宋体" w:hAnsi="宋体" w:eastAsia="宋体" w:cs="Times New Roman"/>
          <w:b/>
          <w:color w:val="auto"/>
          <w:sz w:val="24"/>
          <w:szCs w:val="24"/>
          <w:highlight w:val="none"/>
        </w:rPr>
      </w:pPr>
    </w:p>
    <w:p w14:paraId="5D9B9ACA">
      <w:pPr>
        <w:spacing w:line="360" w:lineRule="auto"/>
        <w:ind w:left="0" w:firstLine="0" w:firstLineChars="0"/>
        <w:jc w:val="left"/>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1.11   </w:t>
      </w:r>
      <w:r>
        <w:rPr>
          <w:rFonts w:hint="default" w:ascii="宋体" w:hAnsi="宋体" w:eastAsia="宋体" w:cs="Times New Roman"/>
          <w:b/>
          <w:color w:val="auto"/>
          <w:sz w:val="24"/>
          <w:szCs w:val="24"/>
          <w:highlight w:val="none"/>
        </w:rPr>
        <w:t>其他事项</w:t>
      </w:r>
    </w:p>
    <w:p w14:paraId="7ECB20E0">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1.11.1 招标代理费用由招标人直接支付给招标代理机构，不占用勘察设计费。</w:t>
      </w:r>
    </w:p>
    <w:p w14:paraId="413E7452">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1.11.2 招标项目的电子地形图由</w:t>
      </w:r>
      <w:r>
        <w:rPr>
          <w:rFonts w:hint="eastAsia" w:ascii="宋体" w:hAnsi="宋体" w:eastAsia="宋体" w:cs="Times New Roman"/>
          <w:color w:val="auto"/>
          <w:sz w:val="24"/>
          <w:szCs w:val="24"/>
          <w:highlight w:val="none"/>
          <w:u w:val="single"/>
        </w:rPr>
        <w:t>招标人</w:t>
      </w:r>
      <w:r>
        <w:rPr>
          <w:rFonts w:hint="eastAsia" w:ascii="宋体" w:hAnsi="宋体" w:eastAsia="宋体" w:cs="Times New Roman"/>
          <w:color w:val="auto"/>
          <w:sz w:val="24"/>
          <w:szCs w:val="24"/>
          <w:highlight w:val="none"/>
        </w:rPr>
        <w:t>提供。投标人可通过</w:t>
      </w:r>
      <w:r>
        <w:rPr>
          <w:rFonts w:hint="eastAsia" w:ascii="宋体" w:hAnsi="宋体" w:cs="宋体"/>
          <w:color w:val="auto"/>
          <w:sz w:val="24"/>
          <w:szCs w:val="24"/>
          <w:highlight w:val="none"/>
          <w:u w:val="single"/>
        </w:rPr>
        <w:t>http://map.baidu.com选择（地球模式）</w:t>
      </w:r>
      <w:r>
        <w:rPr>
          <w:rFonts w:ascii="宋体" w:hAnsi="宋体" w:eastAsia="宋体" w:cs="Times New Roman"/>
          <w:color w:val="auto"/>
          <w:sz w:val="24"/>
          <w:szCs w:val="24"/>
          <w:highlight w:val="none"/>
        </w:rPr>
        <w:t>观察本项目的周边环境。</w:t>
      </w:r>
    </w:p>
    <w:p w14:paraId="6523382E">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1.11.3 项目的其他情况在设计任务书中详细介绍。本公告为招标文件的组成部分，更详细的信息以招标文件为准。</w:t>
      </w:r>
    </w:p>
    <w:p w14:paraId="0CF8C866">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1.11.4 投标人可通过交易</w:t>
      </w:r>
      <w:r>
        <w:rPr>
          <w:rFonts w:hint="eastAsia" w:ascii="宋体" w:hAnsi="宋体" w:eastAsia="宋体" w:cs="Times New Roman"/>
          <w:color w:val="auto"/>
          <w:sz w:val="24"/>
          <w:szCs w:val="24"/>
          <w:highlight w:val="none"/>
        </w:rPr>
        <w:t>电子招投标操作流程详见交易平台发布的相关操作指引。</w:t>
      </w:r>
    </w:p>
    <w:p w14:paraId="3450E969">
      <w:pPr>
        <w:widowControl/>
        <w:shd w:val="clear"/>
        <w:adjustRightInd/>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1.11.5 </w:t>
      </w:r>
      <w:r>
        <w:rPr>
          <w:rFonts w:hint="eastAsia" w:ascii="宋体" w:hAnsi="宋体" w:cs="宋体"/>
          <w:color w:val="auto"/>
          <w:sz w:val="24"/>
          <w:szCs w:val="24"/>
          <w:highlight w:val="none"/>
        </w:rPr>
        <w:t>潜在投标人或利害关系人对本招标公告及招标文件有异议的，应当在投标截止时间10日前向招标人书面提出</w:t>
      </w:r>
      <w:r>
        <w:rPr>
          <w:rFonts w:ascii="宋体" w:hAnsi="宋体" w:eastAsia="宋体" w:cs="Times New Roman"/>
          <w:color w:val="auto"/>
          <w:sz w:val="24"/>
          <w:szCs w:val="24"/>
          <w:highlight w:val="none"/>
        </w:rPr>
        <w:t>。</w:t>
      </w:r>
    </w:p>
    <w:p w14:paraId="2CCBD0CE">
      <w:pPr>
        <w:widowControl/>
        <w:shd w:val="clear"/>
        <w:adjustRightInd/>
        <w:spacing w:line="360" w:lineRule="auto"/>
        <w:ind w:left="840" w:leftChars="400" w:firstLine="0" w:firstLineChars="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异议受理部门：</w:t>
      </w:r>
      <w:r>
        <w:rPr>
          <w:rFonts w:hint="eastAsia" w:ascii="宋体" w:hAnsi="宋体" w:eastAsia="宋体" w:cs="Times New Roman"/>
          <w:color w:val="auto"/>
          <w:sz w:val="24"/>
          <w:szCs w:val="24"/>
          <w:highlight w:val="none"/>
          <w:u w:val="single"/>
        </w:rPr>
        <w:t>广州市重点公共建设项目管理中心</w:t>
      </w:r>
    </w:p>
    <w:p w14:paraId="322EC9C4">
      <w:pPr>
        <w:widowControl/>
        <w:shd w:val="clear"/>
        <w:adjustRightInd/>
        <w:spacing w:line="360" w:lineRule="auto"/>
        <w:ind w:left="840" w:leftChars="400" w:firstLine="0" w:firstLineChars="0"/>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u w:val="single"/>
          <w:lang w:val="en-US" w:eastAsia="zh-CN"/>
        </w:rPr>
        <w:t>李工</w:t>
      </w:r>
    </w:p>
    <w:p w14:paraId="09FCFF75">
      <w:pPr>
        <w:widowControl/>
        <w:shd w:val="clear"/>
        <w:adjustRightInd/>
        <w:spacing w:line="360" w:lineRule="auto"/>
        <w:ind w:left="840" w:leftChars="400" w:firstLine="0" w:firstLineChars="0"/>
        <w:jc w:val="left"/>
        <w:rPr>
          <w:rFonts w:hint="default" w:ascii="宋体" w:hAnsi="宋体" w:eastAsia="宋体" w:cs="Times New Roman"/>
          <w:color w:val="auto"/>
          <w:sz w:val="24"/>
          <w:szCs w:val="24"/>
          <w:highlight w:val="none"/>
          <w:u w:val="single"/>
          <w:lang w:eastAsia="zh-CN"/>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u w:val="single"/>
          <w:lang w:eastAsia="zh-CN"/>
        </w:rPr>
        <w:t>020-22905742</w:t>
      </w:r>
    </w:p>
    <w:p w14:paraId="4F1BE9C2">
      <w:pPr>
        <w:widowControl/>
        <w:shd w:val="clear"/>
        <w:adjustRightInd/>
        <w:spacing w:line="360" w:lineRule="auto"/>
        <w:ind w:left="840" w:leftChars="400" w:firstLine="0" w:firstLineChars="0"/>
        <w:jc w:val="left"/>
        <w:rPr>
          <w:rFonts w:ascii="宋体" w:hAnsi="宋体" w:eastAsia="宋体" w:cs="Times New Roman"/>
          <w:color w:val="auto"/>
          <w:sz w:val="24"/>
          <w:szCs w:val="24"/>
          <w:highlight w:val="none"/>
          <w:u w:val="single"/>
          <w:lang w:val="zh-CN"/>
        </w:rPr>
      </w:pPr>
      <w:r>
        <w:rPr>
          <w:rFonts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u w:val="single"/>
          <w:lang w:val="zh-CN"/>
        </w:rPr>
        <w:t>广州市番禺区星运路</w:t>
      </w:r>
      <w:r>
        <w:rPr>
          <w:rFonts w:ascii="宋体" w:hAnsi="宋体" w:eastAsia="宋体" w:cs="Times New Roman"/>
          <w:color w:val="auto"/>
          <w:sz w:val="24"/>
          <w:szCs w:val="24"/>
          <w:highlight w:val="none"/>
          <w:u w:val="single"/>
          <w:lang w:val="zh-CN"/>
        </w:rPr>
        <w:t>1号</w:t>
      </w:r>
    </w:p>
    <w:p w14:paraId="0B702A80">
      <w:pPr>
        <w:widowControl/>
        <w:spacing w:line="360" w:lineRule="auto"/>
        <w:ind w:left="840" w:leftChars="400" w:firstLine="0" w:firstLineChars="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9ABFC3E">
      <w:pPr>
        <w:keepNext w:val="0"/>
        <w:keepLines w:val="0"/>
        <w:widowControl/>
        <w:suppressLineNumbers w:val="0"/>
        <w:spacing w:before="0" w:beforeAutospacing="0" w:after="0" w:afterAutospacing="0" w:line="360" w:lineRule="auto"/>
        <w:ind w:left="840" w:right="0" w:hanging="840" w:hangingChars="350"/>
        <w:jc w:val="left"/>
        <w:rPr>
          <w:rFonts w:ascii="Times New Roman" w:hAnsi="Times New Roman" w:eastAsia="宋体" w:cs="Times New Roman"/>
          <w:color w:val="auto"/>
          <w:kern w:val="0"/>
          <w:sz w:val="24"/>
          <w:szCs w:val="24"/>
          <w:highlight w:val="none"/>
        </w:rPr>
      </w:pPr>
      <w:r>
        <w:rPr>
          <w:rFonts w:ascii="宋体" w:hAnsi="宋体" w:eastAsia="宋体" w:cs="Times New Roman"/>
          <w:color w:val="auto"/>
          <w:kern w:val="0"/>
          <w:sz w:val="24"/>
          <w:szCs w:val="24"/>
          <w:highlight w:val="none"/>
        </w:rPr>
        <w:t>1.11.6 本公告在</w:t>
      </w:r>
      <w:r>
        <w:rPr>
          <w:rFonts w:hint="eastAsia" w:ascii="宋体" w:hAnsi="宋体" w:eastAsia="宋体" w:cs="Times New Roman"/>
          <w:color w:val="auto"/>
          <w:kern w:val="0"/>
          <w:sz w:val="24"/>
          <w:szCs w:val="24"/>
          <w:highlight w:val="none"/>
          <w:lang w:eastAsia="zh-CN"/>
        </w:rPr>
        <w:t>广州交易集团有限公司（广州公共资源交易中心）</w:t>
      </w:r>
      <w:r>
        <w:rPr>
          <w:rFonts w:hint="eastAsia" w:ascii="宋体" w:hAnsi="宋体" w:eastAsia="宋体" w:cs="宋体"/>
          <w:b w:val="0"/>
          <w:color w:val="auto"/>
          <w:kern w:val="0"/>
          <w:sz w:val="24"/>
          <w:szCs w:val="24"/>
          <w:highlight w:val="none"/>
          <w:lang w:val="en-US" w:eastAsia="zh-CN" w:bidi="ar"/>
        </w:rPr>
        <w:t>官网</w:t>
      </w:r>
      <w:r>
        <w:rPr>
          <w:rFonts w:ascii="宋体" w:hAnsi="宋体" w:eastAsia="宋体" w:cs="Times New Roman"/>
          <w:color w:val="auto"/>
          <w:kern w:val="0"/>
          <w:sz w:val="24"/>
          <w:szCs w:val="24"/>
          <w:highlight w:val="none"/>
        </w:rPr>
        <w:t>（网址：http://www.gzggzy.cn）、广东省招标投标监管网（网址：</w:t>
      </w:r>
      <w:r>
        <w:rPr>
          <w:rFonts w:ascii="宋体" w:hAnsi="宋体" w:eastAsia="宋体" w:cs="Times New Roman"/>
          <w:color w:val="auto"/>
          <w:kern w:val="0"/>
          <w:sz w:val="24"/>
          <w:szCs w:val="24"/>
          <w:highlight w:val="none"/>
          <w:u w:val="single"/>
        </w:rPr>
        <w:t>https://zbtb.gd.gov.cn/</w:t>
      </w:r>
      <w:r>
        <w:rPr>
          <w:rFonts w:hint="eastAsia" w:ascii="宋体" w:hAnsi="宋体" w:eastAsia="宋体" w:cs="Times New Roman"/>
          <w:color w:val="auto"/>
          <w:kern w:val="0"/>
          <w:sz w:val="24"/>
          <w:szCs w:val="24"/>
          <w:highlight w:val="none"/>
        </w:rPr>
        <w:t>）和中国招标投标公共服务平台（网址：</w:t>
      </w:r>
      <w:r>
        <w:rPr>
          <w:rFonts w:ascii="宋体" w:hAnsi="宋体" w:eastAsia="宋体" w:cs="Times New Roman"/>
          <w:color w:val="auto"/>
          <w:kern w:val="0"/>
          <w:sz w:val="24"/>
          <w:szCs w:val="24"/>
          <w:highlight w:val="none"/>
        </w:rPr>
        <w:t>http://www.cebpubservice.com/）发布，本公告的修改、补充，在</w:t>
      </w:r>
      <w:r>
        <w:rPr>
          <w:rFonts w:hint="eastAsia" w:ascii="宋体" w:hAnsi="宋体" w:eastAsia="宋体" w:cs="宋体"/>
          <w:b w:val="0"/>
          <w:color w:val="auto"/>
          <w:kern w:val="0"/>
          <w:sz w:val="24"/>
          <w:szCs w:val="24"/>
          <w:highlight w:val="none"/>
          <w:lang w:val="en-US" w:eastAsia="zh-CN" w:bidi="ar"/>
        </w:rPr>
        <w:t>广州交易集团有限公司（广州公共资源交易中心）官网</w:t>
      </w:r>
      <w:r>
        <w:rPr>
          <w:rFonts w:ascii="宋体" w:hAnsi="宋体" w:eastAsia="宋体" w:cs="Times New Roman"/>
          <w:color w:val="auto"/>
          <w:kern w:val="0"/>
          <w:sz w:val="24"/>
          <w:szCs w:val="24"/>
          <w:highlight w:val="none"/>
        </w:rPr>
        <w:t>发布。</w:t>
      </w:r>
    </w:p>
    <w:p w14:paraId="6A6E24A1">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1.11.7 《投诉处理决定书》和《行政处理决定书》在广州市住房和城乡建设局网站上公布的，视为送达其他与决定书有关的当事人。</w:t>
      </w:r>
    </w:p>
    <w:p w14:paraId="071811DD">
      <w:pPr>
        <w:widowControl/>
        <w:spacing w:line="360" w:lineRule="auto"/>
        <w:ind w:left="840" w:hanging="840" w:hangingChars="35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1.11.8 特别提示：投标人在本项目招标人的工程项目中存在下列行为的，将被拒绝</w:t>
      </w:r>
      <w:r>
        <w:rPr>
          <w:rFonts w:ascii="宋体" w:hAnsi="宋体" w:eastAsia="宋体" w:cs="Times New Roman"/>
          <w:color w:val="auto"/>
          <w:sz w:val="24"/>
          <w:szCs w:val="24"/>
          <w:highlight w:val="none"/>
          <w:u w:val="single"/>
        </w:rPr>
        <w:t>一年</w:t>
      </w:r>
      <w:r>
        <w:rPr>
          <w:rFonts w:hint="eastAsia" w:ascii="宋体" w:hAnsi="宋体" w:eastAsia="宋体" w:cs="Times New Roman"/>
          <w:color w:val="auto"/>
          <w:sz w:val="24"/>
          <w:szCs w:val="24"/>
          <w:highlight w:val="none"/>
        </w:rPr>
        <w:t>内参与我单位后续工程投标。</w:t>
      </w:r>
      <w:r>
        <w:rPr>
          <w:rFonts w:hint="eastAsia" w:ascii="宋体" w:hAnsi="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
        </w:rPr>
        <w:t>拒绝投标时限由招标人视严重程度确定，最低三个月起，自招标人发出通知之日起计</w:t>
      </w:r>
      <w:r>
        <w:rPr>
          <w:rFonts w:hint="eastAsia" w:ascii="宋体" w:hAnsi="宋体" w:cs="宋体"/>
          <w:color w:val="auto"/>
          <w:sz w:val="24"/>
          <w:szCs w:val="24"/>
          <w:highlight w:val="none"/>
        </w:rPr>
        <w:t>）</w:t>
      </w:r>
    </w:p>
    <w:p w14:paraId="331DCA7B">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1）将中标工程转包或者违法分包的；</w:t>
      </w:r>
    </w:p>
    <w:p w14:paraId="3B4B4C9C">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2</w:t>
      </w:r>
      <w:r>
        <w:rPr>
          <w:rFonts w:hint="eastAsia" w:ascii="宋体" w:hAnsi="宋体" w:eastAsia="宋体" w:cs="宋体"/>
          <w:b w:val="0"/>
          <w:bCs/>
          <w:color w:val="auto"/>
          <w:kern w:val="2"/>
          <w:sz w:val="24"/>
          <w:szCs w:val="24"/>
          <w:highlight w:val="none"/>
          <w:lang w:val="en-US" w:eastAsia="zh-CN" w:bidi="ar"/>
        </w:rPr>
        <w:t>）存在串通投标、围标情形的；</w:t>
      </w:r>
    </w:p>
    <w:p w14:paraId="70836EEC">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3）</w:t>
      </w:r>
      <w:r>
        <w:rPr>
          <w:rFonts w:hint="eastAsia" w:ascii="宋体" w:hAnsi="宋体" w:eastAsia="宋体" w:cs="宋体"/>
          <w:b w:val="0"/>
          <w:bCs/>
          <w:color w:val="auto"/>
          <w:kern w:val="2"/>
          <w:sz w:val="24"/>
          <w:szCs w:val="24"/>
          <w:highlight w:val="none"/>
          <w:lang w:val="en-US" w:eastAsia="zh-CN" w:bidi="ar"/>
        </w:rPr>
        <w:t>在投标文件中提供虚假材料的；</w:t>
      </w:r>
    </w:p>
    <w:p w14:paraId="653FED2C">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4）</w:t>
      </w:r>
      <w:r>
        <w:rPr>
          <w:rFonts w:hint="eastAsia" w:ascii="宋体" w:hAnsi="宋体" w:eastAsia="宋体" w:cs="宋体"/>
          <w:b w:val="0"/>
          <w:bCs/>
          <w:color w:val="auto"/>
          <w:kern w:val="2"/>
          <w:sz w:val="24"/>
          <w:szCs w:val="24"/>
          <w:highlight w:val="none"/>
          <w:lang w:val="en-US" w:eastAsia="zh-CN" w:bidi="ar"/>
        </w:rPr>
        <w:t>存在行贿情形的</w:t>
      </w:r>
      <w:r>
        <w:rPr>
          <w:rFonts w:hint="eastAsia" w:ascii="宋体" w:hAnsi="宋体" w:eastAsia="宋体" w:cs="Times New Roman"/>
          <w:b w:val="0"/>
          <w:bCs/>
          <w:color w:val="auto"/>
          <w:kern w:val="2"/>
          <w:sz w:val="24"/>
          <w:szCs w:val="24"/>
          <w:highlight w:val="none"/>
          <w:lang w:val="en-US" w:eastAsia="zh-CN" w:bidi="ar"/>
        </w:rPr>
        <w:t>;</w:t>
      </w:r>
    </w:p>
    <w:p w14:paraId="1BE024E6">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5）</w:t>
      </w:r>
      <w:r>
        <w:rPr>
          <w:rFonts w:hint="eastAsia" w:ascii="宋体" w:hAnsi="宋体" w:eastAsia="宋体" w:cs="宋体"/>
          <w:b w:val="0"/>
          <w:bCs/>
          <w:color w:val="auto"/>
          <w:kern w:val="2"/>
          <w:sz w:val="24"/>
          <w:szCs w:val="24"/>
          <w:highlight w:val="none"/>
          <w:lang w:val="en-US" w:eastAsia="zh-CN" w:bidi="ar"/>
        </w:rPr>
        <w:t>拖欠农民工工资的；</w:t>
      </w:r>
    </w:p>
    <w:p w14:paraId="007B0535">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w:t>
      </w:r>
      <w:r>
        <w:rPr>
          <w:rFonts w:hint="eastAsia" w:ascii="宋体" w:hAnsi="宋体" w:eastAsia="宋体" w:cs="Times New Roman"/>
          <w:b w:val="0"/>
          <w:bCs/>
          <w:color w:val="auto"/>
          <w:kern w:val="2"/>
          <w:sz w:val="24"/>
          <w:szCs w:val="24"/>
          <w:highlight w:val="none"/>
          <w:lang w:val="en-US" w:eastAsia="zh-CN" w:bidi="ar"/>
        </w:rPr>
        <w:t>6</w:t>
      </w:r>
      <w:r>
        <w:rPr>
          <w:rFonts w:hint="eastAsia" w:ascii="宋体" w:hAnsi="宋体" w:eastAsia="宋体" w:cs="宋体"/>
          <w:b w:val="0"/>
          <w:bCs/>
          <w:color w:val="auto"/>
          <w:kern w:val="2"/>
          <w:sz w:val="24"/>
          <w:szCs w:val="24"/>
          <w:highlight w:val="none"/>
          <w:lang w:val="en-US" w:eastAsia="zh-CN" w:bidi="ar"/>
        </w:rPr>
        <w:t>）在中标工程中不执行质量、安全生产相关规定的，造成质量或安全事故的；</w:t>
      </w:r>
    </w:p>
    <w:p w14:paraId="4DCA85A4">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（7）出让投标资格的；</w:t>
      </w:r>
    </w:p>
    <w:p w14:paraId="1344D8C0">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（8）存在少放、不放业绩、奖项等客观评审资料，减少自身竞争力情形的；</w:t>
      </w:r>
    </w:p>
    <w:p w14:paraId="52725705">
      <w:pPr>
        <w:keepNext w:val="0"/>
        <w:keepLines w:val="0"/>
        <w:widowControl w:val="0"/>
        <w:suppressLineNumbers w:val="0"/>
        <w:spacing w:before="0" w:beforeAutospacing="0" w:after="0" w:afterAutospacing="0" w:line="360" w:lineRule="auto"/>
        <w:ind w:left="357" w:leftChars="170" w:right="0" w:firstLine="480" w:firstLineChars="200"/>
        <w:jc w:val="left"/>
        <w:rPr>
          <w:rFonts w:hint="eastAsia" w:ascii="宋体" w:hAnsi="宋体" w:eastAsia="宋体" w:cs="Times New Roman"/>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（9）存在因过错行为被生效法律文书认定承担违约或侵权责任的。</w:t>
      </w:r>
    </w:p>
    <w:p w14:paraId="2165704F">
      <w:pPr>
        <w:spacing w:line="360" w:lineRule="auto"/>
        <w:ind w:left="840" w:hanging="840" w:hangingChars="350"/>
        <w:jc w:val="left"/>
        <w:rPr>
          <w:rFonts w:ascii="宋体" w:hAnsi="宋体" w:eastAsia="宋体" w:cs="Times New Roman"/>
          <w:i w:val="0"/>
          <w:iCs w:val="0"/>
          <w:caps w:val="0"/>
          <w:color w:val="auto"/>
          <w:spacing w:val="0"/>
          <w:sz w:val="24"/>
          <w:szCs w:val="24"/>
          <w:highlight w:val="none"/>
        </w:rPr>
      </w:pPr>
      <w:r>
        <w:rPr>
          <w:rFonts w:hint="default" w:ascii="宋体" w:hAnsi="宋体" w:eastAsia="宋体" w:cs="Times New Roman"/>
          <w:i w:val="0"/>
          <w:iCs w:val="0"/>
          <w:caps w:val="0"/>
          <w:color w:val="auto"/>
          <w:spacing w:val="0"/>
          <w:sz w:val="24"/>
          <w:szCs w:val="24"/>
          <w:highlight w:val="none"/>
          <w:shd w:val="clear"/>
        </w:rPr>
        <w:t>1.11.9</w:t>
      </w:r>
      <w:r>
        <w:rPr>
          <w:rFonts w:ascii="宋体" w:hAnsi="宋体" w:eastAsia="宋体" w:cs="Times New Roman"/>
          <w:color w:val="auto"/>
          <w:sz w:val="24"/>
          <w:szCs w:val="24"/>
          <w:highlight w:val="none"/>
        </w:rPr>
        <w:t xml:space="preserve"> </w:t>
      </w:r>
      <w:r>
        <w:rPr>
          <w:rFonts w:hint="default" w:ascii="宋体" w:hAnsi="宋体" w:eastAsia="宋体" w:cs="Times New Roman"/>
          <w:i w:val="0"/>
          <w:iCs w:val="0"/>
          <w:caps w:val="0"/>
          <w:color w:val="auto"/>
          <w:spacing w:val="0"/>
          <w:sz w:val="24"/>
          <w:szCs w:val="24"/>
          <w:highlight w:val="none"/>
          <w:shd w:val="clear"/>
        </w:rPr>
        <w:t>本项目绿色建筑等级要求为：</w:t>
      </w:r>
      <w:r>
        <w:rPr>
          <w:rFonts w:hint="default" w:ascii="宋体" w:hAnsi="宋体" w:eastAsia="宋体" w:cs="Times New Roman"/>
          <w:i w:val="0"/>
          <w:iCs w:val="0"/>
          <w:caps w:val="0"/>
          <w:color w:val="auto"/>
          <w:spacing w:val="0"/>
          <w:sz w:val="24"/>
          <w:szCs w:val="24"/>
          <w:highlight w:val="none"/>
          <w:u w:val="single"/>
          <w:shd w:val="clear"/>
        </w:rPr>
        <w:t>二星级标准</w:t>
      </w:r>
    </w:p>
    <w:p w14:paraId="7CB79C38">
      <w:pPr>
        <w:widowControl/>
        <w:spacing w:line="360" w:lineRule="auto"/>
        <w:ind w:left="840" w:leftChars="400" w:firstLine="0" w:firstLineChars="0"/>
        <w:jc w:val="left"/>
        <w:rPr>
          <w:rFonts w:hint="default" w:ascii="宋体" w:hAnsi="宋体" w:eastAsiaTheme="minorEastAsia" w:cstheme="minorBidi"/>
          <w:i w:val="0"/>
          <w:iCs w:val="0"/>
          <w:caps w:val="0"/>
          <w:color w:val="auto"/>
          <w:spacing w:val="0"/>
          <w:sz w:val="24"/>
          <w:szCs w:val="24"/>
          <w:highlight w:val="none"/>
          <w:u w:val="single"/>
        </w:rPr>
      </w:pPr>
      <w:r>
        <w:rPr>
          <w:rFonts w:hint="default" w:ascii="宋体" w:hAnsi="宋体" w:eastAsiaTheme="minorEastAsia" w:cstheme="minorBidi"/>
          <w:i w:val="0"/>
          <w:iCs w:val="0"/>
          <w:caps w:val="0"/>
          <w:color w:val="auto"/>
          <w:spacing w:val="0"/>
          <w:sz w:val="24"/>
          <w:szCs w:val="24"/>
          <w:highlight w:val="none"/>
          <w:u w:val="single"/>
          <w:shd w:val="clear"/>
        </w:rPr>
        <w:t>[注释]新建民用建筑项目依法进行设计招标的，招标人应当在设计招标文件中载明该项目的绿色建筑等级要求。</w:t>
      </w:r>
    </w:p>
    <w:p w14:paraId="50F71FD5">
      <w:pPr>
        <w:spacing w:line="240" w:lineRule="auto"/>
        <w:jc w:val="left"/>
        <w:rPr>
          <w:rFonts w:ascii="宋体" w:hAnsi="宋体" w:eastAsia="宋体" w:cs="Times New Roman"/>
          <w:b/>
          <w:color w:val="auto"/>
          <w:sz w:val="24"/>
          <w:szCs w:val="24"/>
          <w:highlight w:val="none"/>
        </w:rPr>
      </w:pPr>
    </w:p>
    <w:p w14:paraId="00A5DC33">
      <w:pPr>
        <w:spacing w:line="360" w:lineRule="auto"/>
        <w:jc w:val="left"/>
        <w:outlineLvl w:val="1"/>
        <w:rPr>
          <w:rFonts w:ascii="宋体" w:hAnsi="宋体" w:eastAsia="宋体" w:cs="Times New Roman"/>
          <w:b/>
          <w:bCs w:val="0"/>
          <w:color w:val="auto"/>
          <w:sz w:val="24"/>
          <w:szCs w:val="24"/>
          <w:highlight w:val="none"/>
        </w:rPr>
      </w:pPr>
      <w:r>
        <w:rPr>
          <w:rFonts w:ascii="宋体" w:hAnsi="宋体" w:eastAsia="宋体" w:cs="Times New Roman"/>
          <w:b/>
          <w:color w:val="auto"/>
          <w:sz w:val="24"/>
          <w:szCs w:val="24"/>
          <w:highlight w:val="none"/>
        </w:rPr>
        <w:t xml:space="preserve">1.12   </w:t>
      </w:r>
      <w:r>
        <w:rPr>
          <w:rFonts w:hint="default" w:ascii="宋体" w:hAnsi="宋体" w:eastAsia="宋体" w:cs="Times New Roman"/>
          <w:b/>
          <w:bCs w:val="0"/>
          <w:color w:val="auto"/>
          <w:sz w:val="24"/>
          <w:szCs w:val="24"/>
          <w:highlight w:val="none"/>
        </w:rPr>
        <w:t>招标人</w:t>
      </w:r>
    </w:p>
    <w:p w14:paraId="2A228DE5">
      <w:pPr>
        <w:widowControl/>
        <w:spacing w:line="360" w:lineRule="auto"/>
        <w:ind w:left="840" w:hanging="840" w:hangingChars="350"/>
        <w:jc w:val="left"/>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t xml:space="preserve">1.12.1 </w:t>
      </w:r>
      <w:r>
        <w:rPr>
          <w:rFonts w:hint="eastAsia" w:ascii="宋体" w:hAnsi="宋体" w:eastAsia="宋体" w:cs="Times New Roman"/>
          <w:color w:val="auto"/>
          <w:sz w:val="24"/>
          <w:szCs w:val="24"/>
          <w:highlight w:val="none"/>
          <w:lang w:val="zh-CN"/>
        </w:rPr>
        <w:t>名称：</w:t>
      </w:r>
      <w:r>
        <w:rPr>
          <w:rFonts w:hint="eastAsia" w:ascii="宋体" w:hAnsi="宋体" w:eastAsia="宋体" w:cs="Times New Roman"/>
          <w:color w:val="auto"/>
          <w:sz w:val="24"/>
          <w:szCs w:val="24"/>
          <w:highlight w:val="none"/>
          <w:u w:val="single"/>
          <w:lang w:val="zh-CN"/>
        </w:rPr>
        <w:t>广州市重点公共建设项目管理中心</w:t>
      </w:r>
    </w:p>
    <w:p w14:paraId="075D1A72">
      <w:pPr>
        <w:widowControl/>
        <w:spacing w:line="360" w:lineRule="auto"/>
        <w:ind w:left="840" w:hanging="840" w:hangingChars="350"/>
        <w:jc w:val="left"/>
        <w:rPr>
          <w:rFonts w:ascii="宋体" w:hAnsi="宋体" w:eastAsia="宋体" w:cs="Times New Roman"/>
          <w:color w:val="auto"/>
          <w:sz w:val="24"/>
          <w:szCs w:val="24"/>
          <w:highlight w:val="none"/>
          <w:u w:val="single"/>
          <w:lang w:val="zh-CN"/>
        </w:rPr>
      </w:pPr>
      <w:r>
        <w:rPr>
          <w:rFonts w:ascii="宋体" w:hAnsi="宋体" w:eastAsia="宋体" w:cs="Times New Roman"/>
          <w:color w:val="auto"/>
          <w:sz w:val="24"/>
          <w:szCs w:val="24"/>
          <w:highlight w:val="none"/>
          <w:lang w:val="zh-CN"/>
        </w:rPr>
        <w:t xml:space="preserve">1.12.2 </w:t>
      </w:r>
      <w:r>
        <w:rPr>
          <w:rFonts w:hint="eastAsia" w:ascii="宋体" w:hAnsi="宋体" w:eastAsia="宋体" w:cs="Times New Roman"/>
          <w:color w:val="auto"/>
          <w:sz w:val="24"/>
          <w:szCs w:val="24"/>
          <w:highlight w:val="none"/>
          <w:lang w:val="zh-CN"/>
        </w:rPr>
        <w:t>邮政编码、地址：</w:t>
      </w:r>
      <w:r>
        <w:rPr>
          <w:rFonts w:ascii="宋体" w:hAnsi="宋体" w:eastAsia="宋体" w:cs="Times New Roman"/>
          <w:color w:val="auto"/>
          <w:sz w:val="24"/>
          <w:szCs w:val="24"/>
          <w:highlight w:val="none"/>
          <w:u w:val="single"/>
          <w:lang w:val="zh-CN"/>
        </w:rPr>
        <w:t>510006</w:t>
      </w:r>
      <w:r>
        <w:rPr>
          <w:rFonts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zh-CN"/>
        </w:rPr>
        <w:t>广州市番禺区星运路</w:t>
      </w:r>
      <w:r>
        <w:rPr>
          <w:rFonts w:ascii="宋体" w:hAnsi="宋体" w:eastAsia="宋体" w:cs="Times New Roman"/>
          <w:color w:val="auto"/>
          <w:sz w:val="24"/>
          <w:szCs w:val="24"/>
          <w:highlight w:val="none"/>
          <w:u w:val="single"/>
          <w:lang w:val="zh-CN"/>
        </w:rPr>
        <w:t>1号</w:t>
      </w:r>
    </w:p>
    <w:p w14:paraId="5BAAFA6D">
      <w:pPr>
        <w:widowControl/>
        <w:spacing w:line="360" w:lineRule="auto"/>
        <w:ind w:left="840" w:hanging="840" w:hangingChars="350"/>
        <w:jc w:val="left"/>
        <w:rPr>
          <w:rFonts w:hint="default" w:ascii="宋体" w:hAnsi="宋体" w:eastAsia="宋体" w:cs="Times New Roman"/>
          <w:color w:val="auto"/>
          <w:sz w:val="24"/>
          <w:szCs w:val="24"/>
          <w:highlight w:val="none"/>
          <w:u w:val="single"/>
          <w:lang w:val="en-US" w:eastAsia="zh-CN"/>
        </w:rPr>
      </w:pPr>
      <w:r>
        <w:rPr>
          <w:rFonts w:ascii="宋体" w:hAnsi="宋体" w:eastAsia="宋体" w:cs="Times New Roman"/>
          <w:color w:val="auto"/>
          <w:sz w:val="24"/>
          <w:szCs w:val="24"/>
          <w:highlight w:val="none"/>
          <w:lang w:val="zh-CN"/>
        </w:rPr>
        <w:t xml:space="preserve">1.12.3 </w:t>
      </w:r>
      <w:r>
        <w:rPr>
          <w:rFonts w:hint="eastAsia" w:ascii="宋体" w:hAnsi="宋体" w:eastAsia="宋体" w:cs="Times New Roman"/>
          <w:color w:val="auto"/>
          <w:sz w:val="24"/>
          <w:szCs w:val="24"/>
          <w:highlight w:val="none"/>
          <w:lang w:val="zh-CN"/>
        </w:rPr>
        <w:t>电话（手机）号码：</w:t>
      </w:r>
      <w:r>
        <w:rPr>
          <w:rFonts w:hint="eastAsia" w:ascii="宋体" w:hAnsi="宋体" w:eastAsia="宋体" w:cs="Times New Roman"/>
          <w:color w:val="auto"/>
          <w:sz w:val="24"/>
          <w:szCs w:val="24"/>
          <w:highlight w:val="none"/>
          <w:u w:val="single"/>
          <w:lang w:val="zh-CN"/>
        </w:rPr>
        <w:t>020-22905742</w:t>
      </w:r>
    </w:p>
    <w:p w14:paraId="3E393BE6">
      <w:pPr>
        <w:widowControl/>
        <w:spacing w:line="360" w:lineRule="auto"/>
        <w:ind w:left="840" w:hanging="840" w:hangingChars="350"/>
        <w:jc w:val="left"/>
        <w:rPr>
          <w:rFonts w:ascii="宋体" w:hAnsi="宋体" w:eastAsia="宋体" w:cs="Times New Roman"/>
          <w:color w:val="auto"/>
          <w:sz w:val="24"/>
          <w:szCs w:val="24"/>
          <w:highlight w:val="none"/>
          <w:u w:val="single"/>
          <w:lang w:val="zh-CN"/>
        </w:rPr>
      </w:pPr>
      <w:r>
        <w:rPr>
          <w:rFonts w:ascii="宋体" w:hAnsi="宋体" w:eastAsia="宋体" w:cs="Times New Roman"/>
          <w:color w:val="auto"/>
          <w:sz w:val="24"/>
          <w:szCs w:val="24"/>
          <w:highlight w:val="none"/>
          <w:lang w:val="zh-CN"/>
        </w:rPr>
        <w:t xml:space="preserve">1.12.4 </w:t>
      </w:r>
      <w:r>
        <w:rPr>
          <w:rFonts w:hint="eastAsia" w:ascii="宋体" w:hAnsi="宋体" w:eastAsia="宋体" w:cs="Times New Roman"/>
          <w:color w:val="auto"/>
          <w:sz w:val="24"/>
          <w:szCs w:val="24"/>
          <w:highlight w:val="none"/>
          <w:lang w:val="zh-CN"/>
        </w:rPr>
        <w:t>传真号码：</w:t>
      </w:r>
      <w:r>
        <w:rPr>
          <w:rFonts w:hint="eastAsia" w:ascii="宋体" w:hAnsi="宋体" w:eastAsia="宋体" w:cs="Times New Roman"/>
          <w:color w:val="auto"/>
          <w:sz w:val="24"/>
          <w:szCs w:val="24"/>
          <w:highlight w:val="none"/>
          <w:u w:val="single"/>
          <w:lang w:val="zh-CN"/>
        </w:rPr>
        <w:t>020-22905742</w:t>
      </w:r>
    </w:p>
    <w:p w14:paraId="70F77EB8">
      <w:pPr>
        <w:widowControl/>
        <w:spacing w:line="360" w:lineRule="auto"/>
        <w:ind w:left="840" w:hanging="840" w:hangingChars="350"/>
        <w:jc w:val="left"/>
        <w:rPr>
          <w:rFonts w:ascii="宋体" w:hAnsi="宋体" w:eastAsia="宋体" w:cs="Times New Roman"/>
          <w:color w:val="auto"/>
          <w:sz w:val="24"/>
          <w:szCs w:val="24"/>
          <w:highlight w:val="none"/>
          <w:u w:val="single"/>
          <w:lang w:val="zh-CN"/>
        </w:rPr>
      </w:pPr>
      <w:r>
        <w:rPr>
          <w:rFonts w:ascii="宋体" w:hAnsi="宋体" w:eastAsia="宋体" w:cs="Times New Roman"/>
          <w:color w:val="auto"/>
          <w:sz w:val="24"/>
          <w:szCs w:val="24"/>
          <w:highlight w:val="none"/>
          <w:lang w:val="zh-CN"/>
        </w:rPr>
        <w:t xml:space="preserve">1.12.5 </w:t>
      </w:r>
      <w:r>
        <w:rPr>
          <w:rFonts w:hint="eastAsia" w:ascii="宋体" w:hAnsi="宋体" w:eastAsia="宋体" w:cs="Times New Roman"/>
          <w:color w:val="auto"/>
          <w:sz w:val="24"/>
          <w:szCs w:val="24"/>
          <w:highlight w:val="none"/>
          <w:lang w:val="zh-CN"/>
        </w:rPr>
        <w:t>电子邮箱：</w:t>
      </w:r>
      <w:r>
        <w:rPr>
          <w:rFonts w:ascii="宋体" w:hAnsi="宋体" w:eastAsia="宋体" w:cs="Times New Roman"/>
          <w:color w:val="auto"/>
          <w:sz w:val="24"/>
          <w:szCs w:val="24"/>
          <w:highlight w:val="none"/>
          <w:u w:val="single"/>
          <w:lang w:val="zh-CN"/>
        </w:rPr>
        <w:t>/</w:t>
      </w:r>
    </w:p>
    <w:p w14:paraId="5E6924F2">
      <w:pPr>
        <w:spacing w:line="240" w:lineRule="auto"/>
        <w:jc w:val="left"/>
        <w:rPr>
          <w:rFonts w:ascii="宋体" w:hAnsi="宋体" w:eastAsia="宋体" w:cs="Times New Roman"/>
          <w:b/>
          <w:color w:val="auto"/>
          <w:sz w:val="24"/>
          <w:szCs w:val="24"/>
          <w:highlight w:val="none"/>
        </w:rPr>
      </w:pPr>
    </w:p>
    <w:p w14:paraId="3D1D45A3">
      <w:pPr>
        <w:spacing w:line="360" w:lineRule="auto"/>
        <w:jc w:val="left"/>
        <w:outlineLvl w:val="1"/>
        <w:rPr>
          <w:rFonts w:ascii="宋体" w:hAnsi="宋体" w:eastAsia="宋体" w:cs="Times New Roman"/>
          <w:b/>
          <w:bCs w:val="0"/>
          <w:color w:val="auto"/>
          <w:sz w:val="24"/>
          <w:szCs w:val="24"/>
          <w:highlight w:val="none"/>
        </w:rPr>
      </w:pPr>
      <w:r>
        <w:rPr>
          <w:rFonts w:ascii="宋体" w:hAnsi="宋体" w:eastAsia="宋体" w:cs="Times New Roman"/>
          <w:b/>
          <w:color w:val="auto"/>
          <w:sz w:val="24"/>
          <w:szCs w:val="24"/>
          <w:highlight w:val="none"/>
        </w:rPr>
        <w:t xml:space="preserve">1.13   </w:t>
      </w:r>
      <w:r>
        <w:rPr>
          <w:rFonts w:hint="default" w:ascii="宋体" w:hAnsi="宋体" w:eastAsia="宋体" w:cs="Times New Roman"/>
          <w:b/>
          <w:bCs w:val="0"/>
          <w:color w:val="auto"/>
          <w:sz w:val="24"/>
          <w:szCs w:val="24"/>
          <w:highlight w:val="none"/>
        </w:rPr>
        <w:t>招标代理机构</w:t>
      </w:r>
      <w:bookmarkStart w:id="6" w:name="_GoBack"/>
      <w:bookmarkEnd w:id="6"/>
    </w:p>
    <w:p w14:paraId="6910C259">
      <w:pPr>
        <w:widowControl/>
        <w:spacing w:line="360" w:lineRule="auto"/>
        <w:ind w:left="840" w:hanging="840" w:hangingChars="350"/>
        <w:jc w:val="left"/>
        <w:rPr>
          <w:rFonts w:hint="eastAsia" w:ascii="宋体" w:hAnsi="宋体" w:eastAsia="宋体" w:cs="Times New Roman"/>
          <w:color w:val="auto"/>
          <w:sz w:val="24"/>
          <w:szCs w:val="24"/>
          <w:highlight w:val="none"/>
          <w:lang w:val="zh-CN" w:eastAsia="zh-CN"/>
        </w:rPr>
      </w:pPr>
      <w:r>
        <w:rPr>
          <w:rFonts w:ascii="宋体" w:hAnsi="宋体" w:eastAsia="宋体" w:cs="Times New Roman"/>
          <w:color w:val="auto"/>
          <w:sz w:val="24"/>
          <w:szCs w:val="24"/>
          <w:highlight w:val="none"/>
          <w:lang w:val="zh-CN"/>
        </w:rPr>
        <w:t xml:space="preserve">1.13.1 </w:t>
      </w:r>
      <w:r>
        <w:rPr>
          <w:rFonts w:hint="eastAsia" w:ascii="宋体" w:hAnsi="宋体" w:eastAsia="宋体" w:cs="Times New Roman"/>
          <w:color w:val="auto"/>
          <w:sz w:val="24"/>
          <w:szCs w:val="24"/>
          <w:highlight w:val="none"/>
          <w:lang w:val="zh-CN"/>
        </w:rPr>
        <w:t>名称：</w:t>
      </w:r>
      <w:r>
        <w:rPr>
          <w:rFonts w:hint="eastAsia" w:ascii="宋体" w:hAnsi="宋体" w:eastAsia="宋体" w:cs="Times New Roman"/>
          <w:color w:val="auto"/>
          <w:sz w:val="24"/>
          <w:szCs w:val="24"/>
          <w:highlight w:val="none"/>
          <w:u w:val="single"/>
          <w:lang w:eastAsia="zh-CN"/>
        </w:rPr>
        <w:t>广州筑正工程建设管理有限公司</w:t>
      </w:r>
    </w:p>
    <w:p w14:paraId="7D173EF2">
      <w:pPr>
        <w:widowControl/>
        <w:spacing w:line="360" w:lineRule="auto"/>
        <w:ind w:left="840" w:hanging="840" w:hangingChars="350"/>
        <w:jc w:val="left"/>
        <w:rPr>
          <w:rFonts w:hint="eastAsia" w:ascii="宋体" w:hAnsi="宋体" w:eastAsia="宋体" w:cs="Times New Roman"/>
          <w:color w:val="auto"/>
          <w:sz w:val="24"/>
          <w:szCs w:val="24"/>
          <w:highlight w:val="none"/>
          <w:lang w:val="zh-CN" w:eastAsia="zh-CN"/>
        </w:rPr>
      </w:pPr>
      <w:r>
        <w:rPr>
          <w:rFonts w:ascii="宋体" w:hAnsi="宋体" w:eastAsia="宋体" w:cs="Times New Roman"/>
          <w:color w:val="auto"/>
          <w:sz w:val="24"/>
          <w:szCs w:val="24"/>
          <w:highlight w:val="none"/>
          <w:lang w:val="zh-CN"/>
        </w:rPr>
        <w:t xml:space="preserve">1.13.2 </w:t>
      </w:r>
      <w:r>
        <w:rPr>
          <w:rFonts w:hint="eastAsia" w:ascii="宋体" w:hAnsi="宋体" w:eastAsia="宋体" w:cs="Times New Roman"/>
          <w:color w:val="auto"/>
          <w:sz w:val="24"/>
          <w:szCs w:val="24"/>
          <w:highlight w:val="none"/>
          <w:lang w:val="zh-CN"/>
        </w:rPr>
        <w:t>邮政编码、地址：</w:t>
      </w:r>
      <w:r>
        <w:rPr>
          <w:rFonts w:hint="eastAsia" w:ascii="宋体" w:hAnsi="宋体" w:eastAsia="宋体" w:cs="Times New Roman"/>
          <w:color w:val="auto"/>
          <w:sz w:val="24"/>
          <w:szCs w:val="24"/>
          <w:highlight w:val="none"/>
          <w:u w:val="single"/>
          <w:lang w:eastAsia="zh-CN"/>
        </w:rPr>
        <w:t>510530、广州市黄埔区水西路197号1801-1820房</w:t>
      </w:r>
    </w:p>
    <w:p w14:paraId="5156A7F6">
      <w:pPr>
        <w:widowControl/>
        <w:spacing w:line="360" w:lineRule="auto"/>
        <w:ind w:left="840" w:hanging="840" w:hangingChars="350"/>
        <w:jc w:val="left"/>
        <w:rPr>
          <w:rFonts w:hint="eastAsia" w:ascii="宋体" w:hAnsi="宋体" w:eastAsia="宋体" w:cs="Times New Roman"/>
          <w:color w:val="auto"/>
          <w:sz w:val="24"/>
          <w:szCs w:val="24"/>
          <w:highlight w:val="none"/>
          <w:lang w:val="zh-CN" w:eastAsia="zh-CN"/>
        </w:rPr>
      </w:pPr>
      <w:r>
        <w:rPr>
          <w:rFonts w:ascii="宋体" w:hAnsi="宋体" w:eastAsia="宋体" w:cs="Times New Roman"/>
          <w:color w:val="auto"/>
          <w:sz w:val="24"/>
          <w:szCs w:val="24"/>
          <w:highlight w:val="none"/>
          <w:lang w:val="zh-CN"/>
        </w:rPr>
        <w:t xml:space="preserve">1.13.3 </w:t>
      </w:r>
      <w:r>
        <w:rPr>
          <w:rFonts w:hint="eastAsia" w:ascii="宋体" w:hAnsi="宋体" w:eastAsia="宋体" w:cs="Times New Roman"/>
          <w:color w:val="auto"/>
          <w:sz w:val="24"/>
          <w:szCs w:val="24"/>
          <w:highlight w:val="none"/>
          <w:lang w:val="zh-CN"/>
        </w:rPr>
        <w:t>电话（手机）号码：</w:t>
      </w:r>
      <w:r>
        <w:rPr>
          <w:rFonts w:hint="eastAsia" w:ascii="宋体" w:hAnsi="宋体" w:eastAsia="宋体" w:cs="Times New Roman"/>
          <w:color w:val="auto"/>
          <w:sz w:val="24"/>
          <w:szCs w:val="24"/>
          <w:highlight w:val="none"/>
          <w:u w:val="single"/>
          <w:lang w:eastAsia="zh-CN"/>
        </w:rPr>
        <w:t>020-82165699/15920377064</w:t>
      </w:r>
    </w:p>
    <w:p w14:paraId="7A831E50">
      <w:pPr>
        <w:spacing w:line="360" w:lineRule="auto"/>
        <w:jc w:val="left"/>
        <w:rPr>
          <w:rFonts w:hint="eastAsia" w:ascii="宋体" w:hAnsi="宋体" w:eastAsia="宋体" w:cs="Times New Roman"/>
          <w:color w:val="auto"/>
          <w:sz w:val="24"/>
          <w:szCs w:val="24"/>
          <w:highlight w:val="none"/>
          <w:u w:val="single"/>
          <w:lang w:val="zh-CN" w:eastAsia="zh-CN"/>
        </w:rPr>
      </w:pPr>
      <w:r>
        <w:rPr>
          <w:rFonts w:ascii="宋体" w:hAnsi="宋体" w:eastAsia="宋体" w:cs="Times New Roman"/>
          <w:color w:val="auto"/>
          <w:sz w:val="24"/>
          <w:szCs w:val="24"/>
          <w:highlight w:val="none"/>
          <w:lang w:val="zh-CN"/>
        </w:rPr>
        <w:t xml:space="preserve">1.13.4 </w:t>
      </w:r>
      <w:r>
        <w:rPr>
          <w:rFonts w:hint="eastAsia" w:ascii="宋体" w:hAnsi="宋体" w:eastAsia="宋体" w:cs="Times New Roman"/>
          <w:color w:val="auto"/>
          <w:sz w:val="24"/>
          <w:szCs w:val="24"/>
          <w:highlight w:val="none"/>
          <w:lang w:val="zh-CN"/>
        </w:rPr>
        <w:t>传真号码：</w:t>
      </w:r>
      <w:r>
        <w:rPr>
          <w:rFonts w:hint="eastAsia" w:ascii="宋体" w:hAnsi="宋体" w:eastAsia="宋体" w:cs="Times New Roman"/>
          <w:color w:val="auto"/>
          <w:sz w:val="24"/>
          <w:szCs w:val="24"/>
          <w:highlight w:val="none"/>
          <w:u w:val="single"/>
          <w:lang w:val="en-US" w:eastAsia="zh-CN"/>
        </w:rPr>
        <w:t>020-82165652</w:t>
      </w:r>
    </w:p>
    <w:p w14:paraId="68D9DF43">
      <w:pPr>
        <w:spacing w:line="360" w:lineRule="auto"/>
        <w:jc w:val="left"/>
        <w:rPr>
          <w:rFonts w:ascii="宋体" w:hAnsi="宋体" w:eastAsia="宋体" w:cs="Times New Roman"/>
          <w:color w:val="auto"/>
          <w:sz w:val="24"/>
          <w:szCs w:val="24"/>
          <w:highlight w:val="none"/>
          <w:u w:val="single"/>
          <w:lang w:val="zh-CN"/>
        </w:rPr>
      </w:pPr>
      <w:r>
        <w:rPr>
          <w:rFonts w:ascii="宋体" w:hAnsi="宋体" w:eastAsia="宋体" w:cs="Times New Roman"/>
          <w:color w:val="auto"/>
          <w:sz w:val="24"/>
          <w:szCs w:val="24"/>
          <w:highlight w:val="none"/>
          <w:lang w:val="zh-CN"/>
        </w:rPr>
        <w:t>1.13.5电子邮箱：</w:t>
      </w:r>
      <w:r>
        <w:rPr>
          <w:rFonts w:hint="eastAsia" w:ascii="宋体" w:hAnsi="宋体" w:eastAsia="宋体" w:cs="Times New Roman"/>
          <w:color w:val="auto"/>
          <w:sz w:val="24"/>
          <w:szCs w:val="24"/>
          <w:highlight w:val="none"/>
          <w:u w:val="single"/>
          <w:lang w:val="en-US" w:eastAsia="zh-CN"/>
        </w:rPr>
        <w:t>truzem@163.com</w:t>
      </w:r>
    </w:p>
    <w:p w14:paraId="16FCA4A0">
      <w:pPr>
        <w:spacing w:line="240" w:lineRule="auto"/>
        <w:jc w:val="left"/>
        <w:rPr>
          <w:rFonts w:ascii="宋体" w:hAnsi="宋体" w:eastAsia="宋体" w:cs="Times New Roman"/>
          <w:b/>
          <w:color w:val="auto"/>
          <w:sz w:val="24"/>
          <w:szCs w:val="24"/>
          <w:highlight w:val="none"/>
        </w:rPr>
      </w:pPr>
    </w:p>
    <w:p w14:paraId="311BA26E">
      <w:pPr>
        <w:spacing w:line="360" w:lineRule="auto"/>
        <w:jc w:val="left"/>
        <w:outlineLvl w:val="1"/>
        <w:rPr>
          <w:rFonts w:ascii="宋体" w:hAnsi="宋体" w:eastAsia="宋体" w:cs="Times New Roman"/>
          <w:b/>
          <w:bCs w:val="0"/>
          <w:color w:val="auto"/>
          <w:sz w:val="24"/>
          <w:szCs w:val="24"/>
          <w:highlight w:val="none"/>
        </w:rPr>
      </w:pPr>
      <w:r>
        <w:rPr>
          <w:rFonts w:ascii="宋体" w:hAnsi="宋体" w:eastAsia="宋体" w:cs="Times New Roman"/>
          <w:b/>
          <w:color w:val="auto"/>
          <w:sz w:val="24"/>
          <w:szCs w:val="24"/>
          <w:highlight w:val="none"/>
        </w:rPr>
        <w:t xml:space="preserve">1.14   </w:t>
      </w:r>
      <w:r>
        <w:rPr>
          <w:rFonts w:hint="default" w:ascii="宋体" w:hAnsi="宋体" w:eastAsia="宋体" w:cs="Times New Roman"/>
          <w:b/>
          <w:bCs w:val="0"/>
          <w:color w:val="auto"/>
          <w:sz w:val="24"/>
          <w:szCs w:val="24"/>
          <w:highlight w:val="none"/>
        </w:rPr>
        <w:t>交易服务机构</w:t>
      </w:r>
    </w:p>
    <w:p w14:paraId="6DC8E0C4">
      <w:pPr>
        <w:spacing w:line="360" w:lineRule="auto"/>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 xml:space="preserve">1.14.1 </w:t>
      </w: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lang w:eastAsia="zh-CN"/>
        </w:rPr>
        <w:t>广州交易集团有限公司（广州公共资源交易中心）</w:t>
      </w:r>
    </w:p>
    <w:p w14:paraId="304AE621">
      <w:pPr>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1.14.2 </w:t>
      </w:r>
      <w:r>
        <w:rPr>
          <w:rFonts w:hint="eastAsia" w:ascii="宋体" w:hAnsi="宋体" w:eastAsia="宋体" w:cs="Times New Roman"/>
          <w:color w:val="auto"/>
          <w:sz w:val="24"/>
          <w:szCs w:val="24"/>
          <w:highlight w:val="none"/>
        </w:rPr>
        <w:t>邮政编码、地址：</w:t>
      </w:r>
      <w:r>
        <w:rPr>
          <w:rFonts w:ascii="宋体" w:hAnsi="宋体" w:eastAsia="宋体" w:cs="Times New Roman"/>
          <w:color w:val="auto"/>
          <w:sz w:val="24"/>
          <w:szCs w:val="24"/>
          <w:highlight w:val="none"/>
          <w:u w:val="single"/>
        </w:rPr>
        <w:t>510630、广州市天河区天润路333号</w:t>
      </w:r>
    </w:p>
    <w:p w14:paraId="63B96204">
      <w:pPr>
        <w:spacing w:line="360" w:lineRule="auto"/>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 xml:space="preserve">1.14.3 </w:t>
      </w:r>
      <w:r>
        <w:rPr>
          <w:rFonts w:hint="eastAsia" w:ascii="宋体" w:hAnsi="宋体" w:eastAsia="宋体" w:cs="Times New Roman"/>
          <w:color w:val="auto"/>
          <w:sz w:val="24"/>
          <w:szCs w:val="24"/>
          <w:highlight w:val="none"/>
        </w:rPr>
        <w:t>电话（手机）号码：</w:t>
      </w:r>
      <w:r>
        <w:rPr>
          <w:rFonts w:ascii="宋体" w:hAnsi="宋体" w:eastAsia="宋体" w:cs="Times New Roman"/>
          <w:color w:val="auto"/>
          <w:sz w:val="24"/>
          <w:szCs w:val="24"/>
          <w:highlight w:val="none"/>
          <w:u w:val="single"/>
        </w:rPr>
        <w:t>020-28866000</w:t>
      </w:r>
    </w:p>
    <w:p w14:paraId="22D87286">
      <w:pPr>
        <w:spacing w:line="360" w:lineRule="auto"/>
        <w:jc w:val="left"/>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 xml:space="preserve">1.14.4 </w:t>
      </w:r>
      <w:r>
        <w:rPr>
          <w:rFonts w:hint="eastAsia" w:ascii="宋体" w:hAnsi="宋体" w:eastAsia="宋体" w:cs="Times New Roman"/>
          <w:color w:val="auto"/>
          <w:sz w:val="24"/>
          <w:szCs w:val="24"/>
          <w:highlight w:val="none"/>
        </w:rPr>
        <w:t>传真号码：</w:t>
      </w:r>
      <w:r>
        <w:rPr>
          <w:rFonts w:ascii="宋体" w:hAnsi="宋体" w:eastAsia="宋体" w:cs="Times New Roman"/>
          <w:color w:val="auto"/>
          <w:sz w:val="24"/>
          <w:szCs w:val="24"/>
          <w:highlight w:val="none"/>
          <w:u w:val="single"/>
        </w:rPr>
        <w:t>020-28866095</w:t>
      </w:r>
    </w:p>
    <w:p w14:paraId="336D0B4C">
      <w:pPr>
        <w:spacing w:line="360" w:lineRule="auto"/>
        <w:rPr>
          <w:rFonts w:hint="eastAsia" w:ascii="宋体" w:hAnsi="宋体" w:eastAsia="宋体" w:cs="Times New Roman"/>
          <w:color w:val="auto"/>
          <w:sz w:val="24"/>
          <w:szCs w:val="24"/>
          <w:highlight w:val="none"/>
          <w:u w:val="single"/>
          <w:lang w:eastAsia="zh-CN"/>
        </w:rPr>
      </w:pPr>
      <w:r>
        <w:rPr>
          <w:rFonts w:ascii="宋体" w:hAnsi="宋体" w:eastAsia="宋体" w:cs="Times New Roman"/>
          <w:color w:val="auto"/>
          <w:sz w:val="24"/>
          <w:szCs w:val="24"/>
          <w:highlight w:val="none"/>
        </w:rPr>
        <w:t xml:space="preserve">1.14.5 </w:t>
      </w:r>
      <w:r>
        <w:rPr>
          <w:rFonts w:hint="eastAsia" w:ascii="宋体" w:hAnsi="宋体" w:eastAsia="宋体" w:cs="Times New Roman"/>
          <w:color w:val="auto"/>
          <w:sz w:val="24"/>
          <w:szCs w:val="24"/>
          <w:highlight w:val="none"/>
        </w:rPr>
        <w:t>网址：</w:t>
      </w:r>
      <w:r>
        <w:rPr>
          <w:rFonts w:hint="eastAsia" w:ascii="宋体" w:hAnsi="宋体" w:eastAsia="宋体" w:cs="Times New Roman"/>
          <w:color w:val="auto"/>
          <w:sz w:val="24"/>
          <w:szCs w:val="24"/>
          <w:highlight w:val="none"/>
          <w:u w:val="single"/>
          <w:lang w:eastAsia="zh-CN"/>
        </w:rPr>
        <w:t>http://www.gzggzy.cn</w:t>
      </w:r>
    </w:p>
    <w:p w14:paraId="0A9B0802">
      <w:pPr>
        <w:spacing w:line="240" w:lineRule="auto"/>
        <w:jc w:val="left"/>
        <w:rPr>
          <w:rFonts w:ascii="宋体" w:hAnsi="宋体" w:eastAsia="宋体" w:cs="Times New Roman"/>
          <w:color w:val="auto"/>
          <w:sz w:val="24"/>
          <w:szCs w:val="24"/>
          <w:highlight w:val="none"/>
        </w:rPr>
      </w:pPr>
    </w:p>
    <w:p w14:paraId="7ECC9DC5">
      <w:pPr>
        <w:spacing w:line="360" w:lineRule="auto"/>
        <w:jc w:val="left"/>
        <w:outlineLvl w:val="1"/>
        <w:rPr>
          <w:rFonts w:ascii="宋体" w:hAnsi="宋体" w:eastAsia="宋体" w:cs="Times New Roman"/>
          <w:b/>
          <w:bCs w:val="0"/>
          <w:color w:val="auto"/>
          <w:sz w:val="24"/>
          <w:szCs w:val="24"/>
          <w:highlight w:val="none"/>
        </w:rPr>
      </w:pPr>
      <w:r>
        <w:rPr>
          <w:rFonts w:ascii="宋体" w:hAnsi="宋体" w:eastAsia="宋体" w:cs="Times New Roman"/>
          <w:b/>
          <w:bCs w:val="0"/>
          <w:color w:val="auto"/>
          <w:sz w:val="24"/>
          <w:szCs w:val="24"/>
          <w:highlight w:val="none"/>
        </w:rPr>
        <w:t xml:space="preserve">1.15   </w:t>
      </w:r>
      <w:r>
        <w:rPr>
          <w:rFonts w:hint="default" w:ascii="宋体" w:hAnsi="宋体" w:eastAsia="宋体" w:cs="Times New Roman"/>
          <w:b/>
          <w:bCs w:val="0"/>
          <w:color w:val="auto"/>
          <w:sz w:val="24"/>
          <w:szCs w:val="24"/>
          <w:highlight w:val="none"/>
        </w:rPr>
        <w:t>招标管理机构</w:t>
      </w:r>
    </w:p>
    <w:p w14:paraId="0817594B">
      <w:pPr>
        <w:spacing w:line="360" w:lineRule="auto"/>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1.15.1 </w:t>
      </w: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广州市建设工程招标管理办公室</w:t>
      </w:r>
    </w:p>
    <w:p w14:paraId="02D8AA29">
      <w:pPr>
        <w:spacing w:line="360" w:lineRule="auto"/>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1.15.2 邮政编码、地址：</w:t>
      </w:r>
      <w:r>
        <w:rPr>
          <w:rFonts w:ascii="宋体" w:hAnsi="宋体" w:eastAsia="宋体" w:cs="Times New Roman"/>
          <w:color w:val="auto"/>
          <w:sz w:val="24"/>
          <w:szCs w:val="24"/>
          <w:highlight w:val="none"/>
          <w:u w:val="single"/>
          <w:lang w:val="zh-CN"/>
        </w:rPr>
        <w:t>510630</w:t>
      </w:r>
      <w:r>
        <w:rPr>
          <w:rFonts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zh-CN"/>
        </w:rPr>
        <w:t>广州市天河区天润路</w:t>
      </w:r>
      <w:r>
        <w:rPr>
          <w:rFonts w:ascii="宋体" w:hAnsi="宋体" w:eastAsia="宋体" w:cs="Times New Roman"/>
          <w:color w:val="auto"/>
          <w:sz w:val="24"/>
          <w:szCs w:val="24"/>
          <w:highlight w:val="none"/>
          <w:u w:val="single"/>
          <w:lang w:val="zh-CN"/>
        </w:rPr>
        <w:t>333号3楼</w:t>
      </w:r>
    </w:p>
    <w:p w14:paraId="6D89A3DA">
      <w:pPr>
        <w:spacing w:line="360" w:lineRule="auto"/>
        <w:jc w:val="left"/>
        <w:rPr>
          <w:rFonts w:hint="default"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rPr>
        <w:t>1.15.3 电话号码：</w:t>
      </w:r>
      <w:r>
        <w:rPr>
          <w:rFonts w:ascii="宋体" w:hAnsi="宋体" w:eastAsia="宋体" w:cs="Times New Roman"/>
          <w:color w:val="auto"/>
          <w:sz w:val="24"/>
          <w:szCs w:val="24"/>
          <w:highlight w:val="none"/>
          <w:u w:val="single"/>
        </w:rPr>
        <w:t>020-288662</w:t>
      </w:r>
      <w:r>
        <w:rPr>
          <w:rFonts w:hint="eastAsia" w:ascii="宋体" w:hAnsi="宋体" w:eastAsia="宋体" w:cs="Times New Roman"/>
          <w:color w:val="auto"/>
          <w:sz w:val="24"/>
          <w:szCs w:val="24"/>
          <w:highlight w:val="none"/>
          <w:u w:val="single"/>
          <w:lang w:val="en-US" w:eastAsia="zh-CN"/>
        </w:rPr>
        <w:t>20</w:t>
      </w:r>
    </w:p>
    <w:p w14:paraId="4EC6BF4A">
      <w:pPr>
        <w:spacing w:line="360" w:lineRule="auto"/>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1.15.4 传真号码：</w:t>
      </w:r>
      <w:r>
        <w:rPr>
          <w:rFonts w:ascii="宋体" w:hAnsi="宋体" w:eastAsia="宋体" w:cs="Times New Roman"/>
          <w:color w:val="auto"/>
          <w:sz w:val="24"/>
          <w:szCs w:val="24"/>
          <w:highlight w:val="none"/>
          <w:u w:val="single"/>
          <w:lang w:val="zh-CN"/>
        </w:rPr>
        <w:t>/</w:t>
      </w:r>
    </w:p>
    <w:p w14:paraId="359E30BB">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br w:type="page"/>
      </w:r>
    </w:p>
    <w:p w14:paraId="5CADD88C">
      <w:pPr>
        <w:keepNext w:val="0"/>
        <w:keepLines w:val="0"/>
        <w:pageBreakBefore w:val="0"/>
        <w:widowControl w:val="0"/>
        <w:kinsoku/>
        <w:wordWrap/>
        <w:overflowPunct/>
        <w:topLinePunct w:val="0"/>
        <w:autoSpaceDE/>
        <w:autoSpaceDN/>
        <w:bidi w:val="0"/>
        <w:adjustRightInd/>
        <w:snapToGrid/>
        <w:textAlignment w:val="auto"/>
        <w:outlineLvl w:val="1"/>
        <w:rPr>
          <w:rFonts w:ascii="Calibri" w:hAnsi="Calibri" w:eastAsia="宋体" w:cs="Calibri"/>
          <w:color w:val="auto"/>
          <w:kern w:val="0"/>
          <w:highlight w:val="none"/>
          <w:u w:val="single"/>
        </w:rPr>
      </w:pPr>
      <w:r>
        <w:rPr>
          <w:rFonts w:hint="eastAsia" w:ascii="宋体" w:hAnsi="宋体" w:eastAsia="宋体" w:cs="Times New Roman"/>
          <w:color w:val="auto"/>
          <w:sz w:val="24"/>
          <w:highlight w:val="none"/>
        </w:rPr>
        <w:t>附件</w:t>
      </w:r>
      <w:r>
        <w:rPr>
          <w:rFonts w:hint="eastAsia" w:ascii="宋体" w:hAnsi="宋体" w:eastAsia="宋体" w:cs="Times New Roman"/>
          <w:color w:val="auto"/>
          <w:sz w:val="24"/>
          <w:highlight w:val="none"/>
          <w:lang w:val="en-US" w:eastAsia="zh-CN"/>
        </w:rPr>
        <w:t>一</w:t>
      </w:r>
      <w:r>
        <w:rPr>
          <w:rFonts w:hint="eastAsia" w:ascii="宋体" w:hAnsi="宋体" w:eastAsia="宋体" w:cs="Times New Roman"/>
          <w:color w:val="auto"/>
          <w:sz w:val="24"/>
          <w:highlight w:val="none"/>
        </w:rPr>
        <w:t>：《被本项目招标人书面拒绝投标的企业名单》</w:t>
      </w:r>
    </w:p>
    <w:p w14:paraId="028917BE">
      <w:pPr>
        <w:rPr>
          <w:color w:val="auto"/>
          <w:highlight w:val="none"/>
        </w:rPr>
      </w:pPr>
    </w:p>
    <w:p w14:paraId="0189DC2A">
      <w:pPr>
        <w:jc w:val="center"/>
        <w:rPr>
          <w:b/>
          <w:bCs/>
          <w:color w:val="auto"/>
          <w:highlight w:val="none"/>
        </w:rPr>
      </w:pPr>
      <w:r>
        <w:rPr>
          <w:b/>
          <w:bCs/>
          <w:color w:val="auto"/>
          <w:highlight w:val="none"/>
        </w:rPr>
        <w:t>被本项目招标人书面拒绝投标的企业名单</w:t>
      </w:r>
    </w:p>
    <w:p w14:paraId="253A37CB">
      <w:pPr>
        <w:rPr>
          <w:color w:val="auto"/>
          <w:highlight w:val="none"/>
        </w:rPr>
      </w:pPr>
    </w:p>
    <w:tbl>
      <w:tblPr>
        <w:tblStyle w:val="15"/>
        <w:tblW w:w="7359" w:type="dxa"/>
        <w:jc w:val="center"/>
        <w:tblLayout w:type="fixed"/>
        <w:tblCellMar>
          <w:top w:w="0" w:type="dxa"/>
          <w:left w:w="0" w:type="dxa"/>
          <w:bottom w:w="0" w:type="dxa"/>
          <w:right w:w="0" w:type="dxa"/>
        </w:tblCellMar>
      </w:tblPr>
      <w:tblGrid>
        <w:gridCol w:w="1213"/>
        <w:gridCol w:w="6146"/>
      </w:tblGrid>
      <w:tr w14:paraId="4132E898">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950956">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eastAsia" w:ascii="宋体" w:hAnsi="宋体" w:cs="宋体"/>
                <w:b/>
                <w:bCs/>
                <w:color w:val="auto"/>
                <w:szCs w:val="24"/>
                <w:highlight w:val="none"/>
              </w:rPr>
              <w:t>序号</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98A1F4">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eastAsia" w:ascii="宋体" w:hAnsi="宋体" w:cs="宋体"/>
                <w:b/>
                <w:bCs/>
                <w:color w:val="auto"/>
                <w:szCs w:val="24"/>
                <w:highlight w:val="none"/>
              </w:rPr>
              <w:t>企业名称</w:t>
            </w:r>
          </w:p>
        </w:tc>
      </w:tr>
      <w:tr w14:paraId="296E064A">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A81506">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szCs w:val="24"/>
                <w:highlight w:val="none"/>
              </w:rPr>
            </w:pPr>
            <w:r>
              <w:rPr>
                <w:rFonts w:hint="default" w:ascii="宋体" w:hAnsi="宋体" w:cs="宋体"/>
                <w:b/>
                <w:bCs/>
                <w:color w:val="auto"/>
                <w:szCs w:val="24"/>
                <w:highlight w:val="none"/>
              </w:rPr>
              <w:t>1</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1E043C">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广东电白二建集团有限公司</w:t>
            </w:r>
          </w:p>
        </w:tc>
      </w:tr>
      <w:tr w14:paraId="0A517715">
        <w:tblPrEx>
          <w:tblCellMar>
            <w:top w:w="0" w:type="dxa"/>
            <w:left w:w="0" w:type="dxa"/>
            <w:bottom w:w="0" w:type="dxa"/>
            <w:right w:w="0" w:type="dxa"/>
          </w:tblCellMar>
        </w:tblPrEx>
        <w:trPr>
          <w:trHeight w:val="64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7F559C">
            <w:pPr>
              <w:keepNext w:val="0"/>
              <w:keepLines w:val="0"/>
              <w:widowControl/>
              <w:suppressLineNumbers w:val="0"/>
              <w:spacing w:before="0" w:beforeAutospacing="0" w:after="0" w:afterAutospacing="0" w:line="360" w:lineRule="auto"/>
              <w:ind w:left="0" w:right="0"/>
              <w:jc w:val="center"/>
              <w:rPr>
                <w:rFonts w:hint="eastAsia" w:ascii="宋体" w:hAnsi="宋体" w:cs="宋体" w:eastAsiaTheme="minorEastAsia"/>
                <w:b/>
                <w:bCs/>
                <w:color w:val="auto"/>
                <w:szCs w:val="24"/>
                <w:highlight w:val="none"/>
                <w:lang w:eastAsia="zh-CN"/>
              </w:rPr>
            </w:pPr>
            <w:r>
              <w:rPr>
                <w:rFonts w:hint="eastAsia" w:ascii="宋体" w:hAnsi="宋体" w:cs="宋体"/>
                <w:b/>
                <w:bCs/>
                <w:color w:val="auto"/>
                <w:szCs w:val="24"/>
                <w:highlight w:val="none"/>
                <w:lang w:val="en-US" w:eastAsia="zh-CN"/>
              </w:rPr>
              <w:t>2</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98BF29">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广州市裕建工程有限公司</w:t>
            </w:r>
          </w:p>
        </w:tc>
      </w:tr>
      <w:tr w14:paraId="0608FB47">
        <w:tblPrEx>
          <w:tblCellMar>
            <w:top w:w="0" w:type="dxa"/>
            <w:left w:w="0" w:type="dxa"/>
            <w:bottom w:w="0" w:type="dxa"/>
            <w:right w:w="0" w:type="dxa"/>
          </w:tblCellMar>
        </w:tblPrEx>
        <w:trPr>
          <w:trHeight w:val="665" w:hRule="atLeast"/>
          <w:jc w:val="center"/>
        </w:trPr>
        <w:tc>
          <w:tcPr>
            <w:tcW w:w="12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CE3A11">
            <w:pPr>
              <w:keepNext w:val="0"/>
              <w:keepLines w:val="0"/>
              <w:widowControl/>
              <w:suppressLineNumbers w:val="0"/>
              <w:spacing w:before="0" w:beforeAutospacing="0" w:after="0" w:afterAutospacing="0" w:line="360" w:lineRule="auto"/>
              <w:ind w:left="0" w:right="0"/>
              <w:jc w:val="center"/>
              <w:rPr>
                <w:rFonts w:hint="eastAsia" w:ascii="宋体" w:hAnsi="宋体" w:cs="宋体" w:eastAsiaTheme="minorEastAsia"/>
                <w:b/>
                <w:bCs/>
                <w:color w:val="auto"/>
                <w:szCs w:val="24"/>
                <w:highlight w:val="none"/>
                <w:lang w:eastAsia="zh-CN"/>
              </w:rPr>
            </w:pPr>
            <w:r>
              <w:rPr>
                <w:rFonts w:hint="eastAsia" w:ascii="宋体" w:hAnsi="宋体" w:cs="宋体"/>
                <w:b/>
                <w:bCs/>
                <w:color w:val="auto"/>
                <w:szCs w:val="24"/>
                <w:highlight w:val="none"/>
                <w:lang w:val="en-US" w:eastAsia="zh-CN"/>
              </w:rPr>
              <w:t>3</w:t>
            </w:r>
          </w:p>
        </w:tc>
        <w:tc>
          <w:tcPr>
            <w:tcW w:w="6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8F226D">
            <w:pPr>
              <w:keepNext w:val="0"/>
              <w:keepLines w:val="0"/>
              <w:widowControl/>
              <w:suppressLineNumbers w:val="0"/>
              <w:spacing w:before="0" w:beforeAutospacing="0" w:after="0" w:afterAutospacing="0" w:line="360" w:lineRule="auto"/>
              <w:ind w:left="0" w:leftChars="0" w:right="0" w:rightChars="0"/>
              <w:jc w:val="center"/>
              <w:rPr>
                <w:rFonts w:hint="default" w:ascii="宋体" w:hAnsi="宋体" w:cs="宋体"/>
                <w:b/>
                <w:bCs/>
                <w:color w:val="auto"/>
                <w:szCs w:val="24"/>
                <w:highlight w:val="none"/>
              </w:rPr>
            </w:pPr>
            <w:r>
              <w:rPr>
                <w:rFonts w:hint="default" w:ascii="宋体" w:hAnsi="宋体" w:cs="宋体"/>
                <w:b/>
                <w:bCs/>
                <w:color w:val="auto"/>
                <w:szCs w:val="24"/>
                <w:highlight w:val="none"/>
              </w:rPr>
              <w:t>广州市水电建设工程有限公司</w:t>
            </w:r>
          </w:p>
        </w:tc>
      </w:tr>
    </w:tbl>
    <w:p w14:paraId="0B118AD0">
      <w:pPr>
        <w:rPr>
          <w:color w:val="auto"/>
          <w:highlight w:val="none"/>
        </w:rPr>
      </w:pPr>
    </w:p>
    <w:p w14:paraId="03CB451F">
      <w:pPr>
        <w:rPr>
          <w:color w:val="auto"/>
          <w:highlight w:val="none"/>
        </w:rPr>
      </w:pPr>
    </w:p>
    <w:sectPr>
      <w:headerReference r:id="rId5" w:type="default"/>
      <w:footerReference r:id="rId6" w:type="default"/>
      <w:pgSz w:w="11905" w:h="16838"/>
      <w:pgMar w:top="1417" w:right="1417" w:bottom="1417" w:left="1417" w:header="851" w:footer="992" w:gutter="0"/>
      <w:pgNumType w:start="1"/>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THeiti">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A04F">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D4E86">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04E8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F04E8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C194">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AF7E">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1FD60"/>
    <w:multiLevelType w:val="multilevel"/>
    <w:tmpl w:val="6571FD60"/>
    <w:lvl w:ilvl="0" w:tentative="0">
      <w:start w:val="1"/>
      <w:numFmt w:val="chineseCounting"/>
      <w:pStyle w:val="2"/>
      <w:suff w:val="nothing"/>
      <w:lvlText w:val="第%1节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05"/>
  <w:drawingGridVerticalSpacing w:val="159"/>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2554C"/>
    <w:rsid w:val="029A6D61"/>
    <w:rsid w:val="0AC732F7"/>
    <w:rsid w:val="0AE71698"/>
    <w:rsid w:val="0D0B49DF"/>
    <w:rsid w:val="0DEB1407"/>
    <w:rsid w:val="102A2753"/>
    <w:rsid w:val="1425150B"/>
    <w:rsid w:val="17461B3F"/>
    <w:rsid w:val="17C711F9"/>
    <w:rsid w:val="18420856"/>
    <w:rsid w:val="18504D0E"/>
    <w:rsid w:val="187FA806"/>
    <w:rsid w:val="18FA1C63"/>
    <w:rsid w:val="19573E8D"/>
    <w:rsid w:val="1F7E515F"/>
    <w:rsid w:val="1FFFE65D"/>
    <w:rsid w:val="20085EE1"/>
    <w:rsid w:val="20D0458C"/>
    <w:rsid w:val="22FD2AC6"/>
    <w:rsid w:val="23FFDB4E"/>
    <w:rsid w:val="258461CA"/>
    <w:rsid w:val="27427F2B"/>
    <w:rsid w:val="28FB4EF8"/>
    <w:rsid w:val="2A464649"/>
    <w:rsid w:val="2AE45D75"/>
    <w:rsid w:val="2BBD2B5E"/>
    <w:rsid w:val="2BF32E76"/>
    <w:rsid w:val="2BFD5062"/>
    <w:rsid w:val="2EC7AF07"/>
    <w:rsid w:val="2F421715"/>
    <w:rsid w:val="2FFB2892"/>
    <w:rsid w:val="30634181"/>
    <w:rsid w:val="320169DA"/>
    <w:rsid w:val="339C6C14"/>
    <w:rsid w:val="33AD6BC8"/>
    <w:rsid w:val="3417E7F2"/>
    <w:rsid w:val="35402479"/>
    <w:rsid w:val="357070B5"/>
    <w:rsid w:val="35BFA377"/>
    <w:rsid w:val="36F247A7"/>
    <w:rsid w:val="36FF40BE"/>
    <w:rsid w:val="37E7217F"/>
    <w:rsid w:val="37FF85C8"/>
    <w:rsid w:val="39BF65B7"/>
    <w:rsid w:val="3A43428E"/>
    <w:rsid w:val="3AC80FD7"/>
    <w:rsid w:val="3B9F3746"/>
    <w:rsid w:val="3CAB44AB"/>
    <w:rsid w:val="3DB65103"/>
    <w:rsid w:val="3DBB1CEB"/>
    <w:rsid w:val="3DBFC215"/>
    <w:rsid w:val="3E7D4087"/>
    <w:rsid w:val="3F330DBB"/>
    <w:rsid w:val="3FD243B5"/>
    <w:rsid w:val="3FD7C30E"/>
    <w:rsid w:val="3FF3330C"/>
    <w:rsid w:val="3FFF8D4B"/>
    <w:rsid w:val="40E1285C"/>
    <w:rsid w:val="433724B6"/>
    <w:rsid w:val="463216A4"/>
    <w:rsid w:val="47DEBEF8"/>
    <w:rsid w:val="4A093FC7"/>
    <w:rsid w:val="4BA3693A"/>
    <w:rsid w:val="4BFE24FE"/>
    <w:rsid w:val="4CE44007"/>
    <w:rsid w:val="4D7E11B5"/>
    <w:rsid w:val="4DFB1965"/>
    <w:rsid w:val="522B2F13"/>
    <w:rsid w:val="52A35472"/>
    <w:rsid w:val="53FF0427"/>
    <w:rsid w:val="555D455C"/>
    <w:rsid w:val="55CF2D93"/>
    <w:rsid w:val="55E2554C"/>
    <w:rsid w:val="56F81F8B"/>
    <w:rsid w:val="573E3CC5"/>
    <w:rsid w:val="5934578E"/>
    <w:rsid w:val="5B679C5A"/>
    <w:rsid w:val="5B775CEB"/>
    <w:rsid w:val="5BFEE906"/>
    <w:rsid w:val="5D6FA230"/>
    <w:rsid w:val="5DFFA2C0"/>
    <w:rsid w:val="5EA66D54"/>
    <w:rsid w:val="5ED207CA"/>
    <w:rsid w:val="5FBB4FCF"/>
    <w:rsid w:val="5FDFD45D"/>
    <w:rsid w:val="5FE364E6"/>
    <w:rsid w:val="5FF3377E"/>
    <w:rsid w:val="5FF7C335"/>
    <w:rsid w:val="5FFE8DBA"/>
    <w:rsid w:val="5FFE9A15"/>
    <w:rsid w:val="60B838A8"/>
    <w:rsid w:val="61817DDC"/>
    <w:rsid w:val="66FFA3F9"/>
    <w:rsid w:val="6732213C"/>
    <w:rsid w:val="69E62C24"/>
    <w:rsid w:val="6A003886"/>
    <w:rsid w:val="6B5E411C"/>
    <w:rsid w:val="6BAF6685"/>
    <w:rsid w:val="6BEFA1E9"/>
    <w:rsid w:val="6C9E10C9"/>
    <w:rsid w:val="6DF79E34"/>
    <w:rsid w:val="6EC6E0B6"/>
    <w:rsid w:val="6FBB5E3C"/>
    <w:rsid w:val="6FEF9A59"/>
    <w:rsid w:val="73DF14D3"/>
    <w:rsid w:val="73EE4B17"/>
    <w:rsid w:val="7411707B"/>
    <w:rsid w:val="74850A24"/>
    <w:rsid w:val="75934015"/>
    <w:rsid w:val="777D19B1"/>
    <w:rsid w:val="777F5B4A"/>
    <w:rsid w:val="77CFB7B0"/>
    <w:rsid w:val="77D4265E"/>
    <w:rsid w:val="77FE0FE3"/>
    <w:rsid w:val="78444614"/>
    <w:rsid w:val="79604EBF"/>
    <w:rsid w:val="79CC1734"/>
    <w:rsid w:val="79FE0466"/>
    <w:rsid w:val="7A7FF577"/>
    <w:rsid w:val="7ADBA3AC"/>
    <w:rsid w:val="7AFF72A2"/>
    <w:rsid w:val="7BA06143"/>
    <w:rsid w:val="7BD317B7"/>
    <w:rsid w:val="7C566F9A"/>
    <w:rsid w:val="7D11554A"/>
    <w:rsid w:val="7D5A3060"/>
    <w:rsid w:val="7DF56A34"/>
    <w:rsid w:val="7DF99944"/>
    <w:rsid w:val="7DFDCC49"/>
    <w:rsid w:val="7DFF56F8"/>
    <w:rsid w:val="7EAFD067"/>
    <w:rsid w:val="7EC7385C"/>
    <w:rsid w:val="7EDF63F2"/>
    <w:rsid w:val="7EE141A0"/>
    <w:rsid w:val="7EFA9C45"/>
    <w:rsid w:val="7EFBA0C0"/>
    <w:rsid w:val="7F7FA5A8"/>
    <w:rsid w:val="7F95D014"/>
    <w:rsid w:val="7FB7097C"/>
    <w:rsid w:val="7FE4111F"/>
    <w:rsid w:val="7FE45A6A"/>
    <w:rsid w:val="7FEE3EAC"/>
    <w:rsid w:val="7FEF1DD5"/>
    <w:rsid w:val="7FEF5044"/>
    <w:rsid w:val="7FF158FD"/>
    <w:rsid w:val="7FF7F0D1"/>
    <w:rsid w:val="7FFF5FA8"/>
    <w:rsid w:val="7FFF7D9C"/>
    <w:rsid w:val="7FFF8728"/>
    <w:rsid w:val="92F7C788"/>
    <w:rsid w:val="95D7524E"/>
    <w:rsid w:val="97FDBAF2"/>
    <w:rsid w:val="9DE98AF3"/>
    <w:rsid w:val="A52F404E"/>
    <w:rsid w:val="A97DACF4"/>
    <w:rsid w:val="ADD781F4"/>
    <w:rsid w:val="ADFB0BFB"/>
    <w:rsid w:val="AFF3FC2E"/>
    <w:rsid w:val="B4F7610F"/>
    <w:rsid w:val="B5F6ED22"/>
    <w:rsid w:val="B5FBC3B4"/>
    <w:rsid w:val="B7A79B92"/>
    <w:rsid w:val="B7CF4312"/>
    <w:rsid w:val="B7FD4C8F"/>
    <w:rsid w:val="BA6CE913"/>
    <w:rsid w:val="BBCBD9B2"/>
    <w:rsid w:val="BD36950C"/>
    <w:rsid w:val="BE55DEB0"/>
    <w:rsid w:val="BE5C74F3"/>
    <w:rsid w:val="BE862D1B"/>
    <w:rsid w:val="BFD70489"/>
    <w:rsid w:val="BFDFC7C5"/>
    <w:rsid w:val="BFEA7342"/>
    <w:rsid w:val="BFFF39EE"/>
    <w:rsid w:val="BFFFF052"/>
    <w:rsid w:val="C694CEC6"/>
    <w:rsid w:val="C7FFE8C5"/>
    <w:rsid w:val="CBED6707"/>
    <w:rsid w:val="CDCD75F6"/>
    <w:rsid w:val="CFDFEDCA"/>
    <w:rsid w:val="D7EFFCFC"/>
    <w:rsid w:val="D94B606F"/>
    <w:rsid w:val="DA1F7846"/>
    <w:rsid w:val="DBFF4102"/>
    <w:rsid w:val="DF176659"/>
    <w:rsid w:val="DF4736C1"/>
    <w:rsid w:val="DFBDDC61"/>
    <w:rsid w:val="DFF57132"/>
    <w:rsid w:val="DFF650C3"/>
    <w:rsid w:val="DFFFA44B"/>
    <w:rsid w:val="E7BF6774"/>
    <w:rsid w:val="E7EF7286"/>
    <w:rsid w:val="EBEC7D2B"/>
    <w:rsid w:val="EE3F696A"/>
    <w:rsid w:val="EF2387FC"/>
    <w:rsid w:val="EF3F697B"/>
    <w:rsid w:val="EFFD5F3F"/>
    <w:rsid w:val="EFFF76FC"/>
    <w:rsid w:val="F1174C61"/>
    <w:rsid w:val="F5FBE6D3"/>
    <w:rsid w:val="F6B9FBB6"/>
    <w:rsid w:val="F6BF2F60"/>
    <w:rsid w:val="F7519154"/>
    <w:rsid w:val="F7D8EA6F"/>
    <w:rsid w:val="F7FB6946"/>
    <w:rsid w:val="F87F9A49"/>
    <w:rsid w:val="F9F3ECAD"/>
    <w:rsid w:val="FB2D4706"/>
    <w:rsid w:val="FB5EAA2D"/>
    <w:rsid w:val="FB97E7AB"/>
    <w:rsid w:val="FBC57837"/>
    <w:rsid w:val="FBF7AF97"/>
    <w:rsid w:val="FBFE4B76"/>
    <w:rsid w:val="FBFF1548"/>
    <w:rsid w:val="FD3FE22E"/>
    <w:rsid w:val="FD6B9A79"/>
    <w:rsid w:val="FD7C21F9"/>
    <w:rsid w:val="FDB3D45B"/>
    <w:rsid w:val="FDDFABC7"/>
    <w:rsid w:val="FDFB2DEA"/>
    <w:rsid w:val="FE7F3219"/>
    <w:rsid w:val="FEF99D7D"/>
    <w:rsid w:val="FEFA2AD3"/>
    <w:rsid w:val="FF2FE976"/>
    <w:rsid w:val="FF7F2E7D"/>
    <w:rsid w:val="FF7F3560"/>
    <w:rsid w:val="FF7FA60D"/>
    <w:rsid w:val="FFB22F0F"/>
    <w:rsid w:val="FFBE3449"/>
    <w:rsid w:val="FFDB4EDA"/>
    <w:rsid w:val="FFDBEAB7"/>
    <w:rsid w:val="FFEF2E3A"/>
    <w:rsid w:val="FFF8D21C"/>
    <w:rsid w:val="FFFEE1DD"/>
    <w:rsid w:val="FFFF2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ind w:left="0" w:leftChars="0" w:firstLine="0" w:firstLineChars="0"/>
      <w:jc w:val="center"/>
      <w:outlineLvl w:val="0"/>
    </w:pPr>
    <w:rPr>
      <w:rFonts w:eastAsia="黑体" w:asciiTheme="majorEastAsia" w:hAnsiTheme="majorEastAsia" w:cstheme="minorBidi"/>
      <w:b/>
      <w:bCs/>
      <w:color w:val="C00000"/>
      <w:kern w:val="44"/>
      <w:sz w:val="32"/>
      <w:szCs w:val="18"/>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link w:val="25"/>
    <w:qFormat/>
    <w:uiPriority w:val="0"/>
    <w:pPr>
      <w:outlineLvl w:val="3"/>
    </w:pPr>
    <w:rPr>
      <w:rFonts w:ascii="黑体" w:hAnsi="黑体" w:eastAsia="STHeiti" w:cs="黑体"/>
      <w:sz w:val="24"/>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Indent"/>
    <w:basedOn w:val="1"/>
    <w:link w:val="22"/>
    <w:qFormat/>
    <w:uiPriority w:val="0"/>
    <w:pPr>
      <w:spacing w:after="120" w:afterLines="0" w:afterAutospacing="0"/>
      <w:ind w:left="420" w:leftChars="200"/>
    </w:p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
      <w:spacing w:val="-20"/>
      <w:kern w:val="10"/>
      <w:sz w:val="44"/>
      <w:szCs w:val="44"/>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1"/>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ascii="Times New Roman" w:hAnsi="Times New Roman" w:eastAsia="宋体" w:cs="Times New Roman"/>
      <w:b/>
    </w:rPr>
  </w:style>
  <w:style w:type="character" w:styleId="19">
    <w:name w:val="Hyperlink"/>
    <w:basedOn w:val="17"/>
    <w:semiHidden/>
    <w:unhideWhenUsed/>
    <w:qFormat/>
    <w:uiPriority w:val="99"/>
    <w:rPr>
      <w:rFonts w:ascii="Times New Roman" w:hAnsi="Times New Roman" w:eastAsia="宋体" w:cs="Times New Roman"/>
      <w:color w:val="0000FF"/>
      <w:u w:val="single"/>
    </w:rPr>
  </w:style>
  <w:style w:type="character" w:customStyle="1" w:styleId="20">
    <w:name w:val="15"/>
    <w:basedOn w:val="17"/>
    <w:qFormat/>
    <w:uiPriority w:val="0"/>
    <w:rPr>
      <w:rFonts w:hint="default" w:ascii="Times New Roman" w:hAnsi="Times New Roman" w:eastAsia="宋体" w:cs="Times New Roman"/>
    </w:rPr>
  </w:style>
  <w:style w:type="character" w:customStyle="1" w:styleId="21">
    <w:name w:val="正文文本首行缩进 2 字符"/>
    <w:basedOn w:val="22"/>
    <w:qFormat/>
    <w:uiPriority w:val="0"/>
    <w:rPr>
      <w:rFonts w:hint="default" w:ascii="Calibri" w:hAnsi="Calibri" w:eastAsia="宋体" w:cs="Times New Roman"/>
      <w:kern w:val="2"/>
      <w:sz w:val="21"/>
      <w:szCs w:val="22"/>
    </w:rPr>
  </w:style>
  <w:style w:type="character" w:customStyle="1" w:styleId="22">
    <w:name w:val="正文文本缩进 字符"/>
    <w:basedOn w:val="17"/>
    <w:link w:val="7"/>
    <w:qFormat/>
    <w:uiPriority w:val="0"/>
    <w:rPr>
      <w:rFonts w:ascii="Times New Roman" w:hAnsi="Times New Roman" w:eastAsia="宋体" w:cs="Times New Roman"/>
    </w:rPr>
  </w:style>
  <w:style w:type="character" w:customStyle="1" w:styleId="23">
    <w:name w:val="10"/>
    <w:basedOn w:val="17"/>
    <w:qFormat/>
    <w:uiPriority w:val="0"/>
    <w:rPr>
      <w:rFonts w:hint="default" w:ascii="Calibri" w:hAnsi="Calibri" w:eastAsia="宋体" w:cs="Calibri"/>
    </w:rPr>
  </w:style>
  <w:style w:type="paragraph" w:customStyle="1" w:styleId="24">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 w:type="character" w:customStyle="1" w:styleId="25">
    <w:name w:val="标题 4 Char"/>
    <w:link w:val="4"/>
    <w:qFormat/>
    <w:uiPriority w:val="0"/>
    <w:rPr>
      <w:rFonts w:ascii="黑体" w:hAnsi="黑体" w:eastAsia="STHeiti" w:cs="黑体"/>
      <w:sz w:val="24"/>
    </w:rPr>
  </w:style>
  <w:style w:type="paragraph" w:customStyle="1" w:styleId="26">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Calibri" w:hAnsi="Calibri" w:eastAsia="宋体" w:cs="Times New Roman"/>
      <w:spacing w:val="4"/>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7187</Words>
  <Characters>8164</Characters>
  <Lines>1</Lines>
  <Paragraphs>1</Paragraphs>
  <TotalTime>15</TotalTime>
  <ScaleCrop>false</ScaleCrop>
  <LinksUpToDate>false</LinksUpToDate>
  <CharactersWithSpaces>8438</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2025-08-23T21:18:00Z</dcterms:created>
  <dc:creator>C-言诺</dc:creator>
  <cp:lastModifiedBy>CCCCC</cp:lastModifiedBy>
  <dcterms:modified xsi:type="dcterms:W3CDTF">2025-11-14T12:41:00Z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eyJoZGlkIjoiOTc3M2Y5NzIzMDFlZjAyY2Q4Njk5ODkyYjFjNzBiNTQiLCJ1c2VySWQiOiIzNTY0NzE5MjMifQ==</vt:lpwstr>
  </property>
  <property fmtid="{D5CDD505-2E9C-101B-9397-08002B2CF9AE}" pid="4" name="ICV">
    <vt:lpwstr>11EC913AC76F420495C933F4C7CC39A9_13</vt:lpwstr>
  </property>
</Properties>
</file>