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676DC">
      <w:pPr>
        <w:pStyle w:val="29"/>
        <w:spacing w:before="156" w:beforeLines="50" w:beforeAutospacing="0" w:after="156" w:afterLines="50" w:line="360" w:lineRule="auto"/>
        <w:rPr>
          <w:rFonts w:hint="default"/>
          <w:color w:val="auto"/>
          <w:sz w:val="44"/>
          <w:szCs w:val="44"/>
          <w:highlight w:val="none"/>
          <w:lang w:val="en-US" w:eastAsia="zh-CN"/>
        </w:rPr>
      </w:pPr>
      <w:r>
        <w:rPr>
          <w:rFonts w:hint="eastAsia"/>
          <w:color w:val="auto"/>
          <w:sz w:val="44"/>
          <w:szCs w:val="44"/>
          <w:highlight w:val="none"/>
          <w:lang w:val="en-US" w:eastAsia="zh-CN"/>
        </w:rPr>
        <w:t xml:space="preserve">                                                                                                                                                                                                                                                                                                                                                                                                                                                                                                                                                                                                                                                                                                                                                                                                                                                                                                                                                                                                                                                                                                                                                                                                 </w:t>
      </w:r>
    </w:p>
    <w:p w14:paraId="525D2FCF">
      <w:pPr>
        <w:pStyle w:val="29"/>
        <w:spacing w:before="156" w:beforeLines="50" w:beforeAutospacing="0" w:after="156" w:afterLines="50" w:line="360" w:lineRule="auto"/>
        <w:rPr>
          <w:rFonts w:hint="eastAsia"/>
          <w:color w:val="auto"/>
          <w:sz w:val="44"/>
          <w:szCs w:val="44"/>
          <w:highlight w:val="none"/>
        </w:rPr>
      </w:pPr>
      <w:r>
        <w:rPr>
          <w:rFonts w:hint="eastAsia"/>
          <w:color w:val="auto"/>
          <w:sz w:val="44"/>
          <w:szCs w:val="44"/>
          <w:highlight w:val="none"/>
        </w:rPr>
        <w:t>广东工业大学大学城校区本科生宿舍7-9#地下室和研究生宿舍10-12#地下室消防整改工程施工总承包</w:t>
      </w:r>
    </w:p>
    <w:p w14:paraId="7665CB94">
      <w:pPr>
        <w:pStyle w:val="24"/>
        <w:spacing w:before="156" w:beforeLines="50" w:beforeAutospacing="0" w:after="156" w:afterLines="50" w:line="360" w:lineRule="auto"/>
        <w:ind w:firstLine="496"/>
        <w:rPr>
          <w:color w:val="auto"/>
          <w:highlight w:val="none"/>
        </w:rPr>
      </w:pPr>
    </w:p>
    <w:p w14:paraId="72A67664">
      <w:pPr>
        <w:pStyle w:val="24"/>
        <w:spacing w:before="156" w:beforeLines="50" w:beforeAutospacing="0" w:after="156" w:afterLines="50" w:line="360" w:lineRule="auto"/>
        <w:ind w:firstLine="496"/>
        <w:rPr>
          <w:color w:val="auto"/>
          <w:highlight w:val="none"/>
        </w:rPr>
      </w:pPr>
    </w:p>
    <w:p w14:paraId="6B5B2EA1">
      <w:pPr>
        <w:pStyle w:val="40"/>
        <w:spacing w:before="156" w:beforeLines="50" w:beforeAutospacing="0" w:after="156" w:afterLines="50" w:line="360" w:lineRule="auto"/>
        <w:rPr>
          <w:color w:val="auto"/>
          <w:sz w:val="72"/>
          <w:szCs w:val="72"/>
          <w:highlight w:val="none"/>
        </w:rPr>
      </w:pPr>
      <w:r>
        <w:rPr>
          <w:rFonts w:hint="eastAsia"/>
          <w:color w:val="auto"/>
          <w:sz w:val="72"/>
          <w:szCs w:val="72"/>
          <w:highlight w:val="none"/>
        </w:rPr>
        <w:t>招标文件</w:t>
      </w:r>
    </w:p>
    <w:p w14:paraId="720EDD8A">
      <w:pPr>
        <w:pStyle w:val="40"/>
        <w:numPr>
          <w:ilvl w:val="0"/>
          <w:numId w:val="1"/>
        </w:numPr>
        <w:tabs>
          <w:tab w:val="left" w:pos="840"/>
        </w:tabs>
        <w:spacing w:before="156" w:beforeLines="50" w:beforeAutospacing="0" w:after="156" w:afterLines="50" w:line="360" w:lineRule="auto"/>
        <w:outlineLvl w:val="0"/>
        <w:rPr>
          <w:color w:val="auto"/>
          <w:sz w:val="72"/>
          <w:szCs w:val="72"/>
          <w:highlight w:val="none"/>
        </w:rPr>
      </w:pPr>
      <w:bookmarkStart w:id="0" w:name="_Toc28735"/>
      <w:bookmarkStart w:id="1" w:name="_Toc19007"/>
      <w:bookmarkStart w:id="2" w:name="_Toc17030"/>
      <w:r>
        <w:rPr>
          <w:rFonts w:hint="eastAsia"/>
          <w:color w:val="auto"/>
          <w:sz w:val="72"/>
          <w:szCs w:val="72"/>
          <w:highlight w:val="none"/>
        </w:rPr>
        <w:t>工程量清单</w:t>
      </w:r>
      <w:bookmarkEnd w:id="0"/>
      <w:bookmarkEnd w:id="1"/>
      <w:bookmarkEnd w:id="2"/>
    </w:p>
    <w:p w14:paraId="58BCEB8B">
      <w:pPr>
        <w:pStyle w:val="24"/>
        <w:spacing w:before="156" w:beforeLines="50" w:beforeAutospacing="0" w:after="156" w:afterLines="50" w:line="360" w:lineRule="auto"/>
        <w:ind w:firstLine="496"/>
        <w:rPr>
          <w:color w:val="auto"/>
          <w:highlight w:val="none"/>
        </w:rPr>
      </w:pPr>
    </w:p>
    <w:p w14:paraId="367FCF2D">
      <w:pPr>
        <w:pStyle w:val="24"/>
        <w:spacing w:before="156" w:beforeLines="50" w:beforeAutospacing="0" w:after="156" w:afterLines="50" w:line="360" w:lineRule="auto"/>
        <w:ind w:firstLine="496"/>
        <w:rPr>
          <w:color w:val="auto"/>
          <w:highlight w:val="none"/>
        </w:rPr>
      </w:pPr>
    </w:p>
    <w:p w14:paraId="432A176E">
      <w:pPr>
        <w:pStyle w:val="24"/>
        <w:spacing w:before="156" w:beforeLines="50" w:beforeAutospacing="0" w:after="156" w:afterLines="50" w:line="360" w:lineRule="auto"/>
        <w:ind w:firstLine="496"/>
        <w:rPr>
          <w:color w:val="auto"/>
          <w:highlight w:val="none"/>
        </w:rPr>
      </w:pPr>
    </w:p>
    <w:p w14:paraId="57E2C795">
      <w:pPr>
        <w:pStyle w:val="24"/>
        <w:spacing w:before="156" w:beforeLines="50" w:beforeAutospacing="0" w:after="156" w:afterLines="50" w:line="360" w:lineRule="auto"/>
        <w:ind w:firstLine="496"/>
        <w:rPr>
          <w:color w:val="auto"/>
          <w:highlight w:val="none"/>
        </w:rPr>
      </w:pPr>
    </w:p>
    <w:p w14:paraId="62EE1F1B">
      <w:pPr>
        <w:pStyle w:val="24"/>
        <w:spacing w:before="156" w:beforeLines="50" w:beforeAutospacing="0" w:after="156" w:afterLines="50" w:line="360" w:lineRule="auto"/>
        <w:ind w:firstLine="496"/>
        <w:rPr>
          <w:color w:val="auto"/>
          <w:highlight w:val="none"/>
        </w:rPr>
      </w:pPr>
    </w:p>
    <w:p w14:paraId="7C51CD6D">
      <w:pPr>
        <w:pStyle w:val="24"/>
        <w:spacing w:before="156" w:beforeLines="50" w:beforeAutospacing="0" w:after="156" w:afterLines="50" w:line="360" w:lineRule="auto"/>
        <w:ind w:firstLine="496"/>
        <w:rPr>
          <w:color w:val="auto"/>
          <w:highlight w:val="none"/>
        </w:rPr>
      </w:pPr>
    </w:p>
    <w:p w14:paraId="16D55928">
      <w:pPr>
        <w:pStyle w:val="36"/>
        <w:spacing w:before="156" w:beforeLines="50" w:beforeAutospacing="0" w:after="156" w:afterLines="50" w:line="360" w:lineRule="auto"/>
        <w:ind w:firstLine="770" w:firstLineChars="250"/>
        <w:rPr>
          <w:color w:val="auto"/>
          <w:highlight w:val="none"/>
        </w:rPr>
      </w:pPr>
      <w:r>
        <w:rPr>
          <w:rFonts w:hint="eastAsia"/>
          <w:color w:val="auto"/>
          <w:highlight w:val="none"/>
        </w:rPr>
        <w:t>招</w:t>
      </w:r>
      <w:r>
        <w:rPr>
          <w:color w:val="auto"/>
          <w:highlight w:val="none"/>
        </w:rPr>
        <w:t xml:space="preserve">  </w:t>
      </w:r>
      <w:r>
        <w:rPr>
          <w:rFonts w:hint="eastAsia"/>
          <w:color w:val="auto"/>
          <w:highlight w:val="none"/>
        </w:rPr>
        <w:t>标</w:t>
      </w:r>
      <w:r>
        <w:rPr>
          <w:color w:val="auto"/>
          <w:highlight w:val="none"/>
        </w:rPr>
        <w:t xml:space="preserve"> </w:t>
      </w:r>
      <w:r>
        <w:rPr>
          <w:rFonts w:hint="eastAsia"/>
          <w:color w:val="auto"/>
          <w:highlight w:val="none"/>
        </w:rPr>
        <w:t>单</w:t>
      </w:r>
      <w:r>
        <w:rPr>
          <w:color w:val="auto"/>
          <w:highlight w:val="none"/>
        </w:rPr>
        <w:t xml:space="preserve"> </w:t>
      </w:r>
      <w:r>
        <w:rPr>
          <w:rFonts w:hint="eastAsia"/>
          <w:color w:val="auto"/>
          <w:highlight w:val="none"/>
        </w:rPr>
        <w:t>位：广州市重点公共建设项目管理中心</w:t>
      </w:r>
    </w:p>
    <w:p w14:paraId="599907E7">
      <w:pPr>
        <w:pStyle w:val="36"/>
        <w:spacing w:before="156" w:beforeLines="50" w:beforeAutospacing="0" w:after="156" w:afterLines="50" w:line="360" w:lineRule="auto"/>
        <w:ind w:firstLine="770" w:firstLineChars="250"/>
        <w:rPr>
          <w:color w:val="auto"/>
          <w:highlight w:val="none"/>
        </w:rPr>
      </w:pPr>
      <w:r>
        <w:rPr>
          <w:rFonts w:hint="eastAsia"/>
          <w:color w:val="auto"/>
          <w:highlight w:val="none"/>
        </w:rPr>
        <w:t>造价咨询单位：</w:t>
      </w:r>
      <w:r>
        <w:rPr>
          <w:rFonts w:hint="eastAsia"/>
          <w:color w:val="auto"/>
          <w:highlight w:val="none"/>
          <w:lang w:val="en-US" w:eastAsia="zh-CN"/>
        </w:rPr>
        <w:t>广东华禹工程咨询有限</w:t>
      </w:r>
      <w:r>
        <w:rPr>
          <w:rFonts w:hint="eastAsia"/>
          <w:color w:val="auto"/>
          <w:highlight w:val="none"/>
        </w:rPr>
        <w:t>公司</w:t>
      </w:r>
    </w:p>
    <w:p w14:paraId="043C4AAF">
      <w:pPr>
        <w:pStyle w:val="36"/>
        <w:spacing w:before="156" w:beforeLines="50" w:beforeAutospacing="0" w:after="156" w:afterLines="50" w:line="360" w:lineRule="auto"/>
        <w:ind w:firstLine="806" w:firstLineChars="262"/>
        <w:rPr>
          <w:color w:val="auto"/>
          <w:highlight w:val="non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rPr>
        <w:t>20</w:t>
      </w:r>
      <w:r>
        <w:rPr>
          <w:rFonts w:hint="eastAsia"/>
          <w:color w:val="auto"/>
          <w:highlight w:val="none"/>
        </w:rPr>
        <w:t>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p>
    <w:p w14:paraId="57EB4AAE">
      <w:pPr>
        <w:pStyle w:val="24"/>
        <w:spacing w:before="156" w:beforeLines="50" w:beforeAutospacing="0" w:after="156" w:afterLines="50" w:line="360" w:lineRule="auto"/>
        <w:ind w:firstLine="496"/>
        <w:jc w:val="center"/>
        <w:rPr>
          <w:rFonts w:ascii="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720" w:num="1"/>
          <w:docGrid w:type="lines" w:linePitch="312" w:charSpace="0"/>
        </w:sectPr>
      </w:pPr>
    </w:p>
    <w:p w14:paraId="5AFC2943">
      <w:pPr>
        <w:pStyle w:val="9"/>
        <w:tabs>
          <w:tab w:val="left" w:pos="2896"/>
          <w:tab w:val="right" w:leader="dot" w:pos="9060"/>
        </w:tabs>
        <w:adjustRightInd w:val="0"/>
        <w:snapToGrid w:val="0"/>
        <w:spacing w:before="143" w:beforeLines="50" w:beforeAutospacing="0" w:after="143" w:afterLines="50" w:line="360" w:lineRule="auto"/>
        <w:ind w:firstLine="0" w:firstLineChars="0"/>
        <w:jc w:val="center"/>
        <w:rPr>
          <w:color w:val="auto"/>
          <w:sz w:val="44"/>
          <w:szCs w:val="44"/>
          <w:highlight w:val="none"/>
          <w:u w:val="single"/>
        </w:rPr>
      </w:pPr>
      <w:r>
        <w:rPr>
          <w:rStyle w:val="14"/>
          <w:rFonts w:hint="eastAsia"/>
          <w:color w:val="auto"/>
          <w:sz w:val="44"/>
          <w:szCs w:val="44"/>
          <w:highlight w:val="none"/>
        </w:rPr>
        <w:t>目录</w:t>
      </w:r>
    </w:p>
    <w:p w14:paraId="0E37B981">
      <w:pPr>
        <w:pStyle w:val="9"/>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_Toc28735 </w:instrText>
      </w:r>
      <w:r>
        <w:rPr>
          <w:color w:val="auto"/>
          <w:highlight w:val="none"/>
        </w:rPr>
        <w:fldChar w:fldCharType="separate"/>
      </w:r>
      <w:r>
        <w:rPr>
          <w:rFonts w:hint="default" w:cs="Times New Roman"/>
          <w:color w:val="auto"/>
          <w:szCs w:val="72"/>
          <w:highlight w:val="none"/>
        </w:rPr>
        <w:t xml:space="preserve">第七章 </w:t>
      </w:r>
      <w:r>
        <w:rPr>
          <w:rFonts w:hint="eastAsia"/>
          <w:color w:val="auto"/>
          <w:szCs w:val="72"/>
          <w:highlight w:val="none"/>
        </w:rPr>
        <w:t>工程量清单</w:t>
      </w:r>
      <w:r>
        <w:rPr>
          <w:color w:val="auto"/>
          <w:highlight w:val="none"/>
        </w:rPr>
        <w:tab/>
      </w:r>
      <w:r>
        <w:rPr>
          <w:color w:val="auto"/>
          <w:highlight w:val="none"/>
        </w:rPr>
        <w:fldChar w:fldCharType="begin"/>
      </w:r>
      <w:r>
        <w:rPr>
          <w:color w:val="auto"/>
          <w:highlight w:val="none"/>
        </w:rPr>
        <w:instrText xml:space="preserve"> PAGEREF _Toc28735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3517F465">
      <w:pPr>
        <w:pStyle w:val="9"/>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_Toc15658 </w:instrText>
      </w:r>
      <w:r>
        <w:rPr>
          <w:color w:val="auto"/>
          <w:highlight w:val="none"/>
        </w:rPr>
        <w:fldChar w:fldCharType="separate"/>
      </w:r>
      <w:r>
        <w:rPr>
          <w:rFonts w:hint="eastAsia"/>
          <w:color w:val="auto"/>
          <w:kern w:val="44"/>
          <w:highlight w:val="none"/>
        </w:rPr>
        <w:t>第一部分</w:t>
      </w:r>
      <w:r>
        <w:rPr>
          <w:color w:val="auto"/>
          <w:kern w:val="44"/>
          <w:highlight w:val="none"/>
        </w:rPr>
        <w:t xml:space="preserve">   </w:t>
      </w:r>
      <w:r>
        <w:rPr>
          <w:rFonts w:hint="eastAsia"/>
          <w:color w:val="auto"/>
          <w:kern w:val="44"/>
          <w:highlight w:val="none"/>
        </w:rPr>
        <w:t>工程量清单计价须知</w:t>
      </w:r>
      <w:r>
        <w:rPr>
          <w:color w:val="auto"/>
          <w:highlight w:val="none"/>
        </w:rPr>
        <w:tab/>
      </w:r>
      <w:r>
        <w:rPr>
          <w:color w:val="auto"/>
          <w:highlight w:val="none"/>
        </w:rPr>
        <w:fldChar w:fldCharType="begin"/>
      </w:r>
      <w:r>
        <w:rPr>
          <w:color w:val="auto"/>
          <w:highlight w:val="none"/>
        </w:rPr>
        <w:instrText xml:space="preserve"> PAGEREF _Toc15658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76FD07C6">
      <w:pPr>
        <w:pStyle w:val="10"/>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_Toc26580 </w:instrText>
      </w:r>
      <w:r>
        <w:rPr>
          <w:color w:val="auto"/>
          <w:highlight w:val="none"/>
        </w:rPr>
        <w:fldChar w:fldCharType="separate"/>
      </w:r>
      <w:r>
        <w:rPr>
          <w:rFonts w:hint="eastAsia"/>
          <w:color w:val="auto"/>
          <w:highlight w:val="none"/>
        </w:rPr>
        <w:t>第一节  工程量清单计价说明</w:t>
      </w:r>
      <w:r>
        <w:rPr>
          <w:color w:val="auto"/>
          <w:highlight w:val="none"/>
        </w:rPr>
        <w:tab/>
      </w:r>
      <w:r>
        <w:rPr>
          <w:color w:val="auto"/>
          <w:highlight w:val="none"/>
        </w:rPr>
        <w:fldChar w:fldCharType="begin"/>
      </w:r>
      <w:r>
        <w:rPr>
          <w:color w:val="auto"/>
          <w:highlight w:val="none"/>
        </w:rPr>
        <w:instrText xml:space="preserve"> PAGEREF _Toc26580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75982A2F">
      <w:pPr>
        <w:pStyle w:val="5"/>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_Toc30149 </w:instrText>
      </w:r>
      <w:r>
        <w:rPr>
          <w:color w:val="auto"/>
          <w:highlight w:val="none"/>
        </w:rPr>
        <w:fldChar w:fldCharType="separate"/>
      </w:r>
      <w:r>
        <w:rPr>
          <w:rFonts w:hint="eastAsia"/>
          <w:color w:val="auto"/>
          <w:highlight w:val="none"/>
        </w:rPr>
        <w:t>一、总说明</w:t>
      </w:r>
      <w:r>
        <w:rPr>
          <w:color w:val="auto"/>
          <w:highlight w:val="none"/>
        </w:rPr>
        <w:tab/>
      </w:r>
      <w:r>
        <w:rPr>
          <w:color w:val="auto"/>
          <w:highlight w:val="none"/>
        </w:rPr>
        <w:fldChar w:fldCharType="begin"/>
      </w:r>
      <w:r>
        <w:rPr>
          <w:color w:val="auto"/>
          <w:highlight w:val="none"/>
        </w:rPr>
        <w:instrText xml:space="preserve"> PAGEREF _Toc30149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744E85AF">
      <w:pPr>
        <w:pStyle w:val="5"/>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_Toc7059 </w:instrText>
      </w:r>
      <w:r>
        <w:rPr>
          <w:color w:val="auto"/>
          <w:highlight w:val="none"/>
        </w:rPr>
        <w:fldChar w:fldCharType="separate"/>
      </w:r>
      <w:r>
        <w:rPr>
          <w:rFonts w:hint="eastAsia"/>
          <w:color w:val="auto"/>
          <w:highlight w:val="none"/>
        </w:rPr>
        <w:t>二、分部分项工程量清单计价说明</w:t>
      </w:r>
      <w:r>
        <w:rPr>
          <w:color w:val="auto"/>
          <w:highlight w:val="none"/>
        </w:rPr>
        <w:tab/>
      </w:r>
      <w:r>
        <w:rPr>
          <w:color w:val="auto"/>
          <w:highlight w:val="none"/>
        </w:rPr>
        <w:fldChar w:fldCharType="begin"/>
      </w:r>
      <w:r>
        <w:rPr>
          <w:color w:val="auto"/>
          <w:highlight w:val="none"/>
        </w:rPr>
        <w:instrText xml:space="preserve"> PAGEREF _Toc7059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13F483A0">
      <w:pPr>
        <w:pStyle w:val="5"/>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_Toc3831 </w:instrText>
      </w:r>
      <w:r>
        <w:rPr>
          <w:color w:val="auto"/>
          <w:highlight w:val="none"/>
        </w:rPr>
        <w:fldChar w:fldCharType="separate"/>
      </w:r>
      <w:r>
        <w:rPr>
          <w:rFonts w:hint="eastAsia"/>
          <w:color w:val="auto"/>
          <w:highlight w:val="none"/>
        </w:rPr>
        <w:t>三、措施项目清单计价说明</w:t>
      </w:r>
      <w:r>
        <w:rPr>
          <w:color w:val="auto"/>
          <w:highlight w:val="none"/>
        </w:rPr>
        <w:tab/>
      </w:r>
      <w:r>
        <w:rPr>
          <w:color w:val="auto"/>
          <w:highlight w:val="none"/>
        </w:rPr>
        <w:fldChar w:fldCharType="begin"/>
      </w:r>
      <w:r>
        <w:rPr>
          <w:color w:val="auto"/>
          <w:highlight w:val="none"/>
        </w:rPr>
        <w:instrText xml:space="preserve"> PAGEREF _Toc3831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6D2A74C">
      <w:pPr>
        <w:pStyle w:val="5"/>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_Toc19285 </w:instrText>
      </w:r>
      <w:r>
        <w:rPr>
          <w:color w:val="auto"/>
          <w:highlight w:val="none"/>
        </w:rPr>
        <w:fldChar w:fldCharType="separate"/>
      </w:r>
      <w:r>
        <w:rPr>
          <w:rFonts w:hint="eastAsia"/>
          <w:color w:val="auto"/>
          <w:highlight w:val="none"/>
        </w:rPr>
        <w:t>四、其他项目清单计价说明</w:t>
      </w:r>
      <w:r>
        <w:rPr>
          <w:color w:val="auto"/>
          <w:highlight w:val="none"/>
        </w:rPr>
        <w:tab/>
      </w:r>
      <w:r>
        <w:rPr>
          <w:color w:val="auto"/>
          <w:highlight w:val="none"/>
        </w:rPr>
        <w:fldChar w:fldCharType="begin"/>
      </w:r>
      <w:r>
        <w:rPr>
          <w:color w:val="auto"/>
          <w:highlight w:val="none"/>
        </w:rPr>
        <w:instrText xml:space="preserve"> PAGEREF _Toc19285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40BBDC8D">
      <w:pPr>
        <w:pStyle w:val="5"/>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_Toc17355 </w:instrText>
      </w:r>
      <w:r>
        <w:rPr>
          <w:color w:val="auto"/>
          <w:highlight w:val="none"/>
        </w:rPr>
        <w:fldChar w:fldCharType="separate"/>
      </w:r>
      <w:r>
        <w:rPr>
          <w:rFonts w:hint="eastAsia"/>
          <w:color w:val="auto"/>
          <w:highlight w:val="none"/>
        </w:rPr>
        <w:t>五、税金计价说明</w:t>
      </w:r>
      <w:r>
        <w:rPr>
          <w:color w:val="auto"/>
          <w:highlight w:val="none"/>
        </w:rPr>
        <w:tab/>
      </w:r>
      <w:r>
        <w:rPr>
          <w:color w:val="auto"/>
          <w:highlight w:val="none"/>
        </w:rPr>
        <w:fldChar w:fldCharType="begin"/>
      </w:r>
      <w:r>
        <w:rPr>
          <w:color w:val="auto"/>
          <w:highlight w:val="none"/>
        </w:rPr>
        <w:instrText xml:space="preserve"> PAGEREF _Toc17355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3C741741">
      <w:pPr>
        <w:pStyle w:val="5"/>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_Toc15912 </w:instrText>
      </w:r>
      <w:r>
        <w:rPr>
          <w:color w:val="auto"/>
          <w:highlight w:val="none"/>
        </w:rPr>
        <w:fldChar w:fldCharType="separate"/>
      </w:r>
      <w:r>
        <w:rPr>
          <w:rFonts w:hint="eastAsia"/>
          <w:color w:val="auto"/>
          <w:highlight w:val="none"/>
        </w:rPr>
        <w:t>六、其它说明</w:t>
      </w:r>
      <w:r>
        <w:rPr>
          <w:color w:val="auto"/>
          <w:highlight w:val="none"/>
        </w:rPr>
        <w:tab/>
      </w:r>
      <w:r>
        <w:rPr>
          <w:color w:val="auto"/>
          <w:highlight w:val="none"/>
        </w:rPr>
        <w:fldChar w:fldCharType="begin"/>
      </w:r>
      <w:r>
        <w:rPr>
          <w:color w:val="auto"/>
          <w:highlight w:val="none"/>
        </w:rPr>
        <w:instrText xml:space="preserve"> PAGEREF _Toc15912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64E4783C">
      <w:pPr>
        <w:pStyle w:val="10"/>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_Toc7814 </w:instrText>
      </w:r>
      <w:r>
        <w:rPr>
          <w:color w:val="auto"/>
          <w:highlight w:val="none"/>
        </w:rPr>
        <w:fldChar w:fldCharType="separate"/>
      </w:r>
      <w:r>
        <w:rPr>
          <w:rFonts w:hint="eastAsia"/>
          <w:color w:val="auto"/>
          <w:highlight w:val="none"/>
        </w:rPr>
        <w:t>第二节 工程量清单计价补充规定</w:t>
      </w:r>
      <w:r>
        <w:rPr>
          <w:color w:val="auto"/>
          <w:highlight w:val="none"/>
        </w:rPr>
        <w:tab/>
      </w:r>
      <w:r>
        <w:rPr>
          <w:color w:val="auto"/>
          <w:highlight w:val="none"/>
        </w:rPr>
        <w:fldChar w:fldCharType="begin"/>
      </w:r>
      <w:r>
        <w:rPr>
          <w:color w:val="auto"/>
          <w:highlight w:val="none"/>
        </w:rPr>
        <w:instrText xml:space="preserve"> PAGEREF _Toc7814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313D7002">
      <w:pPr>
        <w:pStyle w:val="9"/>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_Toc24322 </w:instrText>
      </w:r>
      <w:r>
        <w:rPr>
          <w:color w:val="auto"/>
          <w:highlight w:val="none"/>
        </w:rPr>
        <w:fldChar w:fldCharType="separate"/>
      </w:r>
      <w:r>
        <w:rPr>
          <w:rFonts w:hint="eastAsia"/>
          <w:color w:val="auto"/>
          <w:kern w:val="44"/>
          <w:highlight w:val="none"/>
        </w:rPr>
        <w:t>第二部分</w:t>
      </w:r>
      <w:r>
        <w:rPr>
          <w:color w:val="auto"/>
          <w:kern w:val="44"/>
          <w:highlight w:val="none"/>
        </w:rPr>
        <w:t xml:space="preserve">   </w:t>
      </w:r>
      <w:r>
        <w:rPr>
          <w:rFonts w:hint="eastAsia"/>
          <w:color w:val="auto"/>
          <w:kern w:val="44"/>
          <w:highlight w:val="none"/>
        </w:rPr>
        <w:t>工程量清单填报须知</w:t>
      </w:r>
      <w:r>
        <w:rPr>
          <w:color w:val="auto"/>
          <w:highlight w:val="none"/>
        </w:rPr>
        <w:tab/>
      </w:r>
      <w:r>
        <w:rPr>
          <w:color w:val="auto"/>
          <w:highlight w:val="none"/>
        </w:rPr>
        <w:fldChar w:fldCharType="begin"/>
      </w:r>
      <w:r>
        <w:rPr>
          <w:color w:val="auto"/>
          <w:highlight w:val="none"/>
        </w:rPr>
        <w:instrText xml:space="preserve"> PAGEREF _Toc24322 \h </w:instrText>
      </w:r>
      <w:r>
        <w:rPr>
          <w:color w:val="auto"/>
          <w:highlight w:val="none"/>
        </w:rPr>
        <w:fldChar w:fldCharType="separate"/>
      </w:r>
      <w:r>
        <w:rPr>
          <w:color w:val="auto"/>
          <w:highlight w:val="none"/>
        </w:rPr>
        <w:t>- 115 -</w:t>
      </w:r>
      <w:r>
        <w:rPr>
          <w:color w:val="auto"/>
          <w:highlight w:val="none"/>
        </w:rPr>
        <w:fldChar w:fldCharType="end"/>
      </w:r>
      <w:r>
        <w:rPr>
          <w:color w:val="auto"/>
          <w:highlight w:val="none"/>
        </w:rPr>
        <w:fldChar w:fldCharType="end"/>
      </w:r>
    </w:p>
    <w:p w14:paraId="7E753084">
      <w:pPr>
        <w:pStyle w:val="9"/>
        <w:tabs>
          <w:tab w:val="right" w:leader="dot" w:pos="9160"/>
        </w:tabs>
        <w:spacing w:line="360" w:lineRule="auto"/>
        <w:rPr>
          <w:color w:val="auto"/>
          <w:highlight w:val="none"/>
        </w:rPr>
      </w:pPr>
      <w:r>
        <w:rPr>
          <w:color w:val="auto"/>
          <w:highlight w:val="none"/>
        </w:rPr>
        <w:fldChar w:fldCharType="begin"/>
      </w:r>
      <w:r>
        <w:rPr>
          <w:color w:val="auto"/>
          <w:highlight w:val="none"/>
        </w:rPr>
        <w:instrText xml:space="preserve"> HYPERLINK \l _Toc18682 </w:instrText>
      </w:r>
      <w:r>
        <w:rPr>
          <w:color w:val="auto"/>
          <w:highlight w:val="none"/>
        </w:rPr>
        <w:fldChar w:fldCharType="separate"/>
      </w:r>
      <w:r>
        <w:rPr>
          <w:rFonts w:hint="eastAsia"/>
          <w:color w:val="auto"/>
          <w:kern w:val="44"/>
          <w:highlight w:val="none"/>
        </w:rPr>
        <w:t>第三部分</w:t>
      </w:r>
      <w:r>
        <w:rPr>
          <w:color w:val="auto"/>
          <w:kern w:val="44"/>
          <w:highlight w:val="none"/>
        </w:rPr>
        <w:t xml:space="preserve">   </w:t>
      </w:r>
      <w:r>
        <w:rPr>
          <w:rFonts w:hint="eastAsia"/>
          <w:color w:val="auto"/>
          <w:kern w:val="44"/>
          <w:highlight w:val="none"/>
        </w:rPr>
        <w:t>工程量清单</w:t>
      </w:r>
      <w:r>
        <w:rPr>
          <w:color w:val="auto"/>
          <w:highlight w:val="none"/>
        </w:rPr>
        <w:tab/>
      </w:r>
      <w:r>
        <w:rPr>
          <w:color w:val="auto"/>
          <w:highlight w:val="none"/>
        </w:rPr>
        <w:fldChar w:fldCharType="begin"/>
      </w:r>
      <w:r>
        <w:rPr>
          <w:color w:val="auto"/>
          <w:highlight w:val="none"/>
        </w:rPr>
        <w:instrText xml:space="preserve"> PAGEREF _Toc18682 \h </w:instrText>
      </w:r>
      <w:r>
        <w:rPr>
          <w:color w:val="auto"/>
          <w:highlight w:val="none"/>
        </w:rPr>
        <w:fldChar w:fldCharType="separate"/>
      </w:r>
      <w:r>
        <w:rPr>
          <w:color w:val="auto"/>
          <w:highlight w:val="none"/>
        </w:rPr>
        <w:t>- 118 -</w:t>
      </w:r>
      <w:r>
        <w:rPr>
          <w:color w:val="auto"/>
          <w:highlight w:val="none"/>
        </w:rPr>
        <w:fldChar w:fldCharType="end"/>
      </w:r>
      <w:r>
        <w:rPr>
          <w:color w:val="auto"/>
          <w:highlight w:val="none"/>
        </w:rPr>
        <w:fldChar w:fldCharType="end"/>
      </w:r>
    </w:p>
    <w:p w14:paraId="6F9853DA">
      <w:pPr>
        <w:spacing w:before="143" w:beforeLines="50" w:after="143" w:afterLines="50" w:line="360" w:lineRule="auto"/>
        <w:rPr>
          <w:color w:val="auto"/>
          <w:highlight w:val="none"/>
        </w:rPr>
      </w:pPr>
      <w:r>
        <w:rPr>
          <w:color w:val="auto"/>
          <w:highlight w:val="none"/>
        </w:rPr>
        <w:fldChar w:fldCharType="end"/>
      </w:r>
    </w:p>
    <w:p w14:paraId="7ECB0D5E">
      <w:pPr>
        <w:spacing w:before="143" w:beforeLines="50" w:after="143" w:afterLines="50" w:line="360" w:lineRule="auto"/>
        <w:rPr>
          <w:color w:val="auto"/>
          <w:highlight w:val="none"/>
        </w:rPr>
      </w:pPr>
    </w:p>
    <w:p w14:paraId="7BD1F7BD">
      <w:pPr>
        <w:spacing w:before="143" w:beforeLines="50" w:after="143" w:afterLines="50" w:line="360" w:lineRule="auto"/>
        <w:rPr>
          <w:color w:val="auto"/>
          <w:highlight w:val="none"/>
        </w:rPr>
      </w:pPr>
    </w:p>
    <w:p w14:paraId="09BE8E03">
      <w:pPr>
        <w:spacing w:before="143" w:beforeLines="50" w:after="143" w:afterLines="50" w:line="360" w:lineRule="auto"/>
        <w:rPr>
          <w:color w:val="auto"/>
          <w:highlight w:val="none"/>
        </w:rPr>
      </w:pPr>
    </w:p>
    <w:p w14:paraId="185AB9BF">
      <w:pPr>
        <w:spacing w:before="143" w:beforeLines="50" w:after="143" w:afterLines="50" w:line="360" w:lineRule="auto"/>
        <w:rPr>
          <w:color w:val="auto"/>
          <w:highlight w:val="none"/>
        </w:rPr>
      </w:pPr>
    </w:p>
    <w:p w14:paraId="12C04CE1">
      <w:pPr>
        <w:spacing w:before="143" w:beforeLines="50" w:after="143" w:afterLines="50" w:line="360" w:lineRule="auto"/>
        <w:rPr>
          <w:color w:val="auto"/>
          <w:highlight w:val="none"/>
        </w:rPr>
      </w:pPr>
    </w:p>
    <w:p w14:paraId="04CBF863">
      <w:pPr>
        <w:spacing w:before="143" w:beforeLines="50" w:after="143" w:afterLines="50" w:line="360" w:lineRule="auto"/>
        <w:rPr>
          <w:color w:val="auto"/>
          <w:highlight w:val="none"/>
        </w:rPr>
      </w:pPr>
    </w:p>
    <w:p w14:paraId="023BC659">
      <w:pPr>
        <w:spacing w:before="143" w:beforeLines="50" w:after="143" w:afterLines="50" w:line="360" w:lineRule="auto"/>
        <w:rPr>
          <w:color w:val="auto"/>
          <w:highlight w:val="none"/>
        </w:rPr>
      </w:pPr>
    </w:p>
    <w:p w14:paraId="39D0ACE3">
      <w:pPr>
        <w:spacing w:before="143" w:beforeLines="50" w:after="143" w:afterLines="50" w:line="360" w:lineRule="auto"/>
        <w:rPr>
          <w:color w:val="auto"/>
          <w:highlight w:val="none"/>
        </w:rPr>
      </w:pPr>
    </w:p>
    <w:p w14:paraId="7764C58F">
      <w:pPr>
        <w:spacing w:before="143" w:beforeLines="50" w:after="143" w:afterLines="50" w:line="360" w:lineRule="auto"/>
        <w:rPr>
          <w:color w:val="auto"/>
          <w:highlight w:val="none"/>
        </w:rPr>
      </w:pPr>
    </w:p>
    <w:p w14:paraId="7AE9CFA3">
      <w:pPr>
        <w:spacing w:before="143" w:beforeLines="50" w:after="143" w:afterLines="50" w:line="360" w:lineRule="auto"/>
        <w:rPr>
          <w:color w:val="auto"/>
          <w:highlight w:val="none"/>
        </w:rPr>
      </w:pPr>
    </w:p>
    <w:p w14:paraId="0BA3C0FD">
      <w:pPr>
        <w:spacing w:before="143" w:beforeLines="50" w:after="143" w:afterLines="50" w:line="360" w:lineRule="auto"/>
        <w:rPr>
          <w:color w:val="auto"/>
          <w:highlight w:val="none"/>
        </w:rPr>
      </w:pPr>
    </w:p>
    <w:p w14:paraId="515DA80B">
      <w:pPr>
        <w:pStyle w:val="38"/>
        <w:spacing w:before="143" w:beforeAutospacing="0" w:after="143" w:line="360" w:lineRule="auto"/>
        <w:rPr>
          <w:color w:val="auto"/>
          <w:kern w:val="44"/>
          <w:highlight w:val="none"/>
        </w:rPr>
      </w:pPr>
      <w:bookmarkStart w:id="3" w:name="_Toc11194"/>
      <w:bookmarkStart w:id="4" w:name="_Toc529298695"/>
      <w:bookmarkStart w:id="5" w:name="_Toc28940"/>
      <w:bookmarkStart w:id="6" w:name="_Toc16739_WPSOffice_Level1"/>
      <w:bookmarkStart w:id="7" w:name="_Toc3511"/>
      <w:bookmarkStart w:id="8" w:name="_Toc32382"/>
      <w:bookmarkStart w:id="9" w:name="_Toc26079"/>
      <w:bookmarkStart w:id="10" w:name="_Toc15658"/>
      <w:bookmarkStart w:id="11" w:name="_Toc3072"/>
      <w:bookmarkStart w:id="12" w:name="_Toc23927"/>
      <w:bookmarkStart w:id="13" w:name="_Toc14224"/>
      <w:bookmarkStart w:id="14" w:name="_Toc7917"/>
      <w:bookmarkStart w:id="15" w:name="_Toc7566"/>
      <w:r>
        <w:rPr>
          <w:rFonts w:hint="eastAsia"/>
          <w:color w:val="auto"/>
          <w:kern w:val="44"/>
          <w:highlight w:val="none"/>
        </w:rPr>
        <w:t>第一部分</w:t>
      </w:r>
      <w:r>
        <w:rPr>
          <w:color w:val="auto"/>
          <w:kern w:val="44"/>
          <w:highlight w:val="none"/>
        </w:rPr>
        <w:t xml:space="preserve">   </w:t>
      </w:r>
      <w:r>
        <w:rPr>
          <w:rFonts w:hint="eastAsia"/>
          <w:color w:val="auto"/>
          <w:kern w:val="44"/>
          <w:highlight w:val="none"/>
        </w:rPr>
        <w:t>工程量清单计价须知</w:t>
      </w:r>
      <w:bookmarkEnd w:id="3"/>
      <w:bookmarkEnd w:id="4"/>
      <w:bookmarkEnd w:id="5"/>
      <w:bookmarkEnd w:id="6"/>
      <w:bookmarkEnd w:id="7"/>
      <w:bookmarkEnd w:id="8"/>
      <w:bookmarkEnd w:id="9"/>
      <w:bookmarkEnd w:id="10"/>
      <w:bookmarkEnd w:id="11"/>
      <w:bookmarkEnd w:id="12"/>
      <w:bookmarkEnd w:id="13"/>
      <w:bookmarkEnd w:id="14"/>
      <w:bookmarkEnd w:id="15"/>
    </w:p>
    <w:p w14:paraId="36CED6FE">
      <w:pPr>
        <w:pStyle w:val="34"/>
        <w:spacing w:before="143" w:beforeAutospacing="0" w:after="143" w:line="360" w:lineRule="auto"/>
        <w:rPr>
          <w:color w:val="auto"/>
          <w:highlight w:val="none"/>
        </w:rPr>
      </w:pPr>
      <w:bookmarkStart w:id="16" w:name="_Toc6731"/>
      <w:bookmarkStart w:id="17" w:name="_Toc31108"/>
      <w:bookmarkStart w:id="18" w:name="_Toc13180"/>
      <w:bookmarkStart w:id="19" w:name="_Toc26580"/>
      <w:bookmarkStart w:id="20" w:name="_Toc7322"/>
      <w:bookmarkStart w:id="21" w:name="_Toc22773"/>
      <w:bookmarkStart w:id="22" w:name="_Toc1219"/>
      <w:bookmarkStart w:id="23" w:name="_Toc2526"/>
      <w:bookmarkStart w:id="24" w:name="_Toc392516205"/>
      <w:bookmarkStart w:id="25" w:name="_Toc529298696"/>
      <w:bookmarkStart w:id="26" w:name="_Toc27330"/>
      <w:bookmarkStart w:id="27" w:name="_Toc16589"/>
      <w:bookmarkStart w:id="28" w:name="_Toc194486378"/>
      <w:bookmarkStart w:id="29" w:name="_Toc17429"/>
      <w:bookmarkStart w:id="30" w:name="_Toc28622_WPSOffice_Level2"/>
      <w:bookmarkStart w:id="31" w:name="_Toc24890"/>
      <w:bookmarkStart w:id="32" w:name="_Toc4562"/>
      <w:bookmarkStart w:id="33" w:name="_Toc14117"/>
      <w:bookmarkStart w:id="34" w:name="_Toc11475"/>
      <w:bookmarkStart w:id="35" w:name="_Toc6690"/>
      <w:bookmarkStart w:id="36" w:name="_Toc6848"/>
      <w:bookmarkStart w:id="37" w:name="_Toc16726"/>
      <w:bookmarkStart w:id="38" w:name="_Toc505776015"/>
      <w:r>
        <w:rPr>
          <w:rFonts w:hint="eastAsia"/>
          <w:color w:val="auto"/>
          <w:highlight w:val="none"/>
        </w:rPr>
        <w:t>第一节  工程量清单计价说明</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3226479">
      <w:pPr>
        <w:pStyle w:val="27"/>
        <w:spacing w:before="143" w:after="143" w:line="360" w:lineRule="auto"/>
        <w:ind w:firstLine="578" w:firstLineChars="200"/>
        <w:rPr>
          <w:color w:val="auto"/>
          <w:sz w:val="28"/>
          <w:szCs w:val="21"/>
          <w:highlight w:val="none"/>
        </w:rPr>
      </w:pPr>
      <w:bookmarkStart w:id="39" w:name="_Toc7790"/>
      <w:bookmarkStart w:id="40" w:name="_Toc9361"/>
      <w:bookmarkStart w:id="41" w:name="_Toc505776016"/>
      <w:bookmarkStart w:id="42" w:name="_Toc529298697"/>
      <w:bookmarkStart w:id="43" w:name="_Toc30149"/>
      <w:bookmarkStart w:id="44" w:name="_Toc25609"/>
      <w:bookmarkStart w:id="45" w:name="_Toc5"/>
      <w:bookmarkStart w:id="46" w:name="_Toc17464"/>
      <w:bookmarkStart w:id="47" w:name="_Toc14405"/>
      <w:bookmarkStart w:id="48" w:name="_Toc25357"/>
      <w:bookmarkStart w:id="49" w:name="_Toc22075"/>
      <w:bookmarkStart w:id="50" w:name="_Toc32421"/>
      <w:bookmarkStart w:id="51" w:name="_Toc13302"/>
      <w:bookmarkStart w:id="52" w:name="_Toc9607_WPSOffice_Level3"/>
      <w:bookmarkStart w:id="53" w:name="_Toc28985"/>
      <w:bookmarkStart w:id="54" w:name="_Toc29525"/>
      <w:bookmarkStart w:id="55" w:name="_Toc24300"/>
      <w:bookmarkStart w:id="56" w:name="_Toc3208"/>
      <w:bookmarkStart w:id="57" w:name="_Toc11682"/>
      <w:bookmarkStart w:id="58" w:name="_Toc14717"/>
      <w:bookmarkStart w:id="59" w:name="_Toc8693"/>
      <w:r>
        <w:rPr>
          <w:rFonts w:hint="eastAsia"/>
          <w:color w:val="auto"/>
          <w:sz w:val="28"/>
          <w:szCs w:val="21"/>
          <w:highlight w:val="none"/>
        </w:rPr>
        <w:t>一、总说明</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9513A51">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1、本项目执行《建设工程工程量清单计价标准（GB/T50500-2024）》、《广东省建设工程计价依据的通知（2018）》（粤建市〔2019〕6号）、《关于调整&lt;广东省建设工程计价依据2018&gt;计价规则的通知》（粤标定函〔2025〕22号</w:t>
      </w:r>
      <w:r>
        <w:rPr>
          <w:rFonts w:hint="eastAsia" w:ascii="宋体" w:hAnsi="宋体" w:cs="宋体"/>
          <w:color w:val="auto"/>
          <w:spacing w:val="4"/>
          <w:kern w:val="0"/>
          <w:sz w:val="24"/>
          <w:szCs w:val="24"/>
          <w:highlight w:val="none"/>
          <w:lang w:val="en-US" w:eastAsia="zh-CN" w:bidi="ar"/>
        </w:rPr>
        <w:t>）</w:t>
      </w:r>
      <w:r>
        <w:rPr>
          <w:rFonts w:hint="eastAsia" w:ascii="宋体" w:hAnsi="宋体" w:eastAsia="宋体" w:cs="宋体"/>
          <w:color w:val="auto"/>
          <w:spacing w:val="4"/>
          <w:kern w:val="0"/>
          <w:sz w:val="24"/>
          <w:szCs w:val="24"/>
          <w:highlight w:val="none"/>
          <w:lang w:val="en-US" w:eastAsia="zh-CN" w:bidi="ar"/>
        </w:rPr>
        <w:t>、《关于贯彻执行&lt;建设工程工程量清单计价标准&gt;及九项专业工程工程量计算标准的实施意见》（粤标定函〔2025〕24号）的相关规定。国家及广东省、广州市有最新规定的，从其规定。</w:t>
      </w:r>
    </w:p>
    <w:p w14:paraId="5FDF8D60">
      <w:pPr>
        <w:pStyle w:val="24"/>
        <w:spacing w:before="143" w:beforeLines="50" w:beforeAutospacing="0" w:after="143" w:afterLines="50" w:line="360" w:lineRule="auto"/>
        <w:ind w:firstLine="496"/>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、凡在本说明中已明确的须按本说明执行。本说明与工程量清单互为补充、解释，当两者有矛盾时，解释顺序以清单优先于说明。</w:t>
      </w:r>
    </w:p>
    <w:p w14:paraId="31C1191A">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3、清单项目特征中综合考虑的内容，不因设计变更等原因调整价款。</w:t>
      </w:r>
    </w:p>
    <w:p w14:paraId="78B1604E">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4、工程总报价由分部分项工程量清单报价、措施项目清单报价、其他项目清单报价和增值税销项税额四部分组成，其中分部分项工程量清单报价、措施项目清单报价、其他项目清单报价除专业工程暂估价含税外，余均为不包含进项税额的报价。同时。报价应结合现场踏勘情况，充分考虑工程施工管理和施工组织设计涉及的内容，不允许报价与工程施工管理和施工组织严重脱节或工程量清单各项单价存在严重不合理报价。</w:t>
      </w:r>
    </w:p>
    <w:p w14:paraId="64787275">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5、“项目特征”是指载明构成工程量清单项目自身的本质及要求，用于说明设计图纸、技术标准规范及招标文件所要求完成的清单项目的文字性描述。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地理气候等阅读、理解并进行报价。</w:t>
      </w:r>
    </w:p>
    <w:p w14:paraId="4316E5DA">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eastAsia="zh-CN"/>
        </w:rPr>
        <w:t>当为</w:t>
      </w:r>
      <w:r>
        <w:rPr>
          <w:rFonts w:hint="eastAsia" w:ascii="宋体" w:hAnsi="宋体" w:cs="宋体"/>
          <w:color w:val="auto"/>
          <w:highlight w:val="none"/>
        </w:rPr>
        <w:t>单价合同时，投标人认为招标文件工程量清单没有开列的项目或认为清单及清单工程量描述有误时，投标人应以书面形式提出，经招标人以答疑纪要或澄清文件方式确认后可增列或修正；当为总价合同时，投标人认为工程量清单缺陷时，包</w:t>
      </w:r>
      <w:r>
        <w:rPr>
          <w:rFonts w:hint="eastAsia" w:ascii="宋体" w:hAnsi="宋体" w:cs="宋体"/>
          <w:color w:val="auto"/>
          <w:highlight w:val="none"/>
          <w:lang w:eastAsia="zh-CN"/>
        </w:rPr>
        <w:t>括但</w:t>
      </w:r>
      <w:r>
        <w:rPr>
          <w:rFonts w:hint="eastAsia" w:ascii="宋体" w:hAnsi="宋体" w:cs="宋体"/>
          <w:color w:val="auto"/>
          <w:highlight w:val="none"/>
        </w:rPr>
        <w:t>不限于工程量清单多列项、错漏项、项目特征不符、工程数量偏差及其他同类，投标人应以招标图纸、合同价款进行充分考虑计算，招标人有权不再调整相关费用。</w:t>
      </w:r>
    </w:p>
    <w:p w14:paraId="1F43AADE">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7、工程量报价清单内的每一清单项目均需填报单价和合价</w:t>
      </w:r>
      <w:r>
        <w:rPr>
          <w:rFonts w:ascii="宋体" w:cs="宋体"/>
          <w:color w:val="auto"/>
          <w:highlight w:val="none"/>
        </w:rPr>
        <w:t>,</w:t>
      </w:r>
      <w:r>
        <w:rPr>
          <w:rFonts w:hint="eastAsia" w:ascii="宋体" w:hAnsi="宋体" w:cs="宋体"/>
          <w:color w:val="auto"/>
          <w:highlight w:val="none"/>
        </w:rPr>
        <w:t>对没有填报或填报为“</w:t>
      </w:r>
      <w:r>
        <w:rPr>
          <w:rFonts w:ascii="宋体" w:cs="宋体"/>
          <w:color w:val="auto"/>
          <w:highlight w:val="none"/>
        </w:rPr>
        <w:t>0</w:t>
      </w:r>
      <w:r>
        <w:rPr>
          <w:rFonts w:hint="eastAsia" w:ascii="宋体" w:hAnsi="宋体" w:cs="宋体"/>
          <w:color w:val="auto"/>
          <w:highlight w:val="none"/>
        </w:rPr>
        <w:t>”的单价与合价项目</w:t>
      </w:r>
      <w:r>
        <w:rPr>
          <w:rFonts w:ascii="宋体" w:cs="宋体"/>
          <w:color w:val="auto"/>
          <w:highlight w:val="none"/>
        </w:rPr>
        <w:t>,</w:t>
      </w:r>
      <w:r>
        <w:rPr>
          <w:rFonts w:hint="eastAsia" w:ascii="宋体" w:hAnsi="宋体" w:cs="宋体"/>
          <w:color w:val="auto"/>
          <w:highlight w:val="none"/>
        </w:rPr>
        <w:t>则视为该项费用已含在其他工程量报价清单中的综合单价与综合合价内。</w:t>
      </w:r>
    </w:p>
    <w:p w14:paraId="0E9A83E9">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8、工程量清单中的主材若</w:t>
      </w:r>
      <w:r>
        <w:rPr>
          <w:rFonts w:hint="eastAsia" w:ascii="宋体" w:hAnsi="宋体" w:cs="宋体"/>
          <w:color w:val="auto"/>
          <w:highlight w:val="none"/>
          <w:lang w:eastAsia="zh-CN"/>
        </w:rPr>
        <w:t>属于</w:t>
      </w:r>
      <w:r>
        <w:rPr>
          <w:rFonts w:hint="eastAsia" w:ascii="宋体" w:hAnsi="宋体" w:cs="宋体"/>
          <w:color w:val="auto"/>
          <w:highlight w:val="none"/>
        </w:rPr>
        <w:t>招标人推荐品牌范围的，则按招标人推荐的供货厂家进行报价。</w:t>
      </w:r>
    </w:p>
    <w:p w14:paraId="3F0B974C">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9、投标人所报的材料及设备单价均为到工地结算价（不包含进项税额），即包含原价、采购费、运杂费及运输损耗、仓储保管费、装卸费、吊装费及场内二次转运费等。</w:t>
      </w:r>
    </w:p>
    <w:p w14:paraId="2C7D7749">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10、投标人填报单价合同工程量清单时，对招标人提供的工程量清单数据及内容、表格格式除招标文件另有约定和单（合）价分析表中可插入行以外，均不得改动并严格按招标文件工程量清单中的项目顺序填写，如有改动因此所造成的责任及后果由投标人</w:t>
      </w:r>
      <w:r>
        <w:rPr>
          <w:rFonts w:hint="eastAsia" w:ascii="宋体" w:hAnsi="宋体" w:cs="宋体"/>
          <w:color w:val="auto"/>
          <w:highlight w:val="none"/>
          <w:lang w:eastAsia="zh-CN"/>
        </w:rPr>
        <w:t>自己</w:t>
      </w:r>
      <w:r>
        <w:rPr>
          <w:rFonts w:hint="eastAsia" w:ascii="宋体" w:hAnsi="宋体" w:cs="宋体"/>
          <w:color w:val="auto"/>
          <w:highlight w:val="none"/>
        </w:rPr>
        <w:t>承担。当为</w:t>
      </w:r>
      <w:r>
        <w:rPr>
          <w:rFonts w:hint="eastAsia" w:ascii="宋体" w:hAnsi="宋体" w:cs="宋体"/>
          <w:color w:val="auto"/>
          <w:highlight w:val="none"/>
          <w:lang w:eastAsia="zh-CN"/>
        </w:rPr>
        <w:t>总价合同</w:t>
      </w:r>
      <w:r>
        <w:rPr>
          <w:rFonts w:hint="eastAsia" w:ascii="宋体" w:hAnsi="宋体" w:cs="宋体"/>
          <w:color w:val="auto"/>
          <w:highlight w:val="none"/>
        </w:rPr>
        <w:t>时，则可以自行充分考虑招标范围内的清单工程量及相关清单项目费用。</w:t>
      </w:r>
    </w:p>
    <w:p w14:paraId="76E102BE">
      <w:pPr>
        <w:pStyle w:val="24"/>
        <w:spacing w:before="143" w:beforeLines="50" w:beforeAutospacing="0" w:after="143" w:afterLines="50" w:line="360" w:lineRule="auto"/>
        <w:ind w:firstLine="496"/>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1、投标人所提供的电子文件必须能够打开，电子文件的内容必须按招标文件的要求格式填报，不得擅自调整格式及顺序，同时电子文件内容必须与纸质投标文件正本内容一致。</w:t>
      </w:r>
    </w:p>
    <w:p w14:paraId="0B82D90A">
      <w:pPr>
        <w:pStyle w:val="24"/>
        <w:spacing w:before="143" w:beforeLines="50" w:beforeAutospacing="0" w:after="143" w:afterLines="50" w:line="360" w:lineRule="auto"/>
        <w:ind w:firstLine="496"/>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2、所有报价的币种均为人民币；工程数量、单价、合价保留两位小数，第三位小数四舍五入。</w:t>
      </w:r>
    </w:p>
    <w:p w14:paraId="6513953A">
      <w:pPr>
        <w:pStyle w:val="24"/>
        <w:spacing w:before="143" w:beforeLines="50" w:beforeAutospacing="0" w:after="143" w:afterLines="50" w:line="360" w:lineRule="auto"/>
        <w:ind w:firstLine="496"/>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3、对于工程实施过程中某清单项目或清单项目中的某一项（或某几项）工作内容若实际未发生的，则在结算时应扣除未发生的清单项目或清单项目中未发生部分工程内容的相应费用。</w:t>
      </w:r>
    </w:p>
    <w:p w14:paraId="62DBB7B6">
      <w:pPr>
        <w:adjustRightInd w:val="0"/>
        <w:snapToGrid w:val="0"/>
        <w:spacing w:before="143" w:beforeLines="50" w:after="143" w:afterLines="50" w:line="360" w:lineRule="auto"/>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4、合价包干类措施的投入若能满足施工组织和验收要求，则按合同全额支付和结算（招标人统一调配的除外）；若不能满足施工组织和验收要求且经整改</w:t>
      </w:r>
      <w:r>
        <w:rPr>
          <w:rFonts w:ascii="宋体" w:hAnsi="宋体" w:cs="宋体"/>
          <w:color w:val="auto"/>
          <w:sz w:val="24"/>
          <w:szCs w:val="24"/>
          <w:highlight w:val="none"/>
        </w:rPr>
        <w:t>10</w:t>
      </w:r>
      <w:r>
        <w:rPr>
          <w:rFonts w:hint="eastAsia" w:ascii="宋体" w:hAnsi="宋体" w:cs="宋体"/>
          <w:color w:val="auto"/>
          <w:sz w:val="24"/>
          <w:szCs w:val="24"/>
          <w:highlight w:val="none"/>
        </w:rPr>
        <w:t>天仍不满足要求的，则由发包人有权另行委托队伍施工，所发生的费用不管有无超过合同中该项目的合价，均全部由承包人负责并在其结算中扣除；经整改后仍不满足要求，</w:t>
      </w:r>
      <w:r>
        <w:rPr>
          <w:rFonts w:hint="eastAsia" w:ascii="宋体" w:hAnsi="宋体" w:cs="宋体"/>
          <w:color w:val="auto"/>
          <w:sz w:val="24"/>
          <w:szCs w:val="24"/>
          <w:highlight w:val="none"/>
          <w:lang w:eastAsia="zh-CN"/>
        </w:rPr>
        <w:t>按合同约定处理。</w:t>
      </w:r>
    </w:p>
    <w:p w14:paraId="18760CCF">
      <w:pPr>
        <w:adjustRightInd w:val="0"/>
        <w:snapToGrid w:val="0"/>
        <w:spacing w:before="143" w:beforeLines="50" w:after="143" w:afterLines="50" w:line="360" w:lineRule="auto"/>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5、不合理报价的处理</w:t>
      </w:r>
    </w:p>
    <w:p w14:paraId="612FAE8E">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）开标后签订合同前或整个合同执行期间，在保持中标总价不变的情况下，招标人将对经济标投标报价文件进行算术校核和修正。</w:t>
      </w:r>
    </w:p>
    <w:p w14:paraId="4450375A">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）不合理报价的算术性校核和修正办法如下：</w:t>
      </w:r>
    </w:p>
    <w:p w14:paraId="597C849D">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①按招标文件开标、评标及定标办法相关约定执行；</w:t>
      </w:r>
    </w:p>
    <w:p w14:paraId="4292DD9D">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②投标文件综合单（合）价分析表中凡出现费率的必须填报，费率的数据由投标人根据企业自身实力自行填报。投标人在相同专业工程的单（合）价分析表中的费率必须填报一致，否则，评标时以其投标时的报价进行评审，结算时以组成中标价的费率计算。在确定合同换算综合单价及合同外新增项目综合单价时，以低费率进行计算。如报为</w:t>
      </w:r>
      <w:r>
        <w:rPr>
          <w:rFonts w:ascii="宋体" w:cs="宋体"/>
          <w:color w:val="auto"/>
          <w:highlight w:val="none"/>
        </w:rPr>
        <w:t>0</w:t>
      </w:r>
      <w:r>
        <w:rPr>
          <w:rFonts w:hint="eastAsia" w:ascii="宋体" w:hAnsi="宋体" w:cs="宋体"/>
          <w:color w:val="auto"/>
          <w:highlight w:val="none"/>
        </w:rPr>
        <w:t>或不填报者则视为</w:t>
      </w:r>
      <w:r>
        <w:rPr>
          <w:rFonts w:ascii="宋体" w:cs="宋体"/>
          <w:color w:val="auto"/>
          <w:highlight w:val="none"/>
        </w:rPr>
        <w:t>0</w:t>
      </w:r>
      <w:r>
        <w:rPr>
          <w:rFonts w:hint="eastAsia" w:ascii="宋体" w:hAnsi="宋体" w:cs="宋体"/>
          <w:color w:val="auto"/>
          <w:highlight w:val="none"/>
        </w:rPr>
        <w:t>。</w:t>
      </w:r>
    </w:p>
    <w:p w14:paraId="4A962455">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③投标文件综合单（合）价分析表中，若填报的材料设备价格与分部分项工程量清单中的主材费价格或《主要材料设备价格表》中相应材料设备价格不一致，按组成中标价的综合单价对应的主材费价格或材料设备价格作为合同换算综合单价及合同外新增项目综合单价主材价格确定的依据。</w:t>
      </w:r>
    </w:p>
    <w:p w14:paraId="1938618D">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④相同清单项目【</w:t>
      </w:r>
      <w:r>
        <w:rPr>
          <w:rFonts w:hint="eastAsia" w:ascii="宋体" w:hAnsi="宋体"/>
          <w:color w:val="auto"/>
          <w:highlight w:val="none"/>
        </w:rPr>
        <w:t>指专业类别、清单项目名称、项目特征、工作内容、施工部位（如同为地下工程、地上工程、同一栋）、计量单位都相同的清单项目，下同】</w:t>
      </w:r>
      <w:r>
        <w:rPr>
          <w:rFonts w:hint="eastAsia" w:ascii="宋体" w:hAnsi="宋体" w:cs="宋体"/>
          <w:color w:val="auto"/>
          <w:highlight w:val="none"/>
        </w:rPr>
        <w:t>只需填报一个综合单价分析表，工程量清单计价表中的综合单价须与综合单价分析表中的综合单价对应一致，否则结算时以组成中标价的综合单价计算。</w:t>
      </w:r>
    </w:p>
    <w:p w14:paraId="3F2458E5">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⑤相同清单项目只能有一个投标单价，若相同清单项目出现两个或两个以上投标单价，结算时原合同数量的综合单价以组成中标总价的相应投标单价计算；超出原合同清单数量外的新增数量，其综合单价按以上相应投标单价中的最低值计取。同一主材只能有一个投标单价，若相同主材出现两个或两个以上投标单价，结算时原合同数量的主材单价以组成中标总价的相应投标单价计算；超出原合同清单数量外的新增数量，其综合单价按以上相应主材投标单价中的最低值计取。</w:t>
      </w:r>
    </w:p>
    <w:p w14:paraId="09B02356">
      <w:pPr>
        <w:pStyle w:val="24"/>
        <w:spacing w:before="143" w:beforeLines="50" w:beforeAutospacing="0" w:after="143" w:afterLines="50" w:line="360" w:lineRule="auto"/>
        <w:ind w:firstLine="496"/>
        <w:rPr>
          <w:color w:val="auto"/>
          <w:highlight w:val="none"/>
        </w:rPr>
      </w:pPr>
      <w:r>
        <w:rPr>
          <w:rFonts w:hint="eastAsia" w:ascii="宋体" w:hAnsi="宋体" w:cs="宋体"/>
          <w:color w:val="auto"/>
          <w:highlight w:val="none"/>
        </w:rPr>
        <w:t>⑥招标文件（含</w:t>
      </w:r>
      <w:r>
        <w:rPr>
          <w:rFonts w:hint="eastAsia" w:ascii="宋体" w:hAnsi="宋体" w:cs="宋体"/>
          <w:color w:val="auto"/>
          <w:highlight w:val="none"/>
          <w:lang w:eastAsia="zh"/>
        </w:rPr>
        <w:t>最高投标限价</w:t>
      </w:r>
      <w:r>
        <w:rPr>
          <w:rFonts w:hint="eastAsia" w:ascii="宋体" w:hAnsi="宋体" w:cs="宋体"/>
          <w:color w:val="auto"/>
          <w:highlight w:val="none"/>
        </w:rPr>
        <w:t>）规定的成本参考价，是指招标人为项目管理的需要，对部分综合单价、合价或主材单价设定成本参考价。如投标人的报价低于成本参考价的，应</w:t>
      </w:r>
      <w:r>
        <w:rPr>
          <w:rFonts w:hint="eastAsia" w:ascii="宋体" w:hAnsi="宋体" w:cs="宋体"/>
          <w:color w:val="auto"/>
          <w:highlight w:val="none"/>
          <w:lang w:eastAsia="zh"/>
        </w:rPr>
        <w:t>在中标后</w:t>
      </w:r>
      <w:r>
        <w:rPr>
          <w:rFonts w:hint="eastAsia" w:ascii="宋体" w:hAnsi="宋体" w:cs="宋体"/>
          <w:color w:val="auto"/>
          <w:highlight w:val="none"/>
        </w:rPr>
        <w:t>提供能证明此部分单价来源的相关资料，中标后必须承诺按不低于成本参考价的标准实施；实施过</w:t>
      </w:r>
      <w:r>
        <w:rPr>
          <w:rFonts w:hint="eastAsia" w:ascii="宋体" w:hAnsi="宋体" w:cs="宋体"/>
          <w:color w:val="auto"/>
          <w:highlight w:val="none"/>
          <w:lang w:eastAsia="zh-CN"/>
        </w:rPr>
        <w:t>程中</w:t>
      </w:r>
      <w:r>
        <w:rPr>
          <w:rFonts w:hint="eastAsia" w:ascii="宋体" w:hAnsi="宋体" w:cs="宋体"/>
          <w:color w:val="auto"/>
          <w:highlight w:val="none"/>
        </w:rPr>
        <w:t>需严格按照招标人的相关管理办法进行看样定板，招标人将按不低于成本参考价对应的材料质量档次进行看样定板，承包人不得因此提出调价要求。如投标人的报价低于相应成本参考价的，如相应工程内容不实施，除相应费用不计取外，还应在结算金额中扣减相应的价差【价差扣减金额</w:t>
      </w:r>
      <w:r>
        <w:rPr>
          <w:rFonts w:ascii="宋体" w:hAnsi="宋体" w:cs="宋体"/>
          <w:color w:val="auto"/>
          <w:highlight w:val="none"/>
        </w:rPr>
        <w:t>=</w:t>
      </w:r>
      <w:r>
        <w:rPr>
          <w:rFonts w:hint="eastAsia" w:ascii="宋体" w:hAnsi="宋体" w:cs="宋体"/>
          <w:color w:val="auto"/>
          <w:highlight w:val="none"/>
        </w:rPr>
        <w:t>（</w:t>
      </w:r>
      <w:r>
        <w:rPr>
          <w:rFonts w:hint="eastAsia" w:ascii="宋体" w:hAnsi="宋体" w:cs="宋体"/>
          <w:color w:val="auto"/>
          <w:highlight w:val="none"/>
          <w:lang w:eastAsia="zh-CN"/>
        </w:rPr>
        <w:t>成本参考价</w:t>
      </w:r>
      <w:r>
        <w:rPr>
          <w:rFonts w:ascii="宋体" w:cs="宋体"/>
          <w:color w:val="auto"/>
          <w:highlight w:val="none"/>
        </w:rPr>
        <w:t>-</w:t>
      </w:r>
      <w:r>
        <w:rPr>
          <w:rFonts w:hint="eastAsia" w:ascii="宋体" w:hAnsi="宋体" w:cs="宋体"/>
          <w:color w:val="auto"/>
          <w:highlight w:val="none"/>
        </w:rPr>
        <w:t>中标价）×合同清单工程量】。</w:t>
      </w:r>
      <w:r>
        <w:rPr>
          <w:rFonts w:hint="eastAsia"/>
          <w:color w:val="auto"/>
          <w:highlight w:val="none"/>
        </w:rPr>
        <w:t>成本参考价不作为评标阶段的符合性审查内容。</w:t>
      </w:r>
    </w:p>
    <w:p w14:paraId="532E0687">
      <w:pPr>
        <w:spacing w:before="143" w:beforeLines="50" w:after="143" w:afterLines="50" w:line="360" w:lineRule="auto"/>
        <w:jc w:val="center"/>
        <w:rPr>
          <w:rFonts w:hint="eastAsia" w:eastAsia="宋体"/>
          <w:color w:val="auto"/>
          <w:highlight w:val="none"/>
          <w:lang w:eastAsia="zh"/>
        </w:rPr>
      </w:pPr>
      <w:r>
        <w:rPr>
          <w:rFonts w:hint="eastAsia" w:ascii="宋体" w:hAnsi="宋体" w:cs="宋体"/>
          <w:b/>
          <w:bCs/>
          <w:color w:val="auto"/>
          <w:sz w:val="28"/>
          <w:szCs w:val="28"/>
          <w:highlight w:val="none"/>
        </w:rPr>
        <w:t>成本参考价一览表</w:t>
      </w:r>
    </w:p>
    <w:tbl>
      <w:tblPr>
        <w:tblStyle w:val="12"/>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695"/>
        <w:gridCol w:w="1770"/>
        <w:gridCol w:w="1730"/>
      </w:tblGrid>
      <w:tr w14:paraId="4223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noWrap w:val="0"/>
            <w:vAlign w:val="center"/>
          </w:tcPr>
          <w:p w14:paraId="72996440">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4695" w:type="dxa"/>
            <w:noWrap w:val="0"/>
            <w:vAlign w:val="center"/>
          </w:tcPr>
          <w:p w14:paraId="35F6098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rPr>
              <w:t>清单项目名称</w:t>
            </w:r>
          </w:p>
        </w:tc>
        <w:tc>
          <w:tcPr>
            <w:tcW w:w="1770" w:type="dxa"/>
            <w:noWrap w:val="0"/>
            <w:vAlign w:val="center"/>
          </w:tcPr>
          <w:p w14:paraId="6C0A4492">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成本参考价</w:t>
            </w:r>
          </w:p>
        </w:tc>
        <w:tc>
          <w:tcPr>
            <w:tcW w:w="1730" w:type="dxa"/>
            <w:noWrap w:val="0"/>
            <w:vAlign w:val="center"/>
          </w:tcPr>
          <w:p w14:paraId="4C199F7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rPr>
              <w:t>备注</w:t>
            </w:r>
          </w:p>
        </w:tc>
      </w:tr>
      <w:tr w14:paraId="26A2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6FC995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4695" w:type="dxa"/>
            <w:shd w:val="clear" w:color="auto" w:fill="auto"/>
            <w:noWrap w:val="0"/>
            <w:vAlign w:val="center"/>
          </w:tcPr>
          <w:p w14:paraId="3BE6DD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lang w:val="en-US" w:eastAsia="zh" w:bidi="ar-SA"/>
              </w:rPr>
            </w:pPr>
            <w:r>
              <w:rPr>
                <w:rFonts w:hint="eastAsia" w:ascii="宋体" w:hAnsi="宋体" w:cs="宋体"/>
                <w:color w:val="auto"/>
                <w:kern w:val="0"/>
                <w:sz w:val="24"/>
                <w:szCs w:val="24"/>
                <w:highlight w:val="none"/>
                <w:lang w:val="en-US" w:eastAsia="zh-CN"/>
              </w:rPr>
              <w:t>机电拆除</w:t>
            </w:r>
          </w:p>
        </w:tc>
        <w:tc>
          <w:tcPr>
            <w:tcW w:w="1770" w:type="dxa"/>
            <w:shd w:val="clear" w:color="auto" w:fill="auto"/>
            <w:noWrap w:val="0"/>
            <w:vAlign w:val="center"/>
          </w:tcPr>
          <w:p w14:paraId="5ADA2F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4"/>
                <w:szCs w:val="24"/>
                <w:highlight w:val="none"/>
                <w:lang w:val="en-US" w:eastAsia="zh" w:bidi="ar-SA"/>
              </w:rPr>
            </w:pPr>
            <w:r>
              <w:rPr>
                <w:rFonts w:hint="eastAsia" w:ascii="宋体" w:hAnsi="宋体" w:cs="宋体"/>
                <w:color w:val="auto"/>
                <w:sz w:val="24"/>
                <w:szCs w:val="24"/>
                <w:highlight w:val="none"/>
                <w:lang w:val="en-US" w:eastAsia="zh-CN"/>
              </w:rPr>
              <w:t>7.43</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eastAsia="zh"/>
              </w:rPr>
              <w:t>/项</w:t>
            </w:r>
          </w:p>
        </w:tc>
        <w:tc>
          <w:tcPr>
            <w:tcW w:w="1730" w:type="dxa"/>
            <w:shd w:val="clear" w:color="auto" w:fill="auto"/>
            <w:noWrap w:val="0"/>
            <w:vAlign w:val="center"/>
          </w:tcPr>
          <w:p w14:paraId="6458BE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4"/>
                <w:szCs w:val="24"/>
                <w:highlight w:val="none"/>
                <w:lang w:val="en-US" w:eastAsia="zh" w:bidi="ar-SA"/>
              </w:rPr>
            </w:pPr>
            <w:r>
              <w:rPr>
                <w:rFonts w:hint="eastAsia" w:ascii="宋体" w:hAnsi="宋体" w:cs="宋体"/>
                <w:color w:val="auto"/>
                <w:sz w:val="24"/>
                <w:szCs w:val="24"/>
                <w:highlight w:val="none"/>
                <w:lang w:eastAsia="zh"/>
              </w:rPr>
              <w:t>分部分项合价费用</w:t>
            </w:r>
          </w:p>
        </w:tc>
      </w:tr>
      <w:tr w14:paraId="6EB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noWrap w:val="0"/>
            <w:vAlign w:val="center"/>
          </w:tcPr>
          <w:p w14:paraId="2C867A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4695" w:type="dxa"/>
            <w:shd w:val="clear" w:color="auto" w:fill="auto"/>
            <w:noWrap w:val="0"/>
            <w:vAlign w:val="center"/>
          </w:tcPr>
          <w:p w14:paraId="028C3A1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宋体" w:hAnsi="宋体" w:eastAsia="宋体" w:cs="宋体"/>
                <w:color w:val="auto"/>
                <w:kern w:val="0"/>
                <w:sz w:val="24"/>
                <w:szCs w:val="24"/>
                <w:highlight w:val="none"/>
                <w:lang w:val="en-US" w:eastAsia="zh" w:bidi="ar-SA"/>
              </w:rPr>
            </w:pPr>
            <w:r>
              <w:rPr>
                <w:rFonts w:hint="eastAsia" w:ascii="宋体" w:hAnsi="宋体" w:cs="宋体"/>
                <w:color w:val="auto"/>
                <w:kern w:val="0"/>
                <w:sz w:val="24"/>
                <w:szCs w:val="24"/>
                <w:highlight w:val="none"/>
                <w:lang w:val="en-US" w:eastAsia="zh-CN"/>
              </w:rPr>
              <w:t>墙、柱面底层抹灰(</w:t>
            </w:r>
            <w:r>
              <w:rPr>
                <w:rFonts w:hint="default" w:ascii="宋体" w:hAnsi="宋体" w:eastAsia="宋体" w:cs="宋体"/>
                <w:color w:val="auto"/>
                <w:kern w:val="2"/>
                <w:sz w:val="24"/>
                <w:szCs w:val="24"/>
                <w:highlight w:val="none"/>
                <w:lang w:val="en-US" w:eastAsia="zh-CN" w:bidi="ar"/>
              </w:rPr>
              <w:t>10mm厚WPM</w:t>
            </w:r>
            <w:r>
              <w:rPr>
                <w:rFonts w:hint="eastAsia" w:ascii="宋体" w:hAnsi="宋体" w:cs="宋体"/>
                <w:color w:val="auto"/>
                <w:kern w:val="2"/>
                <w:sz w:val="24"/>
                <w:szCs w:val="24"/>
                <w:highlight w:val="none"/>
                <w:lang w:val="en-US" w:eastAsia="zh-CN" w:bidi="ar"/>
              </w:rPr>
              <w:t>5</w:t>
            </w:r>
            <w:r>
              <w:rPr>
                <w:rFonts w:hint="default" w:ascii="宋体" w:hAnsi="宋体" w:eastAsia="宋体" w:cs="宋体"/>
                <w:color w:val="auto"/>
                <w:kern w:val="2"/>
                <w:sz w:val="24"/>
                <w:szCs w:val="24"/>
                <w:highlight w:val="none"/>
                <w:lang w:val="en-US" w:eastAsia="zh-CN" w:bidi="ar"/>
              </w:rPr>
              <w:t>水泥砂浆</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 w:cs="宋体"/>
                <w:color w:val="auto"/>
                <w:kern w:val="2"/>
                <w:sz w:val="24"/>
                <w:szCs w:val="24"/>
                <w:highlight w:val="none"/>
                <w:lang w:val="en-US" w:eastAsia="zh-CN" w:bidi="ar"/>
              </w:rPr>
              <w:t>15mm厚WPM20水泥砂浆</w:t>
            </w:r>
            <w:r>
              <w:rPr>
                <w:rFonts w:hint="eastAsia" w:ascii="宋体" w:hAnsi="宋体" w:cs="宋体"/>
                <w:color w:val="auto"/>
                <w:kern w:val="2"/>
                <w:sz w:val="24"/>
                <w:szCs w:val="24"/>
                <w:highlight w:val="none"/>
                <w:lang w:val="en-US" w:eastAsia="zh-CN" w:bidi="ar"/>
              </w:rPr>
              <w:t>）</w:t>
            </w:r>
          </w:p>
        </w:tc>
        <w:tc>
          <w:tcPr>
            <w:tcW w:w="1770" w:type="dxa"/>
            <w:shd w:val="clear" w:color="auto" w:fill="auto"/>
            <w:noWrap w:val="0"/>
            <w:vAlign w:val="center"/>
          </w:tcPr>
          <w:p w14:paraId="7C7A3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4"/>
                <w:szCs w:val="24"/>
                <w:highlight w:val="none"/>
                <w:lang w:val="en-US" w:eastAsia="zh" w:bidi="ar-SA"/>
              </w:rPr>
            </w:pPr>
            <w:r>
              <w:rPr>
                <w:rFonts w:hint="eastAsia" w:ascii="宋体" w:hAnsi="宋体" w:cs="宋体"/>
                <w:color w:val="auto"/>
                <w:kern w:val="2"/>
                <w:sz w:val="24"/>
                <w:szCs w:val="24"/>
                <w:highlight w:val="none"/>
                <w:lang w:val="en-US" w:eastAsia="zh-CN" w:bidi="ar"/>
              </w:rPr>
              <w:t>36.36</w:t>
            </w:r>
            <w:r>
              <w:rPr>
                <w:rFonts w:hint="eastAsia" w:ascii="宋体" w:hAnsi="宋体" w:eastAsia="宋体" w:cs="宋体"/>
                <w:color w:val="auto"/>
                <w:kern w:val="2"/>
                <w:sz w:val="24"/>
                <w:szCs w:val="24"/>
                <w:highlight w:val="none"/>
                <w:lang w:val="en-US" w:eastAsia="zh-CN" w:bidi="ar"/>
              </w:rPr>
              <w:t>元/㎡</w:t>
            </w:r>
          </w:p>
        </w:tc>
        <w:tc>
          <w:tcPr>
            <w:tcW w:w="1730" w:type="dxa"/>
            <w:shd w:val="clear" w:color="auto" w:fill="auto"/>
            <w:noWrap w:val="0"/>
            <w:vAlign w:val="center"/>
          </w:tcPr>
          <w:p w14:paraId="3BE04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4"/>
                <w:szCs w:val="24"/>
                <w:highlight w:val="none"/>
                <w:lang w:val="en-US" w:eastAsia="zh" w:bidi="ar-SA"/>
              </w:rPr>
            </w:pPr>
            <w:r>
              <w:rPr>
                <w:rFonts w:hint="eastAsia" w:ascii="宋体" w:hAnsi="宋体" w:eastAsia="宋体" w:cs="宋体"/>
                <w:color w:val="auto"/>
                <w:kern w:val="2"/>
                <w:sz w:val="24"/>
                <w:szCs w:val="24"/>
                <w:highlight w:val="none"/>
                <w:lang w:val="en-US" w:eastAsia="zh-CN" w:bidi="ar"/>
              </w:rPr>
              <w:t>综合单价</w:t>
            </w:r>
          </w:p>
        </w:tc>
      </w:tr>
      <w:tr w14:paraId="736D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Align w:val="center"/>
          </w:tcPr>
          <w:p w14:paraId="6596707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4695" w:type="dxa"/>
            <w:vAlign w:val="center"/>
          </w:tcPr>
          <w:p w14:paraId="6C570B9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sz w:val="24"/>
                <w:szCs w:val="24"/>
                <w:highlight w:val="none"/>
                <w:lang w:eastAsia="zh"/>
              </w:rPr>
            </w:pPr>
            <w:r>
              <w:rPr>
                <w:rFonts w:hint="default"/>
                <w:highlight w:val="none"/>
              </w:rPr>
              <w:t>BHM1020钢筋混凝土密闭门</w:t>
            </w:r>
          </w:p>
        </w:tc>
        <w:tc>
          <w:tcPr>
            <w:tcW w:w="1770" w:type="dxa"/>
            <w:vAlign w:val="center"/>
          </w:tcPr>
          <w:p w14:paraId="37929C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eastAsia="zh"/>
              </w:rPr>
            </w:pPr>
            <w:r>
              <w:rPr>
                <w:rFonts w:hint="eastAsia" w:ascii="宋体" w:hAnsi="宋体" w:cs="宋体"/>
                <w:color w:val="auto"/>
                <w:sz w:val="24"/>
                <w:szCs w:val="24"/>
                <w:highlight w:val="none"/>
                <w:lang w:val="en-US" w:eastAsia="zh-CN"/>
              </w:rPr>
              <w:t>3805.76元/樘</w:t>
            </w:r>
          </w:p>
        </w:tc>
        <w:tc>
          <w:tcPr>
            <w:tcW w:w="1730" w:type="dxa"/>
            <w:vAlign w:val="center"/>
          </w:tcPr>
          <w:p w14:paraId="29A240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eastAsia="zh"/>
              </w:rPr>
            </w:pPr>
            <w:r>
              <w:rPr>
                <w:rFonts w:hint="eastAsia" w:ascii="宋体" w:hAnsi="宋体" w:eastAsia="宋体" w:cs="宋体"/>
                <w:color w:val="auto"/>
                <w:kern w:val="2"/>
                <w:sz w:val="24"/>
                <w:szCs w:val="24"/>
                <w:highlight w:val="none"/>
                <w:lang w:val="en-US" w:eastAsia="zh-CN" w:bidi="ar"/>
              </w:rPr>
              <w:t>综合单价</w:t>
            </w:r>
          </w:p>
        </w:tc>
      </w:tr>
      <w:tr w14:paraId="68CF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Align w:val="center"/>
          </w:tcPr>
          <w:p w14:paraId="743191F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695" w:type="dxa"/>
            <w:vAlign w:val="center"/>
          </w:tcPr>
          <w:p w14:paraId="474E423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auto"/>
                <w:sz w:val="24"/>
                <w:szCs w:val="24"/>
                <w:highlight w:val="none"/>
                <w:lang w:eastAsia="zh"/>
              </w:rPr>
            </w:pPr>
            <w:r>
              <w:rPr>
                <w:rFonts w:hint="default"/>
                <w:highlight w:val="none"/>
              </w:rPr>
              <w:t>BHFM1020-15钢筋混凝土防护密闭门</w:t>
            </w:r>
          </w:p>
        </w:tc>
        <w:tc>
          <w:tcPr>
            <w:tcW w:w="1770" w:type="dxa"/>
            <w:vAlign w:val="center"/>
          </w:tcPr>
          <w:p w14:paraId="5A5A63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4017.97元/樘</w:t>
            </w:r>
          </w:p>
        </w:tc>
        <w:tc>
          <w:tcPr>
            <w:tcW w:w="1730" w:type="dxa"/>
            <w:vAlign w:val="center"/>
          </w:tcPr>
          <w:p w14:paraId="0BBF21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综合单价</w:t>
            </w:r>
          </w:p>
        </w:tc>
      </w:tr>
      <w:tr w14:paraId="000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Align w:val="center"/>
          </w:tcPr>
          <w:p w14:paraId="1037EDF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695" w:type="dxa"/>
            <w:vAlign w:val="center"/>
          </w:tcPr>
          <w:p w14:paraId="36979BD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auto"/>
                <w:sz w:val="24"/>
                <w:szCs w:val="24"/>
                <w:highlight w:val="none"/>
                <w:lang w:eastAsia="zh"/>
              </w:rPr>
            </w:pPr>
            <w:r>
              <w:rPr>
                <w:rFonts w:hint="default"/>
                <w:highlight w:val="none"/>
              </w:rPr>
              <w:t>HM1022-GD钢筋混凝土密闭门</w:t>
            </w:r>
          </w:p>
        </w:tc>
        <w:tc>
          <w:tcPr>
            <w:tcW w:w="1770" w:type="dxa"/>
            <w:vAlign w:val="center"/>
          </w:tcPr>
          <w:p w14:paraId="730DC2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5187.80元/樘</w:t>
            </w:r>
          </w:p>
        </w:tc>
        <w:tc>
          <w:tcPr>
            <w:tcW w:w="1730" w:type="dxa"/>
            <w:vAlign w:val="center"/>
          </w:tcPr>
          <w:p w14:paraId="380E72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综合单价</w:t>
            </w:r>
          </w:p>
        </w:tc>
      </w:tr>
      <w:tr w14:paraId="7201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Align w:val="center"/>
          </w:tcPr>
          <w:p w14:paraId="7602CE6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695" w:type="dxa"/>
            <w:vAlign w:val="center"/>
          </w:tcPr>
          <w:p w14:paraId="4CB2F64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auto"/>
                <w:sz w:val="24"/>
                <w:szCs w:val="24"/>
                <w:highlight w:val="none"/>
                <w:lang w:eastAsia="zh"/>
              </w:rPr>
            </w:pPr>
            <w:r>
              <w:rPr>
                <w:rFonts w:hint="default"/>
                <w:highlight w:val="none"/>
              </w:rPr>
              <w:t>HFM1022（6）-GD钢筋混凝土防护密闭门</w:t>
            </w:r>
          </w:p>
        </w:tc>
        <w:tc>
          <w:tcPr>
            <w:tcW w:w="1770" w:type="dxa"/>
            <w:vAlign w:val="center"/>
          </w:tcPr>
          <w:p w14:paraId="3A0D27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6388.22元/樘</w:t>
            </w:r>
          </w:p>
        </w:tc>
        <w:tc>
          <w:tcPr>
            <w:tcW w:w="1730" w:type="dxa"/>
            <w:vAlign w:val="center"/>
          </w:tcPr>
          <w:p w14:paraId="535456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综合单价</w:t>
            </w:r>
          </w:p>
        </w:tc>
      </w:tr>
      <w:tr w14:paraId="1383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Align w:val="center"/>
          </w:tcPr>
          <w:p w14:paraId="27CF7C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695" w:type="dxa"/>
            <w:vAlign w:val="center"/>
          </w:tcPr>
          <w:p w14:paraId="2257EC5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auto"/>
                <w:sz w:val="24"/>
                <w:szCs w:val="24"/>
                <w:highlight w:val="none"/>
                <w:lang w:eastAsia="zh"/>
              </w:rPr>
            </w:pPr>
            <w:r>
              <w:rPr>
                <w:rFonts w:hint="default"/>
                <w:highlight w:val="none"/>
              </w:rPr>
              <w:t>BHFM1020-30钢筋混凝土防护密闭门</w:t>
            </w:r>
          </w:p>
        </w:tc>
        <w:tc>
          <w:tcPr>
            <w:tcW w:w="1770" w:type="dxa"/>
            <w:vAlign w:val="center"/>
          </w:tcPr>
          <w:p w14:paraId="4D9848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4478.86元/樘</w:t>
            </w:r>
          </w:p>
        </w:tc>
        <w:tc>
          <w:tcPr>
            <w:tcW w:w="1730" w:type="dxa"/>
            <w:vAlign w:val="center"/>
          </w:tcPr>
          <w:p w14:paraId="42DE66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综合单价</w:t>
            </w:r>
          </w:p>
        </w:tc>
      </w:tr>
      <w:tr w14:paraId="06D3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Align w:val="center"/>
          </w:tcPr>
          <w:p w14:paraId="20795D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695" w:type="dxa"/>
            <w:vAlign w:val="center"/>
          </w:tcPr>
          <w:p w14:paraId="56E4F49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auto"/>
                <w:sz w:val="24"/>
                <w:szCs w:val="24"/>
                <w:highlight w:val="none"/>
                <w:lang w:eastAsia="zh"/>
              </w:rPr>
            </w:pPr>
            <w:r>
              <w:rPr>
                <w:rFonts w:hint="default"/>
                <w:highlight w:val="none"/>
              </w:rPr>
              <w:t>BHFM1220-30钢筋混凝土防护密闭门</w:t>
            </w:r>
          </w:p>
        </w:tc>
        <w:tc>
          <w:tcPr>
            <w:tcW w:w="1770" w:type="dxa"/>
            <w:vAlign w:val="center"/>
          </w:tcPr>
          <w:p w14:paraId="3ABC4E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5374.63元/樘</w:t>
            </w:r>
          </w:p>
        </w:tc>
        <w:tc>
          <w:tcPr>
            <w:tcW w:w="1730" w:type="dxa"/>
            <w:vAlign w:val="center"/>
          </w:tcPr>
          <w:p w14:paraId="24487A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综合单价</w:t>
            </w:r>
          </w:p>
        </w:tc>
      </w:tr>
      <w:tr w14:paraId="63B2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Align w:val="center"/>
          </w:tcPr>
          <w:p w14:paraId="112109CB">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695" w:type="dxa"/>
            <w:vAlign w:val="center"/>
          </w:tcPr>
          <w:p w14:paraId="72070D3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cs="宋体"/>
                <w:color w:val="auto"/>
                <w:sz w:val="24"/>
                <w:szCs w:val="24"/>
                <w:highlight w:val="none"/>
                <w:lang w:eastAsia="zh"/>
              </w:rPr>
            </w:pPr>
            <w:r>
              <w:rPr>
                <w:rFonts w:hint="default"/>
                <w:highlight w:val="none"/>
              </w:rPr>
              <w:t>HFM1322（6）-GD钢筋混凝土防护密闭门</w:t>
            </w:r>
          </w:p>
        </w:tc>
        <w:tc>
          <w:tcPr>
            <w:tcW w:w="1770" w:type="dxa"/>
            <w:vAlign w:val="center"/>
          </w:tcPr>
          <w:p w14:paraId="3529F6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8304.69元/樘</w:t>
            </w:r>
          </w:p>
        </w:tc>
        <w:tc>
          <w:tcPr>
            <w:tcW w:w="1730" w:type="dxa"/>
            <w:vAlign w:val="center"/>
          </w:tcPr>
          <w:p w14:paraId="68A3D0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综合单价</w:t>
            </w:r>
          </w:p>
        </w:tc>
      </w:tr>
      <w:tr w14:paraId="132E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Align w:val="center"/>
          </w:tcPr>
          <w:p w14:paraId="71D904E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695" w:type="dxa"/>
            <w:vAlign w:val="center"/>
          </w:tcPr>
          <w:p w14:paraId="79F07F6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宋体"/>
                <w:color w:val="auto"/>
                <w:kern w:val="0"/>
                <w:sz w:val="24"/>
                <w:szCs w:val="24"/>
                <w:highlight w:val="none"/>
              </w:rPr>
            </w:pPr>
            <w:r>
              <w:rPr>
                <w:rFonts w:hint="default"/>
                <w:highlight w:val="none"/>
              </w:rPr>
              <w:t>拆除钢筋混凝土防护密闭门</w:t>
            </w:r>
          </w:p>
        </w:tc>
        <w:tc>
          <w:tcPr>
            <w:tcW w:w="1770" w:type="dxa"/>
            <w:vAlign w:val="center"/>
          </w:tcPr>
          <w:p w14:paraId="410FE2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154.20元/m2</w:t>
            </w:r>
          </w:p>
        </w:tc>
        <w:tc>
          <w:tcPr>
            <w:tcW w:w="1730" w:type="dxa"/>
            <w:vAlign w:val="center"/>
          </w:tcPr>
          <w:p w14:paraId="481157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综合单价</w:t>
            </w:r>
          </w:p>
        </w:tc>
      </w:tr>
      <w:tr w14:paraId="0979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6" w:type="dxa"/>
            <w:vAlign w:val="center"/>
          </w:tcPr>
          <w:p w14:paraId="3A6A9820">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695" w:type="dxa"/>
            <w:vAlign w:val="center"/>
          </w:tcPr>
          <w:p w14:paraId="49801EF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highlight w:val="none"/>
              </w:rPr>
            </w:pPr>
            <w:r>
              <w:rPr>
                <w:rFonts w:hint="default" w:ascii="宋体" w:hAnsi="宋体" w:cs="宋体"/>
                <w:color w:val="auto"/>
                <w:kern w:val="0"/>
                <w:sz w:val="24"/>
                <w:szCs w:val="24"/>
                <w:highlight w:val="none"/>
              </w:rPr>
              <w:t>积水处理及现场清理费</w:t>
            </w:r>
          </w:p>
        </w:tc>
        <w:tc>
          <w:tcPr>
            <w:tcW w:w="1770" w:type="dxa"/>
            <w:vAlign w:val="center"/>
          </w:tcPr>
          <w:p w14:paraId="61B3BD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0.27</w:t>
            </w:r>
            <w:r>
              <w:rPr>
                <w:rFonts w:hint="eastAsia" w:ascii="宋体" w:hAnsi="宋体" w:cs="宋体"/>
                <w:color w:val="auto"/>
                <w:kern w:val="0"/>
                <w:sz w:val="24"/>
                <w:szCs w:val="24"/>
                <w:highlight w:val="none"/>
                <w:lang w:eastAsia="zh"/>
              </w:rPr>
              <w:t>万元/项</w:t>
            </w:r>
          </w:p>
        </w:tc>
        <w:tc>
          <w:tcPr>
            <w:tcW w:w="1730" w:type="dxa"/>
            <w:vAlign w:val="center"/>
          </w:tcPr>
          <w:p w14:paraId="48E23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措施项目</w:t>
            </w:r>
            <w:r>
              <w:rPr>
                <w:rFonts w:hint="eastAsia" w:ascii="宋体" w:hAnsi="宋体" w:cs="宋体"/>
                <w:color w:val="auto"/>
                <w:sz w:val="24"/>
                <w:szCs w:val="24"/>
                <w:highlight w:val="none"/>
                <w:lang w:eastAsia="zh"/>
              </w:rPr>
              <w:t>合价费用</w:t>
            </w:r>
          </w:p>
        </w:tc>
      </w:tr>
    </w:tbl>
    <w:p w14:paraId="55FF7E1F">
      <w:pPr>
        <w:pStyle w:val="24"/>
        <w:spacing w:before="143" w:beforeLines="50" w:beforeAutospacing="0" w:after="143" w:afterLines="50" w:line="360" w:lineRule="auto"/>
        <w:ind w:firstLine="496"/>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6、非承包人原因引起的分部分项工程量变化，其综合单价的调整原则：</w:t>
      </w:r>
    </w:p>
    <w:p w14:paraId="155D129E">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）对任一分部分项工程的清单项目，如结算工程量与招标工程量相比变化幅度在</w:t>
      </w:r>
      <w:r>
        <w:rPr>
          <w:rFonts w:ascii="宋体" w:hAnsi="宋体" w:cs="宋体"/>
          <w:color w:val="auto"/>
          <w:highlight w:val="none"/>
        </w:rPr>
        <w:t>1</w:t>
      </w: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以内时，其综合单价不</w:t>
      </w:r>
      <w:r>
        <w:rPr>
          <w:rFonts w:hint="eastAsia" w:ascii="宋体" w:hAnsi="宋体" w:cs="宋体"/>
          <w:color w:val="auto"/>
          <w:highlight w:val="none"/>
          <w:lang w:eastAsia="zh-CN"/>
        </w:rPr>
        <w:t>作</w:t>
      </w:r>
      <w:r>
        <w:rPr>
          <w:rFonts w:hint="eastAsia" w:ascii="宋体" w:hAnsi="宋体" w:cs="宋体"/>
          <w:color w:val="auto"/>
          <w:highlight w:val="none"/>
        </w:rPr>
        <w:t>调整，执行原有合同综合单价。</w:t>
      </w:r>
    </w:p>
    <w:p w14:paraId="14A216F4">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80" w:firstLineChars="200"/>
        <w:jc w:val="left"/>
        <w:rPr>
          <w:rFonts w:hint="eastAsia" w:ascii="宋体" w:hAnsi="宋体" w:eastAsia="宋体" w:cs="宋体"/>
          <w:color w:val="auto"/>
          <w:spacing w:val="4"/>
          <w:kern w:val="0"/>
          <w:sz w:val="24"/>
          <w:szCs w:val="24"/>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hAnsi="宋体" w:eastAsia="宋体" w:cs="宋体"/>
          <w:color w:val="auto"/>
          <w:spacing w:val="4"/>
          <w:kern w:val="0"/>
          <w:sz w:val="24"/>
          <w:szCs w:val="24"/>
          <w:highlight w:val="none"/>
          <w:lang w:val="en-US" w:eastAsia="zh-CN" w:bidi="ar"/>
        </w:rPr>
        <w:t>适用于机电安装工程（含智能化）：对任一分部分项工程的清单项目，如结算工程量与招标工程量相比变化幅度在15%以外，且该清单项目原综合单价＞(1+100%)×基准价（基准价指以合同约定的合同外新增项目计价规定核算的综合单价，下同），或原综合单价＜(1</w:t>
      </w:r>
      <w:r>
        <w:rPr>
          <w:rFonts w:hint="eastAsia" w:ascii="宋体" w:hAnsi="宋体" w:cs="宋体"/>
          <w:color w:val="auto"/>
          <w:spacing w:val="4"/>
          <w:kern w:val="0"/>
          <w:sz w:val="24"/>
          <w:szCs w:val="24"/>
          <w:highlight w:val="none"/>
          <w:lang w:val="en-US" w:eastAsia="zh-CN" w:bidi="ar"/>
        </w:rPr>
        <w:t>%～</w:t>
      </w:r>
      <w:r>
        <w:rPr>
          <w:rFonts w:hint="eastAsia" w:ascii="宋体" w:hAnsi="宋体" w:eastAsia="宋体" w:cs="宋体"/>
          <w:color w:val="auto"/>
          <w:spacing w:val="4"/>
          <w:kern w:val="0"/>
          <w:sz w:val="24"/>
          <w:szCs w:val="24"/>
          <w:highlight w:val="none"/>
          <w:lang w:val="en-US" w:eastAsia="zh-CN" w:bidi="ar"/>
        </w:rPr>
        <w:t>80%)×基准价，对超过招标工程量15%以外部分（如超过16%，只对1%的部分进行调整）其综合单价按基准价进行调整和结算。</w:t>
      </w:r>
    </w:p>
    <w:p w14:paraId="65618732">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除机电安装工程（含智能化）以外：对任一分部分项工程的清单项目，如结算工程量与招标工程量相比变化幅度在15%以外，且该清单项目原综合单价＞(1+50%)×基准价（基准价指以合同约定的合同外新增项目计价规定核算的综合单价，下同），或原综合单价＜(1</w:t>
      </w:r>
      <w:r>
        <w:rPr>
          <w:rFonts w:hint="eastAsia" w:ascii="宋体" w:hAnsi="宋体" w:cs="宋体"/>
          <w:color w:val="auto"/>
          <w:spacing w:val="4"/>
          <w:kern w:val="0"/>
          <w:sz w:val="24"/>
          <w:szCs w:val="24"/>
          <w:highlight w:val="none"/>
          <w:lang w:val="en-US" w:eastAsia="zh-CN" w:bidi="ar"/>
        </w:rPr>
        <w:t>%～</w:t>
      </w:r>
      <w:r>
        <w:rPr>
          <w:rFonts w:hint="eastAsia" w:ascii="宋体" w:hAnsi="宋体" w:eastAsia="宋体" w:cs="宋体"/>
          <w:color w:val="auto"/>
          <w:spacing w:val="4"/>
          <w:kern w:val="0"/>
          <w:sz w:val="24"/>
          <w:szCs w:val="24"/>
          <w:highlight w:val="none"/>
          <w:lang w:val="en-US" w:eastAsia="zh-CN" w:bidi="ar"/>
        </w:rPr>
        <w:t>50%)×基准价，对超过招标工程量15%以外部分（如超过16%，只对1%的部分进行调整）其综合单价按基准价进行调整和结算。</w:t>
      </w:r>
    </w:p>
    <w:p w14:paraId="7F277790">
      <w:pPr>
        <w:pStyle w:val="24"/>
        <w:spacing w:before="143" w:beforeLines="50" w:beforeAutospacing="0" w:after="143" w:afterLines="50" w:line="360" w:lineRule="auto"/>
        <w:ind w:firstLine="496"/>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）不满足上述第（</w:t>
      </w:r>
      <w:r>
        <w:rPr>
          <w:rFonts w:ascii="宋体" w:hAnsi="宋体" w:cs="宋体"/>
          <w:color w:val="auto"/>
          <w:highlight w:val="none"/>
        </w:rPr>
        <w:t>2</w:t>
      </w:r>
      <w:r>
        <w:rPr>
          <w:rFonts w:hint="eastAsia" w:ascii="宋体" w:hAnsi="宋体" w:cs="宋体"/>
          <w:color w:val="auto"/>
          <w:highlight w:val="none"/>
        </w:rPr>
        <w:t>）点的，综合单价不</w:t>
      </w:r>
      <w:r>
        <w:rPr>
          <w:rFonts w:hint="eastAsia" w:ascii="宋体" w:hAnsi="宋体" w:cs="宋体"/>
          <w:color w:val="auto"/>
          <w:highlight w:val="none"/>
          <w:lang w:eastAsia="zh-CN"/>
        </w:rPr>
        <w:t>作</w:t>
      </w:r>
      <w:r>
        <w:rPr>
          <w:rFonts w:hint="eastAsia" w:ascii="宋体" w:hAnsi="宋体" w:cs="宋体"/>
          <w:color w:val="auto"/>
          <w:highlight w:val="none"/>
        </w:rPr>
        <w:t>调整，执行原有合同综合单价。</w:t>
      </w:r>
    </w:p>
    <w:p w14:paraId="5873B64B">
      <w:pPr>
        <w:pStyle w:val="24"/>
        <w:spacing w:before="143" w:beforeLines="50" w:beforeAutospacing="0" w:after="143" w:afterLines="50" w:line="360" w:lineRule="auto"/>
        <w:ind w:firstLine="496"/>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7、投标文件有漏项的，</w:t>
      </w:r>
      <w:r>
        <w:rPr>
          <w:rFonts w:hint="eastAsia"/>
          <w:color w:val="auto"/>
          <w:highlight w:val="none"/>
        </w:rPr>
        <w:t>则该漏项费用视为已分配在其他项目中，招标人不因此另行增加合同费用；</w:t>
      </w:r>
      <w:r>
        <w:rPr>
          <w:rFonts w:hint="eastAsia" w:ascii="宋体" w:hAnsi="宋体" w:cs="宋体"/>
          <w:color w:val="auto"/>
          <w:highlight w:val="none"/>
        </w:rPr>
        <w:t>在工程结算时，按施工实际工程数量减漏项项目招标工程数量计算增减工程量，增减工程量乘以漏项项目综合单价作为漏项项目结算款，漏项项目综合单价</w:t>
      </w:r>
      <w:r>
        <w:rPr>
          <w:rFonts w:hint="eastAsia" w:ascii="宋体" w:hAnsi="宋体" w:cs="宋体"/>
          <w:color w:val="auto"/>
          <w:szCs w:val="24"/>
          <w:highlight w:val="none"/>
        </w:rPr>
        <w:t>按</w:t>
      </w:r>
      <w:r>
        <w:rPr>
          <w:rFonts w:hint="eastAsia" w:ascii="宋体" w:hAnsi="宋体" w:cs="宋体"/>
          <w:strike w:val="0"/>
          <w:dstrike w:val="0"/>
          <w:color w:val="auto"/>
          <w:szCs w:val="24"/>
          <w:highlight w:val="none"/>
          <w:lang w:eastAsia="zh-CN"/>
        </w:rPr>
        <w:t>基准价</w:t>
      </w:r>
      <w:r>
        <w:rPr>
          <w:rFonts w:hint="eastAsia" w:ascii="宋体" w:hAnsi="宋体" w:cs="宋体"/>
          <w:strike w:val="0"/>
          <w:dstrike w:val="0"/>
          <w:color w:val="auto"/>
          <w:szCs w:val="24"/>
          <w:highlight w:val="none"/>
          <w:lang w:val="en-US" w:eastAsia="zh-CN"/>
        </w:rPr>
        <w:t>计算</w:t>
      </w:r>
      <w:r>
        <w:rPr>
          <w:rFonts w:hint="eastAsia" w:ascii="宋体" w:hAnsi="宋体" w:cs="宋体"/>
          <w:color w:val="auto"/>
          <w:highlight w:val="none"/>
        </w:rPr>
        <w:t>。</w:t>
      </w:r>
    </w:p>
    <w:p w14:paraId="57691D60">
      <w:pPr>
        <w:pStyle w:val="27"/>
        <w:spacing w:before="143" w:after="143" w:line="360" w:lineRule="auto"/>
        <w:ind w:firstLine="578" w:firstLineChars="200"/>
        <w:rPr>
          <w:color w:val="auto"/>
          <w:sz w:val="28"/>
          <w:szCs w:val="21"/>
          <w:highlight w:val="none"/>
        </w:rPr>
      </w:pPr>
      <w:bookmarkStart w:id="60" w:name="_Toc7059"/>
      <w:bookmarkStart w:id="61" w:name="_Toc529298699"/>
      <w:bookmarkStart w:id="62" w:name="_Toc24352_WPSOffice_Level3"/>
      <w:bookmarkStart w:id="63" w:name="_Toc9636"/>
      <w:bookmarkStart w:id="64" w:name="_Toc10996"/>
      <w:bookmarkStart w:id="65" w:name="_Toc412808038"/>
      <w:bookmarkStart w:id="66" w:name="_Toc1582"/>
      <w:bookmarkStart w:id="67" w:name="_Toc6797"/>
      <w:bookmarkStart w:id="68" w:name="_Toc396917839"/>
      <w:bookmarkStart w:id="69" w:name="_Toc20216"/>
      <w:bookmarkStart w:id="70" w:name="_Toc19302"/>
      <w:bookmarkStart w:id="71" w:name="_Toc505776018"/>
      <w:bookmarkStart w:id="72" w:name="_Toc6511"/>
      <w:bookmarkStart w:id="73" w:name="_Toc11358"/>
      <w:bookmarkStart w:id="74" w:name="_Toc32208"/>
      <w:bookmarkStart w:id="75" w:name="_Toc11095"/>
      <w:bookmarkStart w:id="76" w:name="_Toc1426"/>
      <w:bookmarkStart w:id="77" w:name="_Toc30754"/>
      <w:bookmarkStart w:id="78" w:name="_Toc12543"/>
      <w:bookmarkStart w:id="79" w:name="_Toc15129"/>
      <w:bookmarkStart w:id="80" w:name="_Toc14555"/>
      <w:bookmarkStart w:id="81" w:name="_Toc6627"/>
      <w:bookmarkStart w:id="82" w:name="_Toc6913"/>
      <w:r>
        <w:rPr>
          <w:rFonts w:hint="eastAsia"/>
          <w:color w:val="auto"/>
          <w:sz w:val="28"/>
          <w:szCs w:val="21"/>
          <w:highlight w:val="none"/>
        </w:rPr>
        <w:t>二、分部分项工程量清单计价说明</w:t>
      </w:r>
      <w:bookmarkEnd w:id="60"/>
    </w:p>
    <w:p w14:paraId="0D685A89">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96" w:firstLineChars="200"/>
        <w:jc w:val="left"/>
        <w:rPr>
          <w:rFonts w:hint="default" w:ascii="Times New Roman" w:hAnsi="Times New Roman"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bidi="ar"/>
        </w:rPr>
        <w:t>分部分项工程量清单：指根据招标文件、图纸、国家规范、技术文件标准等内容，采取综合单价包干计价的项目。综合单价是指完成工程量清单中规定计量单位项目全部工作内容所需的所有相关费用，包括人工费、材料费、施工机具使用费、管理费、利润、不可预见费、暗室增</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加费</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auto"/>
          <w:spacing w:val="4"/>
          <w:kern w:val="0"/>
          <w:sz w:val="24"/>
          <w:szCs w:val="24"/>
          <w:highlight w:val="none"/>
          <w:lang w:val="en-US" w:eastAsia="zh-CN" w:bidi="ar"/>
        </w:rPr>
        <w:t>、机电安装工程超高增加费、建筑物超高增加人工、机具费、机电安装工程高层建筑增加费、</w:t>
      </w:r>
      <w:r>
        <w:rPr>
          <w:rFonts w:hint="eastAsia" w:ascii="宋体" w:hAnsi="宋体" w:eastAsia="宋体" w:cs="宋体"/>
          <w:b w:val="0"/>
          <w:bCs w:val="0"/>
          <w:color w:val="auto"/>
          <w:spacing w:val="0"/>
          <w:kern w:val="0"/>
          <w:sz w:val="24"/>
          <w:szCs w:val="24"/>
          <w:highlight w:val="none"/>
          <w:lang w:val="en-US" w:eastAsia="zh-CN" w:bidi="ar"/>
        </w:rPr>
        <w:t>脚手架搭拆费（机电安装工程）</w:t>
      </w:r>
      <w:r>
        <w:rPr>
          <w:rFonts w:hint="eastAsia" w:ascii="宋体" w:hAnsi="宋体" w:eastAsia="宋体" w:cs="宋体"/>
          <w:color w:val="auto"/>
          <w:spacing w:val="4"/>
          <w:kern w:val="0"/>
          <w:sz w:val="24"/>
          <w:szCs w:val="24"/>
          <w:highlight w:val="none"/>
          <w:lang w:val="en-US" w:eastAsia="zh-CN" w:bidi="ar"/>
        </w:rPr>
        <w:t>、预算包干费等。综合单价包干的项目，除合同、招标文件另有约定和政府针对本项目的文件规定可以调整外，无论施工条件或施工图纸是否发生变化，在合同执行期内综合单价固定不变。各费用定义如下：</w:t>
      </w:r>
    </w:p>
    <w:p w14:paraId="483E98A7">
      <w:pPr>
        <w:pStyle w:val="24"/>
        <w:spacing w:before="143" w:beforeLines="50" w:beforeAutospacing="0" w:after="143" w:afterLines="50" w:line="360" w:lineRule="auto"/>
        <w:ind w:firstLine="496"/>
        <w:rPr>
          <w:color w:val="auto"/>
          <w:highlight w:val="none"/>
        </w:rPr>
      </w:pPr>
      <w:r>
        <w:rPr>
          <w:rFonts w:ascii="宋体" w:hAnsi="宋体" w:cs="宋体"/>
          <w:color w:val="auto"/>
          <w:highlight w:val="none"/>
        </w:rPr>
        <w:t>1</w:t>
      </w:r>
      <w:r>
        <w:rPr>
          <w:rFonts w:hint="eastAsia"/>
          <w:color w:val="auto"/>
          <w:highlight w:val="none"/>
        </w:rPr>
        <w:t>、人工、材料、机具费、管理费和利润的定义按《广东省建设工程计价依据的通知（</w:t>
      </w:r>
      <w:r>
        <w:rPr>
          <w:color w:val="auto"/>
          <w:highlight w:val="none"/>
        </w:rPr>
        <w:t>2018</w:t>
      </w:r>
      <w:r>
        <w:rPr>
          <w:rFonts w:hint="eastAsia"/>
          <w:color w:val="auto"/>
          <w:highlight w:val="none"/>
        </w:rPr>
        <w:t>）》（粤建市〔</w:t>
      </w:r>
      <w:r>
        <w:rPr>
          <w:color w:val="auto"/>
          <w:highlight w:val="none"/>
        </w:rPr>
        <w:t>2019</w:t>
      </w:r>
      <w:r>
        <w:rPr>
          <w:rFonts w:hint="eastAsia"/>
          <w:color w:val="auto"/>
          <w:highlight w:val="none"/>
        </w:rPr>
        <w:t>〕</w:t>
      </w:r>
      <w:r>
        <w:rPr>
          <w:color w:val="auto"/>
          <w:highlight w:val="none"/>
        </w:rPr>
        <w:t>6</w:t>
      </w:r>
      <w:r>
        <w:rPr>
          <w:rFonts w:hint="eastAsia"/>
          <w:color w:val="auto"/>
          <w:highlight w:val="none"/>
        </w:rPr>
        <w:t>号）的规定执行。</w:t>
      </w:r>
    </w:p>
    <w:p w14:paraId="393E607B">
      <w:pPr>
        <w:pStyle w:val="24"/>
        <w:spacing w:before="143" w:beforeLines="50" w:beforeAutospacing="0" w:after="143" w:afterLines="50" w:line="360" w:lineRule="auto"/>
        <w:ind w:firstLine="496"/>
        <w:rPr>
          <w:color w:val="auto"/>
          <w:highlight w:val="none"/>
        </w:rPr>
      </w:pPr>
      <w:r>
        <w:rPr>
          <w:rFonts w:ascii="宋体" w:hAnsi="宋体" w:cs="宋体"/>
          <w:color w:val="auto"/>
          <w:highlight w:val="none"/>
        </w:rPr>
        <w:t>2</w:t>
      </w:r>
      <w:r>
        <w:rPr>
          <w:rFonts w:hint="eastAsia"/>
          <w:color w:val="auto"/>
          <w:highlight w:val="none"/>
        </w:rPr>
        <w:t>、不可预见费指市场物价的不稳定因素、政府部门颁发的各项调价文件、气候等自然条件的不利影响（不可抗力除外）、技术经济条件发生变化（如资源、劳力、交通条件等）、国家宏观经济调控政策的影响所产生的额外一切费用（项目建设所必须、政府专门针对本项目的文件规定除外）。</w:t>
      </w:r>
    </w:p>
    <w:p w14:paraId="1EC47B09">
      <w:pPr>
        <w:pStyle w:val="24"/>
        <w:rPr>
          <w:rFonts w:hint="eastAsia" w:ascii="宋体" w:hAnsi="宋体" w:eastAsia="宋体" w:cs="宋体"/>
          <w:color w:val="auto"/>
          <w:spacing w:val="4"/>
          <w:kern w:val="0"/>
          <w:sz w:val="24"/>
          <w:szCs w:val="24"/>
          <w:highlight w:val="none"/>
        </w:rPr>
      </w:pPr>
      <w:r>
        <w:rPr>
          <w:rFonts w:ascii="宋体" w:hAnsi="宋体" w:cs="宋体"/>
          <w:color w:val="auto"/>
          <w:highlight w:val="none"/>
        </w:rPr>
        <w:t>3</w:t>
      </w:r>
      <w:r>
        <w:rPr>
          <w:rFonts w:hint="eastAsia" w:ascii="宋体" w:hAnsi="宋体" w:cs="宋体"/>
          <w:color w:val="auto"/>
          <w:highlight w:val="none"/>
        </w:rPr>
        <w:t>、</w:t>
      </w:r>
      <w:r>
        <w:rPr>
          <w:rFonts w:hint="eastAsia" w:ascii="宋体" w:hAnsi="宋体" w:eastAsia="宋体" w:cs="宋体"/>
          <w:color w:val="auto"/>
          <w:spacing w:val="4"/>
          <w:kern w:val="0"/>
          <w:sz w:val="24"/>
          <w:szCs w:val="24"/>
          <w:highlight w:val="none"/>
          <w:lang w:val="en-US" w:eastAsia="zh-CN" w:bidi="ar"/>
        </w:rPr>
        <w:t>暗室增加费：指在洞内、地下室内、库内或暗室内、</w:t>
      </w:r>
      <w:r>
        <w:rPr>
          <w:rFonts w:hint="eastAsia" w:ascii="宋体" w:hAnsi="宋体" w:eastAsia="宋体" w:cs="宋体"/>
          <w:b w:val="0"/>
          <w:bCs w:val="0"/>
          <w:color w:val="auto"/>
          <w:spacing w:val="0"/>
          <w:kern w:val="0"/>
          <w:sz w:val="24"/>
          <w:szCs w:val="24"/>
          <w:highlight w:val="none"/>
          <w:lang w:val="en-US" w:eastAsia="zh-CN" w:bidi="ar"/>
        </w:rPr>
        <w:t>设备及大口径管道内、管井内、竖井内、断面小于或等于2m</w:t>
      </w:r>
      <w:r>
        <w:rPr>
          <w:rFonts w:hint="eastAsia" w:ascii="宋体" w:hAnsi="宋体" w:eastAsia="宋体" w:cs="宋体"/>
          <w:b w:val="0"/>
          <w:bCs w:val="0"/>
          <w:color w:val="auto"/>
          <w:spacing w:val="0"/>
          <w:kern w:val="0"/>
          <w:sz w:val="24"/>
          <w:szCs w:val="24"/>
          <w:highlight w:val="none"/>
          <w:vertAlign w:val="superscript"/>
          <w:lang w:val="en-US" w:eastAsia="zh-CN" w:bidi="ar"/>
        </w:rPr>
        <w:t>2</w:t>
      </w:r>
      <w:r>
        <w:rPr>
          <w:rFonts w:hint="eastAsia" w:ascii="宋体" w:hAnsi="宋体" w:eastAsia="宋体" w:cs="宋体"/>
          <w:b w:val="0"/>
          <w:bCs w:val="0"/>
          <w:color w:val="auto"/>
          <w:spacing w:val="0"/>
          <w:kern w:val="0"/>
          <w:sz w:val="24"/>
          <w:szCs w:val="24"/>
          <w:highlight w:val="none"/>
          <w:lang w:val="en-US" w:eastAsia="zh-CN" w:bidi="ar"/>
        </w:rPr>
        <w:t>隧道或洞内、封闭吊顶天棚内等特殊施工部位</w:t>
      </w:r>
      <w:r>
        <w:rPr>
          <w:rFonts w:hint="eastAsia" w:ascii="宋体" w:hAnsi="宋体" w:eastAsia="宋体" w:cs="宋体"/>
          <w:color w:val="auto"/>
          <w:spacing w:val="4"/>
          <w:kern w:val="0"/>
          <w:sz w:val="24"/>
          <w:szCs w:val="24"/>
          <w:highlight w:val="none"/>
          <w:lang w:val="en-US" w:eastAsia="zh-CN" w:bidi="ar"/>
        </w:rPr>
        <w:t>（需要照明）进行施工增加费，施工人工降效及照明等费用，此费用</w:t>
      </w:r>
      <w:r>
        <w:rPr>
          <w:rFonts w:hint="default" w:ascii="宋体" w:hAnsi="宋体" w:cs="宋体"/>
          <w:color w:val="auto"/>
          <w:spacing w:val="4"/>
          <w:kern w:val="0"/>
          <w:sz w:val="24"/>
          <w:szCs w:val="24"/>
          <w:highlight w:val="none"/>
          <w:lang w:eastAsia="zh-CN" w:bidi="ar"/>
        </w:rPr>
        <w:t>为</w:t>
      </w:r>
      <w:r>
        <w:rPr>
          <w:rFonts w:hint="eastAsia" w:ascii="宋体" w:hAnsi="宋体" w:eastAsia="宋体" w:cs="宋体"/>
          <w:color w:val="auto"/>
          <w:spacing w:val="4"/>
          <w:kern w:val="0"/>
          <w:sz w:val="24"/>
          <w:szCs w:val="24"/>
          <w:highlight w:val="none"/>
          <w:lang w:val="en-US" w:eastAsia="zh-CN" w:bidi="ar"/>
        </w:rPr>
        <w:t>《关于调整&lt;广东省建设工程计价依据2018&gt;计价规则的通知（粤标定函〔2025〕22号）》中的人工和（或）施工机具降效费用。</w:t>
      </w:r>
    </w:p>
    <w:p w14:paraId="597F16F9">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cs="宋体"/>
          <w:color w:val="auto"/>
          <w:spacing w:val="4"/>
          <w:kern w:val="0"/>
          <w:sz w:val="24"/>
          <w:szCs w:val="24"/>
          <w:highlight w:val="none"/>
          <w:lang w:val="en-US" w:eastAsia="zh-CN" w:bidi="ar"/>
        </w:rPr>
        <w:t>4、</w:t>
      </w:r>
      <w:r>
        <w:rPr>
          <w:rFonts w:hint="eastAsia" w:ascii="宋体" w:hAnsi="宋体" w:eastAsia="宋体" w:cs="宋体"/>
          <w:color w:val="auto"/>
          <w:spacing w:val="4"/>
          <w:kern w:val="0"/>
          <w:sz w:val="24"/>
          <w:szCs w:val="24"/>
          <w:highlight w:val="none"/>
          <w:lang w:val="en-US" w:eastAsia="zh-CN" w:bidi="ar"/>
        </w:rPr>
        <w:t>机电安装工程在地下（暗）室、设备及大口径管道内等特殊施工部位（需要照明）进行施工增加费</w:t>
      </w:r>
      <w:r>
        <w:rPr>
          <w:rFonts w:hint="eastAsia" w:ascii="宋体" w:hAnsi="宋体" w:cs="宋体"/>
          <w:color w:val="auto"/>
          <w:spacing w:val="4"/>
          <w:kern w:val="0"/>
          <w:sz w:val="24"/>
          <w:szCs w:val="24"/>
          <w:highlight w:val="none"/>
          <w:lang w:val="en-US" w:eastAsia="zh-CN" w:bidi="ar"/>
        </w:rPr>
        <w:t>。</w:t>
      </w:r>
    </w:p>
    <w:p w14:paraId="5C55525A">
      <w:pPr>
        <w:pStyle w:val="11"/>
        <w:keepNext w:val="0"/>
        <w:keepLines w:val="0"/>
        <w:widowControl/>
        <w:suppressLineNumbers w:val="0"/>
        <w:topLinePunct/>
        <w:adjustRightInd w:val="0"/>
        <w:snapToGrid w:val="0"/>
        <w:spacing w:before="157" w:beforeAutospacing="0" w:after="157" w:afterAutospacing="0" w:line="360" w:lineRule="auto"/>
        <w:ind w:left="0" w:right="0"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snapToGrid w:val="0"/>
          <w:color w:val="auto"/>
          <w:spacing w:val="4"/>
          <w:kern w:val="0"/>
          <w:sz w:val="24"/>
          <w:szCs w:val="20"/>
          <w:highlight w:val="none"/>
          <w:lang w:val="en-US" w:eastAsia="zh-CN" w:bidi="ar-SA"/>
        </w:rPr>
        <w:t>5</w:t>
      </w:r>
      <w:r>
        <w:rPr>
          <w:rFonts w:hint="eastAsia" w:ascii="宋体" w:hAnsi="宋体" w:eastAsia="宋体" w:cs="宋体"/>
          <w:color w:val="auto"/>
          <w:spacing w:val="4"/>
          <w:kern w:val="0"/>
          <w:sz w:val="24"/>
          <w:szCs w:val="24"/>
          <w:highlight w:val="none"/>
          <w:lang w:val="en-US" w:eastAsia="zh-CN" w:bidi="ar"/>
        </w:rPr>
        <w:t>、机电安装工程超高增加费：指各专业安装工程操作物距离楼地面一定高度时，人工、机具降效、材料垂直运输等增加的相关费用。</w:t>
      </w:r>
    </w:p>
    <w:p w14:paraId="21B66342">
      <w:pPr>
        <w:pStyle w:val="11"/>
        <w:keepNext w:val="0"/>
        <w:keepLines w:val="0"/>
        <w:widowControl/>
        <w:suppressLineNumbers w:val="0"/>
        <w:topLinePunct/>
        <w:adjustRightInd w:val="0"/>
        <w:snapToGrid w:val="0"/>
        <w:spacing w:before="157" w:beforeAutospacing="0" w:after="157" w:afterAutospacing="0" w:line="360" w:lineRule="auto"/>
        <w:ind w:left="0" w:right="0"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snapToGrid w:val="0"/>
          <w:color w:val="auto"/>
          <w:spacing w:val="4"/>
          <w:kern w:val="0"/>
          <w:sz w:val="24"/>
          <w:szCs w:val="20"/>
          <w:highlight w:val="none"/>
          <w:lang w:val="en-US" w:eastAsia="zh-CN" w:bidi="ar-SA"/>
        </w:rPr>
        <w:t>6</w:t>
      </w:r>
      <w:r>
        <w:rPr>
          <w:rFonts w:hint="eastAsia" w:ascii="宋体" w:hAnsi="宋体" w:eastAsia="宋体" w:cs="宋体"/>
          <w:color w:val="auto"/>
          <w:spacing w:val="4"/>
          <w:kern w:val="0"/>
          <w:sz w:val="24"/>
          <w:szCs w:val="24"/>
          <w:highlight w:val="none"/>
          <w:lang w:val="en-US" w:eastAsia="zh-CN" w:bidi="ar"/>
        </w:rPr>
        <w:t>、房屋建筑与装饰工程超高增加人工、机具费：指建筑物高度20m以上人工、机具降效包括工人上下班降低工效、上下楼及自然休息增加的时间、垂直运输影响的时间以及由于人工降效引起的机械降效等费用。</w:t>
      </w:r>
    </w:p>
    <w:p w14:paraId="7C83CCC9">
      <w:pPr>
        <w:pStyle w:val="11"/>
        <w:keepNext w:val="0"/>
        <w:keepLines w:val="0"/>
        <w:widowControl/>
        <w:suppressLineNumbers w:val="0"/>
        <w:topLinePunct/>
        <w:adjustRightInd w:val="0"/>
        <w:snapToGrid w:val="0"/>
        <w:spacing w:before="157" w:beforeAutospacing="0" w:after="157" w:afterAutospacing="0" w:line="360" w:lineRule="auto"/>
        <w:ind w:left="0" w:right="0" w:firstLine="496" w:firstLineChars="200"/>
        <w:jc w:val="left"/>
        <w:rPr>
          <w:rFonts w:hint="eastAsia" w:ascii="宋体" w:hAnsi="宋体" w:eastAsia="宋体" w:cs="Times New Roman"/>
          <w:color w:val="auto"/>
          <w:spacing w:val="4"/>
          <w:kern w:val="0"/>
          <w:sz w:val="24"/>
          <w:szCs w:val="24"/>
          <w:highlight w:val="none"/>
        </w:rPr>
      </w:pPr>
      <w:r>
        <w:rPr>
          <w:rFonts w:hint="default" w:ascii="宋体" w:hAnsi="宋体" w:eastAsia="宋体" w:cs="宋体"/>
          <w:snapToGrid w:val="0"/>
          <w:color w:val="auto"/>
          <w:spacing w:val="4"/>
          <w:kern w:val="0"/>
          <w:sz w:val="24"/>
          <w:szCs w:val="20"/>
          <w:highlight w:val="none"/>
          <w:lang w:val="en-US" w:eastAsia="zh-CN" w:bidi="ar-SA"/>
        </w:rPr>
        <w:t>7</w:t>
      </w:r>
      <w:r>
        <w:rPr>
          <w:rFonts w:hint="eastAsia" w:ascii="宋体" w:hAnsi="宋体" w:eastAsia="宋体" w:cs="宋体"/>
          <w:color w:val="auto"/>
          <w:spacing w:val="4"/>
          <w:kern w:val="0"/>
          <w:sz w:val="24"/>
          <w:szCs w:val="24"/>
          <w:highlight w:val="none"/>
          <w:lang w:val="en-US" w:eastAsia="zh-CN" w:bidi="ar"/>
        </w:rPr>
        <w:t>、机电安装工程高层建筑增加费：指机电安装工程高度在20m以上的工业与民用建筑，人工、机具降效、材料垂直运输等增加的相关费用。</w:t>
      </w:r>
    </w:p>
    <w:p w14:paraId="63D6E180">
      <w:pPr>
        <w:pStyle w:val="11"/>
        <w:keepNext w:val="0"/>
        <w:keepLines w:val="0"/>
        <w:widowControl/>
        <w:suppressLineNumbers w:val="0"/>
        <w:topLinePunct/>
        <w:autoSpaceDE w:val="0"/>
        <w:autoSpaceDN/>
        <w:adjustRightInd w:val="0"/>
        <w:snapToGrid w:val="0"/>
        <w:spacing w:before="0" w:beforeAutospacing="0" w:after="0" w:afterAutospacing="0" w:line="360" w:lineRule="auto"/>
        <w:ind w:left="0" w:right="0" w:firstLine="496" w:firstLineChars="200"/>
        <w:jc w:val="left"/>
        <w:outlineLvl w:val="4"/>
        <w:rPr>
          <w:rFonts w:hint="eastAsia" w:ascii="宋体" w:hAnsi="宋体" w:eastAsia="宋体" w:cs="Times New Roman"/>
          <w:color w:val="auto"/>
          <w:spacing w:val="4"/>
          <w:kern w:val="0"/>
          <w:sz w:val="24"/>
          <w:szCs w:val="24"/>
          <w:highlight w:val="none"/>
        </w:rPr>
      </w:pPr>
      <w:r>
        <w:rPr>
          <w:rFonts w:hint="eastAsia" w:ascii="宋体" w:hAnsi="宋体" w:eastAsia="宋体" w:cs="宋体"/>
          <w:snapToGrid w:val="0"/>
          <w:color w:val="auto"/>
          <w:spacing w:val="4"/>
          <w:kern w:val="0"/>
          <w:sz w:val="24"/>
          <w:szCs w:val="20"/>
          <w:highlight w:val="none"/>
          <w:lang w:val="en-US" w:eastAsia="zh-CN" w:bidi="ar-SA"/>
        </w:rPr>
        <w:t>8</w:t>
      </w:r>
      <w:r>
        <w:rPr>
          <w:rFonts w:hint="eastAsia" w:ascii="宋体" w:hAnsi="宋体" w:eastAsia="宋体" w:cs="宋体"/>
          <w:color w:val="auto"/>
          <w:spacing w:val="4"/>
          <w:kern w:val="0"/>
          <w:sz w:val="24"/>
          <w:szCs w:val="24"/>
          <w:highlight w:val="none"/>
          <w:lang w:val="en-US" w:eastAsia="zh-CN" w:bidi="ar"/>
        </w:rPr>
        <w:t>、脚手架搭拆费（机电安装工程）：指机电安装工程施工（含拆除）需要的各种脚手架搭、拆费用。另外，脚手架的搭设必须考虑到各专业工程施工的交叉协调，由于脚手架的搭设不当而影响其他专业正常施工时，承包人须进行整改。</w:t>
      </w:r>
    </w:p>
    <w:p w14:paraId="764EA64A">
      <w:pPr>
        <w:pStyle w:val="11"/>
        <w:keepNext w:val="0"/>
        <w:keepLines w:val="0"/>
        <w:widowControl/>
        <w:suppressLineNumbers w:val="0"/>
        <w:topLinePunct/>
        <w:adjustRightInd w:val="0"/>
        <w:snapToGrid w:val="0"/>
        <w:spacing w:before="157" w:beforeAutospacing="0" w:after="157" w:afterAutospacing="0" w:line="360" w:lineRule="auto"/>
        <w:ind w:left="0" w:right="0"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snapToGrid w:val="0"/>
          <w:color w:val="auto"/>
          <w:spacing w:val="4"/>
          <w:kern w:val="0"/>
          <w:sz w:val="24"/>
          <w:szCs w:val="20"/>
          <w:highlight w:val="none"/>
          <w:lang w:val="en-US" w:eastAsia="zh-CN" w:bidi="ar-SA"/>
        </w:rPr>
        <w:t>9</w:t>
      </w:r>
      <w:r>
        <w:rPr>
          <w:rFonts w:hint="eastAsia" w:ascii="宋体" w:hAnsi="宋体" w:eastAsia="宋体" w:cs="宋体"/>
          <w:color w:val="auto"/>
          <w:spacing w:val="4"/>
          <w:kern w:val="0"/>
          <w:sz w:val="24"/>
          <w:szCs w:val="24"/>
          <w:highlight w:val="none"/>
          <w:lang w:val="en-US" w:eastAsia="zh-CN" w:bidi="ar"/>
        </w:rPr>
        <w:t>、预算包干费，包括以下内容：施工雨（污）水的排除；因地形、施工组织影响等因素造成的二次运输（包括场内外料具的多次搬迁）；20m高以下的工程用水加压措施；场地清理及其垃圾外运；施工材料堆放场地的整理；机电安装后的补洞（槽）工料费；施工材料堆放场地租赁费（含办理用地手续费的费用）；补洞工料费；工程半成品、成品保护费；施工中的临时停水停电；日间施工照明增加费；基础埋深2m以内挖土方的塌方。场地清理及垃圾外运</w:t>
      </w:r>
      <w:r>
        <w:rPr>
          <w:rFonts w:hint="eastAsia" w:ascii="宋体" w:hAnsi="宋体" w:cs="宋体"/>
          <w:color w:val="auto"/>
          <w:spacing w:val="4"/>
          <w:kern w:val="0"/>
          <w:sz w:val="24"/>
          <w:szCs w:val="24"/>
          <w:highlight w:val="none"/>
          <w:lang w:val="en-US" w:eastAsia="zh-CN" w:bidi="ar"/>
        </w:rPr>
        <w:t>,</w:t>
      </w:r>
      <w:r>
        <w:rPr>
          <w:rFonts w:hint="eastAsia" w:ascii="宋体" w:hAnsi="宋体" w:eastAsia="宋体" w:cs="宋体"/>
          <w:color w:val="auto"/>
          <w:spacing w:val="4"/>
          <w:kern w:val="0"/>
          <w:sz w:val="24"/>
          <w:szCs w:val="24"/>
          <w:highlight w:val="none"/>
          <w:lang w:val="en-US" w:eastAsia="zh-CN" w:bidi="ar"/>
        </w:rPr>
        <w:t>若承包人未按规定及时进行清运</w:t>
      </w:r>
      <w:r>
        <w:rPr>
          <w:rFonts w:hint="eastAsia" w:ascii="宋体" w:hAnsi="宋体" w:cs="宋体"/>
          <w:color w:val="auto"/>
          <w:spacing w:val="4"/>
          <w:kern w:val="0"/>
          <w:sz w:val="24"/>
          <w:szCs w:val="24"/>
          <w:highlight w:val="none"/>
          <w:lang w:val="en-US" w:eastAsia="zh-CN" w:bidi="ar"/>
        </w:rPr>
        <w:t>,</w:t>
      </w:r>
      <w:r>
        <w:rPr>
          <w:rFonts w:hint="eastAsia" w:ascii="宋体" w:hAnsi="宋体" w:eastAsia="宋体" w:cs="宋体"/>
          <w:color w:val="auto"/>
          <w:spacing w:val="4"/>
          <w:kern w:val="0"/>
          <w:sz w:val="24"/>
          <w:szCs w:val="24"/>
          <w:highlight w:val="none"/>
          <w:lang w:val="en-US" w:eastAsia="zh-CN" w:bidi="ar"/>
        </w:rPr>
        <w:t>则由发包人另行委托队伍进行清运，实际清运费用由承包人承担。若专业工程承包人产生的垃圾与总承包管理单位产生的垃圾责任划分不清且不按规定及时进行清运则由发包人另行委托队伍进行清运，实际清运费用按专业工程承包单位与总承包单位各自合同造价占总合同造价的比例分摊。补洞工料费（含各时期各类设计变更引起的补洞工料）指孔洞的修补、塞洞补洞、塞缝和恢复费用等，补洞工作（含机电安装后的补洞）指孔洞的修补、塞洞补洞、塞缝和恢复等。该费用已经含在各单位工程的分部分项清单综合单价中。</w:t>
      </w:r>
    </w:p>
    <w:p w14:paraId="72848EBE">
      <w:pPr>
        <w:pStyle w:val="27"/>
        <w:spacing w:before="143" w:after="143" w:line="360" w:lineRule="auto"/>
        <w:ind w:firstLine="498" w:firstLineChars="200"/>
        <w:rPr>
          <w:color w:val="auto"/>
          <w:highlight w:val="none"/>
        </w:rPr>
      </w:pPr>
      <w:bookmarkStart w:id="83" w:name="_Toc3831"/>
      <w:r>
        <w:rPr>
          <w:rFonts w:hint="eastAsia"/>
          <w:color w:val="auto"/>
          <w:highlight w:val="none"/>
        </w:rPr>
        <w:t>三、</w:t>
      </w:r>
      <w:bookmarkEnd w:id="61"/>
      <w:bookmarkEnd w:id="62"/>
      <w:bookmarkStart w:id="84" w:name="_Toc903_WPSOffice_Level3"/>
      <w:bookmarkStart w:id="85" w:name="_Toc529298700"/>
      <w:r>
        <w:rPr>
          <w:rFonts w:hint="eastAsia"/>
          <w:color w:val="auto"/>
          <w:highlight w:val="none"/>
        </w:rPr>
        <w:t>措施项目清单计价说明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FBC2D5B">
      <w:pPr>
        <w:pStyle w:val="24"/>
        <w:spacing w:before="143" w:beforeLines="50" w:beforeAutospacing="0" w:after="143" w:afterLines="50" w:line="360" w:lineRule="auto"/>
        <w:ind w:firstLine="496"/>
        <w:rPr>
          <w:rFonts w:ascii="宋体" w:hAnsi="宋体"/>
          <w:color w:val="auto"/>
          <w:sz w:val="24"/>
          <w:szCs w:val="24"/>
          <w:highlight w:val="none"/>
        </w:rPr>
      </w:pPr>
      <w:r>
        <w:rPr>
          <w:rFonts w:hint="eastAsia" w:ascii="宋体" w:hAnsi="宋体"/>
          <w:color w:val="auto"/>
          <w:sz w:val="24"/>
          <w:szCs w:val="24"/>
          <w:highlight w:val="none"/>
        </w:rPr>
        <w:t>措施项目是指为完成工程项目施工，发生于施工准备和施工及验收过程中的技术、生活、安全生产、环境保护等方面的项目。其发生的费用为措施项目费，指根据招标文件、图纸、国家规范、技术文件标准等内容，完成本招标项目施工，发生于该招标项目承包期内非工程实体项目费用。措施项目的实施须满足政府职能部门及发包人制定的相关规定要求。</w:t>
      </w:r>
    </w:p>
    <w:p w14:paraId="35B271C1">
      <w:pPr>
        <w:pStyle w:val="24"/>
        <w:spacing w:before="143" w:beforeLines="50" w:beforeAutospacing="0" w:after="143" w:afterLines="50" w:line="360" w:lineRule="auto"/>
        <w:ind w:firstLine="496"/>
        <w:rPr>
          <w:rFonts w:ascii="宋体" w:hAnsi="宋体"/>
          <w:color w:val="auto"/>
          <w:sz w:val="24"/>
          <w:szCs w:val="24"/>
          <w:highlight w:val="none"/>
        </w:rPr>
      </w:pPr>
      <w:r>
        <w:rPr>
          <w:rFonts w:hint="eastAsia" w:ascii="宋体" w:hAnsi="宋体"/>
          <w:color w:val="auto"/>
          <w:sz w:val="24"/>
          <w:szCs w:val="24"/>
          <w:highlight w:val="none"/>
        </w:rPr>
        <w:t>招标人提出的措施项目清单是根据一般情况所列，因此投标人在报价时，应结合现场踏勘情况，根据本企业的实际情况和拟采用的施工方案，详细分析其所含的项目特征和工程内容，自行报价。投标人没有计算或少计算的费用，视为已包括在其他相关费用内。</w:t>
      </w:r>
    </w:p>
    <w:p w14:paraId="1FE908BE">
      <w:pPr>
        <w:pStyle w:val="24"/>
        <w:spacing w:before="143" w:beforeLines="50" w:beforeAutospacing="0" w:after="143" w:afterLines="50" w:line="360" w:lineRule="auto"/>
        <w:outlineLvl w:val="3"/>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一</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绿色施工安全防护措施费</w:t>
      </w:r>
    </w:p>
    <w:p w14:paraId="76EB43E4">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96" w:firstLineChars="200"/>
        <w:jc w:val="left"/>
        <w:rPr>
          <w:rFonts w:hint="eastAsia" w:ascii="宋体" w:hAnsi="宋体" w:eastAsia="宋体" w:cs="宋体"/>
          <w:i w:val="0"/>
          <w:iCs w:val="0"/>
          <w:caps w:val="0"/>
          <w:color w:val="auto"/>
          <w:spacing w:val="0"/>
          <w:kern w:val="0"/>
          <w:sz w:val="24"/>
          <w:szCs w:val="24"/>
          <w:highlight w:val="none"/>
          <w:shd w:val="clear" w:fill="FFFFFF"/>
        </w:rPr>
      </w:pPr>
      <w:r>
        <w:rPr>
          <w:rFonts w:hint="eastAsia" w:ascii="宋体" w:hAnsi="宋体" w:eastAsia="宋体" w:cs="宋体"/>
          <w:color w:val="auto"/>
          <w:spacing w:val="4"/>
          <w:kern w:val="0"/>
          <w:sz w:val="24"/>
          <w:szCs w:val="24"/>
          <w:highlight w:val="none"/>
          <w:lang w:val="en-US" w:eastAsia="zh-CN" w:bidi="ar"/>
        </w:rPr>
        <w:t>指按照国家现行的建筑施工安全、施工现场环境与卫生标准和有关规定，购置和更新施工安全防护用具及设施、保证和改善安全生产条件及作业环境所需要的费用。依据《广东省建设工程计价依据</w:t>
      </w:r>
      <w:r>
        <w:rPr>
          <w:rFonts w:hint="eastAsia" w:ascii="宋体" w:hAnsi="宋体" w:eastAsia="宋体" w:cs="Times New Roman"/>
          <w:color w:val="auto"/>
          <w:spacing w:val="4"/>
          <w:kern w:val="0"/>
          <w:sz w:val="24"/>
          <w:szCs w:val="24"/>
          <w:highlight w:val="none"/>
          <w:lang w:val="en-US" w:eastAsia="zh-CN" w:bidi="ar"/>
        </w:rPr>
        <w:t>(2018)</w:t>
      </w:r>
      <w:r>
        <w:rPr>
          <w:rFonts w:hint="eastAsia" w:ascii="宋体" w:hAnsi="宋体" w:eastAsia="宋体" w:cs="宋体"/>
          <w:color w:val="auto"/>
          <w:spacing w:val="4"/>
          <w:kern w:val="0"/>
          <w:sz w:val="24"/>
          <w:szCs w:val="24"/>
          <w:highlight w:val="none"/>
          <w:lang w:val="en-US" w:eastAsia="zh-CN" w:bidi="ar"/>
        </w:rPr>
        <w:t>》、《关于调整&lt;广东省建设工程计价依据2018&gt;计价规则的通知》（粤标定函〔2025〕22号），绿色施工安全防护措施费由</w:t>
      </w:r>
      <w:r>
        <w:rPr>
          <w:rFonts w:hint="eastAsia" w:ascii="宋体" w:hAnsi="宋体" w:eastAsia="宋体" w:cs="宋体"/>
          <w:i w:val="0"/>
          <w:iCs w:val="0"/>
          <w:caps w:val="0"/>
          <w:color w:val="auto"/>
          <w:spacing w:val="0"/>
          <w:kern w:val="0"/>
          <w:sz w:val="24"/>
          <w:szCs w:val="24"/>
          <w:highlight w:val="none"/>
          <w:shd w:val="clear" w:fill="FFFFFF"/>
          <w:lang w:val="en-US" w:eastAsia="zh-CN" w:bidi="ar"/>
        </w:rPr>
        <w:t>文明施工措施、环境保护措施、临时设施措施和安全生产措施组成。其中安全生产措施应单独列项，费用不可竞争，且应符合《企业安全生产费用提取和使用管理办法》（财资〔2022〕136号）及我省有关文件规定。</w:t>
      </w:r>
    </w:p>
    <w:p w14:paraId="46B85121">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1.文明施工措施，内容包含组织管理、规划管理、实施管理、评价管理、用工实名管理等。</w:t>
      </w:r>
    </w:p>
    <w:p w14:paraId="0B91FD19">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环境保护措施，内容包含扬尘控制、噪音与振动控制、光污染控制、水污染控制、土壤保护、建筑垃圾控制、地下和周边设施文物资源保护、节能与能源利用、节材与材料资源利用、节水与水资源利用、节地与施工用地保护、发展绿色施工“四新”技术等。</w:t>
      </w:r>
    </w:p>
    <w:p w14:paraId="74AE1DFF">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3.临时设施措施，内容包含现场办公生活设施、施工现场临时用电、施工现场临时用水设施、施工现场设施、临时设施维护及拆除等。</w:t>
      </w:r>
    </w:p>
    <w:p w14:paraId="302F0F97">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安全生产措施，内容除包含临边洞口交叉高处作业防护、保健急救措施、安全检测费用、施工机具防护、人员安全与健康管理等之外，还包含安全生产责任险保费以及《企业安全生产费用提取和使用管理办法》（财资〔2022〕136号）相关要求。</w:t>
      </w:r>
    </w:p>
    <w:p w14:paraId="6EB985AD">
      <w:pPr>
        <w:pStyle w:val="24"/>
        <w:numPr>
          <w:ilvl w:val="0"/>
          <w:numId w:val="0"/>
        </w:numPr>
        <w:spacing w:before="143" w:beforeLines="50" w:beforeAutospacing="0" w:after="143" w:afterLines="50" w:line="360" w:lineRule="auto"/>
        <w:ind w:firstLine="578" w:firstLineChars="200"/>
        <w:outlineLvl w:val="3"/>
        <w:rPr>
          <w:rFonts w:hint="eastAsia" w:asciiTheme="minorEastAsia" w:hAnsiTheme="minorEastAsia" w:eastAsiaTheme="minorEastAsia" w:cstheme="minorEastAsia"/>
          <w:b/>
          <w:bCs/>
          <w:color w:val="auto"/>
          <w:sz w:val="28"/>
          <w:szCs w:val="21"/>
          <w:highlight w:val="none"/>
        </w:rPr>
      </w:pPr>
      <w:r>
        <w:rPr>
          <w:rFonts w:hint="eastAsia" w:asciiTheme="minorEastAsia" w:hAnsiTheme="minorEastAsia" w:eastAsiaTheme="minorEastAsia" w:cstheme="minorEastAsia"/>
          <w:b/>
          <w:bCs/>
          <w:snapToGrid w:val="0"/>
          <w:color w:val="auto"/>
          <w:spacing w:val="4"/>
          <w:kern w:val="0"/>
          <w:sz w:val="28"/>
          <w:szCs w:val="21"/>
          <w:highlight w:val="none"/>
          <w:lang w:val="en-US" w:eastAsia="zh-CN" w:bidi="ar-SA"/>
        </w:rPr>
        <w:t>（二）</w:t>
      </w:r>
      <w:r>
        <w:rPr>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其他措施项目费</w:t>
      </w:r>
    </w:p>
    <w:p w14:paraId="2D55820D">
      <w:pPr>
        <w:pStyle w:val="24"/>
        <w:numPr>
          <w:ilvl w:val="0"/>
          <w:numId w:val="0"/>
        </w:numPr>
        <w:spacing w:before="143" w:beforeLines="50" w:beforeAutospacing="0" w:after="143" w:afterLines="50" w:line="360" w:lineRule="auto"/>
        <w:ind w:firstLine="496" w:firstLineChars="200"/>
        <w:rPr>
          <w:rFonts w:hint="eastAsia" w:asciiTheme="minorEastAsia" w:hAnsiTheme="minorEastAsia" w:eastAsiaTheme="minorEastAsia" w:cstheme="minorEastAsia"/>
          <w:color w:val="auto"/>
          <w:highlight w:val="none"/>
          <w:lang w:eastAsia="zh-CN"/>
        </w:rPr>
      </w:pPr>
      <w:r>
        <w:rPr>
          <w:rFonts w:hint="eastAsia" w:ascii="宋体" w:hAnsi="宋体"/>
          <w:color w:val="auto"/>
          <w:highlight w:val="none"/>
        </w:rPr>
        <w:t>综合脚手架、靠脚手架安全挡板、金属防护网、围尼龙编织布、模板的支架（钢支撑）、施工现场围挡</w:t>
      </w:r>
      <w:r>
        <w:rPr>
          <w:rFonts w:hint="eastAsia" w:asciiTheme="minorEastAsia" w:hAnsiTheme="minorEastAsia" w:eastAsiaTheme="minorEastAsia" w:cstheme="minorEastAsia"/>
          <w:color w:val="auto"/>
          <w:highlight w:val="none"/>
        </w:rPr>
        <w:t>和临时占地围挡、施工围挡照明、临时钢管架通道、独立安全防护挡板、防尘降噪绿色施工防护棚、施工便道、样板引路</w:t>
      </w:r>
      <w:r>
        <w:rPr>
          <w:rFonts w:hint="eastAsia" w:asciiTheme="minorEastAsia" w:hAnsiTheme="minorEastAsia" w:eastAsiaTheme="minorEastAsia" w:cstheme="minorEastAsia"/>
          <w:color w:val="auto"/>
          <w:highlight w:val="none"/>
          <w:lang w:eastAsia="zh-CN"/>
        </w:rPr>
        <w:t>。</w:t>
      </w:r>
    </w:p>
    <w:p w14:paraId="535700C3">
      <w:pPr>
        <w:pStyle w:val="24"/>
        <w:keepNext w:val="0"/>
        <w:keepLines w:val="0"/>
        <w:pageBreakBefore w:val="0"/>
        <w:widowControl/>
        <w:numPr>
          <w:ilvl w:val="0"/>
          <w:numId w:val="0"/>
        </w:numPr>
        <w:kinsoku/>
        <w:wordWrap/>
        <w:overflowPunct/>
        <w:topLinePunct/>
        <w:autoSpaceDE/>
        <w:autoSpaceDN/>
        <w:bidi w:val="0"/>
        <w:adjustRightInd w:val="0"/>
        <w:snapToGrid w:val="0"/>
        <w:spacing w:before="143" w:beforeLines="50" w:beforeAutospacing="0" w:after="143" w:afterLines="50" w:line="360" w:lineRule="auto"/>
        <w:ind w:left="420" w:leftChars="200"/>
        <w:textAlignment w:val="auto"/>
        <w:outlineLvl w:val="4"/>
        <w:rPr>
          <w:rFonts w:hint="eastAsia" w:asciiTheme="minorEastAsia" w:hAnsiTheme="minorEastAsia" w:eastAsiaTheme="minorEastAsia" w:cstheme="minorEastAsia"/>
          <w:b/>
          <w:bCs/>
          <w:color w:val="auto"/>
          <w:highlight w:val="none"/>
          <w:lang w:val="en-US" w:eastAsia="zh-CN"/>
        </w:rPr>
      </w:pPr>
      <w:r>
        <w:rPr>
          <w:rFonts w:hint="eastAsia" w:ascii="宋体"/>
          <w:b/>
          <w:bCs/>
          <w:color w:val="auto"/>
          <w:highlight w:val="none"/>
          <w:lang w:val="en-US" w:eastAsia="zh-CN"/>
        </w:rPr>
        <w:t>1、</w:t>
      </w:r>
      <w:r>
        <w:rPr>
          <w:rFonts w:hint="eastAsia" w:asciiTheme="minorEastAsia" w:hAnsiTheme="minorEastAsia" w:eastAsiaTheme="minorEastAsia" w:cstheme="minorEastAsia"/>
          <w:b/>
          <w:bCs/>
          <w:color w:val="auto"/>
          <w:highlight w:val="none"/>
          <w:lang w:val="en-US" w:eastAsia="zh-CN"/>
        </w:rPr>
        <w:t>暗室增加费</w:t>
      </w:r>
    </w:p>
    <w:p w14:paraId="5448914A">
      <w:pPr>
        <w:pStyle w:val="24"/>
        <w:numPr>
          <w:ilvl w:val="0"/>
          <w:numId w:val="0"/>
        </w:numPr>
        <w:spacing w:before="143" w:beforeLines="50" w:beforeAutospacing="0" w:after="143" w:afterLines="50" w:line="360" w:lineRule="auto"/>
        <w:ind w:left="0" w:leftChars="0" w:firstLine="379" w:firstLineChars="153"/>
        <w:outlineLvl w:val="4"/>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lang w:val="en-US" w:eastAsia="zh-CN"/>
        </w:rPr>
        <w:t>指</w:t>
      </w:r>
      <w:r>
        <w:rPr>
          <w:rFonts w:hint="eastAsia" w:asciiTheme="minorEastAsia" w:hAnsiTheme="minorEastAsia" w:eastAsiaTheme="minorEastAsia" w:cstheme="minorEastAsia"/>
          <w:color w:val="auto"/>
          <w:highlight w:val="none"/>
        </w:rPr>
        <w:t>在洞内、地下室内、库内或暗室内</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val="0"/>
          <w:bCs w:val="0"/>
          <w:snapToGrid/>
          <w:color w:val="auto"/>
          <w:spacing w:val="0"/>
          <w:szCs w:val="24"/>
          <w:highlight w:val="none"/>
        </w:rPr>
        <w:t>设备及大口径管道内</w:t>
      </w:r>
      <w:r>
        <w:rPr>
          <w:rFonts w:hint="eastAsia" w:asciiTheme="minorEastAsia" w:hAnsiTheme="minorEastAsia" w:eastAsiaTheme="minorEastAsia" w:cstheme="minorEastAsia"/>
          <w:b w:val="0"/>
          <w:bCs w:val="0"/>
          <w:snapToGrid/>
          <w:color w:val="auto"/>
          <w:spacing w:val="0"/>
          <w:szCs w:val="24"/>
          <w:highlight w:val="none"/>
          <w:lang w:eastAsia="zh-CN"/>
        </w:rPr>
        <w:t>、</w:t>
      </w:r>
      <w:r>
        <w:rPr>
          <w:rFonts w:hint="eastAsia" w:asciiTheme="minorEastAsia" w:hAnsiTheme="minorEastAsia" w:eastAsiaTheme="minorEastAsia" w:cstheme="minorEastAsia"/>
          <w:b w:val="0"/>
          <w:bCs w:val="0"/>
          <w:snapToGrid/>
          <w:color w:val="auto"/>
          <w:spacing w:val="0"/>
          <w:szCs w:val="24"/>
          <w:highlight w:val="none"/>
          <w:lang w:val="en-US" w:eastAsia="zh-CN"/>
        </w:rPr>
        <w:t>管井内、竖井内、断面小于或等于2m</w:t>
      </w:r>
      <w:r>
        <w:rPr>
          <w:rFonts w:hint="eastAsia" w:asciiTheme="minorEastAsia" w:hAnsiTheme="minorEastAsia" w:eastAsiaTheme="minorEastAsia" w:cstheme="minorEastAsia"/>
          <w:b w:val="0"/>
          <w:bCs w:val="0"/>
          <w:snapToGrid/>
          <w:color w:val="auto"/>
          <w:spacing w:val="0"/>
          <w:szCs w:val="24"/>
          <w:highlight w:val="none"/>
          <w:vertAlign w:val="superscript"/>
          <w:lang w:val="en-US" w:eastAsia="zh-CN"/>
        </w:rPr>
        <w:t>2</w:t>
      </w:r>
      <w:r>
        <w:rPr>
          <w:rFonts w:hint="eastAsia" w:asciiTheme="minorEastAsia" w:hAnsiTheme="minorEastAsia" w:eastAsiaTheme="minorEastAsia" w:cstheme="minorEastAsia"/>
          <w:b w:val="0"/>
          <w:bCs w:val="0"/>
          <w:snapToGrid/>
          <w:color w:val="auto"/>
          <w:spacing w:val="0"/>
          <w:szCs w:val="24"/>
          <w:highlight w:val="none"/>
          <w:vertAlign w:val="baseline"/>
          <w:lang w:val="en-US" w:eastAsia="zh-CN"/>
        </w:rPr>
        <w:t>隧道或洞内、封闭吊顶天棚内</w:t>
      </w:r>
      <w:r>
        <w:rPr>
          <w:rFonts w:hint="eastAsia" w:asciiTheme="minorEastAsia" w:hAnsiTheme="minorEastAsia" w:eastAsiaTheme="minorEastAsia" w:cstheme="minorEastAsia"/>
          <w:b w:val="0"/>
          <w:bCs w:val="0"/>
          <w:snapToGrid/>
          <w:color w:val="auto"/>
          <w:spacing w:val="0"/>
          <w:szCs w:val="24"/>
          <w:highlight w:val="none"/>
        </w:rPr>
        <w:t>等特殊施工部位</w:t>
      </w:r>
      <w:r>
        <w:rPr>
          <w:rFonts w:hint="eastAsia" w:asciiTheme="minorEastAsia" w:hAnsiTheme="minorEastAsia" w:eastAsiaTheme="minorEastAsia" w:cstheme="minorEastAsia"/>
          <w:color w:val="auto"/>
          <w:highlight w:val="none"/>
        </w:rPr>
        <w:t>（需要照明）进行施工增加费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施工人工降效及照明等费用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此费用为《关于调整&lt;广东省建设工程计价依据2018&gt;计价规则的通知（粤标定函</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2025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22号）》中的</w:t>
      </w:r>
      <w:r>
        <w:rPr>
          <w:rFonts w:hint="eastAsia" w:asciiTheme="minorEastAsia" w:hAnsiTheme="minorEastAsia" w:eastAsiaTheme="minorEastAsia" w:cstheme="minorEastAsia"/>
          <w:strike w:val="0"/>
          <w:dstrike w:val="0"/>
          <w:color w:val="auto"/>
          <w:highlight w:val="none"/>
          <w:lang w:val="en-US" w:eastAsia="zh-CN"/>
        </w:rPr>
        <w:t>相关措施实施费用</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2"/>
          <w:highlight w:val="none"/>
        </w:rPr>
        <w:t>该费用合价包干，除合同另有约定外，结算时不作调整。</w:t>
      </w:r>
    </w:p>
    <w:p w14:paraId="0CBD1B97">
      <w:pPr>
        <w:pStyle w:val="24"/>
        <w:spacing w:before="143" w:beforeLines="50" w:beforeAutospacing="0" w:after="143" w:afterLines="50" w:line="360" w:lineRule="auto"/>
        <w:outlineLvl w:val="4"/>
        <w:rPr>
          <w:rFonts w:ascii="宋体"/>
          <w:b/>
          <w:bCs/>
          <w:color w:val="auto"/>
          <w:highlight w:val="none"/>
        </w:rPr>
      </w:pPr>
      <w:r>
        <w:rPr>
          <w:rFonts w:hint="eastAsia" w:ascii="宋体"/>
          <w:b/>
          <w:bCs/>
          <w:color w:val="auto"/>
          <w:highlight w:val="none"/>
          <w:lang w:val="en-US" w:eastAsia="zh-CN"/>
        </w:rPr>
        <w:t>2、</w:t>
      </w:r>
      <w:r>
        <w:rPr>
          <w:rFonts w:hint="eastAsia" w:ascii="宋体" w:hAnsi="宋体"/>
          <w:b/>
          <w:bCs/>
          <w:color w:val="auto"/>
          <w:highlight w:val="none"/>
        </w:rPr>
        <w:t>为配合第三方检测所发生的费用</w:t>
      </w:r>
    </w:p>
    <w:p w14:paraId="509A37A5">
      <w:pPr>
        <w:pStyle w:val="24"/>
        <w:spacing w:before="143" w:beforeLines="50" w:beforeAutospacing="0" w:after="143" w:afterLines="50" w:line="360" w:lineRule="auto"/>
        <w:ind w:firstLine="496"/>
        <w:rPr>
          <w:rFonts w:ascii="宋体" w:hAnsi="宋体"/>
          <w:color w:val="auto"/>
          <w:szCs w:val="22"/>
          <w:highlight w:val="none"/>
        </w:rPr>
      </w:pPr>
      <w:r>
        <w:rPr>
          <w:rFonts w:hint="eastAsia" w:ascii="宋体" w:hAnsi="宋体"/>
          <w:color w:val="auto"/>
          <w:szCs w:val="22"/>
          <w:highlight w:val="none"/>
        </w:rPr>
        <w:t>指承包人配合发包人委托第三方检测所发生的人工、材料（如送检材料样品）、机械及配合费用（</w:t>
      </w:r>
      <w:r>
        <w:rPr>
          <w:rFonts w:hint="eastAsia" w:ascii="宋体" w:hAnsi="宋体"/>
          <w:color w:val="auto"/>
          <w:szCs w:val="22"/>
          <w:highlight w:val="none"/>
          <w:lang w:eastAsia="zh-CN"/>
        </w:rPr>
        <w:t>含</w:t>
      </w:r>
      <w:r>
        <w:rPr>
          <w:rFonts w:hint="eastAsia" w:ascii="宋体" w:hAnsi="宋体"/>
          <w:color w:val="auto"/>
          <w:szCs w:val="22"/>
          <w:highlight w:val="none"/>
        </w:rPr>
        <w:t>提供检测工作条件</w:t>
      </w:r>
      <w:r>
        <w:rPr>
          <w:rFonts w:hint="eastAsia" w:ascii="宋体" w:hAnsi="宋体"/>
          <w:color w:val="auto"/>
          <w:szCs w:val="22"/>
          <w:highlight w:val="none"/>
          <w:lang w:eastAsia="zh-CN"/>
        </w:rPr>
        <w:t>的费用，检测工作条件包括</w:t>
      </w:r>
      <w:r>
        <w:rPr>
          <w:rFonts w:hint="eastAsia" w:ascii="宋体" w:hAnsi="宋体"/>
          <w:color w:val="auto"/>
          <w:szCs w:val="22"/>
          <w:highlight w:val="none"/>
        </w:rPr>
        <w:t>桩基检测平台、支墩平台、桩顶钢筋加密和桩帽、</w:t>
      </w:r>
      <w:r>
        <w:rPr>
          <w:rFonts w:hint="eastAsia" w:ascii="宋体" w:hAnsi="宋体"/>
          <w:strike w:val="0"/>
          <w:dstrike w:val="0"/>
          <w:color w:val="auto"/>
          <w:szCs w:val="22"/>
          <w:highlight w:val="none"/>
        </w:rPr>
        <w:t>换填</w:t>
      </w:r>
      <w:r>
        <w:rPr>
          <w:rFonts w:hint="eastAsia" w:ascii="宋体" w:hAnsi="宋体"/>
          <w:strike w:val="0"/>
          <w:dstrike w:val="0"/>
          <w:color w:val="auto"/>
          <w:szCs w:val="22"/>
          <w:highlight w:val="none"/>
          <w:lang w:eastAsia="zh-CN"/>
        </w:rPr>
        <w:t>等</w:t>
      </w:r>
      <w:r>
        <w:rPr>
          <w:rFonts w:hint="eastAsia" w:ascii="宋体" w:hAnsi="宋体"/>
          <w:color w:val="auto"/>
          <w:szCs w:val="22"/>
          <w:highlight w:val="none"/>
        </w:rPr>
        <w:t>加固</w:t>
      </w:r>
      <w:r>
        <w:rPr>
          <w:rFonts w:hint="eastAsia" w:ascii="宋体" w:hAnsi="宋体"/>
          <w:color w:val="auto"/>
          <w:szCs w:val="22"/>
          <w:highlight w:val="none"/>
          <w:lang w:eastAsia="zh-CN"/>
        </w:rPr>
        <w:t>措施</w:t>
      </w:r>
      <w:r>
        <w:rPr>
          <w:rFonts w:hint="eastAsia" w:ascii="宋体" w:hAnsi="宋体"/>
          <w:color w:val="auto"/>
          <w:szCs w:val="22"/>
          <w:highlight w:val="none"/>
        </w:rPr>
        <w:t>、机械进场道路、场地硬化、场地</w:t>
      </w:r>
      <w:r>
        <w:rPr>
          <w:rFonts w:hint="eastAsia" w:ascii="宋体" w:hAnsi="宋体"/>
          <w:strike/>
          <w:dstrike w:val="0"/>
          <w:color w:val="auto"/>
          <w:szCs w:val="22"/>
          <w:highlight w:val="none"/>
        </w:rPr>
        <w:t>的</w:t>
      </w:r>
      <w:r>
        <w:rPr>
          <w:rFonts w:hint="eastAsia" w:ascii="宋体" w:hAnsi="宋体"/>
          <w:color w:val="auto"/>
          <w:szCs w:val="22"/>
          <w:highlight w:val="none"/>
        </w:rPr>
        <w:t>清理平整、复原清运等）</w:t>
      </w:r>
      <w:r>
        <w:rPr>
          <w:rFonts w:hint="eastAsia" w:ascii="宋体" w:hAnsi="宋体"/>
          <w:strike w:val="0"/>
          <w:color w:val="auto"/>
          <w:szCs w:val="22"/>
          <w:highlight w:val="none"/>
          <w:lang w:eastAsia="zh-CN"/>
        </w:rPr>
        <w:t>，</w:t>
      </w:r>
      <w:r>
        <w:rPr>
          <w:rFonts w:hint="eastAsia" w:ascii="宋体" w:hAnsi="宋体"/>
          <w:color w:val="auto"/>
          <w:szCs w:val="22"/>
          <w:highlight w:val="none"/>
        </w:rPr>
        <w:t>对检测造成的孔洞等由承包人按技术要求采用合格材料修补恢复的费用。该费用合价包干，除合同另有约定外，结算时不作调整。发包人委托第三方检测费用不含在投标报价内，其检测费用由发包人另行支付给第三方检测单位。由发包人委托第三方检测的项目，如果检测一次或数次不合格，其检测费用由承包人承担，发包人只承担检测合格时的检测费用，检测不合格的工程项目承包人须免费返工到合格为止。该费用统一在</w:t>
      </w:r>
      <w:r>
        <w:rPr>
          <w:rFonts w:hint="eastAsia" w:ascii="宋体" w:hAnsi="宋体"/>
          <w:color w:val="auto"/>
          <w:highlight w:val="none"/>
        </w:rPr>
        <w:t>“</w:t>
      </w:r>
      <w:r>
        <w:rPr>
          <w:rFonts w:hint="eastAsia" w:ascii="宋体" w:hAnsi="宋体"/>
          <w:color w:val="auto"/>
          <w:highlight w:val="none"/>
          <w:lang w:eastAsia="zh"/>
        </w:rPr>
        <w:t>建筑</w:t>
      </w:r>
      <w:r>
        <w:rPr>
          <w:rFonts w:hint="eastAsia" w:ascii="宋体" w:hAnsi="宋体"/>
          <w:color w:val="auto"/>
          <w:highlight w:val="none"/>
        </w:rPr>
        <w:t>工程”的措施</w:t>
      </w:r>
      <w:r>
        <w:rPr>
          <w:rFonts w:hint="eastAsia" w:ascii="宋体" w:hAnsi="宋体"/>
          <w:color w:val="auto"/>
          <w:highlight w:val="none"/>
          <w:lang w:eastAsia="zh"/>
        </w:rPr>
        <w:t>实施费用</w:t>
      </w:r>
      <w:r>
        <w:rPr>
          <w:rFonts w:hint="eastAsia" w:ascii="宋体" w:hAnsi="宋体"/>
          <w:color w:val="auto"/>
          <w:highlight w:val="none"/>
          <w:lang w:eastAsia="zh-CN"/>
        </w:rPr>
        <w:t>中</w:t>
      </w:r>
      <w:r>
        <w:rPr>
          <w:rFonts w:hint="eastAsia" w:ascii="宋体" w:hAnsi="宋体"/>
          <w:color w:val="auto"/>
          <w:szCs w:val="22"/>
          <w:highlight w:val="none"/>
        </w:rPr>
        <w:t>填报。</w:t>
      </w:r>
    </w:p>
    <w:p w14:paraId="17983F90">
      <w:pPr>
        <w:pStyle w:val="11"/>
        <w:keepNext w:val="0"/>
        <w:keepLines w:val="0"/>
        <w:widowControl/>
        <w:numPr>
          <w:ilvl w:val="0"/>
          <w:numId w:val="2"/>
        </w:numPr>
        <w:suppressLineNumbers w:val="0"/>
        <w:spacing w:before="0" w:beforeAutospacing="0" w:after="0" w:afterAutospacing="0"/>
        <w:ind w:left="0" w:right="0" w:firstLine="381" w:firstLineChars="158"/>
        <w:rPr>
          <w:b/>
          <w:bCs/>
          <w:highlight w:val="none"/>
        </w:rPr>
      </w:pPr>
      <w:r>
        <w:rPr>
          <w:b/>
          <w:bCs/>
          <w:highlight w:val="none"/>
        </w:rPr>
        <w:t>积水处理及现场清理费</w:t>
      </w:r>
    </w:p>
    <w:p w14:paraId="7C873A80">
      <w:pPr>
        <w:pStyle w:val="24"/>
        <w:spacing w:before="143" w:beforeLines="50" w:after="143" w:afterLines="50" w:line="360" w:lineRule="auto"/>
        <w:ind w:firstLine="496"/>
        <w:rPr>
          <w:rFonts w:hint="default" w:ascii="宋体" w:hAnsi="宋体"/>
          <w:color w:val="auto"/>
          <w:szCs w:val="22"/>
          <w:highlight w:val="none"/>
        </w:rPr>
      </w:pPr>
      <w:r>
        <w:rPr>
          <w:rFonts w:hint="eastAsia" w:ascii="宋体" w:hAnsi="宋体" w:cs="Times New Roman"/>
          <w:color w:val="auto"/>
          <w:sz w:val="24"/>
          <w:szCs w:val="22"/>
          <w:highlight w:val="none"/>
        </w:rPr>
        <w:t>本项目因</w:t>
      </w:r>
      <w:r>
        <w:rPr>
          <w:rFonts w:hint="eastAsia" w:ascii="宋体" w:hAnsi="宋体" w:cs="Times New Roman"/>
          <w:color w:val="auto"/>
          <w:sz w:val="24"/>
          <w:szCs w:val="22"/>
          <w:highlight w:val="none"/>
          <w:lang w:val="en-US" w:eastAsia="zh-CN"/>
        </w:rPr>
        <w:t>历史遗留原因</w:t>
      </w:r>
      <w:r>
        <w:rPr>
          <w:rFonts w:hint="eastAsia" w:ascii="宋体" w:hAnsi="宋体" w:cs="Times New Roman"/>
          <w:color w:val="auto"/>
          <w:sz w:val="24"/>
          <w:szCs w:val="22"/>
          <w:highlight w:val="none"/>
        </w:rPr>
        <w:t>,尚未交付使用,现状为空置未使用状态。地下室内部</w:t>
      </w:r>
      <w:r>
        <w:rPr>
          <w:rFonts w:hint="eastAsia" w:ascii="宋体" w:hAnsi="宋体" w:cs="Times New Roman"/>
          <w:color w:val="auto"/>
          <w:sz w:val="24"/>
          <w:szCs w:val="22"/>
          <w:highlight w:val="none"/>
          <w:lang w:val="en-US" w:eastAsia="zh-CN"/>
        </w:rPr>
        <w:t>有</w:t>
      </w:r>
      <w:r>
        <w:rPr>
          <w:rFonts w:hint="eastAsia" w:ascii="宋体" w:hAnsi="宋体" w:cs="Times New Roman"/>
          <w:color w:val="auto"/>
          <w:sz w:val="24"/>
          <w:szCs w:val="22"/>
          <w:highlight w:val="none"/>
        </w:rPr>
        <w:t>积水</w:t>
      </w:r>
      <w:r>
        <w:rPr>
          <w:rFonts w:hint="eastAsia" w:ascii="宋体" w:hAnsi="宋体" w:cs="Times New Roman"/>
          <w:color w:val="auto"/>
          <w:sz w:val="24"/>
          <w:szCs w:val="22"/>
          <w:highlight w:val="none"/>
          <w:lang w:val="en-US" w:eastAsia="zh-CN"/>
        </w:rPr>
        <w:t>情况</w:t>
      </w:r>
      <w:r>
        <w:rPr>
          <w:rFonts w:hint="eastAsia" w:ascii="宋体" w:hAnsi="宋体" w:cs="Times New Roman"/>
          <w:color w:val="auto"/>
          <w:sz w:val="24"/>
          <w:szCs w:val="22"/>
          <w:highlight w:val="none"/>
        </w:rPr>
        <w:t>,</w:t>
      </w:r>
      <w:r>
        <w:rPr>
          <w:rFonts w:hint="eastAsia" w:ascii="宋体" w:hAnsi="宋体" w:eastAsia="宋体" w:cs="Times New Roman"/>
          <w:bCs w:val="0"/>
          <w:color w:val="auto"/>
          <w:spacing w:val="4"/>
          <w:sz w:val="24"/>
          <w:szCs w:val="22"/>
          <w:highlight w:val="none"/>
          <w:lang w:val="en-US" w:eastAsia="zh-CN"/>
        </w:rPr>
        <w:t>施工单位进场后应自行抽排</w:t>
      </w:r>
      <w:r>
        <w:rPr>
          <w:rFonts w:hint="eastAsia" w:ascii="宋体" w:hAnsi="宋体" w:cs="Times New Roman"/>
          <w:bCs w:val="0"/>
          <w:color w:val="auto"/>
          <w:spacing w:val="4"/>
          <w:sz w:val="24"/>
          <w:szCs w:val="22"/>
          <w:highlight w:val="none"/>
          <w:lang w:val="en-US" w:eastAsia="zh-CN"/>
        </w:rPr>
        <w:t>、清理发生的费用，该费用由投标人根据市场与工程实际情况进行报价，在措施项目中填报。结算时工程量按实际发生台班计算，且费用合计不高于最高投标限价，本项目最高限价为 2677.02元。</w:t>
      </w:r>
    </w:p>
    <w:p w14:paraId="66EF5A06">
      <w:pPr>
        <w:pStyle w:val="24"/>
        <w:numPr>
          <w:ilvl w:val="0"/>
          <w:numId w:val="2"/>
        </w:numPr>
        <w:spacing w:before="143" w:beforeLines="50" w:beforeAutospacing="0" w:after="143" w:afterLines="50" w:line="360" w:lineRule="auto"/>
        <w:ind w:firstLine="393" w:firstLineChars="158"/>
        <w:outlineLvl w:val="4"/>
        <w:rPr>
          <w:rFonts w:hint="eastAsia" w:ascii="宋体" w:hAnsi="宋体"/>
          <w:b/>
          <w:bCs/>
          <w:color w:val="auto"/>
          <w:highlight w:val="none"/>
        </w:rPr>
      </w:pPr>
      <w:r>
        <w:rPr>
          <w:rFonts w:hint="eastAsia" w:ascii="宋体" w:hAnsi="宋体"/>
          <w:b/>
          <w:bCs/>
          <w:color w:val="auto"/>
          <w:highlight w:val="none"/>
          <w:lang w:val="en-US" w:eastAsia="zh-CN"/>
        </w:rPr>
        <w:t>综合</w:t>
      </w:r>
      <w:r>
        <w:rPr>
          <w:rFonts w:hint="eastAsia" w:ascii="宋体" w:hAnsi="宋体"/>
          <w:b/>
          <w:bCs/>
          <w:color w:val="auto"/>
          <w:highlight w:val="none"/>
        </w:rPr>
        <w:t>脚手架</w:t>
      </w:r>
      <w:r>
        <w:rPr>
          <w:rFonts w:hint="eastAsia" w:ascii="宋体" w:hAnsi="宋体"/>
          <w:b/>
          <w:bCs/>
          <w:color w:val="auto"/>
          <w:highlight w:val="none"/>
          <w:lang w:val="en-US" w:eastAsia="zh-CN"/>
        </w:rPr>
        <w:t>费用</w:t>
      </w:r>
    </w:p>
    <w:p w14:paraId="5CACC9DB">
      <w:pPr>
        <w:pStyle w:val="24"/>
        <w:numPr>
          <w:ilvl w:val="-1"/>
          <w:numId w:val="0"/>
        </w:numPr>
        <w:spacing w:before="143" w:beforeLines="50" w:beforeAutospacing="0" w:after="143" w:afterLines="50" w:line="360" w:lineRule="auto"/>
        <w:ind w:firstLine="496" w:firstLineChars="200"/>
        <w:outlineLvl w:val="4"/>
        <w:rPr>
          <w:rFonts w:hint="eastAsia" w:ascii="宋体" w:hAnsi="宋体" w:eastAsia="宋体"/>
          <w:b/>
          <w:bCs/>
          <w:color w:val="auto"/>
          <w:highlight w:val="none"/>
          <w:lang w:eastAsia="zh-CN"/>
        </w:rPr>
      </w:pPr>
      <w:r>
        <w:rPr>
          <w:rFonts w:hint="eastAsia" w:ascii="宋体" w:hAnsi="宋体"/>
          <w:color w:val="auto"/>
          <w:highlight w:val="none"/>
        </w:rPr>
        <w:t>指施工（含拆除）需要的各种脚手架搭、拆、运输费用及脚手架的摊销（或租赁）费用或高空作业车。天棚面单独刷(喷)灰水时，均不计算脚手架费用，</w:t>
      </w:r>
      <w:r>
        <w:rPr>
          <w:rFonts w:hint="eastAsia" w:ascii="宋体" w:hAnsi="宋体"/>
          <w:color w:val="auto"/>
          <w:highlight w:val="none"/>
          <w:lang w:val="en-US" w:eastAsia="zh-CN"/>
        </w:rPr>
        <w:t>报价需综合考虑天棚漏水维修、天棚刷大白浆时基层铲除处理。天棚脚手架</w:t>
      </w:r>
      <w:r>
        <w:rPr>
          <w:rFonts w:hint="eastAsia" w:asciiTheme="minorEastAsia" w:hAnsiTheme="minorEastAsia" w:eastAsiaTheme="minorEastAsia" w:cstheme="minorEastAsia"/>
          <w:color w:val="auto"/>
          <w:sz w:val="24"/>
          <w:szCs w:val="24"/>
          <w:highlight w:val="none"/>
        </w:rPr>
        <w:t>计量</w:t>
      </w:r>
      <w:r>
        <w:rPr>
          <w:rFonts w:hint="eastAsia" w:asciiTheme="minorEastAsia" w:hAnsiTheme="minorEastAsia" w:eastAsiaTheme="minorEastAsia" w:cstheme="minorEastAsia"/>
          <w:color w:val="auto"/>
          <w:sz w:val="24"/>
          <w:szCs w:val="24"/>
          <w:highlight w:val="none"/>
          <w:lang w:val="en-US" w:eastAsia="zh-CN"/>
        </w:rPr>
        <w:t>按</w:t>
      </w:r>
      <w:r>
        <w:rPr>
          <w:rFonts w:hint="eastAsia" w:ascii="宋体" w:hAnsi="宋体"/>
          <w:color w:val="auto"/>
          <w:highlight w:val="none"/>
          <w:lang w:val="en-US" w:eastAsia="zh-CN"/>
        </w:rPr>
        <w:t>天棚漏水维修或刷大白浆时基层修复面积</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val="en-US" w:eastAsia="zh-CN"/>
        </w:rPr>
        <w:t>平</w:t>
      </w:r>
      <w:r>
        <w:rPr>
          <w:rFonts w:hint="eastAsia" w:asciiTheme="minorEastAsia" w:hAnsiTheme="minorEastAsia" w:eastAsiaTheme="minorEastAsia" w:cstheme="minorEastAsia"/>
          <w:color w:val="auto"/>
          <w:sz w:val="24"/>
          <w:szCs w:val="24"/>
          <w:highlight w:val="none"/>
        </w:rPr>
        <w:t>方米计算</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olor w:val="auto"/>
          <w:highlight w:val="none"/>
        </w:rPr>
        <w:t>另外，脚手架的搭设必须考虑到各专</w:t>
      </w:r>
      <w:r>
        <w:rPr>
          <w:rFonts w:hint="eastAsia" w:ascii="宋体" w:hAnsi="宋体"/>
          <w:highlight w:val="none"/>
        </w:rPr>
        <w:t>业工程施工的交叉协调，由于脚手架的搭设不当而影响其他专业正常施工时，承包人须进行整改，承包人进行调整和修改及因防火需要为脚手架淋水费用不予增加</w:t>
      </w:r>
      <w:r>
        <w:rPr>
          <w:rFonts w:hint="eastAsia" w:ascii="宋体" w:hAnsi="宋体"/>
          <w:highlight w:val="none"/>
          <w:lang w:eastAsia="zh-CN"/>
        </w:rPr>
        <w:t>。</w:t>
      </w:r>
    </w:p>
    <w:p w14:paraId="1AF23ECF">
      <w:pPr>
        <w:pStyle w:val="24"/>
        <w:numPr>
          <w:ilvl w:val="0"/>
          <w:numId w:val="2"/>
        </w:numPr>
        <w:spacing w:before="143" w:beforeLines="50" w:beforeAutospacing="0" w:after="143" w:afterLines="50" w:line="360" w:lineRule="auto"/>
        <w:ind w:firstLine="393" w:firstLineChars="158"/>
        <w:outlineLvl w:val="4"/>
        <w:rPr>
          <w:rFonts w:hint="eastAsia" w:ascii="宋体" w:hAnsi="宋体"/>
          <w:b/>
          <w:bCs/>
          <w:color w:val="auto"/>
          <w:highlight w:val="none"/>
        </w:rPr>
      </w:pPr>
      <w:r>
        <w:rPr>
          <w:rFonts w:hint="eastAsia" w:ascii="宋体" w:hAnsi="宋体"/>
          <w:b/>
          <w:bCs/>
          <w:color w:val="auto"/>
          <w:highlight w:val="none"/>
        </w:rPr>
        <w:t>其他措施费用</w:t>
      </w:r>
    </w:p>
    <w:p w14:paraId="52B27534">
      <w:pPr>
        <w:pStyle w:val="26"/>
        <w:spacing w:before="143" w:after="143" w:line="360" w:lineRule="auto"/>
        <w:ind w:firstLine="480"/>
        <w:rPr>
          <w:color w:val="auto"/>
          <w:szCs w:val="24"/>
          <w:highlight w:val="none"/>
        </w:rPr>
      </w:pPr>
      <w:r>
        <w:rPr>
          <w:rFonts w:hint="eastAsia"/>
          <w:color w:val="auto"/>
          <w:szCs w:val="24"/>
          <w:highlight w:val="none"/>
        </w:rPr>
        <w:t>以上措施项目没有体现的，</w:t>
      </w:r>
      <w:r>
        <w:rPr>
          <w:rFonts w:hint="eastAsia"/>
          <w:color w:val="auto"/>
          <w:szCs w:val="24"/>
          <w:highlight w:val="none"/>
          <w:lang w:eastAsia="zh-CN"/>
        </w:rPr>
        <w:t>施工中可能发生</w:t>
      </w:r>
      <w:r>
        <w:rPr>
          <w:rFonts w:hint="eastAsia"/>
          <w:color w:val="auto"/>
          <w:szCs w:val="24"/>
          <w:highlight w:val="none"/>
        </w:rPr>
        <w:t>或者投标人认为为完成本工程项目将会发生的其他措施费用。工程内容及其报价由投标人自列，并附单价分析。该费用合价包干。</w:t>
      </w:r>
    </w:p>
    <w:p w14:paraId="605E9BA0">
      <w:pPr>
        <w:pStyle w:val="27"/>
        <w:spacing w:before="143" w:after="143" w:line="360" w:lineRule="auto"/>
        <w:ind w:firstLine="578" w:firstLineChars="200"/>
        <w:rPr>
          <w:color w:val="auto"/>
          <w:sz w:val="28"/>
          <w:szCs w:val="21"/>
          <w:highlight w:val="none"/>
        </w:rPr>
      </w:pPr>
      <w:bookmarkStart w:id="86" w:name="_Toc19285"/>
      <w:r>
        <w:rPr>
          <w:rFonts w:hint="eastAsia"/>
          <w:color w:val="auto"/>
          <w:sz w:val="28"/>
          <w:szCs w:val="21"/>
          <w:highlight w:val="none"/>
        </w:rPr>
        <w:t>四、其他项目清单计价说明</w:t>
      </w:r>
      <w:bookmarkEnd w:id="86"/>
    </w:p>
    <w:p w14:paraId="4E5A4DFB">
      <w:pPr>
        <w:pStyle w:val="26"/>
        <w:spacing w:before="143" w:after="143"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其他项目清单报价除合同约定和政府针对本项目的文件规定可以调整的以外，合同执行期内固定不变。</w:t>
      </w:r>
    </w:p>
    <w:p w14:paraId="3F96C662">
      <w:pPr>
        <w:pStyle w:val="24"/>
        <w:spacing w:before="143" w:beforeLines="50" w:beforeAutospacing="0" w:after="143" w:afterLines="50" w:line="360" w:lineRule="auto"/>
        <w:ind w:firstLine="496" w:firstLineChars="0"/>
        <w:outlineLvl w:val="4"/>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1、暂列金额</w:t>
      </w:r>
    </w:p>
    <w:p w14:paraId="06232B0A">
      <w:pPr>
        <w:pStyle w:val="26"/>
        <w:spacing w:before="143" w:after="143" w:line="360" w:lineRule="auto"/>
        <w:ind w:firstLine="480"/>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color w:val="auto"/>
          <w:sz w:val="24"/>
          <w:szCs w:val="24"/>
          <w:highlight w:val="none"/>
        </w:rPr>
        <w:t>发包人在工程量清单中暂定并包括在合同总价中，用于招标时尚未能确定或详细说明的工程、服务和工程实施中可能发生的合同价款调整等所预留的费用。暂列金额在投标报价时，以招标人正式公布的固定金额进行填报，计量支付时，以合同计列的暂列金额为限额，按合同约定和承包人实际完成的工作量依据合同变更计价原则计量支付，未使用部分仍归发包人所有。</w:t>
      </w:r>
    </w:p>
    <w:p w14:paraId="3FE3EA7C">
      <w:pPr>
        <w:pStyle w:val="24"/>
        <w:spacing w:before="143" w:beforeLines="50" w:beforeAutospacing="0" w:after="143" w:afterLines="50" w:line="360" w:lineRule="auto"/>
        <w:ind w:firstLine="496" w:firstLineChars="0"/>
        <w:outlineLvl w:val="4"/>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
        </w:rPr>
        <w:t>2</w:t>
      </w:r>
      <w:r>
        <w:rPr>
          <w:rFonts w:hint="eastAsia" w:asciiTheme="minorEastAsia" w:hAnsiTheme="minorEastAsia" w:eastAsiaTheme="minorEastAsia" w:cstheme="minorEastAsia"/>
          <w:b/>
          <w:bCs/>
          <w:color w:val="auto"/>
          <w:sz w:val="24"/>
          <w:szCs w:val="24"/>
          <w:highlight w:val="none"/>
        </w:rPr>
        <w:t>、监理、设计等单位现场办公和设施使用费</w:t>
      </w:r>
    </w:p>
    <w:p w14:paraId="4795B322">
      <w:pPr>
        <w:pStyle w:val="26"/>
        <w:numPr>
          <w:ilvl w:val="0"/>
          <w:numId w:val="0"/>
        </w:numPr>
        <w:spacing w:before="143" w:after="143"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指工程实施期间为建设单位（含监理和设计等单位）驻现场办公用房及相应配套设施（配套设施应满足项目的实际需要），相应费用由投标人自行考虑。在实施时，承包人应编制施工方案及相应费用报发包人审核，发包人审核同意后方可实施。</w:t>
      </w:r>
      <w:r>
        <w:rPr>
          <w:rFonts w:hint="eastAsia" w:asciiTheme="minorEastAsia" w:hAnsiTheme="minorEastAsia" w:eastAsiaTheme="minorEastAsia" w:cstheme="minorEastAsia"/>
          <w:color w:val="auto"/>
          <w:sz w:val="24"/>
          <w:szCs w:val="24"/>
          <w:highlight w:val="none"/>
          <w:u w:val="none"/>
        </w:rPr>
        <w:t>如因施工场地狭窄，承包需考虑在施工现场附近租赁房屋，采取切实措施确保建设单位（含监理和设计等单位）驻现场办公条件。</w:t>
      </w:r>
      <w:r>
        <w:rPr>
          <w:rFonts w:hint="eastAsia" w:asciiTheme="minorEastAsia" w:hAnsiTheme="minorEastAsia" w:eastAsiaTheme="minorEastAsia" w:cstheme="minorEastAsia"/>
          <w:color w:val="auto"/>
          <w:sz w:val="24"/>
          <w:szCs w:val="24"/>
          <w:highlight w:val="none"/>
        </w:rPr>
        <w:t>该费用合价包干，结算时不作调整。该费用统一在其他项目清单中填报。</w:t>
      </w:r>
    </w:p>
    <w:p w14:paraId="2D1AB095">
      <w:pPr>
        <w:pStyle w:val="24"/>
        <w:spacing w:before="143" w:beforeLines="50" w:beforeAutospacing="0" w:after="143" w:afterLines="50" w:line="360" w:lineRule="auto"/>
        <w:ind w:firstLine="496" w:firstLineChars="0"/>
        <w:outlineLvl w:val="4"/>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
        </w:rPr>
        <w:t>3</w:t>
      </w:r>
      <w:r>
        <w:rPr>
          <w:rFonts w:hint="eastAsia" w:asciiTheme="minorEastAsia" w:hAnsiTheme="minorEastAsia" w:eastAsiaTheme="minorEastAsia" w:cstheme="minorEastAsia"/>
          <w:b/>
          <w:bCs/>
          <w:color w:val="auto"/>
          <w:sz w:val="24"/>
          <w:szCs w:val="24"/>
          <w:highlight w:val="none"/>
        </w:rPr>
        <w:t>、工程保险费</w:t>
      </w:r>
    </w:p>
    <w:p w14:paraId="2B600235">
      <w:pPr>
        <w:pStyle w:val="24"/>
        <w:spacing w:before="143" w:beforeLines="50" w:beforeAutospacing="0" w:after="143" w:afterLines="50" w:line="360" w:lineRule="auto"/>
        <w:ind w:firstLine="4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是指发包人与承包人在本</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中约定，由发包人委托承包人</w:t>
      </w:r>
      <w:r>
        <w:rPr>
          <w:rFonts w:hint="eastAsia" w:asciiTheme="minorEastAsia" w:hAnsiTheme="minorEastAsia" w:eastAsiaTheme="minorEastAsia" w:cstheme="minorEastAsia"/>
          <w:color w:val="auto"/>
          <w:sz w:val="24"/>
          <w:szCs w:val="24"/>
          <w:highlight w:val="none"/>
          <w:u w:val="none"/>
        </w:rPr>
        <w:t>为</w:t>
      </w:r>
      <w:r>
        <w:rPr>
          <w:rFonts w:hint="eastAsia" w:asciiTheme="minorEastAsia" w:hAnsiTheme="minorEastAsia" w:eastAsiaTheme="minorEastAsia" w:cstheme="minorEastAsia"/>
          <w:color w:val="auto"/>
          <w:sz w:val="24"/>
          <w:szCs w:val="24"/>
          <w:highlight w:val="none"/>
          <w:u w:val="none"/>
          <w:lang w:val="en-US" w:eastAsia="zh-CN"/>
        </w:rPr>
        <w:t>本合同</w:t>
      </w:r>
      <w:r>
        <w:rPr>
          <w:rFonts w:hint="eastAsia" w:asciiTheme="minorEastAsia" w:hAnsiTheme="minorEastAsia" w:eastAsiaTheme="minorEastAsia" w:cstheme="minorEastAsia"/>
          <w:color w:val="auto"/>
          <w:sz w:val="24"/>
          <w:szCs w:val="24"/>
          <w:highlight w:val="none"/>
          <w:u w:val="none"/>
        </w:rPr>
        <w:t>工程购买的建筑（安装）工程一切险、安全生产责任险中的第三者人身伤亡和财产损失、赔偿以及因此造成的事故抢险救援、医疗救护、事故鉴定、法律服务和诉讼等相关保险、及其他保险（为运至施工场地内用于工程的材料和待安装工程设备办</w:t>
      </w:r>
      <w:r>
        <w:rPr>
          <w:rFonts w:hint="eastAsia" w:asciiTheme="minorEastAsia" w:hAnsiTheme="minorEastAsia" w:eastAsiaTheme="minorEastAsia" w:cstheme="minorEastAsia"/>
          <w:color w:val="auto"/>
          <w:sz w:val="24"/>
          <w:szCs w:val="24"/>
          <w:highlight w:val="none"/>
        </w:rPr>
        <w:t>理），不包含承包人为转移自身安全责任风险所发生的费用。该费用在投标报价时，以招标人正式公布的固定金额进行填报，计量支付、结算时，以合同计列的工程保险费为限额，按实际保费单据计量支付、结算。该费用统一在其他项目清单中填报。</w:t>
      </w:r>
    </w:p>
    <w:p w14:paraId="79401D91">
      <w:pPr>
        <w:pStyle w:val="24"/>
        <w:spacing w:before="143" w:beforeLines="50" w:beforeAutospacing="0" w:after="143" w:afterLines="50" w:line="360" w:lineRule="auto"/>
        <w:ind w:firstLine="4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属于承包人为转移自身安全责任风险所发生的费用在投标报价中综合考虑。</w:t>
      </w:r>
    </w:p>
    <w:p w14:paraId="4E5A88D5">
      <w:pPr>
        <w:pStyle w:val="24"/>
        <w:keepNext w:val="0"/>
        <w:keepLines w:val="0"/>
        <w:pageBreakBefore w:val="0"/>
        <w:widowControl/>
        <w:numPr>
          <w:ilvl w:val="0"/>
          <w:numId w:val="0"/>
        </w:numPr>
        <w:kinsoku/>
        <w:wordWrap/>
        <w:overflowPunct/>
        <w:topLinePunct/>
        <w:autoSpaceDE/>
        <w:autoSpaceDN/>
        <w:bidi w:val="0"/>
        <w:adjustRightInd w:val="0"/>
        <w:snapToGrid w:val="0"/>
        <w:spacing w:before="143" w:beforeLines="50" w:beforeAutospacing="0" w:after="143" w:afterLines="50" w:line="360" w:lineRule="auto"/>
        <w:ind w:leftChars="200"/>
        <w:textAlignment w:val="auto"/>
        <w:outlineLvl w:val="4"/>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消防接入南侧宿舍楼现有消控室、联动调试费</w:t>
      </w:r>
    </w:p>
    <w:p w14:paraId="4750F8F3">
      <w:pPr>
        <w:pStyle w:val="11"/>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施工中可能发生</w:t>
      </w:r>
      <w:r>
        <w:rPr>
          <w:rFonts w:hint="eastAsia" w:asciiTheme="minorEastAsia" w:hAnsiTheme="minorEastAsia" w:eastAsiaTheme="minorEastAsia" w:cstheme="minorEastAsia"/>
          <w:color w:val="auto"/>
          <w:sz w:val="24"/>
          <w:szCs w:val="24"/>
          <w:highlight w:val="none"/>
        </w:rPr>
        <w:t>或者投标人认为为完成本工程项目将会发生的</w:t>
      </w:r>
      <w:r>
        <w:rPr>
          <w:rFonts w:hint="eastAsia" w:asciiTheme="minorEastAsia" w:hAnsiTheme="minorEastAsia" w:eastAsiaTheme="minorEastAsia" w:cstheme="minorEastAsia"/>
          <w:color w:val="auto"/>
          <w:sz w:val="24"/>
          <w:szCs w:val="24"/>
          <w:highlight w:val="none"/>
          <w:lang w:eastAsia="zh"/>
        </w:rPr>
        <w:t>消防新旧系统联通、连接</w:t>
      </w:r>
      <w:r>
        <w:rPr>
          <w:rFonts w:hint="eastAsia" w:asciiTheme="minorEastAsia" w:hAnsiTheme="minorEastAsia" w:eastAsiaTheme="minorEastAsia" w:cstheme="minorEastAsia"/>
          <w:color w:val="auto"/>
          <w:sz w:val="24"/>
          <w:szCs w:val="24"/>
          <w:highlight w:val="none"/>
        </w:rPr>
        <w:t>费用</w:t>
      </w:r>
      <w:r>
        <w:rPr>
          <w:rFonts w:hint="eastAsia" w:asciiTheme="minorEastAsia" w:hAnsiTheme="minorEastAsia" w:eastAsiaTheme="minorEastAsia" w:cstheme="minorEastAsia"/>
          <w:color w:val="auto"/>
          <w:sz w:val="24"/>
          <w:szCs w:val="24"/>
          <w:highlight w:val="none"/>
          <w:lang w:eastAsia="zh"/>
        </w:rPr>
        <w:t>，包括但不限于</w:t>
      </w:r>
      <w:r>
        <w:rPr>
          <w:highlight w:val="none"/>
        </w:rPr>
        <w:t>系统联动调试、控制器与图形显示装置联网、控制器间</w:t>
      </w:r>
      <w:r>
        <w:rPr>
          <w:rFonts w:hint="eastAsia"/>
          <w:highlight w:val="none"/>
          <w:lang w:eastAsia="zh"/>
        </w:rPr>
        <w:t>的</w:t>
      </w:r>
      <w:r>
        <w:rPr>
          <w:highlight w:val="none"/>
        </w:rPr>
        <w:t>联网</w:t>
      </w:r>
      <w:r>
        <w:rPr>
          <w:rFonts w:hint="eastAsia"/>
          <w:highlight w:val="none"/>
          <w:lang w:eastAsia="zh"/>
        </w:rPr>
        <w:t>，包含图形显示接口卡、多功能接口卡、CAN总线中继器、联网接口卡、回路板</w:t>
      </w:r>
      <w:r>
        <w:rPr>
          <w:rFonts w:hint="eastAsia"/>
          <w:highlight w:val="none"/>
          <w:lang w:val="en-US" w:eastAsia="zh-CN"/>
        </w:rPr>
        <w:t>连接</w:t>
      </w:r>
      <w:r>
        <w:rPr>
          <w:rFonts w:hint="eastAsia"/>
          <w:highlight w:val="none"/>
          <w:lang w:eastAsia="zh"/>
        </w:rPr>
        <w:t>等</w:t>
      </w:r>
      <w:r>
        <w:rPr>
          <w:rFonts w:hint="eastAsia" w:asciiTheme="minorEastAsia" w:hAnsiTheme="minorEastAsia" w:eastAsiaTheme="minorEastAsia" w:cstheme="minorEastAsia"/>
          <w:color w:val="auto"/>
          <w:sz w:val="24"/>
          <w:szCs w:val="24"/>
          <w:highlight w:val="none"/>
        </w:rPr>
        <w:t>。工程内容及其报价由投标人自列，并附单价分析。该费用属合价包干项目，除合同另有约定外，结算时不作调整。</w:t>
      </w:r>
    </w:p>
    <w:p w14:paraId="4C346847">
      <w:pPr>
        <w:pStyle w:val="24"/>
        <w:numPr>
          <w:ilvl w:val="-1"/>
          <w:numId w:val="0"/>
        </w:numPr>
        <w:spacing w:before="143" w:beforeLines="50" w:beforeAutospacing="0" w:after="143" w:afterLines="50" w:line="360" w:lineRule="auto"/>
        <w:ind w:left="420" w:leftChars="200" w:firstLine="0" w:firstLineChars="0"/>
        <w:outlineLvl w:val="4"/>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其他费用</w:t>
      </w:r>
    </w:p>
    <w:p w14:paraId="7ABB6AA9">
      <w:pPr>
        <w:pStyle w:val="24"/>
        <w:spacing w:before="143" w:beforeLines="50" w:beforeAutospacing="0" w:after="143" w:afterLines="50" w:line="360" w:lineRule="auto"/>
        <w:ind w:firstLine="4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以上其他项目没有体现的，</w:t>
      </w:r>
      <w:r>
        <w:rPr>
          <w:rFonts w:hint="eastAsia" w:asciiTheme="minorEastAsia" w:hAnsiTheme="minorEastAsia" w:eastAsiaTheme="minorEastAsia" w:cstheme="minorEastAsia"/>
          <w:color w:val="auto"/>
          <w:sz w:val="24"/>
          <w:szCs w:val="24"/>
          <w:highlight w:val="none"/>
          <w:lang w:eastAsia="zh-CN"/>
        </w:rPr>
        <w:t>施工中可能发生</w:t>
      </w:r>
      <w:r>
        <w:rPr>
          <w:rFonts w:hint="eastAsia" w:asciiTheme="minorEastAsia" w:hAnsiTheme="minorEastAsia" w:eastAsiaTheme="minorEastAsia" w:cstheme="minorEastAsia"/>
          <w:color w:val="auto"/>
          <w:sz w:val="24"/>
          <w:szCs w:val="24"/>
          <w:highlight w:val="none"/>
        </w:rPr>
        <w:t>或者投标人认为为完成本工程项目将会发生的其他项目费用。工程内容及其报价由投标人自列，并附单价分析。该费用属合价包干项目，除合同另有约定外，结算时不作调整。</w:t>
      </w:r>
    </w:p>
    <w:p w14:paraId="0499AF6F">
      <w:pPr>
        <w:pStyle w:val="27"/>
        <w:spacing w:before="143" w:after="143" w:line="360" w:lineRule="auto"/>
        <w:ind w:firstLine="289" w:firstLineChars="100"/>
        <w:rPr>
          <w:color w:val="auto"/>
          <w:sz w:val="28"/>
          <w:szCs w:val="21"/>
          <w:highlight w:val="none"/>
        </w:rPr>
      </w:pPr>
      <w:bookmarkStart w:id="87" w:name="_Toc17355"/>
      <w:r>
        <w:rPr>
          <w:rFonts w:hint="eastAsia"/>
          <w:color w:val="auto"/>
          <w:sz w:val="28"/>
          <w:szCs w:val="21"/>
          <w:highlight w:val="none"/>
        </w:rPr>
        <w:t>五、税金计价说明</w:t>
      </w:r>
      <w:bookmarkEnd w:id="87"/>
    </w:p>
    <w:p w14:paraId="37C7333A">
      <w:pPr>
        <w:pStyle w:val="26"/>
        <w:spacing w:before="143" w:after="143" w:line="360" w:lineRule="auto"/>
        <w:ind w:firstLine="480"/>
        <w:rPr>
          <w:color w:val="auto"/>
          <w:highlight w:val="none"/>
        </w:rPr>
      </w:pPr>
      <w:r>
        <w:rPr>
          <w:rFonts w:hint="eastAsia"/>
          <w:color w:val="auto"/>
          <w:highlight w:val="none"/>
        </w:rPr>
        <w:t>增值税销项税额：招标当期根据《广东省住房和城乡建设厅关于调整广东省建设工程计价依据增值税税率的通知》（粤建标函</w:t>
      </w:r>
      <w:r>
        <w:rPr>
          <w:rFonts w:hint="eastAsia" w:ascii="宋体" w:hAnsi="宋体" w:cs="宋体"/>
          <w:color w:val="auto"/>
          <w:highlight w:val="none"/>
        </w:rPr>
        <w:t>〔</w:t>
      </w:r>
      <w:r>
        <w:rPr>
          <w:color w:val="auto"/>
          <w:highlight w:val="none"/>
        </w:rPr>
        <w:t>2019</w:t>
      </w:r>
      <w:r>
        <w:rPr>
          <w:rFonts w:hint="eastAsia" w:ascii="宋体" w:hAnsi="宋体" w:cs="宋体"/>
          <w:color w:val="auto"/>
          <w:highlight w:val="none"/>
        </w:rPr>
        <w:t>〕</w:t>
      </w:r>
      <w:r>
        <w:rPr>
          <w:color w:val="auto"/>
          <w:highlight w:val="none"/>
        </w:rPr>
        <w:t>819</w:t>
      </w:r>
      <w:r>
        <w:rPr>
          <w:rFonts w:hint="eastAsia"/>
          <w:color w:val="auto"/>
          <w:highlight w:val="none"/>
        </w:rPr>
        <w:t>号）和广州地区税务部门有关规定计算，增值税销项税额按税前工程造价的</w:t>
      </w:r>
      <w:r>
        <w:rPr>
          <w:color w:val="auto"/>
          <w:highlight w:val="none"/>
        </w:rPr>
        <w:t>9%</w:t>
      </w:r>
      <w:r>
        <w:rPr>
          <w:rFonts w:hint="eastAsia"/>
          <w:color w:val="auto"/>
          <w:highlight w:val="none"/>
        </w:rPr>
        <w:t>计取。</w:t>
      </w:r>
      <w:r>
        <w:rPr>
          <w:rFonts w:hint="eastAsia" w:ascii="宋体" w:hAnsi="宋体" w:cs="宋体"/>
          <w:color w:val="auto"/>
          <w:highlight w:val="none"/>
        </w:rPr>
        <w:t>国家及广东省、广州市有最新规定的，从其规定。</w:t>
      </w:r>
    </w:p>
    <w:p w14:paraId="6A5F1E96">
      <w:pPr>
        <w:pStyle w:val="27"/>
        <w:spacing w:before="143" w:after="143" w:line="360" w:lineRule="auto"/>
        <w:ind w:firstLine="289" w:firstLineChars="100"/>
        <w:rPr>
          <w:rFonts w:hint="eastAsia" w:ascii="宋体" w:hAnsi="宋体" w:eastAsia="宋体" w:cs="宋体"/>
          <w:b w:val="0"/>
          <w:bCs/>
          <w:strike w:val="0"/>
          <w:color w:val="auto"/>
          <w:highlight w:val="none"/>
          <w:lang w:val="en-US" w:eastAsia="zh-CN"/>
        </w:rPr>
      </w:pPr>
      <w:bookmarkStart w:id="88" w:name="_Toc15912"/>
      <w:r>
        <w:rPr>
          <w:rFonts w:hint="eastAsia"/>
          <w:color w:val="auto"/>
          <w:sz w:val="28"/>
          <w:szCs w:val="21"/>
          <w:highlight w:val="none"/>
        </w:rPr>
        <w:t>六、其它说明</w:t>
      </w:r>
      <w:bookmarkEnd w:id="88"/>
    </w:p>
    <w:p w14:paraId="5B867DBF">
      <w:pPr>
        <w:pStyle w:val="26"/>
        <w:spacing w:before="143" w:after="143"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）投标人需结合招标文件第五章《技术条件（工程建设标准）》，充分考虑相应风险。</w:t>
      </w:r>
    </w:p>
    <w:p w14:paraId="39B62BBE">
      <w:pPr>
        <w:pStyle w:val="26"/>
        <w:spacing w:before="143" w:after="143"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投标人需对现场进行勘察，清楚了解现场施工条件，投标人对现场的使用需满足基坑支护设计图纸的要求，所有因现场条件限制（如基坑周围堆载限制等）而导致实际施工成本的增加，由承包人在清单项目综合单价中综合考虑，中标人不得另外要求计取任何费用。</w:t>
      </w:r>
    </w:p>
    <w:p w14:paraId="7A2D9380">
      <w:pPr>
        <w:pStyle w:val="26"/>
        <w:spacing w:before="143" w:after="143"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地下管线保护费用（含地下管线探测、施工出入口位置的地下管线保护）：是指施工时遇到红线内外地下管线（含施工出入口位置的地下管线）所发生的管线探测、避让、保护和由此停工而发生的损失等全部费用由承包人在清单项目综合单价中综合考虑，中标人不得另外要求计取任何费用。</w:t>
      </w:r>
    </w:p>
    <w:p w14:paraId="2D70BBB0">
      <w:pPr>
        <w:pStyle w:val="26"/>
        <w:spacing w:before="143" w:after="143"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）智能化系统说明</w:t>
      </w:r>
    </w:p>
    <w:p w14:paraId="1F4FD63C">
      <w:pPr>
        <w:pStyle w:val="26"/>
        <w:spacing w:before="143" w:after="143"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智能化系统包深化设计、包工、包材料、包工期、包质量、包安全生产、包绿色施工、包文明施工、系统制造、包装、仓储、运输(包括装卸)、</w:t>
      </w:r>
      <w:r>
        <w:rPr>
          <w:rFonts w:hint="eastAsia" w:asciiTheme="minorEastAsia" w:hAnsiTheme="minorEastAsia" w:eastAsiaTheme="minorEastAsia" w:cstheme="minorEastAsia"/>
          <w:color w:val="auto"/>
          <w:sz w:val="24"/>
          <w:szCs w:val="24"/>
          <w:highlight w:val="none"/>
        </w:rPr>
        <w:t>系统与应用软件开发、</w:t>
      </w:r>
      <w:r>
        <w:rPr>
          <w:rFonts w:hint="eastAsia" w:asciiTheme="minorEastAsia" w:hAnsiTheme="minorEastAsia" w:eastAsiaTheme="minorEastAsia" w:cstheme="minorEastAsia"/>
          <w:color w:val="auto"/>
          <w:sz w:val="24"/>
          <w:szCs w:val="24"/>
          <w:highlight w:val="none"/>
          <w:lang w:bidi="ar"/>
        </w:rPr>
        <w:t>安装、接线、测试、调试及配合联合调试、系统试运行、验收及验收后的移交、结算、培训、技术服务（包括设计联络）、日常运行维护工作、质保期保障、备品备件、工具及其他相关服务内容。</w:t>
      </w:r>
    </w:p>
    <w:p w14:paraId="760F4880">
      <w:pPr>
        <w:pStyle w:val="26"/>
        <w:spacing w:before="143" w:after="143"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投标人必须依据招标人提供的工程量清单、用户需求、设计图纸等资料并自行考虑深化设计、注重可扩展性及兼容性（如在各个子系统均预留软件接口及开放通信协议，为更高级的系统集成提供有利条件）等各种风险因素计算投标报价，在报价时必须对本工程实施过程中的施工管理的特点和管理要求作出全面的理解，要充分考虑到由于本项目施工组织的特殊性而引起的或需有针对性地采取一切必要的组织协调、预防措施等相关作业费用，在合同实施过程中，如出现此类情况，中标人不得以任何原因向业主追加此部分费用，只有因招标人或业主单位的功能需求发生变化导致设计变更或工程签证时，则按合同换算综合单价或合同外新增项目综合单价的主材价格确定方式确定结算价格。未实施内容则相应扣减费用（对于设置了成本参考价的项目，扣减方式从其规定）。</w:t>
      </w:r>
    </w:p>
    <w:p w14:paraId="338597D1">
      <w:pPr>
        <w:pStyle w:val="24"/>
        <w:spacing w:before="143" w:beforeLines="50" w:beforeAutospacing="0" w:after="143" w:afterLines="50"/>
        <w:ind w:firstLine="496"/>
        <w:rPr>
          <w:color w:val="auto"/>
          <w:highlight w:val="none"/>
        </w:rPr>
      </w:pPr>
      <w:r>
        <w:rPr>
          <w:rFonts w:hint="eastAsia" w:asciiTheme="minorEastAsia" w:hAnsiTheme="minorEastAsia" w:eastAsiaTheme="minorEastAsia" w:cstheme="minorEastAsia"/>
          <w:color w:val="auto"/>
          <w:sz w:val="24"/>
          <w:szCs w:val="24"/>
          <w:highlight w:val="none"/>
          <w:lang w:eastAsia="zh"/>
        </w:rPr>
        <w:t>以上费用分场地按招标图纸和招标文件的要求合价包干，</w:t>
      </w:r>
      <w:r>
        <w:rPr>
          <w:rFonts w:hint="eastAsia" w:ascii="宋体" w:hAnsi="宋体"/>
          <w:color w:val="auto"/>
          <w:highlight w:val="none"/>
        </w:rPr>
        <w:t>承包人原因造成</w:t>
      </w:r>
      <w:r>
        <w:rPr>
          <w:rFonts w:hint="eastAsia" w:ascii="宋体" w:hAnsi="宋体"/>
          <w:color w:val="auto"/>
          <w:highlight w:val="none"/>
          <w:lang w:eastAsia="zh-CN"/>
        </w:rPr>
        <w:t>的</w:t>
      </w:r>
      <w:r>
        <w:rPr>
          <w:rFonts w:hint="eastAsia" w:ascii="宋体" w:hAnsi="宋体"/>
          <w:color w:val="auto"/>
          <w:highlight w:val="none"/>
        </w:rPr>
        <w:t>变更，</w:t>
      </w:r>
      <w:r>
        <w:rPr>
          <w:rFonts w:hint="eastAsia" w:asciiTheme="minorEastAsia" w:hAnsiTheme="minorEastAsia" w:eastAsiaTheme="minorEastAsia" w:cstheme="minorEastAsia"/>
          <w:color w:val="auto"/>
          <w:sz w:val="24"/>
          <w:szCs w:val="24"/>
          <w:highlight w:val="none"/>
        </w:rPr>
        <w:t>结算时不作调整。</w:t>
      </w:r>
      <w:r>
        <w:rPr>
          <w:rFonts w:hint="eastAsia" w:ascii="宋体" w:hAnsi="宋体"/>
          <w:color w:val="auto"/>
          <w:highlight w:val="none"/>
          <w:lang w:eastAsia="zh"/>
        </w:rPr>
        <w:t>非</w:t>
      </w:r>
      <w:r>
        <w:rPr>
          <w:rFonts w:hint="eastAsia" w:ascii="宋体" w:hAnsi="宋体"/>
          <w:color w:val="auto"/>
          <w:highlight w:val="none"/>
        </w:rPr>
        <w:t>承包人原因造成</w:t>
      </w:r>
      <w:r>
        <w:rPr>
          <w:rFonts w:hint="eastAsia" w:ascii="宋体" w:hAnsi="宋体"/>
          <w:color w:val="auto"/>
          <w:highlight w:val="none"/>
          <w:lang w:eastAsia="zh-CN"/>
        </w:rPr>
        <w:t>的设计</w:t>
      </w:r>
      <w:r>
        <w:rPr>
          <w:rFonts w:hint="eastAsia" w:ascii="宋体" w:hAnsi="宋体"/>
          <w:color w:val="auto"/>
          <w:highlight w:val="none"/>
        </w:rPr>
        <w:t>变更，</w:t>
      </w:r>
      <w:r>
        <w:rPr>
          <w:rFonts w:hint="eastAsia" w:ascii="宋体" w:hAnsi="宋体"/>
          <w:color w:val="auto"/>
          <w:highlight w:val="none"/>
          <w:lang w:eastAsia="zh"/>
        </w:rPr>
        <w:t>按变更后的费用与对应合同费用价差进行</w:t>
      </w:r>
      <w:r>
        <w:rPr>
          <w:rFonts w:hint="eastAsia" w:ascii="宋体" w:hAnsi="宋体"/>
          <w:color w:val="auto"/>
          <w:highlight w:val="none"/>
        </w:rPr>
        <w:t>调整。</w:t>
      </w:r>
    </w:p>
    <w:p w14:paraId="558C7B1B">
      <w:pPr>
        <w:pStyle w:val="33"/>
        <w:numPr>
          <w:ilvl w:val="0"/>
          <w:numId w:val="3"/>
        </w:numPr>
        <w:spacing w:before="143" w:after="143" w:line="360" w:lineRule="auto"/>
        <w:rPr>
          <w:color w:val="auto"/>
          <w:highlight w:val="none"/>
        </w:rPr>
      </w:pPr>
      <w:bookmarkStart w:id="89" w:name="_Toc27016"/>
      <w:bookmarkStart w:id="90" w:name="_Toc4965"/>
      <w:bookmarkStart w:id="91" w:name="_Toc19528"/>
      <w:bookmarkStart w:id="92" w:name="_Toc26788"/>
      <w:bookmarkStart w:id="93" w:name="_Toc3945"/>
      <w:bookmarkStart w:id="94" w:name="_Toc13804"/>
      <w:bookmarkStart w:id="95" w:name="_Toc28711"/>
      <w:bookmarkStart w:id="96" w:name="_Toc27488"/>
      <w:bookmarkStart w:id="97" w:name="_Toc19107"/>
      <w:bookmarkStart w:id="98" w:name="_Toc13144"/>
      <w:bookmarkStart w:id="99" w:name="_Toc15038"/>
      <w:r>
        <w:rPr>
          <w:rFonts w:hint="eastAsia"/>
          <w:color w:val="auto"/>
          <w:highlight w:val="none"/>
        </w:rPr>
        <w:t xml:space="preserve">  </w:t>
      </w:r>
      <w:bookmarkStart w:id="100" w:name="_Toc7814"/>
      <w:r>
        <w:rPr>
          <w:rFonts w:hint="eastAsia"/>
          <w:color w:val="auto"/>
          <w:highlight w:val="none"/>
        </w:rPr>
        <w:t>工程量清单计价补充规定</w:t>
      </w:r>
      <w:bookmarkEnd w:id="89"/>
      <w:bookmarkEnd w:id="90"/>
      <w:bookmarkEnd w:id="100"/>
    </w:p>
    <w:p w14:paraId="0D84C1F4">
      <w:pPr>
        <w:pStyle w:val="24"/>
        <w:spacing w:before="143" w:beforeLines="50" w:beforeAutospacing="0" w:after="143" w:afterLines="50" w:line="360" w:lineRule="auto"/>
        <w:ind w:firstLine="496"/>
        <w:rPr>
          <w:rFonts w:ascii="宋体" w:hAnsi="宋体" w:cs="宋体"/>
          <w:color w:val="auto"/>
          <w:highlight w:val="none"/>
        </w:rPr>
      </w:pPr>
      <w:r>
        <w:rPr>
          <w:rFonts w:hint="eastAsia" w:ascii="Times New Roman" w:hAnsi="Times New Roman" w:eastAsia="宋体" w:cs="Times New Roman"/>
          <w:color w:val="auto"/>
          <w:kern w:val="0"/>
          <w:sz w:val="24"/>
          <w:szCs w:val="20"/>
          <w:highlight w:val="none"/>
          <w:lang w:val="en-US" w:eastAsia="zh-CN" w:bidi="ar"/>
        </w:rPr>
        <w:t>凡在本说明中已明确的须按本说明执行；在本说明中未明确的则按《建设工程工程量清单计价标准（GB/T50500-2024）》及相应专业工程量计算标准等国标规范的规定执行；以上均未明确的则按广东省建设工程计价依据(2018)《广东省房屋建筑与装饰工程综合定额(2018)》、《广东省通用安装工程综合定额(2018)》、《广东省市政工程综合定额(2018)》、《广东省园林绿化工程综合定额（2018）》、《广东省建设工程施工机具台班费用编制规则（2018）》等专业定额的规定执行。</w:t>
      </w:r>
    </w:p>
    <w:p w14:paraId="5C9BF0C3">
      <w:pPr>
        <w:pStyle w:val="24"/>
        <w:spacing w:before="143" w:beforeLines="50" w:beforeAutospacing="0" w:after="143" w:afterLines="50" w:line="360" w:lineRule="auto"/>
        <w:ind w:firstLine="496"/>
        <w:rPr>
          <w:color w:val="auto"/>
          <w:highlight w:val="none"/>
        </w:rPr>
      </w:pPr>
      <w:r>
        <w:rPr>
          <w:rFonts w:hint="eastAsia"/>
          <w:color w:val="auto"/>
          <w:highlight w:val="none"/>
        </w:rPr>
        <w:t>本计价补充规定套用顺序：通用项目有明确的按通用项目执行；通用项目没有明确的，按其图纸所属专业优先套用相应专业清单项目，相应专业清单项目没有可套用的则参考其他专业清单项目。</w:t>
      </w:r>
    </w:p>
    <w:p w14:paraId="6E2E6959">
      <w:pPr>
        <w:pStyle w:val="27"/>
        <w:numPr>
          <w:ilvl w:val="0"/>
          <w:numId w:val="4"/>
        </w:numPr>
        <w:spacing w:before="143" w:after="143" w:line="360" w:lineRule="auto"/>
        <w:ind w:left="0"/>
        <w:jc w:val="center"/>
        <w:outlineLvl w:val="3"/>
        <w:rPr>
          <w:color w:val="auto"/>
          <w:sz w:val="28"/>
          <w:szCs w:val="28"/>
          <w:highlight w:val="none"/>
        </w:rPr>
      </w:pPr>
      <w:r>
        <w:rPr>
          <w:rFonts w:hint="eastAsia"/>
          <w:color w:val="auto"/>
          <w:sz w:val="28"/>
          <w:szCs w:val="28"/>
          <w:highlight w:val="none"/>
        </w:rPr>
        <w:t>通用建筑工程计价补充说明</w:t>
      </w:r>
    </w:p>
    <w:p w14:paraId="1C0FF6DE">
      <w:pPr>
        <w:pStyle w:val="24"/>
        <w:spacing w:before="143" w:beforeLines="50" w:beforeAutospacing="0" w:after="143" w:afterLines="50" w:line="360" w:lineRule="auto"/>
        <w:ind w:firstLine="0" w:firstLineChars="0"/>
        <w:rPr>
          <w:color w:val="auto"/>
          <w:highlight w:val="none"/>
        </w:rPr>
      </w:pPr>
    </w:p>
    <w:bookmarkEnd w:id="91"/>
    <w:p w14:paraId="4DC9F9A3">
      <w:pPr>
        <w:spacing w:before="143" w:beforeLines="50" w:after="143" w:afterLines="50" w:line="360" w:lineRule="auto"/>
        <w:jc w:val="left"/>
        <w:outlineLvl w:val="4"/>
        <w:rPr>
          <w:rFonts w:ascii="宋体" w:hAnsi="宋体"/>
          <w:b/>
          <w:color w:val="auto"/>
          <w:sz w:val="28"/>
          <w:szCs w:val="28"/>
          <w:highlight w:val="none"/>
        </w:rPr>
      </w:pPr>
      <w:bookmarkStart w:id="101" w:name="_Toc32647"/>
      <w:bookmarkStart w:id="102" w:name="_Toc7044"/>
      <w:bookmarkStart w:id="103" w:name="_Toc403031626"/>
      <w:bookmarkStart w:id="104" w:name="_Toc22629"/>
      <w:bookmarkStart w:id="105" w:name="_Toc383164084"/>
      <w:bookmarkStart w:id="106" w:name="_Toc346452321"/>
      <w:bookmarkStart w:id="107" w:name="_Toc377630806"/>
      <w:r>
        <w:rPr>
          <w:rFonts w:hint="eastAsia" w:ascii="宋体" w:hAnsi="宋体"/>
          <w:b/>
          <w:color w:val="auto"/>
          <w:sz w:val="28"/>
          <w:szCs w:val="28"/>
          <w:highlight w:val="none"/>
        </w:rPr>
        <w:t>D.砌筑工程</w:t>
      </w:r>
      <w:bookmarkEnd w:id="101"/>
      <w:bookmarkEnd w:id="102"/>
      <w:bookmarkEnd w:id="103"/>
      <w:bookmarkEnd w:id="104"/>
    </w:p>
    <w:p w14:paraId="756044A6">
      <w:pPr>
        <w:spacing w:before="143" w:beforeLines="50" w:after="143" w:afterLines="50" w:line="360" w:lineRule="auto"/>
        <w:jc w:val="left"/>
        <w:outlineLvl w:val="9"/>
        <w:rPr>
          <w:rFonts w:ascii="宋体" w:hAnsi="宋体"/>
          <w:b/>
          <w:color w:val="auto"/>
          <w:sz w:val="28"/>
          <w:szCs w:val="28"/>
          <w:highlight w:val="none"/>
        </w:rPr>
      </w:pPr>
      <w:bookmarkStart w:id="108" w:name="_Toc14170"/>
      <w:bookmarkStart w:id="109" w:name="_Toc403031627"/>
      <w:bookmarkStart w:id="110" w:name="_Toc14223"/>
      <w:bookmarkStart w:id="111" w:name="_Toc314574952"/>
      <w:bookmarkStart w:id="112" w:name="_Toc312852696"/>
      <w:bookmarkStart w:id="113" w:name="_Toc383164068"/>
      <w:r>
        <w:rPr>
          <w:rFonts w:hint="eastAsia" w:ascii="宋体" w:hAnsi="宋体"/>
          <w:b/>
          <w:color w:val="auto"/>
          <w:sz w:val="28"/>
          <w:szCs w:val="28"/>
          <w:highlight w:val="none"/>
        </w:rPr>
        <w:t>共性问题的说明</w:t>
      </w:r>
      <w:bookmarkEnd w:id="108"/>
      <w:bookmarkEnd w:id="109"/>
      <w:bookmarkEnd w:id="110"/>
    </w:p>
    <w:p w14:paraId="20C058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（1）砌筑工程计价综合考虑截面尺寸、施工高度、砂浆种类、强度等级、配合比及厚度等，包括砂浆制作、运输、砌筑、材料运输等相关费用。</w:t>
      </w:r>
    </w:p>
    <w:p w14:paraId="30B0D6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（2）当砌体材料发生变更时，只调整砌体材料的价差。</w:t>
      </w:r>
    </w:p>
    <w:p w14:paraId="5FCA6A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auto"/>
          <w:highlight w:val="none"/>
        </w:rPr>
      </w:pPr>
      <w:r>
        <w:rPr>
          <w:rFonts w:hint="eastAsia" w:asciiTheme="minorEastAsia" w:hAnsiTheme="minorEastAsia" w:eastAsiaTheme="minorEastAsia" w:cstheme="minorEastAsia"/>
          <w:color w:val="auto"/>
          <w:sz w:val="24"/>
          <w:szCs w:val="24"/>
          <w:highlight w:val="none"/>
        </w:rPr>
        <w:t>（3）砌体内钢筋加固另列清单项目计量。</w:t>
      </w:r>
    </w:p>
    <w:p w14:paraId="0A5EB265">
      <w:pPr>
        <w:spacing w:before="143" w:beforeLines="50" w:after="143" w:afterLines="50" w:line="360" w:lineRule="auto"/>
        <w:jc w:val="left"/>
        <w:outlineLvl w:val="5"/>
        <w:rPr>
          <w:rFonts w:ascii="宋体" w:hAnsi="宋体"/>
          <w:b/>
          <w:color w:val="auto"/>
          <w:sz w:val="28"/>
          <w:szCs w:val="28"/>
          <w:highlight w:val="none"/>
        </w:rPr>
      </w:pPr>
      <w:bookmarkStart w:id="114" w:name="_Toc2282"/>
      <w:bookmarkStart w:id="115" w:name="_Toc403031635"/>
      <w:bookmarkStart w:id="116" w:name="_Toc4891"/>
      <w:bookmarkStart w:id="117" w:name="_Toc25153"/>
      <w:r>
        <w:rPr>
          <w:rFonts w:hint="eastAsia" w:ascii="宋体" w:hAnsi="宋体"/>
          <w:b/>
          <w:color w:val="auto"/>
          <w:sz w:val="28"/>
          <w:szCs w:val="28"/>
          <w:highlight w:val="none"/>
        </w:rPr>
        <w:t>D.2 砌块砌体</w:t>
      </w:r>
      <w:bookmarkEnd w:id="114"/>
      <w:bookmarkEnd w:id="115"/>
      <w:bookmarkEnd w:id="116"/>
      <w:bookmarkEnd w:id="117"/>
    </w:p>
    <w:p w14:paraId="3FAE0442">
      <w:pPr>
        <w:keepNext w:val="0"/>
        <w:keepLines w:val="0"/>
        <w:pageBreakBefore w:val="0"/>
        <w:kinsoku/>
        <w:wordWrap/>
        <w:overflowPunct/>
        <w:autoSpaceDE/>
        <w:autoSpaceDN/>
        <w:bidi w:val="0"/>
        <w:adjustRightInd w:val="0"/>
        <w:snapToGrid w:val="0"/>
        <w:spacing w:before="143" w:beforeLines="50" w:after="143" w:afterLines="50" w:line="360" w:lineRule="auto"/>
        <w:ind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rPr>
      </w:pPr>
      <w:bookmarkStart w:id="118" w:name="_Toc6749"/>
      <w:bookmarkStart w:id="119" w:name="_Toc18894"/>
      <w:bookmarkStart w:id="120" w:name="_Toc16775"/>
      <w:bookmarkStart w:id="121" w:name="_Toc403031636"/>
      <w:r>
        <w:rPr>
          <w:rFonts w:hint="eastAsia" w:asciiTheme="minorEastAsia" w:hAnsiTheme="minorEastAsia" w:eastAsiaTheme="minorEastAsia" w:cstheme="minorEastAsia"/>
          <w:b/>
          <w:color w:val="auto"/>
          <w:sz w:val="24"/>
          <w:szCs w:val="24"/>
          <w:highlight w:val="none"/>
        </w:rPr>
        <w:t>1.砌块墙</w:t>
      </w:r>
      <w:bookmarkEnd w:id="118"/>
      <w:bookmarkEnd w:id="119"/>
      <w:bookmarkEnd w:id="120"/>
      <w:bookmarkEnd w:id="121"/>
    </w:p>
    <w:p w14:paraId="43BBCB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（1）计价同时综合考虑墙体类型（外墙、内墙、直形墙、弧形墙及墙柱等）、厚度、高度、砌块规格、砂浆种类、强度等级、配合比及厚度等。</w:t>
      </w:r>
    </w:p>
    <w:p w14:paraId="7EEA8C5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（2）计价包括砂浆制作、运输、砌砖、材料、材料运输等相关费用。</w:t>
      </w:r>
    </w:p>
    <w:p w14:paraId="0DB5B5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分不同砌体材料种类，按设计图示尺寸以立方米计算。扣除门窗、洞口、嵌入墙内的钢筋混凝土柱、梁、圈梁、挑梁、过梁及凹进墙内的壁龛、管槽、暖气槽、消火栓箱所占体积，不扣除梁头、板头、檩头、垫木、木楞头、沿缘木、木砖、门窗走头、砌块墙内加固钢筋、木筋、铁件、钢管及单个面积≤0.3m2的孔洞所占的体积。凸出墙面的腰线、挑檐、压顶、窗台线、虎头砖、门窗套的体积亦不增加。凸出墙面的砖垛并入墙体体积内计算。</w:t>
      </w:r>
    </w:p>
    <w:p w14:paraId="381408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（4）当砌体材料种类发生变更时，只调整砌体材料的价差。</w:t>
      </w:r>
    </w:p>
    <w:bookmarkEnd w:id="105"/>
    <w:bookmarkEnd w:id="106"/>
    <w:bookmarkEnd w:id="111"/>
    <w:bookmarkEnd w:id="112"/>
    <w:bookmarkEnd w:id="113"/>
    <w:p w14:paraId="409F1FD3">
      <w:pPr>
        <w:spacing w:before="143" w:beforeLines="50" w:after="143" w:afterLines="50" w:line="360" w:lineRule="auto"/>
        <w:jc w:val="left"/>
        <w:outlineLvl w:val="4"/>
        <w:rPr>
          <w:rFonts w:hint="eastAsia" w:ascii="宋体" w:hAnsi="宋体"/>
          <w:b/>
          <w:color w:val="auto"/>
          <w:sz w:val="28"/>
          <w:szCs w:val="28"/>
          <w:highlight w:val="none"/>
        </w:rPr>
      </w:pPr>
      <w:bookmarkStart w:id="122" w:name="_Toc1528"/>
      <w:bookmarkStart w:id="123" w:name="_Toc383164192"/>
      <w:bookmarkStart w:id="124" w:name="_Toc4826"/>
      <w:bookmarkStart w:id="125" w:name="_Toc403031642"/>
      <w:bookmarkStart w:id="126" w:name="_Toc13477"/>
      <w:bookmarkStart w:id="127" w:name="_Toc383164093"/>
      <w:r>
        <w:rPr>
          <w:rFonts w:hint="eastAsia" w:ascii="宋体" w:hAnsi="宋体"/>
          <w:b/>
          <w:color w:val="auto"/>
          <w:sz w:val="28"/>
          <w:szCs w:val="28"/>
          <w:highlight w:val="none"/>
        </w:rPr>
        <w:t>E.混凝土及钢筋混凝土工程</w:t>
      </w:r>
      <w:bookmarkEnd w:id="122"/>
      <w:bookmarkEnd w:id="123"/>
      <w:bookmarkEnd w:id="124"/>
      <w:bookmarkEnd w:id="125"/>
      <w:bookmarkEnd w:id="126"/>
    </w:p>
    <w:p w14:paraId="5A146B2A">
      <w:pPr>
        <w:spacing w:before="143" w:beforeLines="50" w:after="143" w:afterLines="50" w:line="360" w:lineRule="auto"/>
        <w:jc w:val="left"/>
        <w:outlineLvl w:val="5"/>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E.1</w:t>
      </w:r>
      <w:r>
        <w:rPr>
          <w:rFonts w:hint="eastAsia" w:ascii="宋体" w:hAnsi="宋体"/>
          <w:b/>
          <w:strike w:val="0"/>
          <w:color w:val="auto"/>
          <w:sz w:val="28"/>
          <w:szCs w:val="28"/>
          <w:highlight w:val="none"/>
        </w:rPr>
        <w:t>主要钢筋混凝土构件清单项目</w:t>
      </w:r>
    </w:p>
    <w:p w14:paraId="0DF28DEF">
      <w:pPr>
        <w:spacing w:before="143" w:beforeLines="50" w:after="143" w:afterLines="50" w:line="360" w:lineRule="auto"/>
        <w:jc w:val="left"/>
        <w:outlineLvl w:val="9"/>
        <w:rPr>
          <w:rFonts w:hint="eastAsia" w:asciiTheme="minorEastAsia" w:hAnsiTheme="minorEastAsia" w:eastAsiaTheme="minorEastAsia" w:cstheme="minorEastAsia"/>
          <w:b/>
          <w:color w:val="auto"/>
          <w:sz w:val="24"/>
          <w:szCs w:val="24"/>
          <w:highlight w:val="none"/>
        </w:rPr>
      </w:pPr>
      <w:bookmarkStart w:id="128" w:name="_Toc403031643"/>
      <w:bookmarkStart w:id="129" w:name="_Toc4625"/>
      <w:bookmarkStart w:id="130" w:name="_Toc383164193"/>
      <w:bookmarkStart w:id="131" w:name="_Toc18042"/>
      <w:r>
        <w:rPr>
          <w:rFonts w:hint="eastAsia" w:asciiTheme="minorEastAsia" w:hAnsiTheme="minorEastAsia" w:eastAsiaTheme="minorEastAsia" w:cstheme="minorEastAsia"/>
          <w:b/>
          <w:color w:val="auto"/>
          <w:sz w:val="24"/>
          <w:szCs w:val="24"/>
          <w:highlight w:val="none"/>
        </w:rPr>
        <w:t>共性问题的说明</w:t>
      </w:r>
      <w:bookmarkEnd w:id="128"/>
      <w:bookmarkEnd w:id="129"/>
      <w:bookmarkEnd w:id="130"/>
      <w:bookmarkEnd w:id="131"/>
    </w:p>
    <w:p w14:paraId="34530B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（1）计价综合考虑构件截面形式、规格、尺寸、部位、施工高度、混凝土拌和要求、泵送、骨料粒径及因施工工艺需要掺普通外加剂类型(不含抗裂纤维)等。</w:t>
      </w:r>
    </w:p>
    <w:p w14:paraId="28E135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混凝土材料、外加剂材料、混凝土全部作业（制作、运输、浇筑、振捣、养护等相关费用）、泵送费，以及可能发生的预留孔洞、浇水泥浆、施工缝使用的橡胶止水带、或遇水膨胀止水条（不含设计图纸要求的止水带）等相关费用。</w:t>
      </w:r>
    </w:p>
    <w:p w14:paraId="14D87E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混凝土计量分结构类型（包括垫层、基础、柱、梁、板、墙、楼梯、散水、坡道、室外地坪、电缆沟、地沟、台阶、扶手、压顶、后浇带、零星构件等）、混凝土种类及混凝土强度等级划分，其中垫层、基础、柱、梁、板、墙、楼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扶手、压顶、后浇带、零星构件按设计图示尺寸以立方米计算；散水、坡道、室外地坪</w:t>
      </w:r>
      <w:r>
        <w:rPr>
          <w:rFonts w:hint="eastAsia" w:asciiTheme="minorEastAsia" w:hAnsiTheme="minorEastAsia" w:eastAsiaTheme="minorEastAsia" w:cstheme="minorEastAsia"/>
          <w:color w:val="auto"/>
          <w:sz w:val="24"/>
          <w:szCs w:val="24"/>
          <w:highlight w:val="none"/>
          <w:lang w:eastAsia="zh-CN"/>
        </w:rPr>
        <w:t>、台阶</w:t>
      </w:r>
      <w:r>
        <w:rPr>
          <w:rFonts w:hint="eastAsia" w:asciiTheme="minorEastAsia" w:hAnsiTheme="minorEastAsia" w:eastAsiaTheme="minorEastAsia" w:cstheme="minorEastAsia"/>
          <w:color w:val="auto"/>
          <w:sz w:val="24"/>
          <w:szCs w:val="24"/>
          <w:highlight w:val="none"/>
        </w:rPr>
        <w:t>按设计图示尺寸以水平投影面积计算；电缆沟、地沟按设计图示以中心线长度计算，不扣除构件内钢筋，预埋铁件、预留压浆孔道所占体积。</w:t>
      </w:r>
    </w:p>
    <w:p w14:paraId="6A2F01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（4）当混凝土强度等级发生变更时，只调整混凝土材料的价差。</w:t>
      </w:r>
    </w:p>
    <w:p w14:paraId="3537E6D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（5）各类混凝土构件内钢筋、预埋件另列清单项目计量。</w:t>
      </w:r>
    </w:p>
    <w:p w14:paraId="272F7C8E">
      <w:pPr>
        <w:keepNext w:val="0"/>
        <w:keepLines w:val="0"/>
        <w:pageBreakBefore w:val="0"/>
        <w:widowControl w:val="0"/>
        <w:kinsoku/>
        <w:wordWrap/>
        <w:overflowPunct/>
        <w:topLinePunct w:val="0"/>
        <w:autoSpaceDE/>
        <w:autoSpaceDN/>
        <w:bidi w:val="0"/>
        <w:adjustRightInd/>
        <w:snapToGrid/>
        <w:spacing w:before="143" w:beforeLines="50" w:after="143" w:afterLines="50" w:line="360" w:lineRule="auto"/>
        <w:ind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
        </w:rPr>
        <w:t>1</w:t>
      </w:r>
      <w:r>
        <w:rPr>
          <w:rFonts w:hint="eastAsia" w:asciiTheme="minorEastAsia" w:hAnsiTheme="minorEastAsia" w:eastAsiaTheme="minorEastAsia" w:cstheme="minorEastAsia"/>
          <w:b/>
          <w:color w:val="auto"/>
          <w:sz w:val="24"/>
          <w:szCs w:val="24"/>
          <w:highlight w:val="none"/>
        </w:rPr>
        <w:t>.</w:t>
      </w:r>
      <w:bookmarkStart w:id="132" w:name="OLE_LINK2"/>
      <w:r>
        <w:rPr>
          <w:rFonts w:hint="eastAsia" w:asciiTheme="minorEastAsia" w:hAnsiTheme="minorEastAsia" w:eastAsiaTheme="minorEastAsia" w:cstheme="minorEastAsia"/>
          <w:b/>
          <w:color w:val="auto"/>
          <w:sz w:val="24"/>
          <w:szCs w:val="24"/>
          <w:highlight w:val="none"/>
          <w:lang w:val="en-US" w:eastAsia="zh-CN"/>
        </w:rPr>
        <w:t>混凝土梁补强加固</w:t>
      </w:r>
      <w:bookmarkEnd w:id="132"/>
    </w:p>
    <w:p w14:paraId="0B35F43C">
      <w:pPr>
        <w:pStyle w:val="24"/>
        <w:spacing w:before="143" w:beforeLines="50" w:beforeAutospacing="0" w:after="143" w:afterLines="50" w:line="360" w:lineRule="auto"/>
        <w:ind w:firstLine="496"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混凝土梁</w:t>
      </w:r>
      <w:r>
        <w:rPr>
          <w:rFonts w:hint="eastAsia" w:asciiTheme="minorEastAsia" w:hAnsiTheme="minorEastAsia" w:eastAsiaTheme="minorEastAsia" w:cstheme="minorEastAsia"/>
          <w:color w:val="auto"/>
          <w:sz w:val="24"/>
          <w:szCs w:val="24"/>
          <w:highlight w:val="none"/>
          <w:lang w:val="en-US" w:eastAsia="zh-CN"/>
        </w:rPr>
        <w:t>补强加固</w:t>
      </w:r>
      <w:r>
        <w:rPr>
          <w:rFonts w:hint="eastAsia" w:asciiTheme="minorEastAsia" w:hAnsiTheme="minorEastAsia" w:eastAsiaTheme="minorEastAsia" w:cstheme="minorEastAsia"/>
          <w:color w:val="auto"/>
          <w:sz w:val="24"/>
          <w:szCs w:val="24"/>
          <w:highlight w:val="none"/>
        </w:rPr>
        <w:t>：计价综合考虑梁的类型（基础梁、单梁、连续梁、异形梁、圈梁、过梁、拱形梁、弧形梁等）、截面形式、规格尺寸、部位、施工高度、混凝土拌和要求、泵送、骨料粒径及掺普通外加剂等，按设计图示尺寸以体积计算。伸入墙内的梁头、梁垫并入梁体积内。</w:t>
      </w:r>
    </w:p>
    <w:p w14:paraId="23AC6CE7">
      <w:pPr>
        <w:keepNext w:val="0"/>
        <w:keepLines w:val="0"/>
        <w:pageBreakBefore w:val="0"/>
        <w:widowControl w:val="0"/>
        <w:kinsoku/>
        <w:wordWrap/>
        <w:overflowPunct/>
        <w:topLinePunct w:val="0"/>
        <w:autoSpaceDE/>
        <w:autoSpaceDN/>
        <w:bidi w:val="0"/>
        <w:adjustRightInd/>
        <w:snapToGrid/>
        <w:spacing w:before="143" w:beforeLines="50" w:after="143" w:afterLines="50" w:line="360" w:lineRule="auto"/>
        <w:ind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
        </w:rPr>
        <w:t>2</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混凝土墙补强加固</w:t>
      </w:r>
    </w:p>
    <w:p w14:paraId="6D171D08">
      <w:pPr>
        <w:pStyle w:val="24"/>
        <w:spacing w:before="143" w:beforeLines="50" w:beforeAutospacing="0" w:after="143" w:afterLines="50" w:line="360" w:lineRule="auto"/>
        <w:ind w:firstLine="496"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混凝土墙</w:t>
      </w:r>
      <w:r>
        <w:rPr>
          <w:rFonts w:hint="eastAsia" w:asciiTheme="minorEastAsia" w:hAnsiTheme="minorEastAsia" w:eastAsiaTheme="minorEastAsia" w:cstheme="minorEastAsia"/>
          <w:color w:val="auto"/>
          <w:sz w:val="24"/>
          <w:szCs w:val="24"/>
          <w:highlight w:val="none"/>
          <w:lang w:val="en-US" w:eastAsia="zh-CN"/>
        </w:rPr>
        <w:t>补强加固</w:t>
      </w:r>
      <w:r>
        <w:rPr>
          <w:rFonts w:hint="eastAsia" w:asciiTheme="minorEastAsia" w:hAnsiTheme="minorEastAsia" w:eastAsiaTheme="minorEastAsia" w:cstheme="minorEastAsia"/>
          <w:color w:val="auto"/>
          <w:sz w:val="24"/>
          <w:szCs w:val="24"/>
          <w:highlight w:val="none"/>
        </w:rPr>
        <w:t>：计价综合考虑墙类型（直形、弧形、电梯井墙、短肢剪力墙、挡土墙等）、截面形式、规格尺寸、部位、施工高度、混凝土拌和要求、泵送、骨料粒径及掺普通外加剂等，按设计图示尺寸以体积计算，扣除门窗洞口及单个面积》0.3m2的孔洞所占体积，墙垛及突出墙面部分并入墙体体积计算。地下连续墙另列清单项目计量。</w:t>
      </w:r>
    </w:p>
    <w:p w14:paraId="3B8C5BC1">
      <w:pPr>
        <w:spacing w:before="143" w:beforeLines="50" w:after="143" w:afterLines="50" w:line="360" w:lineRule="auto"/>
        <w:jc w:val="left"/>
        <w:outlineLvl w:val="5"/>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E.2钢筋工程</w:t>
      </w:r>
    </w:p>
    <w:p w14:paraId="76F2ACA0">
      <w:pPr>
        <w:keepNext w:val="0"/>
        <w:keepLines w:val="0"/>
        <w:pageBreakBefore w:val="0"/>
        <w:kinsoku/>
        <w:wordWrap/>
        <w:overflowPunct/>
        <w:autoSpaceDE/>
        <w:autoSpaceDN/>
        <w:bidi w:val="0"/>
        <w:adjustRightInd w:val="0"/>
        <w:snapToGrid w:val="0"/>
        <w:spacing w:before="143" w:beforeLines="50" w:after="143" w:afterLines="50" w:line="360" w:lineRule="auto"/>
        <w:ind w:firstLine="482" w:firstLineChars="200"/>
        <w:jc w:val="left"/>
        <w:textAlignment w:val="auto"/>
        <w:outlineLvl w:val="6"/>
        <w:rPr>
          <w:rFonts w:hint="eastAsia" w:asciiTheme="minorEastAsia" w:hAnsiTheme="minorEastAsia" w:eastAsiaTheme="minorEastAsia" w:cstheme="minorEastAsia"/>
          <w:b/>
          <w:strike/>
          <w:color w:val="auto"/>
          <w:sz w:val="24"/>
          <w:szCs w:val="24"/>
          <w:highlight w:val="none"/>
        </w:rPr>
      </w:pPr>
      <w:bookmarkStart w:id="133" w:name="_Toc23680"/>
      <w:bookmarkStart w:id="134" w:name="_Toc18193"/>
      <w:bookmarkStart w:id="135" w:name="_Toc403031654"/>
      <w:bookmarkStart w:id="136" w:name="_Toc11749"/>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.钢筋清单项目</w:t>
      </w:r>
      <w:bookmarkEnd w:id="133"/>
      <w:bookmarkEnd w:id="134"/>
      <w:bookmarkEnd w:id="135"/>
      <w:bookmarkEnd w:id="136"/>
    </w:p>
    <w:p w14:paraId="1035B0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计价综合考虑钢筋规格、混凝土浇筑方式、连接方式、安装部位等。</w:t>
      </w:r>
    </w:p>
    <w:p w14:paraId="0BB38B6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材料、钢筋制作、运输、损耗、绑扎、安装、焊接、电渣压力焊、钢筋机械连接等接头（综合接头形式）、浇捣混凝土时钢筋维护，可能发生的倒运、存放、吊装、连接，以及现浇构件中固定位置的隔铁、预制构件的吊钩及因钢筋加工综合开料和钢筋出厂实尺长度所引起钢筋非设计接驳或搭接长度等相关费用。</w:t>
      </w:r>
    </w:p>
    <w:p w14:paraId="623A7C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（3）钢筋清单项目计量分钢筋等级（包括Ⅰ级、Ⅱ级、Ⅲ级、</w:t>
      </w:r>
      <w:r>
        <w:rPr>
          <w:rFonts w:hint="eastAsia" w:asciiTheme="minorEastAsia" w:hAnsiTheme="minorEastAsia" w:eastAsiaTheme="minorEastAsia" w:cstheme="minorEastAsia"/>
          <w:color w:val="auto"/>
          <w:sz w:val="24"/>
          <w:szCs w:val="24"/>
          <w:highlight w:val="none"/>
          <w:lang w:eastAsia="zh-CN"/>
        </w:rPr>
        <w:t>Ⅳ级</w:t>
      </w:r>
      <w:r>
        <w:rPr>
          <w:rFonts w:hint="eastAsia" w:asciiTheme="minorEastAsia" w:hAnsiTheme="minorEastAsia" w:eastAsiaTheme="minorEastAsia" w:cstheme="minorEastAsia"/>
          <w:color w:val="auto"/>
          <w:sz w:val="24"/>
          <w:szCs w:val="24"/>
          <w:highlight w:val="none"/>
        </w:rPr>
        <w:t>钢），计量按图示设计尺寸（包含设计搭接长度、弯钩长度、支撑钢筋）以中心线计算，属于设计要求的措施钢筋需计入清单工程量。</w:t>
      </w:r>
    </w:p>
    <w:p w14:paraId="3AEF38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（4）现浇构件中固定位置的支撑钢筋、双层钢筋用的“铁马”在编制招标工程量清单时，如果设计未明确，工程数量为暂估量，结算时按现场签证数量计算。</w:t>
      </w:r>
    </w:p>
    <w:p w14:paraId="4412B085">
      <w:pPr>
        <w:keepNext w:val="0"/>
        <w:keepLines w:val="0"/>
        <w:pageBreakBefore w:val="0"/>
        <w:kinsoku/>
        <w:wordWrap/>
        <w:overflowPunct/>
        <w:autoSpaceDE/>
        <w:autoSpaceDN/>
        <w:bidi w:val="0"/>
        <w:adjustRightInd w:val="0"/>
        <w:snapToGrid w:val="0"/>
        <w:spacing w:before="143" w:beforeLines="50" w:after="143" w:afterLines="50" w:line="360" w:lineRule="auto"/>
        <w:ind w:firstLine="482" w:firstLineChars="200"/>
        <w:jc w:val="left"/>
        <w:textAlignment w:val="auto"/>
        <w:outlineLvl w:val="6"/>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.植筋清单项目</w:t>
      </w:r>
    </w:p>
    <w:p w14:paraId="36DB34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计价综合考虑孔径、孔深、植筋胶种类、用量等相关费用。</w:t>
      </w:r>
    </w:p>
    <w:p w14:paraId="490B7B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计价包括测量、放线、定位、钻孔、清孔、植筋、固化等工作内容。</w:t>
      </w:r>
    </w:p>
    <w:p w14:paraId="3AAFF8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计量按设计图纸以“</w:t>
      </w:r>
      <w:r>
        <w:rPr>
          <w:rFonts w:hint="eastAsia" w:asciiTheme="minorEastAsia" w:hAnsiTheme="minorEastAsia" w:eastAsiaTheme="minorEastAsia" w:cstheme="minorEastAsia"/>
          <w:color w:val="auto"/>
          <w:sz w:val="24"/>
          <w:szCs w:val="24"/>
          <w:highlight w:val="none"/>
          <w:lang w:eastAsia="zh"/>
        </w:rPr>
        <w:t>根</w:t>
      </w:r>
      <w:r>
        <w:rPr>
          <w:rFonts w:hint="eastAsia" w:asciiTheme="minorEastAsia" w:hAnsiTheme="minorEastAsia" w:eastAsiaTheme="minorEastAsia" w:cstheme="minorEastAsia"/>
          <w:color w:val="auto"/>
          <w:sz w:val="24"/>
          <w:szCs w:val="24"/>
          <w:highlight w:val="none"/>
        </w:rPr>
        <w:t>”计算。</w:t>
      </w:r>
    </w:p>
    <w:p w14:paraId="3F0856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植筋钢筋列入钢筋清单项目计算。</w:t>
      </w:r>
    </w:p>
    <w:p w14:paraId="2E91305A">
      <w:pPr>
        <w:spacing w:before="143" w:beforeLines="50" w:after="143" w:afterLines="50" w:line="360" w:lineRule="auto"/>
        <w:jc w:val="left"/>
        <w:outlineLvl w:val="4"/>
        <w:rPr>
          <w:rFonts w:ascii="宋体" w:hAnsi="宋体"/>
          <w:b/>
          <w:strike w:val="0"/>
          <w:dstrike w:val="0"/>
          <w:color w:val="auto"/>
          <w:sz w:val="28"/>
          <w:szCs w:val="28"/>
          <w:highlight w:val="none"/>
        </w:rPr>
      </w:pPr>
      <w:bookmarkStart w:id="137" w:name="_Toc13948"/>
      <w:bookmarkStart w:id="138" w:name="_Toc11650"/>
      <w:bookmarkStart w:id="139" w:name="_Toc22319"/>
      <w:bookmarkStart w:id="140" w:name="_Toc403031662"/>
      <w:bookmarkStart w:id="141" w:name="_Toc383164201"/>
      <w:r>
        <w:rPr>
          <w:rFonts w:hint="eastAsia" w:ascii="宋体" w:hAnsi="宋体"/>
          <w:b/>
          <w:strike w:val="0"/>
          <w:dstrike w:val="0"/>
          <w:color w:val="auto"/>
          <w:sz w:val="28"/>
          <w:szCs w:val="28"/>
          <w:highlight w:val="none"/>
        </w:rPr>
        <w:t>F.金属结构工程</w:t>
      </w:r>
      <w:bookmarkEnd w:id="137"/>
      <w:bookmarkEnd w:id="138"/>
      <w:bookmarkEnd w:id="139"/>
      <w:bookmarkEnd w:id="140"/>
      <w:bookmarkEnd w:id="141"/>
    </w:p>
    <w:p w14:paraId="691AE382">
      <w:pPr>
        <w:spacing w:before="143" w:beforeLines="50" w:after="143" w:afterLines="50" w:line="360" w:lineRule="auto"/>
        <w:jc w:val="left"/>
        <w:outlineLvl w:val="5"/>
        <w:rPr>
          <w:rFonts w:ascii="宋体" w:hAnsi="宋体"/>
          <w:b/>
          <w:strike w:val="0"/>
          <w:dstrike w:val="0"/>
          <w:color w:val="auto"/>
          <w:sz w:val="28"/>
          <w:szCs w:val="28"/>
          <w:highlight w:val="none"/>
        </w:rPr>
      </w:pPr>
      <w:bookmarkStart w:id="142" w:name="_Toc383164202"/>
      <w:bookmarkStart w:id="143" w:name="_Toc15416"/>
      <w:bookmarkStart w:id="144" w:name="_Toc403031663"/>
      <w:bookmarkStart w:id="145" w:name="_Toc11628"/>
      <w:r>
        <w:rPr>
          <w:rFonts w:hint="eastAsia" w:ascii="宋体" w:hAnsi="宋体"/>
          <w:b/>
          <w:strike w:val="0"/>
          <w:dstrike w:val="0"/>
          <w:color w:val="auto"/>
          <w:sz w:val="28"/>
          <w:szCs w:val="28"/>
          <w:highlight w:val="none"/>
        </w:rPr>
        <w:t>钢结构</w:t>
      </w:r>
      <w:bookmarkEnd w:id="142"/>
      <w:bookmarkEnd w:id="143"/>
      <w:bookmarkEnd w:id="144"/>
      <w:bookmarkEnd w:id="145"/>
    </w:p>
    <w:p w14:paraId="56CD78A7">
      <w:pPr>
        <w:spacing w:before="143" w:beforeLines="50" w:after="143" w:afterLines="50" w:line="360" w:lineRule="auto"/>
        <w:jc w:val="left"/>
        <w:outlineLvl w:val="5"/>
        <w:rPr>
          <w:rFonts w:ascii="宋体" w:hAnsi="宋体"/>
          <w:b/>
          <w:strike w:val="0"/>
          <w:dstrike w:val="0"/>
          <w:color w:val="auto"/>
          <w:sz w:val="24"/>
          <w:szCs w:val="24"/>
          <w:highlight w:val="none"/>
        </w:rPr>
      </w:pPr>
      <w:bookmarkStart w:id="146" w:name="_Toc403031664"/>
      <w:bookmarkStart w:id="147" w:name="_Toc2039"/>
      <w:bookmarkStart w:id="148" w:name="_Toc3486"/>
      <w:bookmarkStart w:id="149" w:name="_Toc383164203"/>
      <w:r>
        <w:rPr>
          <w:rFonts w:hint="eastAsia" w:ascii="宋体" w:hAnsi="宋体"/>
          <w:b/>
          <w:strike w:val="0"/>
          <w:dstrike w:val="0"/>
          <w:color w:val="auto"/>
          <w:sz w:val="24"/>
          <w:szCs w:val="24"/>
          <w:highlight w:val="none"/>
        </w:rPr>
        <w:t>共性问题说明</w:t>
      </w:r>
      <w:bookmarkEnd w:id="146"/>
      <w:bookmarkEnd w:id="147"/>
      <w:bookmarkEnd w:id="148"/>
      <w:bookmarkEnd w:id="149"/>
    </w:p>
    <w:p w14:paraId="6CB581E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（1）计价综合考虑钢材品种、规格、厚度、单构件质量、连接方式、跨度、安装高度、螺栓种类、探伤要求、场内外运距等。</w:t>
      </w:r>
    </w:p>
    <w:p w14:paraId="7766755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（2）计价包括材料费用、材料运输、除锈（综合考虑除锈方式）、</w:t>
      </w:r>
      <w:r>
        <w:rPr>
          <w:rFonts w:hint="eastAsia" w:asciiTheme="minorEastAsia" w:hAnsiTheme="minorEastAsia" w:eastAsiaTheme="minorEastAsia" w:cstheme="minorEastAsia"/>
          <w:color w:val="auto"/>
          <w:sz w:val="24"/>
          <w:szCs w:val="24"/>
          <w:highlight w:val="none"/>
          <w:lang w:eastAsia="zh"/>
        </w:rPr>
        <w:t>面漆、防火涂料、</w:t>
      </w:r>
      <w:r>
        <w:rPr>
          <w:rFonts w:hint="eastAsia" w:asciiTheme="minorEastAsia" w:hAnsiTheme="minorEastAsia" w:eastAsiaTheme="minorEastAsia" w:cstheme="minorEastAsia"/>
          <w:color w:val="auto"/>
          <w:sz w:val="24"/>
          <w:szCs w:val="24"/>
          <w:highlight w:val="none"/>
          <w:lang w:eastAsia="zh-CN"/>
        </w:rPr>
        <w:t>防锈漆、</w:t>
      </w:r>
      <w:r>
        <w:rPr>
          <w:rFonts w:hint="eastAsia" w:asciiTheme="minorEastAsia" w:hAnsiTheme="minorEastAsia" w:eastAsiaTheme="minorEastAsia" w:cstheme="minorEastAsia"/>
          <w:color w:val="auto"/>
          <w:sz w:val="24"/>
          <w:szCs w:val="24"/>
          <w:highlight w:val="none"/>
        </w:rPr>
        <w:t>加工制作、运输、拼接、安装、探伤、拆除、钢材回收等相关费用。连接件、焊条、铆钉、螺栓（不含预埋螺栓、高强螺栓）等所有辅助材料计入综合单价内。</w:t>
      </w:r>
      <w:r>
        <w:rPr>
          <w:rFonts w:hint="eastAsia" w:asciiTheme="minorEastAsia" w:hAnsiTheme="minorEastAsia" w:eastAsiaTheme="minorEastAsia" w:cstheme="minorEastAsia"/>
          <w:color w:val="auto"/>
          <w:sz w:val="24"/>
          <w:szCs w:val="24"/>
          <w:highlight w:val="none"/>
          <w:lang w:eastAsia="zh-CN"/>
        </w:rPr>
        <w:t>除防锈漆外，其它</w:t>
      </w:r>
      <w:r>
        <w:rPr>
          <w:rFonts w:hint="eastAsia" w:asciiTheme="minorEastAsia" w:hAnsiTheme="minorEastAsia" w:eastAsiaTheme="minorEastAsia" w:cstheme="minorEastAsia"/>
          <w:color w:val="auto"/>
          <w:sz w:val="24"/>
          <w:szCs w:val="24"/>
          <w:highlight w:val="none"/>
        </w:rPr>
        <w:t>刷油漆另行开项计算。</w:t>
      </w:r>
    </w:p>
    <w:p w14:paraId="774F99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strike w:val="0"/>
          <w:dstrike w:val="0"/>
          <w:color w:val="auto"/>
          <w:highlight w:val="none"/>
        </w:rPr>
      </w:pPr>
      <w:r>
        <w:rPr>
          <w:rFonts w:hint="eastAsia" w:asciiTheme="minorEastAsia" w:hAnsiTheme="minorEastAsia" w:eastAsiaTheme="minorEastAsia" w:cstheme="minorEastAsia"/>
          <w:color w:val="auto"/>
          <w:sz w:val="24"/>
          <w:szCs w:val="24"/>
          <w:highlight w:val="none"/>
        </w:rPr>
        <w:t>（3）按设计图示尺寸以质量计算，包含节点及连接板，不扣除孔眼的质量，焊条、铆钉、螺栓等不另增加质量。</w:t>
      </w:r>
    </w:p>
    <w:p w14:paraId="060732C1">
      <w:pPr>
        <w:spacing w:before="143" w:beforeLines="50" w:after="143" w:afterLines="50" w:line="360" w:lineRule="auto"/>
        <w:jc w:val="left"/>
        <w:outlineLvl w:val="5"/>
        <w:rPr>
          <w:rFonts w:ascii="宋体" w:hAnsi="宋体"/>
          <w:b/>
          <w:strike w:val="0"/>
          <w:dstrike w:val="0"/>
          <w:color w:val="auto"/>
          <w:sz w:val="28"/>
          <w:szCs w:val="28"/>
          <w:highlight w:val="none"/>
        </w:rPr>
      </w:pPr>
      <w:bookmarkStart w:id="150" w:name="_Toc403031665"/>
      <w:bookmarkStart w:id="151" w:name="_Toc5511"/>
      <w:bookmarkStart w:id="152" w:name="_Toc383164204"/>
      <w:bookmarkStart w:id="153" w:name="_Toc8154"/>
      <w:bookmarkStart w:id="154" w:name="_Toc11361"/>
      <w:r>
        <w:rPr>
          <w:rFonts w:hint="eastAsia" w:ascii="宋体" w:hAnsi="宋体"/>
          <w:b/>
          <w:strike w:val="0"/>
          <w:dstrike w:val="0"/>
          <w:color w:val="auto"/>
          <w:sz w:val="28"/>
          <w:szCs w:val="28"/>
          <w:highlight w:val="none"/>
        </w:rPr>
        <w:t>1.主要钢结构清单项目</w:t>
      </w:r>
      <w:bookmarkEnd w:id="150"/>
      <w:bookmarkEnd w:id="151"/>
      <w:bookmarkEnd w:id="152"/>
      <w:bookmarkEnd w:id="153"/>
      <w:bookmarkEnd w:id="154"/>
    </w:p>
    <w:p w14:paraId="613AD972">
      <w:pPr>
        <w:keepNext w:val="0"/>
        <w:keepLines w:val="0"/>
        <w:pageBreakBefore w:val="0"/>
        <w:widowControl w:val="0"/>
        <w:kinsoku/>
        <w:wordWrap/>
        <w:overflowPunct/>
        <w:topLinePunct w:val="0"/>
        <w:autoSpaceDE/>
        <w:autoSpaceDN/>
        <w:bidi w:val="0"/>
        <w:adjustRightInd/>
        <w:snapToGrid/>
        <w:spacing w:before="143" w:beforeLines="50" w:after="143" w:afterLines="50" w:line="360" w:lineRule="auto"/>
        <w:ind w:firstLine="482" w:firstLineChars="200"/>
        <w:jc w:val="left"/>
        <w:textAlignment w:val="auto"/>
        <w:outlineLvl w:val="6"/>
        <w:rPr>
          <w:rFonts w:hint="eastAsia" w:asciiTheme="minorEastAsia" w:hAnsiTheme="minorEastAsia" w:eastAsiaTheme="minorEastAsia" w:cstheme="minorEastAsia"/>
          <w:b/>
          <w:strike w:val="0"/>
          <w:dstrike w:val="0"/>
          <w:color w:val="auto"/>
          <w:sz w:val="24"/>
          <w:szCs w:val="24"/>
          <w:highlight w:val="none"/>
          <w:lang w:val="en-US" w:eastAsia="zh-CN"/>
        </w:rPr>
      </w:pPr>
      <w:bookmarkStart w:id="155" w:name="_Toc403031669"/>
      <w:bookmarkStart w:id="156" w:name="_Toc30006"/>
      <w:bookmarkStart w:id="157" w:name="_Toc31120"/>
      <w:bookmarkStart w:id="158" w:name="_Toc21586"/>
      <w:r>
        <w:rPr>
          <w:rFonts w:hint="eastAsia" w:asciiTheme="minorEastAsia" w:hAnsiTheme="minorEastAsia" w:eastAsiaTheme="minorEastAsia" w:cstheme="minorEastAsia"/>
          <w:b/>
          <w:strike w:val="0"/>
          <w:dstrike w:val="0"/>
          <w:color w:val="auto"/>
          <w:sz w:val="24"/>
          <w:szCs w:val="24"/>
          <w:highlight w:val="none"/>
          <w:lang w:val="en-US" w:eastAsia="zh-CN"/>
        </w:rPr>
        <w:t>1</w:t>
      </w:r>
      <w:r>
        <w:rPr>
          <w:rFonts w:hint="eastAsia" w:asciiTheme="minorEastAsia" w:hAnsiTheme="minorEastAsia" w:eastAsiaTheme="minorEastAsia" w:cstheme="minorEastAsia"/>
          <w:b/>
          <w:strike w:val="0"/>
          <w:dstrike w:val="0"/>
          <w:color w:val="auto"/>
          <w:sz w:val="24"/>
          <w:szCs w:val="24"/>
          <w:highlight w:val="none"/>
        </w:rPr>
        <w:t>.金属</w:t>
      </w:r>
      <w:bookmarkEnd w:id="155"/>
      <w:bookmarkEnd w:id="156"/>
      <w:bookmarkEnd w:id="157"/>
      <w:bookmarkEnd w:id="158"/>
      <w:r>
        <w:rPr>
          <w:rFonts w:hint="eastAsia" w:asciiTheme="minorEastAsia" w:hAnsiTheme="minorEastAsia" w:eastAsiaTheme="minorEastAsia" w:cstheme="minorEastAsia"/>
          <w:b/>
          <w:strike w:val="0"/>
          <w:dstrike w:val="0"/>
          <w:color w:val="auto"/>
          <w:sz w:val="24"/>
          <w:szCs w:val="24"/>
          <w:highlight w:val="none"/>
          <w:lang w:eastAsia="zh-CN"/>
        </w:rPr>
        <w:t>井</w:t>
      </w:r>
      <w:r>
        <w:rPr>
          <w:rFonts w:hint="eastAsia" w:asciiTheme="minorEastAsia" w:hAnsiTheme="minorEastAsia" w:eastAsiaTheme="minorEastAsia" w:cstheme="minorEastAsia"/>
          <w:b/>
          <w:strike w:val="0"/>
          <w:dstrike w:val="0"/>
          <w:color w:val="auto"/>
          <w:sz w:val="24"/>
          <w:szCs w:val="24"/>
          <w:highlight w:val="none"/>
          <w:lang w:val="en-US" w:eastAsia="zh-CN"/>
        </w:rPr>
        <w:t>(沟)盖及盖板</w:t>
      </w:r>
    </w:p>
    <w:p w14:paraId="7EDC44C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）计价综合考虑：单构件质量、连接方式、跨度、安装高度、螺栓种类、探伤要求、刷漆、场内外运距、连接件、焊条、铆钉、螺栓（不含预埋螺栓、高强螺栓）等所有辅助材料计入综合单价内等。</w:t>
      </w:r>
    </w:p>
    <w:p w14:paraId="7A937D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（2）计价包括井</w:t>
      </w:r>
      <w:r>
        <w:rPr>
          <w:rFonts w:hint="eastAsia" w:asciiTheme="minorEastAsia" w:hAnsiTheme="minorEastAsia" w:eastAsiaTheme="minorEastAsia" w:cstheme="minorEastAsia"/>
          <w:color w:val="auto"/>
          <w:sz w:val="24"/>
          <w:szCs w:val="24"/>
          <w:highlight w:val="none"/>
          <w:lang w:val="en-US" w:eastAsia="zh"/>
        </w:rPr>
        <w:t>（沟）</w:t>
      </w:r>
      <w:r>
        <w:rPr>
          <w:rFonts w:hint="eastAsia" w:asciiTheme="minorEastAsia" w:hAnsiTheme="minorEastAsia" w:eastAsiaTheme="minorEastAsia" w:cstheme="minorEastAsia"/>
          <w:color w:val="auto"/>
          <w:sz w:val="24"/>
          <w:szCs w:val="24"/>
          <w:highlight w:val="none"/>
          <w:lang w:val="en-US" w:eastAsia="zh-CN"/>
        </w:rPr>
        <w:t>盖及盖座安装。</w:t>
      </w:r>
    </w:p>
    <w:p w14:paraId="464767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trike w:val="0"/>
          <w:dstrike w:val="0"/>
          <w:snapToGrid w:val="0"/>
          <w:color w:val="auto"/>
          <w:spacing w:val="4"/>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金属</w:t>
      </w:r>
      <w:r>
        <w:rPr>
          <w:rFonts w:hint="eastAsia" w:asciiTheme="minorEastAsia" w:hAnsiTheme="minorEastAsia" w:eastAsiaTheme="minorEastAsia" w:cstheme="minorEastAsia"/>
          <w:color w:val="auto"/>
          <w:sz w:val="24"/>
          <w:szCs w:val="24"/>
          <w:highlight w:val="none"/>
          <w:lang w:eastAsia="zh"/>
        </w:rPr>
        <w:t>井</w:t>
      </w:r>
      <w:r>
        <w:rPr>
          <w:rFonts w:hint="eastAsia" w:asciiTheme="minorEastAsia" w:hAnsiTheme="minorEastAsia" w:eastAsiaTheme="minorEastAsia" w:cstheme="minorEastAsia"/>
          <w:color w:val="auto"/>
          <w:sz w:val="24"/>
          <w:szCs w:val="24"/>
          <w:highlight w:val="none"/>
        </w:rPr>
        <w:t>盖板计量分材质、厚度以</w:t>
      </w:r>
      <w:r>
        <w:rPr>
          <w:rFonts w:hint="eastAsia" w:asciiTheme="minorEastAsia" w:hAnsiTheme="minorEastAsia" w:eastAsiaTheme="minorEastAsia" w:cstheme="minorEastAsia"/>
          <w:color w:val="auto"/>
          <w:sz w:val="24"/>
          <w:szCs w:val="24"/>
          <w:highlight w:val="none"/>
          <w:lang w:eastAsia="zh-CN"/>
        </w:rPr>
        <w:t>套</w:t>
      </w:r>
      <w:r>
        <w:rPr>
          <w:rFonts w:hint="eastAsia" w:asciiTheme="minorEastAsia" w:hAnsiTheme="minorEastAsia" w:eastAsiaTheme="minorEastAsia" w:cstheme="minorEastAsia"/>
          <w:color w:val="auto"/>
          <w:sz w:val="24"/>
          <w:szCs w:val="24"/>
          <w:highlight w:val="none"/>
        </w:rPr>
        <w:t>计算；金属</w:t>
      </w:r>
      <w:r>
        <w:rPr>
          <w:rFonts w:hint="eastAsia" w:asciiTheme="minorEastAsia" w:hAnsiTheme="minorEastAsia" w:eastAsiaTheme="minorEastAsia" w:cstheme="minorEastAsia"/>
          <w:color w:val="auto"/>
          <w:sz w:val="24"/>
          <w:szCs w:val="24"/>
          <w:highlight w:val="none"/>
          <w:lang w:eastAsia="zh"/>
        </w:rPr>
        <w:t>沟</w:t>
      </w:r>
      <w:r>
        <w:rPr>
          <w:rFonts w:hint="eastAsia" w:asciiTheme="minorEastAsia" w:hAnsiTheme="minorEastAsia" w:eastAsiaTheme="minorEastAsia" w:cstheme="minorEastAsia"/>
          <w:color w:val="auto"/>
          <w:sz w:val="24"/>
          <w:szCs w:val="24"/>
          <w:highlight w:val="none"/>
        </w:rPr>
        <w:t>盖板计量分材质、厚度以</w:t>
      </w:r>
      <w:r>
        <w:rPr>
          <w:rFonts w:hint="eastAsia" w:asciiTheme="minorEastAsia" w:hAnsiTheme="minorEastAsia" w:eastAsiaTheme="minorEastAsia" w:cstheme="minorEastAsia"/>
          <w:color w:val="auto"/>
          <w:sz w:val="24"/>
          <w:szCs w:val="24"/>
          <w:highlight w:val="none"/>
          <w:lang w:eastAsia="zh"/>
        </w:rPr>
        <w:t>m</w:t>
      </w:r>
      <w:r>
        <w:rPr>
          <w:rFonts w:hint="eastAsia" w:asciiTheme="minorEastAsia" w:hAnsiTheme="minorEastAsia" w:eastAsiaTheme="minorEastAsia" w:cstheme="minorEastAsia"/>
          <w:color w:val="auto"/>
          <w:sz w:val="24"/>
          <w:szCs w:val="24"/>
          <w:highlight w:val="none"/>
        </w:rPr>
        <w:t>计算</w:t>
      </w:r>
      <w:r>
        <w:rPr>
          <w:rFonts w:hint="eastAsia" w:asciiTheme="minorEastAsia" w:hAnsiTheme="minorEastAsia" w:eastAsiaTheme="minorEastAsia" w:cstheme="minorEastAsia"/>
          <w:color w:val="auto"/>
          <w:sz w:val="24"/>
          <w:szCs w:val="24"/>
          <w:highlight w:val="none"/>
          <w:lang w:eastAsia="zh"/>
        </w:rPr>
        <w:t>；</w:t>
      </w:r>
      <w:r>
        <w:rPr>
          <w:rFonts w:hint="eastAsia" w:asciiTheme="minorEastAsia" w:hAnsiTheme="minorEastAsia" w:eastAsiaTheme="minorEastAsia" w:cstheme="minorEastAsia"/>
          <w:color w:val="auto"/>
          <w:sz w:val="24"/>
          <w:szCs w:val="24"/>
          <w:highlight w:val="none"/>
        </w:rPr>
        <w:t>金属</w:t>
      </w:r>
      <w:r>
        <w:rPr>
          <w:rFonts w:hint="eastAsia" w:asciiTheme="minorEastAsia" w:hAnsiTheme="minorEastAsia" w:eastAsiaTheme="minorEastAsia" w:cstheme="minorEastAsia"/>
          <w:color w:val="auto"/>
          <w:sz w:val="24"/>
          <w:szCs w:val="24"/>
          <w:highlight w:val="none"/>
          <w:lang w:eastAsia="zh"/>
        </w:rPr>
        <w:t>井（沟）</w:t>
      </w:r>
      <w:r>
        <w:rPr>
          <w:rFonts w:hint="eastAsia" w:asciiTheme="minorEastAsia" w:hAnsiTheme="minorEastAsia" w:eastAsiaTheme="minorEastAsia" w:cstheme="minorEastAsia"/>
          <w:color w:val="auto"/>
          <w:sz w:val="24"/>
          <w:szCs w:val="24"/>
          <w:highlight w:val="none"/>
        </w:rPr>
        <w:t>盖板计量分材质、厚度以</w:t>
      </w:r>
      <w:r>
        <w:rPr>
          <w:rFonts w:hint="eastAsia" w:asciiTheme="minorEastAsia" w:hAnsiTheme="minorEastAsia" w:eastAsiaTheme="minorEastAsia" w:cstheme="minorEastAsia"/>
          <w:color w:val="auto"/>
          <w:sz w:val="24"/>
          <w:szCs w:val="24"/>
          <w:highlight w:val="none"/>
          <w:lang w:eastAsia="zh-CN"/>
        </w:rPr>
        <w:t>套</w:t>
      </w:r>
      <w:r>
        <w:rPr>
          <w:rFonts w:hint="eastAsia" w:asciiTheme="minorEastAsia" w:hAnsiTheme="minorEastAsia" w:eastAsiaTheme="minorEastAsia" w:cstheme="minorEastAsia"/>
          <w:color w:val="auto"/>
          <w:sz w:val="24"/>
          <w:szCs w:val="24"/>
          <w:highlight w:val="none"/>
        </w:rPr>
        <w:t>计算计价包括制作、安装、运输等相关费用。当盖板材质、厚度发生变更时，只调整盖板材料的价差。</w:t>
      </w:r>
      <w:bookmarkEnd w:id="127"/>
      <w:bookmarkStart w:id="159" w:name="_Toc383164097"/>
      <w:bookmarkStart w:id="160" w:name="_Toc211824175"/>
      <w:bookmarkStart w:id="161" w:name="_Toc383164101"/>
      <w:bookmarkStart w:id="162" w:name="_Toc251243071"/>
    </w:p>
    <w:p w14:paraId="649C02BB">
      <w:pPr>
        <w:spacing w:beforeLines="50" w:afterLines="50" w:line="360" w:lineRule="auto"/>
        <w:jc w:val="left"/>
        <w:outlineLvl w:val="4"/>
        <w:rPr>
          <w:rFonts w:ascii="宋体" w:hAnsi="宋体"/>
          <w:b/>
          <w:color w:val="auto"/>
          <w:sz w:val="28"/>
          <w:szCs w:val="28"/>
          <w:highlight w:val="none"/>
        </w:rPr>
      </w:pPr>
      <w:bookmarkStart w:id="163" w:name="_Toc15803"/>
      <w:bookmarkStart w:id="164" w:name="_Toc1923"/>
      <w:bookmarkStart w:id="165" w:name="_Toc403031671"/>
      <w:r>
        <w:rPr>
          <w:rFonts w:hint="eastAsia" w:ascii="宋体" w:hAnsi="宋体"/>
          <w:b/>
          <w:color w:val="auto"/>
          <w:sz w:val="28"/>
          <w:szCs w:val="28"/>
          <w:highlight w:val="none"/>
        </w:rPr>
        <w:t>H.门窗工程</w:t>
      </w:r>
    </w:p>
    <w:p w14:paraId="0B54720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jc w:val="left"/>
        <w:textAlignment w:val="auto"/>
        <w:outlineLvl w:val="6"/>
        <w:rPr>
          <w:rFonts w:hint="eastAsia" w:asciiTheme="minorEastAsia" w:hAnsiTheme="minorEastAsia" w:eastAsiaTheme="minorEastAsia" w:cstheme="minorEastAsia"/>
          <w:b/>
          <w:strike w:val="0"/>
          <w:dstrike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strike w:val="0"/>
          <w:dstrike w:val="0"/>
          <w:snapToGrid/>
          <w:color w:val="auto"/>
          <w:spacing w:val="0"/>
          <w:kern w:val="2"/>
          <w:sz w:val="24"/>
          <w:szCs w:val="24"/>
          <w:highlight w:val="none"/>
          <w:lang w:val="en-US" w:eastAsia="zh-CN" w:bidi="ar-SA"/>
        </w:rPr>
        <w:t>1.门窗工程清单项目</w:t>
      </w:r>
    </w:p>
    <w:p w14:paraId="7C3F7BF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（1）门综合考虑可视窗、亮子、玻璃安装、门锁（智能锁</w:t>
      </w:r>
      <w:r>
        <w:rPr>
          <w:rFonts w:hint="eastAsia" w:asciiTheme="minorEastAsia" w:hAnsiTheme="minorEastAsia" w:eastAsiaTheme="minorEastAsia" w:cstheme="minorEastAsia"/>
          <w:color w:val="auto"/>
          <w:sz w:val="24"/>
          <w:szCs w:val="24"/>
          <w:highlight w:val="none"/>
          <w:lang w:eastAsia="zh-CN"/>
        </w:rPr>
        <w:t>除外</w:t>
      </w:r>
      <w:r>
        <w:rPr>
          <w:rFonts w:hint="eastAsia" w:asciiTheme="minorEastAsia" w:hAnsiTheme="minorEastAsia" w:eastAsiaTheme="minorEastAsia" w:cstheme="minorEastAsia"/>
          <w:color w:val="auto"/>
          <w:sz w:val="24"/>
          <w:szCs w:val="24"/>
          <w:highlight w:val="none"/>
        </w:rPr>
        <w:t>）、长度小于1米的拉手、磁吸、闭门器、地弹簧等各种五金配件（不含高档配件），油漆、防腐油、塞口、填缝等；计价包括成品门</w:t>
      </w:r>
      <w:r>
        <w:rPr>
          <w:rFonts w:hint="eastAsia" w:asciiTheme="minorEastAsia" w:hAnsiTheme="minorEastAsia" w:eastAsiaTheme="minorEastAsia" w:cstheme="minorEastAsia"/>
          <w:color w:val="auto"/>
          <w:sz w:val="24"/>
          <w:szCs w:val="24"/>
          <w:highlight w:val="none"/>
          <w:lang w:eastAsia="zh-CN"/>
        </w:rPr>
        <w:t>（含配套门框、门套）</w:t>
      </w:r>
      <w:r>
        <w:rPr>
          <w:rFonts w:hint="eastAsia" w:asciiTheme="minorEastAsia" w:hAnsiTheme="minorEastAsia" w:eastAsiaTheme="minorEastAsia" w:cstheme="minorEastAsia"/>
          <w:color w:val="auto"/>
          <w:sz w:val="24"/>
          <w:szCs w:val="24"/>
          <w:highlight w:val="none"/>
        </w:rPr>
        <w:t>、各种五金配件，安装、油漆、刷防腐油、塞口、填缝、防雷</w:t>
      </w:r>
      <w:r>
        <w:rPr>
          <w:rFonts w:hint="eastAsia" w:asciiTheme="minorEastAsia" w:hAnsiTheme="minorEastAsia" w:eastAsiaTheme="minorEastAsia" w:cstheme="minorEastAsia"/>
          <w:color w:val="auto"/>
          <w:sz w:val="24"/>
          <w:szCs w:val="24"/>
          <w:highlight w:val="none"/>
          <w:lang w:eastAsia="zh-CN"/>
        </w:rPr>
        <w:t>（如有）</w:t>
      </w:r>
      <w:r>
        <w:rPr>
          <w:rFonts w:hint="eastAsia" w:asciiTheme="minorEastAsia" w:hAnsiTheme="minorEastAsia" w:eastAsiaTheme="minorEastAsia" w:cstheme="minorEastAsia"/>
          <w:color w:val="auto"/>
          <w:sz w:val="24"/>
          <w:szCs w:val="24"/>
          <w:highlight w:val="none"/>
        </w:rPr>
        <w:t>、材料运输等相关费用。</w:t>
      </w:r>
      <w:r>
        <w:rPr>
          <w:rFonts w:hint="eastAsia" w:asciiTheme="minorEastAsia" w:hAnsiTheme="minorEastAsia" w:eastAsiaTheme="minorEastAsia" w:cstheme="minorEastAsia"/>
          <w:color w:val="auto"/>
          <w:sz w:val="24"/>
          <w:szCs w:val="24"/>
          <w:highlight w:val="none"/>
          <w:lang w:eastAsia="zh-CN"/>
        </w:rPr>
        <w:t>智能锁另行开项。</w:t>
      </w:r>
    </w:p>
    <w:p w14:paraId="1C6350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）防火卷帘（闸）门综合考虑卷帘规格、启动装置、五金、特殊五金等；计价包括卷帘（闸）门、启动装置、活动小门、各种五金等制作、安装、运输等相关费用。</w:t>
      </w:r>
      <w:r>
        <w:rPr>
          <w:rFonts w:hint="eastAsia" w:asciiTheme="minorEastAsia" w:hAnsiTheme="minorEastAsia" w:eastAsiaTheme="minorEastAsia" w:cstheme="minorEastAsia"/>
          <w:color w:val="auto"/>
          <w:sz w:val="24"/>
          <w:szCs w:val="24"/>
          <w:highlight w:val="none"/>
          <w:lang w:eastAsia="zh"/>
        </w:rPr>
        <w:t>需考虑是否满足消防要求。</w:t>
      </w:r>
    </w:p>
    <w:p w14:paraId="17E5E3C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）防火门综合考虑单、双扇防火门制作、安装，五金、门锁、闭门器、</w:t>
      </w:r>
      <w:r>
        <w:rPr>
          <w:rFonts w:hint="eastAsia" w:asciiTheme="minorEastAsia" w:hAnsiTheme="minorEastAsia" w:eastAsiaTheme="minorEastAsia" w:cstheme="minorEastAsia"/>
          <w:color w:val="auto"/>
          <w:sz w:val="24"/>
          <w:szCs w:val="24"/>
          <w:highlight w:val="none"/>
          <w:lang w:eastAsia="zh-CN"/>
        </w:rPr>
        <w:t>顺位器、</w:t>
      </w:r>
      <w:r>
        <w:rPr>
          <w:rFonts w:hint="eastAsia" w:asciiTheme="minorEastAsia" w:hAnsiTheme="minorEastAsia" w:eastAsiaTheme="minorEastAsia" w:cstheme="minorEastAsia"/>
          <w:color w:val="auto"/>
          <w:sz w:val="24"/>
          <w:szCs w:val="24"/>
          <w:highlight w:val="none"/>
        </w:rPr>
        <w:t>防护材料等；计价包括制作、安装，五金、门锁、闭门器</w:t>
      </w:r>
      <w:r>
        <w:rPr>
          <w:rFonts w:hint="eastAsia" w:asciiTheme="minorEastAsia" w:hAnsiTheme="minorEastAsia" w:eastAsiaTheme="minorEastAsia" w:cstheme="minorEastAsia"/>
          <w:color w:val="auto"/>
          <w:sz w:val="24"/>
          <w:szCs w:val="24"/>
          <w:highlight w:val="none"/>
          <w:lang w:eastAsia="zh-CN"/>
        </w:rPr>
        <w:t>、顺位器</w:t>
      </w:r>
      <w:r>
        <w:rPr>
          <w:rFonts w:hint="eastAsia" w:asciiTheme="minorEastAsia" w:hAnsiTheme="minorEastAsia" w:eastAsiaTheme="minorEastAsia" w:cstheme="minorEastAsia"/>
          <w:color w:val="auto"/>
          <w:sz w:val="24"/>
          <w:szCs w:val="24"/>
          <w:highlight w:val="none"/>
        </w:rPr>
        <w:t>、防护等费用。按不同等级分别计算。</w:t>
      </w:r>
      <w:r>
        <w:rPr>
          <w:rFonts w:hint="eastAsia" w:asciiTheme="minorEastAsia" w:hAnsiTheme="minorEastAsia" w:eastAsiaTheme="minorEastAsia" w:cstheme="minorEastAsia"/>
          <w:color w:val="auto"/>
          <w:sz w:val="24"/>
          <w:szCs w:val="24"/>
          <w:highlight w:val="none"/>
          <w:lang w:eastAsia="zh"/>
        </w:rPr>
        <w:t>需考虑是否满足消防要求。</w:t>
      </w:r>
    </w:p>
    <w:p w14:paraId="5480F6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
        </w:rPr>
        <w:t>钢筋混凝土密闭门（防护密闭门）</w:t>
      </w:r>
      <w:r>
        <w:rPr>
          <w:rFonts w:hint="eastAsia" w:asciiTheme="minorEastAsia" w:hAnsiTheme="minorEastAsia" w:eastAsiaTheme="minorEastAsia" w:cstheme="minorEastAsia"/>
          <w:color w:val="auto"/>
          <w:sz w:val="24"/>
          <w:szCs w:val="24"/>
          <w:highlight w:val="none"/>
        </w:rPr>
        <w:t>综合考虑</w:t>
      </w:r>
      <w:r>
        <w:rPr>
          <w:rFonts w:hint="eastAsia" w:asciiTheme="minorEastAsia" w:hAnsiTheme="minorEastAsia" w:eastAsiaTheme="minorEastAsia" w:cstheme="minorEastAsia"/>
          <w:color w:val="auto"/>
          <w:sz w:val="24"/>
          <w:szCs w:val="24"/>
          <w:highlight w:val="none"/>
          <w:lang w:eastAsia="zh"/>
        </w:rPr>
        <w:t>门框套、门扇、制作、安装、运输、装车、调试、油漆、预埋件及五金、门锁、拉手、人防门标牌、刷防腐油、塞口、填缝等</w:t>
      </w:r>
      <w:r>
        <w:rPr>
          <w:rFonts w:hint="eastAsia" w:asciiTheme="minorEastAsia" w:hAnsiTheme="minorEastAsia" w:eastAsiaTheme="minorEastAsia" w:cstheme="minorEastAsia"/>
          <w:color w:val="auto"/>
          <w:sz w:val="24"/>
          <w:szCs w:val="24"/>
          <w:highlight w:val="none"/>
        </w:rPr>
        <w:t>。</w:t>
      </w:r>
    </w:p>
    <w:p w14:paraId="3686AA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（5）门窗分类型、材质、玻璃种类及厚度，按设计图示尺寸以洞口面积计算。当门窗材质（型号）、玻璃发生变更时，只调整门窗主材、玻璃材料的价差。</w:t>
      </w:r>
    </w:p>
    <w:p w14:paraId="29E37A1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auto"/>
          <w:highlight w:val="none"/>
        </w:rPr>
      </w:pPr>
      <w:r>
        <w:rPr>
          <w:rFonts w:hint="eastAsia" w:asciiTheme="minorEastAsia" w:hAnsiTheme="minorEastAsia" w:eastAsiaTheme="minorEastAsia" w:cstheme="minorEastAsia"/>
          <w:color w:val="auto"/>
          <w:sz w:val="24"/>
          <w:szCs w:val="24"/>
          <w:highlight w:val="none"/>
        </w:rPr>
        <w:t>（6）长度大于或等于1米的拉手、高档门的门锁、磁吸、闭门器、地弹簧时单独开项，当长度大于或等于1米的拉手、高档门的门锁、磁吸、闭门器、地弹簧发生变更时，只调整相应拉手、门锁、磁吸、闭门器、地弹簧的价差。</w:t>
      </w:r>
    </w:p>
    <w:p w14:paraId="59125EC1">
      <w:pPr>
        <w:spacing w:beforeLines="50" w:afterLines="50" w:line="360" w:lineRule="auto"/>
        <w:jc w:val="left"/>
        <w:outlineLvl w:val="4"/>
        <w:rPr>
          <w:rFonts w:ascii="宋体" w:hAnsi="宋体"/>
          <w:b/>
          <w:color w:val="auto"/>
          <w:sz w:val="28"/>
          <w:szCs w:val="28"/>
          <w:highlight w:val="none"/>
        </w:rPr>
      </w:pPr>
      <w:r>
        <w:rPr>
          <w:rFonts w:hint="eastAsia" w:ascii="宋体" w:hAnsi="宋体"/>
          <w:b/>
          <w:color w:val="auto"/>
          <w:sz w:val="28"/>
          <w:szCs w:val="28"/>
          <w:highlight w:val="none"/>
        </w:rPr>
        <w:t>J.屋面及防水工程</w:t>
      </w:r>
    </w:p>
    <w:p w14:paraId="3010C8F1">
      <w:pPr>
        <w:pStyle w:val="24"/>
        <w:spacing w:beforeLines="50" w:beforeAutospacing="0" w:afterLines="50" w:line="360" w:lineRule="auto"/>
        <w:ind w:firstLine="496"/>
        <w:rPr>
          <w:rFonts w:hint="eastAsia" w:ascii="宋体" w:hAnsi="宋体" w:cs="宋体"/>
          <w:color w:val="auto"/>
          <w:highlight w:val="none"/>
          <w:lang w:eastAsia="zh"/>
        </w:rPr>
      </w:pPr>
      <w:r>
        <w:rPr>
          <w:rFonts w:hint="eastAsia" w:asciiTheme="minorEastAsia" w:hAnsiTheme="minorEastAsia" w:eastAsiaTheme="minorEastAsia" w:cstheme="minorEastAsia"/>
          <w:b/>
          <w:strike w:val="0"/>
          <w:dstrike w:val="0"/>
          <w:snapToGrid/>
          <w:color w:val="auto"/>
          <w:spacing w:val="0"/>
          <w:kern w:val="2"/>
          <w:sz w:val="24"/>
          <w:szCs w:val="24"/>
          <w:highlight w:val="none"/>
          <w:lang w:val="en-US" w:eastAsia="zh-CN"/>
        </w:rPr>
        <w:t>1</w:t>
      </w:r>
      <w:r>
        <w:rPr>
          <w:rFonts w:hint="eastAsia" w:asciiTheme="minorEastAsia" w:hAnsiTheme="minorEastAsia" w:eastAsiaTheme="minorEastAsia" w:cstheme="minorEastAsia"/>
          <w:b/>
          <w:strike w:val="0"/>
          <w:dstrike w:val="0"/>
          <w:snapToGrid/>
          <w:color w:val="auto"/>
          <w:spacing w:val="0"/>
          <w:kern w:val="2"/>
          <w:sz w:val="24"/>
          <w:szCs w:val="24"/>
          <w:highlight w:val="none"/>
          <w:lang w:val="en-US" w:eastAsia="zh"/>
        </w:rPr>
        <w:t>.涂膜防水清单项目</w:t>
      </w:r>
    </w:p>
    <w:p w14:paraId="7CCC78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（1）计价综合考虑涂膜遍数、平、立面等。</w:t>
      </w:r>
    </w:p>
    <w:p w14:paraId="2140CC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（2）计价包括材料费用、材料运输、基层处理、刷基层处理剂、铺布、涂刷防水膜等相关费用。</w:t>
      </w:r>
    </w:p>
    <w:p w14:paraId="5B4D105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（3）涂膜防水分涂刷部位、涂膜材料、厚度，按设计图示尺寸以面积计算。其中：</w:t>
      </w:r>
    </w:p>
    <w:p w14:paraId="6A940B6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屋面涂膜防水：斜屋顶(不包括平屋顶找坡)按斜面面积计算，平屋顶按水平投影面积计算；不扣除房上烟囱、风帽底座、风道、屋面小气窗和斜沟所占面积，相应上述部位上翻不增加；屋面的女儿墙、伸缩缝、设备基础和天窗等处的上翻部分，并入屋面工程量内。</w:t>
      </w:r>
    </w:p>
    <w:p w14:paraId="5E848E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楼（地）面涂膜防水：按主墙间净空面积计算，扣除凸出地面的构筑物、设备基础单个面积&gt;0.3m²的柱、垛、烟囱和孔洞</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lang w:eastAsia="zh"/>
        </w:rPr>
        <w:t>所占面积；反边高度≤300mm</w:t>
      </w:r>
      <w:r>
        <w:rPr>
          <w:rFonts w:hint="eastAsia" w:asciiTheme="minorEastAsia" w:hAnsiTheme="minorEastAsia" w:eastAsiaTheme="minorEastAsia" w:cstheme="minorEastAsia"/>
          <w:color w:val="auto"/>
          <w:sz w:val="24"/>
          <w:szCs w:val="24"/>
          <w:highlight w:val="none"/>
          <w:lang w:eastAsia="zh-CN"/>
        </w:rPr>
        <w:t>算作</w:t>
      </w:r>
      <w:r>
        <w:rPr>
          <w:rFonts w:hint="eastAsia" w:asciiTheme="minorEastAsia" w:hAnsiTheme="minorEastAsia" w:eastAsiaTheme="minorEastAsia" w:cstheme="minorEastAsia"/>
          <w:color w:val="auto"/>
          <w:sz w:val="24"/>
          <w:szCs w:val="24"/>
          <w:highlight w:val="none"/>
          <w:lang w:eastAsia="zh"/>
        </w:rPr>
        <w:t>地面防水，反边高度&gt;300mm按墙面防水计算。</w:t>
      </w:r>
    </w:p>
    <w:p w14:paraId="178855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（4）当涂膜材料品种、厚度发生变更时，只调整涂膜材料的价差。</w:t>
      </w:r>
    </w:p>
    <w:p w14:paraId="6CB328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
        </w:rPr>
        <w:t>（5）防水保护层、找平层另按清单计价规范开列清单项目。</w:t>
      </w:r>
    </w:p>
    <w:p w14:paraId="3EFBF498">
      <w:pPr>
        <w:pStyle w:val="24"/>
        <w:keepNext w:val="0"/>
        <w:keepLines w:val="0"/>
        <w:pageBreakBefore w:val="0"/>
        <w:kinsoku/>
        <w:wordWrap/>
        <w:overflowPunct/>
        <w:autoSpaceDE/>
        <w:autoSpaceDN/>
        <w:bidi w:val="0"/>
        <w:adjustRightInd w:val="0"/>
        <w:snapToGrid w:val="0"/>
        <w:spacing w:beforeLines="50" w:beforeAutospacing="0" w:afterLines="50" w:line="360" w:lineRule="auto"/>
        <w:ind w:firstLine="482" w:firstLineChars="200"/>
        <w:textAlignment w:val="auto"/>
        <w:outlineLvl w:val="6"/>
        <w:rPr>
          <w:rFonts w:hint="eastAsia" w:asciiTheme="minorEastAsia" w:hAnsiTheme="minorEastAsia" w:eastAsiaTheme="minorEastAsia" w:cstheme="minorEastAsia"/>
          <w:b/>
          <w:strike w:val="0"/>
          <w:dstrike w:val="0"/>
          <w:snapToGrid/>
          <w:color w:val="auto"/>
          <w:spacing w:val="0"/>
          <w:kern w:val="2"/>
          <w:sz w:val="24"/>
          <w:szCs w:val="24"/>
          <w:highlight w:val="none"/>
        </w:rPr>
      </w:pPr>
      <w:r>
        <w:rPr>
          <w:rFonts w:hint="eastAsia" w:asciiTheme="minorEastAsia" w:hAnsiTheme="minorEastAsia" w:eastAsiaTheme="minorEastAsia" w:cstheme="minorEastAsia"/>
          <w:b/>
          <w:strike w:val="0"/>
          <w:dstrike w:val="0"/>
          <w:snapToGrid/>
          <w:color w:val="auto"/>
          <w:spacing w:val="0"/>
          <w:kern w:val="2"/>
          <w:sz w:val="24"/>
          <w:szCs w:val="24"/>
          <w:highlight w:val="none"/>
          <w:lang w:val="en-US" w:eastAsia="zh-CN"/>
        </w:rPr>
        <w:t>2</w:t>
      </w:r>
      <w:r>
        <w:rPr>
          <w:rFonts w:hint="eastAsia" w:asciiTheme="minorEastAsia" w:hAnsiTheme="minorEastAsia" w:eastAsiaTheme="minorEastAsia" w:cstheme="minorEastAsia"/>
          <w:b/>
          <w:strike w:val="0"/>
          <w:dstrike w:val="0"/>
          <w:snapToGrid/>
          <w:color w:val="auto"/>
          <w:spacing w:val="0"/>
          <w:kern w:val="2"/>
          <w:sz w:val="24"/>
          <w:szCs w:val="24"/>
          <w:highlight w:val="none"/>
        </w:rPr>
        <w:t>.砂浆保护层、防水找平层清单项目</w:t>
      </w:r>
    </w:p>
    <w:p w14:paraId="027281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（1）计价综合考虑平、立面，砂浆种类、厚度、配合比等。</w:t>
      </w:r>
    </w:p>
    <w:p w14:paraId="537DEE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（2）计价包括材料费用、材料运输、清理基层、砂浆制作、运输、刷水泥浆、铺筑、抹平压实等相关费用。</w:t>
      </w:r>
    </w:p>
    <w:p w14:paraId="4461A5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（3）保护层按设计图示尺寸以面积计算。</w:t>
      </w:r>
    </w:p>
    <w:p w14:paraId="0584EB9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color w:val="auto"/>
          <w:sz w:val="24"/>
          <w:szCs w:val="24"/>
          <w:highlight w:val="none"/>
          <w:lang w:eastAsia="zh"/>
        </w:rPr>
        <w:t>（4）砂浆防水保护层、找平层只适用于做防水的部位。</w:t>
      </w:r>
    </w:p>
    <w:p w14:paraId="05A510C2">
      <w:pPr>
        <w:spacing w:beforeLines="50" w:afterLines="50" w:line="360" w:lineRule="auto"/>
        <w:jc w:val="left"/>
        <w:outlineLvl w:val="4"/>
        <w:rPr>
          <w:rFonts w:ascii="宋体" w:hAnsi="宋体"/>
          <w:b/>
          <w:color w:val="auto"/>
          <w:sz w:val="28"/>
          <w:szCs w:val="28"/>
          <w:highlight w:val="none"/>
        </w:rPr>
      </w:pPr>
      <w:r>
        <w:rPr>
          <w:rFonts w:hint="eastAsia" w:ascii="宋体" w:hAnsi="宋体"/>
          <w:b/>
          <w:color w:val="auto"/>
          <w:sz w:val="28"/>
          <w:szCs w:val="28"/>
          <w:highlight w:val="none"/>
        </w:rPr>
        <w:t>L.楼地面装饰工程</w:t>
      </w:r>
    </w:p>
    <w:p w14:paraId="3007E907">
      <w:pPr>
        <w:pStyle w:val="24"/>
        <w:spacing w:beforeLines="50" w:beforeAutospacing="0" w:afterLines="50" w:line="360" w:lineRule="auto"/>
        <w:ind w:firstLine="496" w:firstLineChars="200"/>
        <w:rPr>
          <w:color w:val="auto"/>
          <w:highlight w:val="none"/>
        </w:rPr>
      </w:pPr>
      <w:r>
        <w:rPr>
          <w:rFonts w:hint="eastAsia"/>
          <w:color w:val="auto"/>
          <w:highlight w:val="none"/>
        </w:rPr>
        <w:t>共性问题说明：因各类管线施工致使找平层及结合层厚度变化而增减的费用均不作调整。计价综合</w:t>
      </w:r>
      <w:r>
        <w:rPr>
          <w:color w:val="auto"/>
          <w:highlight w:val="none"/>
        </w:rPr>
        <w:t>考虑</w:t>
      </w:r>
      <w:r>
        <w:rPr>
          <w:rFonts w:hint="eastAsia"/>
          <w:color w:val="auto"/>
          <w:highlight w:val="none"/>
        </w:rPr>
        <w:t>砂浆种类、配合比、厚度，砂浆种类不包括保温砂浆、防水砂浆。因工序搭接、预留孔洞所需的开槽、开孔费用含在相应清单费用内，不另行计算。材料的切割、磨边费用已含在相应清单费用内，不另行计算。</w:t>
      </w:r>
    </w:p>
    <w:p w14:paraId="656D32F6">
      <w:pPr>
        <w:spacing w:beforeLines="50" w:afterLines="50" w:line="360" w:lineRule="auto"/>
        <w:jc w:val="left"/>
        <w:outlineLvl w:val="5"/>
        <w:rPr>
          <w:rFonts w:ascii="宋体" w:hAnsi="宋体"/>
          <w:b/>
          <w:color w:val="auto"/>
          <w:sz w:val="28"/>
          <w:szCs w:val="28"/>
          <w:highlight w:val="none"/>
        </w:rPr>
      </w:pPr>
      <w:r>
        <w:rPr>
          <w:rFonts w:hint="eastAsia" w:ascii="宋体" w:hAnsi="宋体"/>
          <w:b/>
          <w:color w:val="auto"/>
          <w:sz w:val="28"/>
          <w:szCs w:val="28"/>
          <w:highlight w:val="none"/>
        </w:rPr>
        <w:t>L.1（整体面层及找平层）</w:t>
      </w:r>
    </w:p>
    <w:p w14:paraId="4ACB3782">
      <w:pPr>
        <w:keepNext w:val="0"/>
        <w:keepLines w:val="0"/>
        <w:pageBreakBefore w:val="0"/>
        <w:kinsoku/>
        <w:wordWrap/>
        <w:overflowPunct/>
        <w:autoSpaceDE/>
        <w:autoSpaceDN/>
        <w:bidi w:val="0"/>
        <w:adjustRightInd w:val="0"/>
        <w:snapToGrid w:val="0"/>
        <w:spacing w:beforeAutospacing="0" w:line="360" w:lineRule="auto"/>
        <w:ind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1.平面砂浆找平层</w:t>
      </w:r>
    </w:p>
    <w:p w14:paraId="131947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（1）计价综合考虑砂浆种类、配合比、厚度。</w:t>
      </w:r>
    </w:p>
    <w:p w14:paraId="7AE7D4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（2）计价包括基层处理、砂浆制作、抹找平层、压实、材料运输等相关费用。</w:t>
      </w:r>
    </w:p>
    <w:p w14:paraId="3946B0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
        </w:rPr>
      </w:pPr>
      <w:r>
        <w:rPr>
          <w:rFonts w:hint="eastAsia" w:asciiTheme="minorEastAsia" w:hAnsiTheme="minorEastAsia" w:eastAsiaTheme="minorEastAsia" w:cstheme="minorEastAsia"/>
          <w:color w:val="auto"/>
          <w:sz w:val="24"/>
          <w:szCs w:val="24"/>
          <w:highlight w:val="none"/>
          <w:lang w:eastAsia="zh"/>
        </w:rPr>
        <w:t>（3）计量按设计图示尺寸以面积计算。扣除凸出地面构筑物、设备基础、室内管道、地沟等所占面积，不扣除≤0.3m²柱、垛、附墙烟囱及孔洞所占面积。门洞、空圈、暖气包槽、壁龛的开口部分不增加面积。</w:t>
      </w:r>
    </w:p>
    <w:p w14:paraId="313AF5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
        </w:rPr>
        <w:t>（4）平面砂浆找平层适用于仅做找平层的平面抹灰及防水部位的找平层。</w:t>
      </w:r>
    </w:p>
    <w:p w14:paraId="16E66645">
      <w:pPr>
        <w:keepNext w:val="0"/>
        <w:keepLines w:val="0"/>
        <w:pageBreakBefore w:val="0"/>
        <w:kinsoku/>
        <w:wordWrap/>
        <w:overflowPunct/>
        <w:autoSpaceDE/>
        <w:autoSpaceDN/>
        <w:bidi w:val="0"/>
        <w:adjustRightInd w:val="0"/>
        <w:snapToGrid w:val="0"/>
        <w:spacing w:beforeAutospacing="0" w:line="360" w:lineRule="auto"/>
        <w:ind w:firstLine="482" w:firstLineChars="200"/>
        <w:jc w:val="left"/>
        <w:textAlignment w:val="auto"/>
        <w:outlineLvl w:val="6"/>
        <w:rPr>
          <w:rFonts w:hint="eastAsia" w:asciiTheme="minorEastAsia" w:hAnsiTheme="minorEastAsia" w:eastAsiaTheme="minorEastAsia" w:cstheme="minorEastAsia"/>
          <w:b/>
          <w:color w:val="000000"/>
          <w:sz w:val="24"/>
          <w:szCs w:val="24"/>
          <w:highlight w:val="none"/>
          <w:lang w:eastAsia="zh"/>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val="en-US" w:eastAsia="zh"/>
        </w:rPr>
        <w:t>车挡</w:t>
      </w:r>
    </w:p>
    <w:p w14:paraId="6E1509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
        </w:rPr>
      </w:pPr>
      <w:r>
        <w:rPr>
          <w:rFonts w:hint="eastAsia" w:asciiTheme="minorEastAsia" w:hAnsiTheme="minorEastAsia" w:eastAsiaTheme="minorEastAsia" w:cstheme="minorEastAsia"/>
          <w:color w:val="auto"/>
          <w:sz w:val="24"/>
          <w:szCs w:val="24"/>
          <w:highlight w:val="none"/>
          <w:lang w:eastAsia="zh"/>
        </w:rPr>
        <w:t>（1）</w:t>
      </w:r>
      <w:r>
        <w:rPr>
          <w:rFonts w:hint="eastAsia" w:asciiTheme="minorEastAsia" w:hAnsiTheme="minorEastAsia" w:eastAsiaTheme="minorEastAsia" w:cstheme="minorEastAsia"/>
          <w:color w:val="auto"/>
          <w:sz w:val="24"/>
          <w:szCs w:val="24"/>
          <w:highlight w:val="none"/>
          <w:lang w:val="en-US" w:eastAsia="zh"/>
        </w:rPr>
        <w:t>计价综合考虑样式、规格、安装。</w:t>
      </w:r>
    </w:p>
    <w:p w14:paraId="455A99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
        </w:rPr>
      </w:pPr>
      <w:r>
        <w:rPr>
          <w:rFonts w:hint="eastAsia" w:asciiTheme="minorEastAsia" w:hAnsiTheme="minorEastAsia" w:eastAsiaTheme="minorEastAsia" w:cstheme="minorEastAsia"/>
          <w:color w:val="auto"/>
          <w:sz w:val="24"/>
          <w:szCs w:val="24"/>
          <w:highlight w:val="none"/>
          <w:lang w:eastAsia="zh"/>
        </w:rPr>
        <w:t>（2）</w:t>
      </w:r>
      <w:r>
        <w:rPr>
          <w:rFonts w:hint="eastAsia" w:asciiTheme="minorEastAsia" w:hAnsiTheme="minorEastAsia" w:eastAsiaTheme="minorEastAsia" w:cstheme="minorEastAsia"/>
          <w:color w:val="auto"/>
          <w:sz w:val="24"/>
          <w:szCs w:val="24"/>
          <w:highlight w:val="none"/>
          <w:lang w:val="en-US" w:eastAsia="zh"/>
        </w:rPr>
        <w:t>计量分不同材质，按设计图纸按个计算。</w:t>
      </w:r>
    </w:p>
    <w:p w14:paraId="0B33B4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000000"/>
          <w:spacing w:val="4"/>
          <w:kern w:val="0"/>
          <w:sz w:val="24"/>
          <w:szCs w:val="24"/>
          <w:highlight w:val="none"/>
          <w:lang w:val="en-US" w:eastAsia="zh" w:bidi="ar-SA"/>
        </w:rPr>
      </w:pPr>
      <w:r>
        <w:rPr>
          <w:rFonts w:hint="eastAsia" w:asciiTheme="minorEastAsia" w:hAnsiTheme="minorEastAsia" w:eastAsiaTheme="minorEastAsia" w:cstheme="minorEastAsia"/>
          <w:color w:val="auto"/>
          <w:sz w:val="24"/>
          <w:szCs w:val="24"/>
          <w:highlight w:val="none"/>
          <w:lang w:eastAsia="zh"/>
        </w:rPr>
        <w:t>（3）当车挡材料、厚度发生变更时，调整材料价差。</w:t>
      </w:r>
    </w:p>
    <w:p w14:paraId="5110E392">
      <w:pPr>
        <w:keepNext w:val="0"/>
        <w:keepLines w:val="0"/>
        <w:pageBreakBefore w:val="0"/>
        <w:widowControl w:val="0"/>
        <w:kinsoku/>
        <w:wordWrap/>
        <w:overflowPunct/>
        <w:topLinePunct w:val="0"/>
        <w:autoSpaceDE/>
        <w:autoSpaceDN/>
        <w:bidi w:val="0"/>
        <w:adjustRightInd w:val="0"/>
        <w:snapToGrid w:val="0"/>
        <w:spacing w:before="144" w:beforeLines="50" w:beforeAutospacing="0" w:after="144" w:afterLines="50" w:line="360" w:lineRule="auto"/>
        <w:ind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lang w:val="en-US" w:eastAsia="zh"/>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lang w:val="en-US" w:eastAsia="zh"/>
        </w:rPr>
        <w:t>墙柱面防撞板</w:t>
      </w:r>
    </w:p>
    <w:p w14:paraId="539B5B0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
        </w:rPr>
      </w:pPr>
      <w:r>
        <w:rPr>
          <w:rFonts w:hint="eastAsia" w:asciiTheme="minorEastAsia" w:hAnsiTheme="minorEastAsia" w:eastAsiaTheme="minorEastAsia" w:cstheme="minorEastAsia"/>
          <w:color w:val="auto"/>
          <w:sz w:val="24"/>
          <w:szCs w:val="24"/>
          <w:highlight w:val="none"/>
          <w:lang w:eastAsia="zh"/>
        </w:rPr>
        <w:t>（1）</w:t>
      </w:r>
      <w:r>
        <w:rPr>
          <w:rFonts w:hint="eastAsia" w:asciiTheme="minorEastAsia" w:hAnsiTheme="minorEastAsia" w:eastAsiaTheme="minorEastAsia" w:cstheme="minorEastAsia"/>
          <w:color w:val="auto"/>
          <w:sz w:val="24"/>
          <w:szCs w:val="24"/>
          <w:highlight w:val="none"/>
          <w:lang w:val="en-US" w:eastAsia="zh"/>
        </w:rPr>
        <w:t>计价综合考虑样式、规格、安装。</w:t>
      </w:r>
    </w:p>
    <w:p w14:paraId="5816AA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
        </w:rPr>
      </w:pPr>
      <w:r>
        <w:rPr>
          <w:rFonts w:hint="eastAsia" w:asciiTheme="minorEastAsia" w:hAnsiTheme="minorEastAsia" w:eastAsiaTheme="minorEastAsia" w:cstheme="minorEastAsia"/>
          <w:color w:val="auto"/>
          <w:sz w:val="24"/>
          <w:szCs w:val="24"/>
          <w:highlight w:val="none"/>
          <w:lang w:eastAsia="zh"/>
        </w:rPr>
        <w:t>（2）</w:t>
      </w:r>
      <w:r>
        <w:rPr>
          <w:rFonts w:hint="eastAsia" w:asciiTheme="minorEastAsia" w:hAnsiTheme="minorEastAsia" w:eastAsiaTheme="minorEastAsia" w:cstheme="minorEastAsia"/>
          <w:color w:val="auto"/>
          <w:sz w:val="24"/>
          <w:szCs w:val="24"/>
          <w:highlight w:val="none"/>
          <w:lang w:val="en-US" w:eastAsia="zh"/>
        </w:rPr>
        <w:t>计量分不同材质，按设计图纸</w:t>
      </w:r>
      <w:r>
        <w:rPr>
          <w:rFonts w:hint="eastAsia" w:asciiTheme="minorEastAsia" w:hAnsiTheme="minorEastAsia" w:eastAsiaTheme="minorEastAsia" w:cstheme="minorEastAsia"/>
          <w:color w:val="auto"/>
          <w:sz w:val="24"/>
          <w:szCs w:val="24"/>
          <w:highlight w:val="none"/>
          <w:lang w:val="en-US" w:eastAsia="zh"/>
        </w:rPr>
        <w:t>按</w:t>
      </w:r>
      <w:r>
        <w:rPr>
          <w:rFonts w:hint="eastAsia" w:asciiTheme="minorEastAsia" w:hAnsiTheme="minorEastAsia" w:eastAsiaTheme="minorEastAsia" w:cstheme="minorEastAsia"/>
          <w:color w:val="auto"/>
          <w:sz w:val="24"/>
          <w:szCs w:val="24"/>
          <w:highlight w:val="none"/>
          <w:lang w:val="en-US" w:eastAsia="zh-CN"/>
        </w:rPr>
        <w:t>m</w:t>
      </w:r>
      <w:r>
        <w:rPr>
          <w:rFonts w:hint="eastAsia" w:asciiTheme="minorEastAsia" w:hAnsiTheme="minorEastAsia" w:eastAsiaTheme="minorEastAsia" w:cstheme="minorEastAsia"/>
          <w:color w:val="auto"/>
          <w:sz w:val="24"/>
          <w:szCs w:val="24"/>
          <w:highlight w:val="none"/>
          <w:lang w:val="en-US" w:eastAsia="zh"/>
        </w:rPr>
        <w:t>计</w:t>
      </w:r>
      <w:r>
        <w:rPr>
          <w:rFonts w:hint="eastAsia" w:asciiTheme="minorEastAsia" w:hAnsiTheme="minorEastAsia" w:eastAsiaTheme="minorEastAsia" w:cstheme="minorEastAsia"/>
          <w:color w:val="auto"/>
          <w:sz w:val="24"/>
          <w:szCs w:val="24"/>
          <w:highlight w:val="none"/>
          <w:lang w:val="en-US" w:eastAsia="zh"/>
        </w:rPr>
        <w:t>算。</w:t>
      </w:r>
    </w:p>
    <w:p w14:paraId="172C0D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000000"/>
          <w:spacing w:val="4"/>
          <w:kern w:val="0"/>
          <w:sz w:val="24"/>
          <w:szCs w:val="24"/>
          <w:highlight w:val="none"/>
          <w:lang w:val="en-US" w:eastAsia="zh" w:bidi="ar-SA"/>
        </w:rPr>
      </w:pPr>
      <w:r>
        <w:rPr>
          <w:rFonts w:hint="eastAsia" w:asciiTheme="minorEastAsia" w:hAnsiTheme="minorEastAsia" w:eastAsiaTheme="minorEastAsia" w:cstheme="minorEastAsia"/>
          <w:color w:val="auto"/>
          <w:sz w:val="24"/>
          <w:szCs w:val="24"/>
          <w:highlight w:val="none"/>
          <w:lang w:eastAsia="zh"/>
        </w:rPr>
        <w:t>（3）当防撞板材料、厚度发生变更时，调整材料价差。</w:t>
      </w:r>
    </w:p>
    <w:p w14:paraId="7C1E9798">
      <w:pPr>
        <w:keepNext w:val="0"/>
        <w:keepLines w:val="0"/>
        <w:pageBreakBefore w:val="0"/>
        <w:kinsoku/>
        <w:wordWrap/>
        <w:overflowPunct/>
        <w:autoSpaceDE/>
        <w:autoSpaceDN/>
        <w:bidi w:val="0"/>
        <w:adjustRightInd w:val="0"/>
        <w:snapToGrid w:val="0"/>
        <w:spacing w:beforeAutospacing="0" w:line="360" w:lineRule="auto"/>
        <w:ind w:firstLine="482" w:firstLineChars="200"/>
        <w:jc w:val="left"/>
        <w:textAlignment w:val="auto"/>
        <w:outlineLvl w:val="6"/>
        <w:rPr>
          <w:rFonts w:hint="eastAsia" w:asciiTheme="minorEastAsia" w:hAnsiTheme="minorEastAsia" w:eastAsiaTheme="minorEastAsia" w:cstheme="minorEastAsia"/>
          <w:b/>
          <w:color w:val="000000"/>
          <w:sz w:val="24"/>
          <w:szCs w:val="24"/>
          <w:highlight w:val="none"/>
          <w:lang w:eastAsia="zh"/>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lang w:val="en-US" w:eastAsia="zh"/>
        </w:rPr>
        <w:t>闸挡板</w:t>
      </w:r>
    </w:p>
    <w:p w14:paraId="07B82F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
        </w:rPr>
      </w:pPr>
      <w:r>
        <w:rPr>
          <w:rFonts w:hint="eastAsia" w:asciiTheme="minorEastAsia" w:hAnsiTheme="minorEastAsia" w:eastAsiaTheme="minorEastAsia" w:cstheme="minorEastAsia"/>
          <w:color w:val="auto"/>
          <w:sz w:val="24"/>
          <w:szCs w:val="24"/>
          <w:highlight w:val="none"/>
          <w:lang w:eastAsia="zh"/>
        </w:rPr>
        <w:t>（1）</w:t>
      </w:r>
      <w:r>
        <w:rPr>
          <w:rFonts w:hint="eastAsia" w:asciiTheme="minorEastAsia" w:hAnsiTheme="minorEastAsia" w:eastAsiaTheme="minorEastAsia" w:cstheme="minorEastAsia"/>
          <w:color w:val="auto"/>
          <w:sz w:val="24"/>
          <w:szCs w:val="24"/>
          <w:highlight w:val="none"/>
          <w:lang w:val="en-US" w:eastAsia="zh"/>
        </w:rPr>
        <w:t>计价综合考虑样式、规格、安装。</w:t>
      </w:r>
    </w:p>
    <w:p w14:paraId="2EF8DE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
        </w:rPr>
      </w:pPr>
      <w:r>
        <w:rPr>
          <w:rFonts w:hint="eastAsia" w:asciiTheme="minorEastAsia" w:hAnsiTheme="minorEastAsia" w:eastAsiaTheme="minorEastAsia" w:cstheme="minorEastAsia"/>
          <w:color w:val="auto"/>
          <w:sz w:val="24"/>
          <w:szCs w:val="24"/>
          <w:highlight w:val="none"/>
          <w:lang w:eastAsia="zh"/>
        </w:rPr>
        <w:t>（2）</w:t>
      </w:r>
      <w:r>
        <w:rPr>
          <w:rFonts w:hint="eastAsia" w:asciiTheme="minorEastAsia" w:hAnsiTheme="minorEastAsia" w:eastAsiaTheme="minorEastAsia" w:cstheme="minorEastAsia"/>
          <w:color w:val="auto"/>
          <w:sz w:val="24"/>
          <w:szCs w:val="24"/>
          <w:highlight w:val="none"/>
          <w:lang w:val="en-US" w:eastAsia="zh"/>
        </w:rPr>
        <w:t>计量分不同材质，按设计图纸</w:t>
      </w:r>
      <w:r>
        <w:rPr>
          <w:rFonts w:hint="eastAsia" w:asciiTheme="minorEastAsia" w:hAnsiTheme="minorEastAsia" w:eastAsiaTheme="minorEastAsia" w:cstheme="minorEastAsia"/>
          <w:color w:val="auto"/>
          <w:sz w:val="24"/>
          <w:szCs w:val="24"/>
          <w:highlight w:val="none"/>
          <w:lang w:val="en-US" w:eastAsia="zh"/>
        </w:rPr>
        <w:t>按米</w:t>
      </w:r>
      <w:r>
        <w:rPr>
          <w:rFonts w:hint="eastAsia" w:asciiTheme="minorEastAsia" w:hAnsiTheme="minorEastAsia" w:eastAsiaTheme="minorEastAsia" w:cstheme="minorEastAsia"/>
          <w:color w:val="auto"/>
          <w:sz w:val="24"/>
          <w:szCs w:val="24"/>
          <w:highlight w:val="none"/>
          <w:lang w:val="en-US" w:eastAsia="zh"/>
        </w:rPr>
        <w:t>计算。</w:t>
      </w:r>
    </w:p>
    <w:p w14:paraId="35F52F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FFFFFF"/>
          <w:spacing w:val="4"/>
          <w:kern w:val="0"/>
          <w:sz w:val="24"/>
          <w:szCs w:val="24"/>
          <w:highlight w:val="none"/>
          <w:lang w:val="en-US" w:eastAsia="zh" w:bidi="ar-SA"/>
        </w:rPr>
      </w:pPr>
      <w:r>
        <w:rPr>
          <w:rFonts w:hint="eastAsia" w:asciiTheme="minorEastAsia" w:hAnsiTheme="minorEastAsia" w:eastAsiaTheme="minorEastAsia" w:cstheme="minorEastAsia"/>
          <w:color w:val="auto"/>
          <w:sz w:val="24"/>
          <w:szCs w:val="24"/>
          <w:highlight w:val="none"/>
          <w:lang w:eastAsia="zh"/>
        </w:rPr>
        <w:t>（3）当挡板材料、厚度发生变更时，调整材料价差。</w:t>
      </w:r>
      <w:r>
        <w:rPr>
          <w:rFonts w:hint="eastAsia" w:asciiTheme="minorEastAsia" w:hAnsiTheme="minorEastAsia" w:eastAsiaTheme="minorEastAsia" w:cstheme="minorEastAsia"/>
          <w:color w:val="FFFFFF"/>
          <w:sz w:val="24"/>
          <w:szCs w:val="24"/>
          <w:highlight w:val="none"/>
        </w:rPr>
        <w:t>。</w:t>
      </w:r>
    </w:p>
    <w:p w14:paraId="5FACE002">
      <w:pPr>
        <w:spacing w:beforeLines="50" w:afterLines="50" w:line="360" w:lineRule="auto"/>
        <w:jc w:val="left"/>
        <w:outlineLvl w:val="4"/>
        <w:rPr>
          <w:rFonts w:ascii="宋体" w:hAnsi="宋体"/>
          <w:b/>
          <w:color w:val="auto"/>
          <w:sz w:val="28"/>
          <w:szCs w:val="28"/>
          <w:highlight w:val="none"/>
        </w:rPr>
      </w:pPr>
      <w:r>
        <w:rPr>
          <w:rFonts w:hint="eastAsia" w:ascii="宋体" w:hAnsi="宋体"/>
          <w:b/>
          <w:color w:val="auto"/>
          <w:sz w:val="28"/>
          <w:szCs w:val="28"/>
          <w:highlight w:val="none"/>
        </w:rPr>
        <w:t>M.墙、柱面装饰与隔断、幕墙工程</w:t>
      </w:r>
    </w:p>
    <w:p w14:paraId="6AC7F9DE">
      <w:pPr>
        <w:keepNext w:val="0"/>
        <w:keepLines w:val="0"/>
        <w:pageBreakBefore w:val="0"/>
        <w:kinsoku/>
        <w:wordWrap/>
        <w:overflowPunct/>
        <w:autoSpaceDE/>
        <w:autoSpaceDN/>
        <w:bidi w:val="0"/>
        <w:adjustRightInd w:val="0"/>
        <w:snapToGrid w:val="0"/>
        <w:spacing w:line="360" w:lineRule="auto"/>
        <w:ind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1.墙面一般抹灰</w:t>
      </w:r>
    </w:p>
    <w:p w14:paraId="40C3CF5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（1）计价综合考虑砂浆种类、配合比、厚度、墙体类型。</w:t>
      </w:r>
    </w:p>
    <w:p w14:paraId="672F90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（2）计价包括基层处理、找平层、面层、分格缝制作、材料运输等相关费用。</w:t>
      </w:r>
    </w:p>
    <w:p w14:paraId="7B47DE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（3）计量按设计图示尺寸以面积计算。扣除墙裙、门窗洞口及单个＞0.3㎡的孔洞面积，不扣除踢脚线、挂镜线和墙与构件交界处的面积。附墙柱、梁、垛、烟窗侧壁并入相应的墙面面积内；</w:t>
      </w:r>
      <w:bookmarkStart w:id="166" w:name="OLE_LINK38"/>
      <w:bookmarkStart w:id="167" w:name="OLE_LINK39"/>
      <w:r>
        <w:rPr>
          <w:rFonts w:hint="eastAsia" w:asciiTheme="minorEastAsia" w:hAnsiTheme="minorEastAsia" w:eastAsiaTheme="minorEastAsia" w:cstheme="minorEastAsia"/>
          <w:color w:val="auto"/>
          <w:sz w:val="24"/>
          <w:szCs w:val="24"/>
          <w:highlight w:val="none"/>
        </w:rPr>
        <w:t>门窗洞口和孔洞的侧壁及顶面不增加面积</w:t>
      </w:r>
      <w:bookmarkEnd w:id="166"/>
      <w:bookmarkEnd w:id="167"/>
      <w:r>
        <w:rPr>
          <w:rFonts w:hint="eastAsia" w:asciiTheme="minorEastAsia" w:hAnsiTheme="minorEastAsia" w:eastAsiaTheme="minorEastAsia" w:cstheme="minorEastAsia"/>
          <w:color w:val="auto"/>
          <w:sz w:val="24"/>
          <w:szCs w:val="24"/>
          <w:highlight w:val="none"/>
        </w:rPr>
        <w:t>。外墙抹灰面积按外墙垂直投影面积计算；外墙裙抹灰面积按其长度乘以高度计算；内墙抹灰面积按主墙间的净长乘以高度计算。</w:t>
      </w:r>
    </w:p>
    <w:p w14:paraId="75964707">
      <w:pPr>
        <w:keepNext w:val="0"/>
        <w:keepLines w:val="0"/>
        <w:pageBreakBefore w:val="0"/>
        <w:widowControl/>
        <w:kinsoku/>
        <w:wordWrap/>
        <w:overflowPunct/>
        <w:autoSpaceDE/>
        <w:autoSpaceDN/>
        <w:bidi w:val="0"/>
        <w:adjustRightInd w:val="0"/>
        <w:snapToGrid w:val="0"/>
        <w:spacing w:line="360" w:lineRule="auto"/>
        <w:ind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2.墙、柱面钉挂网清单项目</w:t>
      </w:r>
    </w:p>
    <w:p w14:paraId="1ECF6D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（1）计价综合考虑规格、厚度。</w:t>
      </w:r>
    </w:p>
    <w:p w14:paraId="5A9284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（2）计价包括剪钢（铁）网、安装、安膨胀螺栓、运输等一切相关费用。</w:t>
      </w:r>
    </w:p>
    <w:p w14:paraId="28D8A8B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（3）计量按设计图示尺寸面积以平方米计量。</w:t>
      </w:r>
    </w:p>
    <w:p w14:paraId="0B1B72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（4）当材质发生变更时，只调整材料价差。</w:t>
      </w:r>
    </w:p>
    <w:p w14:paraId="442EE867">
      <w:pPr>
        <w:keepNext w:val="0"/>
        <w:keepLines w:val="0"/>
        <w:pageBreakBefore w:val="0"/>
        <w:kinsoku/>
        <w:wordWrap/>
        <w:overflowPunct/>
        <w:autoSpaceDE/>
        <w:autoSpaceDN/>
        <w:bidi w:val="0"/>
        <w:adjustRightInd w:val="0"/>
        <w:snapToGrid w:val="0"/>
        <w:spacing w:line="360" w:lineRule="auto"/>
        <w:ind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3.墙、柱、梁面、零星项目找平层</w:t>
      </w:r>
    </w:p>
    <w:p w14:paraId="2DE240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（1）计价综合考虑砂浆种类、配合比、厚度。</w:t>
      </w:r>
    </w:p>
    <w:p w14:paraId="76BEC2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（2）计价包括基层处理、抹灰找平、砂浆制作、材料运输等相关费用。</w:t>
      </w:r>
    </w:p>
    <w:p w14:paraId="6FD8AA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按设计图示尺寸以面积计算。扣除墙裙、门窗洞口及单个＞0.3㎡的孔洞面积，不扣除挂镜线和墙与构件交界处的面积。附墙柱、梁、垛、烟窗侧壁并入相应的墙面面积内；门窗洞口和孔洞的侧壁及顶面不增加面积。外墙抹灰面积按外墙垂直投影面积计算；外墙裙抹灰面积按其长度乘以高度计算；内墙抹灰面积按主墙间的净长乘以高度计算。</w:t>
      </w:r>
    </w:p>
    <w:p w14:paraId="3C52A106">
      <w:pPr>
        <w:spacing w:beforeLines="50" w:afterLines="50" w:line="360" w:lineRule="auto"/>
        <w:jc w:val="left"/>
        <w:outlineLvl w:val="4"/>
        <w:rPr>
          <w:rFonts w:ascii="宋体" w:hAnsi="宋体"/>
          <w:b/>
          <w:color w:val="auto"/>
          <w:sz w:val="28"/>
          <w:szCs w:val="28"/>
          <w:highlight w:val="none"/>
        </w:rPr>
      </w:pPr>
      <w:r>
        <w:rPr>
          <w:rFonts w:hint="eastAsia" w:ascii="宋体" w:hAnsi="宋体"/>
          <w:b/>
          <w:color w:val="auto"/>
          <w:sz w:val="28"/>
          <w:szCs w:val="28"/>
          <w:highlight w:val="none"/>
        </w:rPr>
        <w:t>P.油漆、涂料、裱糊工程</w:t>
      </w:r>
    </w:p>
    <w:p w14:paraId="149E0DF1">
      <w:pPr>
        <w:keepNext w:val="0"/>
        <w:keepLines w:val="0"/>
        <w:pageBreakBefore w:val="0"/>
        <w:kinsoku/>
        <w:wordWrap/>
        <w:overflowPunct/>
        <w:autoSpaceDE/>
        <w:autoSpaceDN/>
        <w:bidi w:val="0"/>
        <w:adjustRightInd w:val="0"/>
        <w:snapToGrid w:val="0"/>
        <w:spacing w:line="360" w:lineRule="auto"/>
        <w:ind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1.油漆、涂料、糊裱清单项目</w:t>
      </w:r>
    </w:p>
    <w:p w14:paraId="1420DA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（1）计价综合考虑遍数、腻子种类；基底类型、防护材料种类。</w:t>
      </w:r>
    </w:p>
    <w:p w14:paraId="1592429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（2）计价包括基层、面层、刮腻子、油漆、涂料、裱糊、材料运输等相关费用。</w:t>
      </w:r>
    </w:p>
    <w:p w14:paraId="6FAF58E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（3）计量分材料种类按图示尺寸以平方米计算。</w:t>
      </w:r>
    </w:p>
    <w:p w14:paraId="6587DA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（4）当油漆、涂料、裱糊种类发生变更时，调整油漆、涂料、裱糊材料价差。</w:t>
      </w:r>
    </w:p>
    <w:bookmarkEnd w:id="107"/>
    <w:bookmarkEnd w:id="159"/>
    <w:bookmarkEnd w:id="160"/>
    <w:bookmarkEnd w:id="161"/>
    <w:bookmarkEnd w:id="162"/>
    <w:bookmarkEnd w:id="163"/>
    <w:bookmarkEnd w:id="164"/>
    <w:bookmarkEnd w:id="165"/>
    <w:p w14:paraId="5B5B5FE2">
      <w:pPr>
        <w:pStyle w:val="24"/>
        <w:keepNext w:val="0"/>
        <w:keepLines w:val="0"/>
        <w:pageBreakBefore w:val="0"/>
        <w:kinsoku/>
        <w:wordWrap/>
        <w:overflowPunct/>
        <w:autoSpaceDE/>
        <w:autoSpaceDN/>
        <w:bidi w:val="0"/>
        <w:adjustRightInd w:val="0"/>
        <w:snapToGrid w:val="0"/>
        <w:spacing w:beforeLines="50" w:beforeAutospacing="0" w:afterLines="50" w:line="360" w:lineRule="auto"/>
        <w:ind w:left="0" w:leftChars="0" w:firstLine="0" w:firstLineChars="0"/>
        <w:textAlignment w:val="auto"/>
        <w:outlineLvl w:val="9"/>
        <w:rPr>
          <w:rFonts w:hint="eastAsia" w:ascii="宋体" w:hAnsi="宋体" w:cs="宋体"/>
          <w:color w:val="auto"/>
          <w:sz w:val="24"/>
          <w:szCs w:val="24"/>
          <w:highlight w:val="none"/>
        </w:rPr>
      </w:pPr>
    </w:p>
    <w:p w14:paraId="7FA72FA2">
      <w:pPr>
        <w:pStyle w:val="27"/>
        <w:numPr>
          <w:ilvl w:val="0"/>
          <w:numId w:val="4"/>
        </w:numPr>
        <w:spacing w:before="143" w:after="143" w:line="360" w:lineRule="auto"/>
        <w:jc w:val="center"/>
        <w:outlineLvl w:val="3"/>
        <w:rPr>
          <w:color w:val="auto"/>
          <w:sz w:val="28"/>
          <w:szCs w:val="28"/>
          <w:highlight w:val="none"/>
        </w:rPr>
      </w:pPr>
      <w:r>
        <w:rPr>
          <w:rFonts w:hint="eastAsia"/>
          <w:color w:val="auto"/>
          <w:sz w:val="28"/>
          <w:szCs w:val="28"/>
          <w:highlight w:val="none"/>
        </w:rPr>
        <w:t>通用安装工程计价补充说明</w:t>
      </w:r>
    </w:p>
    <w:p w14:paraId="3FAD1DE2">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1.各类泵</w:t>
      </w:r>
    </w:p>
    <w:p w14:paraId="39D2DB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（1）计量包括泵及配件[含</w:t>
      </w:r>
      <w:r>
        <w:rPr>
          <w:rFonts w:hint="eastAsia" w:asciiTheme="minorEastAsia" w:hAnsiTheme="minorEastAsia" w:eastAsiaTheme="minorEastAsia" w:cstheme="minorEastAsia"/>
          <w:color w:val="auto"/>
          <w:sz w:val="24"/>
          <w:szCs w:val="24"/>
          <w:highlight w:val="none"/>
          <w:lang w:eastAsia="zh-CN"/>
        </w:rPr>
        <w:t>随机</w:t>
      </w:r>
      <w:r>
        <w:rPr>
          <w:rFonts w:hint="eastAsia" w:asciiTheme="minorEastAsia" w:hAnsiTheme="minorEastAsia" w:eastAsiaTheme="minorEastAsia" w:cstheme="minorEastAsia"/>
          <w:color w:val="auto"/>
          <w:sz w:val="24"/>
          <w:szCs w:val="24"/>
          <w:highlight w:val="none"/>
        </w:rPr>
        <w:t>配套控制柜</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箱、管件、仪表、底座、地脚螺栓、减震垫（器）等全部配件]。分不同的型号、规格、材质、类别，不分安装方式，综合考虑减震垫（器）形式、数量、灌浆配合比，按设计图示数量以“台”为计量单位计算。</w:t>
      </w:r>
    </w:p>
    <w:p w14:paraId="17A094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（2）计价包括预埋件预埋，泵拆装检查，本体及配件[含</w:t>
      </w:r>
      <w:r>
        <w:rPr>
          <w:rFonts w:hint="eastAsia" w:asciiTheme="minorEastAsia" w:hAnsiTheme="minorEastAsia" w:eastAsiaTheme="minorEastAsia" w:cstheme="minorEastAsia"/>
          <w:color w:val="auto"/>
          <w:sz w:val="24"/>
          <w:szCs w:val="24"/>
          <w:highlight w:val="none"/>
          <w:lang w:eastAsia="zh-CN"/>
        </w:rPr>
        <w:t>随机</w:t>
      </w:r>
      <w:r>
        <w:rPr>
          <w:rFonts w:hint="eastAsia" w:asciiTheme="minorEastAsia" w:hAnsiTheme="minorEastAsia" w:eastAsiaTheme="minorEastAsia" w:cstheme="minorEastAsia"/>
          <w:color w:val="auto"/>
          <w:sz w:val="24"/>
          <w:szCs w:val="24"/>
          <w:highlight w:val="none"/>
        </w:rPr>
        <w:t>配套控制柜</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箱、管件、仪表、底座、地脚螺栓、减震垫（器）等全部配件]安装，电动机安装、检查接线、自耦装置安装、检查、干燥、配线、调试，</w:t>
      </w:r>
      <w:r>
        <w:rPr>
          <w:rFonts w:hint="eastAsia" w:asciiTheme="minorEastAsia" w:hAnsiTheme="minorEastAsia" w:eastAsiaTheme="minorEastAsia" w:cstheme="minorEastAsia"/>
          <w:color w:val="auto"/>
          <w:sz w:val="24"/>
          <w:szCs w:val="24"/>
          <w:highlight w:val="none"/>
          <w:lang w:eastAsia="zh-CN"/>
        </w:rPr>
        <w:t>随机</w:t>
      </w:r>
      <w:r>
        <w:rPr>
          <w:rFonts w:hint="eastAsia" w:asciiTheme="minorEastAsia" w:hAnsiTheme="minorEastAsia" w:eastAsiaTheme="minorEastAsia" w:cstheme="minorEastAsia"/>
          <w:color w:val="auto"/>
          <w:sz w:val="24"/>
          <w:szCs w:val="24"/>
          <w:highlight w:val="none"/>
        </w:rPr>
        <w:t>配套控制柜</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箱与电机的电气配管及线缆连接、二次灌浆，基础型钢制安、单机试运转，补刷（喷）油漆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接地</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，需保温的包括机组保温、绝热、保护层等相关费用。</w:t>
      </w:r>
    </w:p>
    <w:p w14:paraId="5B1DA1F2">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2.变频给水设备、稳压给水设备、无负压给水设备</w:t>
      </w:r>
    </w:p>
    <w:p w14:paraId="3E62AA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（1）计量包括泵体及附件[含配套气压罐及电动机、</w:t>
      </w:r>
      <w:r>
        <w:rPr>
          <w:rFonts w:hint="eastAsia" w:asciiTheme="minorEastAsia" w:hAnsiTheme="minorEastAsia" w:eastAsiaTheme="minorEastAsia" w:cstheme="minorEastAsia"/>
          <w:color w:val="auto"/>
          <w:sz w:val="24"/>
          <w:szCs w:val="24"/>
          <w:highlight w:val="none"/>
          <w:lang w:eastAsia="zh-CN"/>
        </w:rPr>
        <w:t>随机</w:t>
      </w:r>
      <w:r>
        <w:rPr>
          <w:rFonts w:hint="eastAsia" w:asciiTheme="minorEastAsia" w:hAnsiTheme="minorEastAsia" w:eastAsiaTheme="minorEastAsia" w:cstheme="minorEastAsia"/>
          <w:color w:val="auto"/>
          <w:sz w:val="24"/>
          <w:szCs w:val="24"/>
          <w:highlight w:val="none"/>
        </w:rPr>
        <w:t>配套控制柜</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箱、支架、刷油、防腐蚀等]，分不同设备名称、型号、规格、水泵主要技术参数，附件名称、规格、数量，减震装置形式，按图示数量以“套”为计量单位计算。</w:t>
      </w:r>
    </w:p>
    <w:p w14:paraId="5EA0E6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（2）计价包括设备安装，气压罐、电动机安装、</w:t>
      </w:r>
      <w:r>
        <w:rPr>
          <w:rFonts w:hint="eastAsia" w:asciiTheme="minorEastAsia" w:hAnsiTheme="minorEastAsia" w:eastAsiaTheme="minorEastAsia" w:cstheme="minorEastAsia"/>
          <w:color w:val="auto"/>
          <w:sz w:val="24"/>
          <w:szCs w:val="24"/>
          <w:highlight w:val="none"/>
          <w:lang w:eastAsia="zh-CN"/>
        </w:rPr>
        <w:t>随机</w:t>
      </w:r>
      <w:r>
        <w:rPr>
          <w:rFonts w:hint="eastAsia" w:asciiTheme="minorEastAsia" w:hAnsiTheme="minorEastAsia" w:eastAsiaTheme="minorEastAsia" w:cstheme="minorEastAsia"/>
          <w:color w:val="auto"/>
          <w:sz w:val="24"/>
          <w:szCs w:val="24"/>
          <w:highlight w:val="none"/>
        </w:rPr>
        <w:t>配套控制柜</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箱安装、</w:t>
      </w:r>
      <w:r>
        <w:rPr>
          <w:rFonts w:hint="eastAsia" w:asciiTheme="minorEastAsia" w:hAnsiTheme="minorEastAsia" w:eastAsiaTheme="minorEastAsia" w:cstheme="minorEastAsia"/>
          <w:color w:val="auto"/>
          <w:sz w:val="24"/>
          <w:szCs w:val="24"/>
          <w:highlight w:val="none"/>
          <w:lang w:eastAsia="zh-CN"/>
        </w:rPr>
        <w:t>随机</w:t>
      </w:r>
      <w:r>
        <w:rPr>
          <w:rFonts w:hint="eastAsia" w:asciiTheme="minorEastAsia" w:hAnsiTheme="minorEastAsia" w:eastAsiaTheme="minorEastAsia" w:cstheme="minorEastAsia"/>
          <w:color w:val="auto"/>
          <w:sz w:val="24"/>
          <w:szCs w:val="24"/>
          <w:highlight w:val="none"/>
        </w:rPr>
        <w:t>配套控制柜</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箱与电机的电气配管及线缆连接、调试、减震装置制作安装、二次灌浆、支架制作安装及防锈刷油、防腐蚀、检查接线、地脚螺栓、接地等工作内容。</w:t>
      </w:r>
    </w:p>
    <w:p w14:paraId="6C5F264D">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3.给排水、</w:t>
      </w:r>
      <w:r>
        <w:rPr>
          <w:rFonts w:hint="eastAsia" w:asciiTheme="minorEastAsia" w:hAnsiTheme="minorEastAsia" w:eastAsiaTheme="minorEastAsia" w:cstheme="minorEastAsia"/>
          <w:b/>
          <w:color w:val="auto"/>
          <w:sz w:val="24"/>
          <w:szCs w:val="24"/>
          <w:highlight w:val="none"/>
          <w:lang w:val="en-US" w:eastAsia="zh-CN"/>
        </w:rPr>
        <w:t>消防水、</w:t>
      </w:r>
      <w:r>
        <w:rPr>
          <w:rFonts w:hint="eastAsia" w:asciiTheme="minorEastAsia" w:hAnsiTheme="minorEastAsia" w:eastAsiaTheme="minorEastAsia" w:cstheme="minorEastAsia"/>
          <w:b/>
          <w:color w:val="auto"/>
          <w:sz w:val="24"/>
          <w:szCs w:val="24"/>
          <w:highlight w:val="none"/>
        </w:rPr>
        <w:t>采暖、燃气管道</w:t>
      </w:r>
    </w:p>
    <w:p w14:paraId="14603F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（1）给排水、采暖、燃气管道包括各类优质水管、杂质水管、排水管、冷冻、冷却水管等。</w:t>
      </w:r>
    </w:p>
    <w:p w14:paraId="2CD123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（2）按管道有无保温绝热分别计列（有保温层的须区分保温材质及厚度）。</w:t>
      </w:r>
    </w:p>
    <w:p w14:paraId="7A0AA1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包括本体及配件[含透气帽、止水环、存水弯、弯头、雨水漏斗、H型管、三通、大小头、补心、检查口、伸缩节、波纹管、法兰、钢塑转换接头、卡箍等全部管道配件]安装，套管（含防水套管、穿墙、穿梁、楼板套管）制作安装，管道刷油、防腐蚀、喷镀（涂）</w:t>
      </w:r>
      <w:r>
        <w:rPr>
          <w:rFonts w:hint="eastAsia" w:asciiTheme="minorEastAsia" w:hAnsiTheme="minorEastAsia" w:eastAsiaTheme="minorEastAsia" w:cstheme="minorEastAsia"/>
          <w:color w:val="auto"/>
          <w:sz w:val="24"/>
          <w:szCs w:val="24"/>
          <w:highlight w:val="none"/>
          <w:lang w:eastAsia="zh-CN"/>
        </w:rPr>
        <w:t>、标识</w:t>
      </w:r>
      <w:r>
        <w:rPr>
          <w:rFonts w:hint="eastAsia" w:asciiTheme="minorEastAsia" w:hAnsiTheme="minorEastAsia" w:eastAsiaTheme="minorEastAsia" w:cstheme="minorEastAsia"/>
          <w:color w:val="auto"/>
          <w:sz w:val="24"/>
          <w:szCs w:val="24"/>
          <w:highlight w:val="none"/>
        </w:rPr>
        <w:t>，管道支架的制作及安装、刷油、防腐蚀，管道绝热，防潮保护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凿（压）槽及修补、打洞（孔）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分不同安装部位、材质、规格、连接形式、介质</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设计要求，按设计图示管道中心线长度以“米”为计量单位计算。</w:t>
      </w:r>
    </w:p>
    <w:p w14:paraId="14E79D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计价包括配合土建孔洞预留、于砖墙或有找平层的地面上的开刨槽、砖墙开孔、凿（压）槽及修补、管道及其配件的安装、弯管的制作安装、套管（含防水套管、穿墙、穿梁、楼板套管）制作安装、管道除锈、刷油、标识、防腐、接地、管道绝热及保护层安装、警示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示踪线、</w:t>
      </w:r>
      <w:r>
        <w:rPr>
          <w:rFonts w:hint="eastAsia" w:asciiTheme="minorEastAsia" w:hAnsiTheme="minorEastAsia" w:eastAsiaTheme="minorEastAsia" w:cstheme="minorEastAsia"/>
          <w:color w:val="auto"/>
          <w:sz w:val="24"/>
          <w:szCs w:val="24"/>
          <w:highlight w:val="none"/>
        </w:rPr>
        <w:t>消毒、冲洗、</w:t>
      </w:r>
      <w:r>
        <w:rPr>
          <w:rFonts w:hint="eastAsia" w:asciiTheme="minorEastAsia" w:hAnsiTheme="minorEastAsia" w:eastAsiaTheme="minorEastAsia" w:cstheme="minorEastAsia"/>
          <w:color w:val="auto"/>
          <w:sz w:val="24"/>
          <w:szCs w:val="24"/>
          <w:highlight w:val="none"/>
          <w:lang w:val="en-US" w:eastAsia="zh-CN"/>
        </w:rPr>
        <w:t>吹扫、</w:t>
      </w:r>
      <w:r>
        <w:rPr>
          <w:rFonts w:hint="eastAsia" w:asciiTheme="minorEastAsia" w:hAnsiTheme="minorEastAsia" w:eastAsiaTheme="minorEastAsia" w:cstheme="minorEastAsia"/>
          <w:color w:val="auto"/>
          <w:sz w:val="24"/>
          <w:szCs w:val="24"/>
          <w:highlight w:val="none"/>
        </w:rPr>
        <w:t>水压、</w:t>
      </w:r>
      <w:r>
        <w:rPr>
          <w:rFonts w:hint="eastAsia" w:asciiTheme="minorEastAsia" w:hAnsiTheme="minorEastAsia" w:eastAsiaTheme="minorEastAsia" w:cstheme="minorEastAsia"/>
          <w:color w:val="auto"/>
          <w:sz w:val="24"/>
          <w:szCs w:val="24"/>
          <w:highlight w:val="none"/>
          <w:lang w:val="en-US" w:eastAsia="zh-CN"/>
        </w:rPr>
        <w:t>气压、</w:t>
      </w:r>
      <w:r>
        <w:rPr>
          <w:rFonts w:hint="eastAsia" w:asciiTheme="minorEastAsia" w:hAnsiTheme="minorEastAsia" w:eastAsiaTheme="minorEastAsia" w:cstheme="minorEastAsia"/>
          <w:color w:val="auto"/>
          <w:sz w:val="24"/>
          <w:szCs w:val="24"/>
          <w:highlight w:val="none"/>
        </w:rPr>
        <w:t>闭水及泄漏试验、</w:t>
      </w:r>
      <w:r>
        <w:rPr>
          <w:rFonts w:hint="eastAsia" w:asciiTheme="minorEastAsia" w:hAnsiTheme="minorEastAsia" w:eastAsiaTheme="minorEastAsia" w:cstheme="minorEastAsia"/>
          <w:color w:val="auto"/>
          <w:sz w:val="24"/>
          <w:szCs w:val="24"/>
          <w:highlight w:val="none"/>
          <w:lang w:val="en-US" w:eastAsia="zh-CN"/>
        </w:rPr>
        <w:t>气体置换、</w:t>
      </w:r>
      <w:r>
        <w:rPr>
          <w:rFonts w:hint="eastAsia" w:asciiTheme="minorEastAsia" w:hAnsiTheme="minorEastAsia" w:eastAsiaTheme="minorEastAsia" w:cstheme="minorEastAsia"/>
          <w:color w:val="auto"/>
          <w:sz w:val="24"/>
          <w:szCs w:val="24"/>
          <w:highlight w:val="none"/>
        </w:rPr>
        <w:t>三通补强圈制作安装，管道支架的制作及安装、除锈、油漆，为配合安装、试压等工作而安装的辅助管道、管件的安装。如设计有要求，还包括管道系统吹扫、脱脂、探伤等工作内容。</w:t>
      </w:r>
    </w:p>
    <w:p w14:paraId="74B9701D">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
        </w:rPr>
        <w:t>4</w:t>
      </w:r>
      <w:r>
        <w:rPr>
          <w:rFonts w:hint="eastAsia" w:asciiTheme="minorEastAsia" w:hAnsiTheme="minorEastAsia" w:eastAsiaTheme="minorEastAsia" w:cstheme="minorEastAsia"/>
          <w:b/>
          <w:color w:val="auto"/>
          <w:sz w:val="24"/>
          <w:szCs w:val="24"/>
          <w:highlight w:val="none"/>
        </w:rPr>
        <w:t>.水阀门</w:t>
      </w:r>
    </w:p>
    <w:p w14:paraId="774296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（1）水阀门包括螺纹阀门、螺纹法兰阀门、焊接法兰阀门、带短管甲乙阀门、塑料阀门、除污器、补偿器、倒流防止器等。</w:t>
      </w:r>
    </w:p>
    <w:p w14:paraId="38616F4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（2）按阀门有无保温分别计列（有保温层的须区分保温材质及厚度）</w:t>
      </w:r>
    </w:p>
    <w:p w14:paraId="3E93A7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包括阀门及其配件、法兰安装、水压试验、需要保温的应包括阀门（含法兰）保温等费用。分不同类型、材质、规格、压力等级、连接形式、焊接方法、接口方式及材质，按设计图示数量以“个”为计量单位计算。</w:t>
      </w:r>
    </w:p>
    <w:p w14:paraId="3E3EAF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（4）计价包括阀门及法兰等配件安装、电气接线、调试、保温绝热层、接地安装。</w:t>
      </w:r>
    </w:p>
    <w:p w14:paraId="1E7D07A9">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
        </w:rPr>
        <w:t>5</w:t>
      </w:r>
      <w:r>
        <w:rPr>
          <w:rFonts w:hint="eastAsia" w:asciiTheme="minorEastAsia" w:hAnsiTheme="minorEastAsia" w:eastAsiaTheme="minorEastAsia" w:cstheme="minorEastAsia"/>
          <w:b/>
          <w:color w:val="auto"/>
          <w:sz w:val="24"/>
          <w:szCs w:val="24"/>
          <w:highlight w:val="none"/>
        </w:rPr>
        <w:t>.水灭火控制装置调试</w:t>
      </w:r>
    </w:p>
    <w:p w14:paraId="6F2112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（1）计量包括自动喷淋系统、消火栓系统、消防水炮等系统试验，按“项”为计量单位计算。</w:t>
      </w:r>
    </w:p>
    <w:p w14:paraId="015CA6A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（2）计价包括功能测试、系统调试。</w:t>
      </w:r>
    </w:p>
    <w:p w14:paraId="5EDB95DB">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
        </w:rPr>
        <w:t>6</w:t>
      </w:r>
      <w:r>
        <w:rPr>
          <w:rFonts w:hint="eastAsia" w:asciiTheme="minorEastAsia" w:hAnsiTheme="minorEastAsia" w:eastAsiaTheme="minorEastAsia" w:cstheme="minorEastAsia"/>
          <w:b/>
          <w:color w:val="auto"/>
          <w:sz w:val="24"/>
          <w:szCs w:val="24"/>
          <w:highlight w:val="none"/>
        </w:rPr>
        <w:t>.气体灭火系统装置调试</w:t>
      </w:r>
    </w:p>
    <w:p w14:paraId="0FC1CB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（1）气体灭火系统装置调试适用于管网式的气体灭火系统，是由七氟丙烷、IG541、二氧化碳等组成的灭火系统。</w:t>
      </w:r>
    </w:p>
    <w:p w14:paraId="01504A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（2）计量包括管道与试验容器、瓶头阀等设备系统调试，具体包括模拟喷气试验，备用灭火器贮存容器切换操作试验，气体试喷等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val="en-US" w:eastAsia="zh-CN"/>
        </w:rPr>
        <w:t>项</w:t>
      </w:r>
      <w:r>
        <w:rPr>
          <w:rFonts w:hint="eastAsia" w:asciiTheme="minorEastAsia" w:hAnsiTheme="minorEastAsia" w:eastAsiaTheme="minorEastAsia" w:cstheme="minorEastAsia"/>
          <w:color w:val="auto"/>
          <w:sz w:val="24"/>
          <w:szCs w:val="24"/>
          <w:highlight w:val="none"/>
        </w:rPr>
        <w:t>”为计量单位计算。</w:t>
      </w:r>
    </w:p>
    <w:p w14:paraId="68FD7F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（3）计价包括模拟喷气试验，备用灭火器贮存容器切换操作试验，气体试喷等。</w:t>
      </w:r>
    </w:p>
    <w:p w14:paraId="57805F4D">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
        </w:rPr>
        <w:t>7</w:t>
      </w:r>
      <w:r>
        <w:rPr>
          <w:rFonts w:hint="eastAsia" w:asciiTheme="minorEastAsia" w:hAnsiTheme="minorEastAsia" w:eastAsiaTheme="minorEastAsia" w:cstheme="minorEastAsia"/>
          <w:b/>
          <w:color w:val="auto"/>
          <w:sz w:val="24"/>
          <w:szCs w:val="24"/>
          <w:highlight w:val="none"/>
        </w:rPr>
        <w:t>.室外给排水管道</w:t>
      </w:r>
    </w:p>
    <w:p w14:paraId="5761F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计量包括管道及配件（含止水环、弯头、三通、大小头、补心、伸缩节、波纹管、法兰、钢塑转换接头、卡箍等全部管道配件），套管制作安装，管道刷油、防腐蚀、喷镀（涂），管道支架的制作安装、除锈刷油、防腐蚀，管道绝热，防潮保护，分不同的管道材质、连接方式，按设计图示管道中心线长度以延长米为计量单位计算（支管长度从主管中心到支管末端交接处的中心），不扣除附属构筑物、管件、阀门等所占的长度。</w:t>
      </w:r>
    </w:p>
    <w:p w14:paraId="4644631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土方开挖、回填、外运（综合考虑土质、开挖深度、回填材料及厚度、垫层、运距、消纳费），基础铺筑及养护，模板制作、安装、拆除，混凝土拌和、运输、浇筑、养护，预制管枕安装，管道及配件安装、保温、冲洗、水压、闭水及泄漏试验等相关费用。</w:t>
      </w:r>
    </w:p>
    <w:p w14:paraId="547F65DE">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
        </w:rPr>
        <w:t>8</w:t>
      </w:r>
      <w:r>
        <w:rPr>
          <w:rFonts w:hint="eastAsia" w:asciiTheme="minorEastAsia" w:hAnsiTheme="minorEastAsia" w:eastAsiaTheme="minorEastAsia" w:cstheme="minorEastAsia"/>
          <w:b/>
          <w:color w:val="auto"/>
          <w:sz w:val="24"/>
          <w:szCs w:val="24"/>
          <w:highlight w:val="none"/>
        </w:rPr>
        <w:t>.室外管道附属构建物、整体化粪池</w:t>
      </w:r>
    </w:p>
    <w:p w14:paraId="26FF1B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（1）管道附属构建物包括砌筑井、混凝土井、塑料检查井、阀门井、化粪池等</w:t>
      </w:r>
      <w:r>
        <w:rPr>
          <w:rFonts w:hint="eastAsia" w:asciiTheme="minorEastAsia" w:hAnsiTheme="minorEastAsia" w:eastAsiaTheme="minorEastAsia" w:cstheme="minorEastAsia"/>
          <w:color w:val="auto"/>
          <w:sz w:val="24"/>
          <w:szCs w:val="24"/>
          <w:highlight w:val="none"/>
          <w:lang w:eastAsia="zh-CN"/>
        </w:rPr>
        <w:t>。</w:t>
      </w:r>
    </w:p>
    <w:p w14:paraId="786FD0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（2）计量包括各类井、整体化粪池的砌筑、维护，分不同种类、井径、井深，按“座”为计量单位计算。</w:t>
      </w:r>
    </w:p>
    <w:p w14:paraId="19F526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土方开挖、回填、外运（综合考虑土质、开挖深度、回填材料及厚度、垫层、运距、消纳费），模板制作安装、拆除，混凝土拌和、运输、浇筑、养护，基坑支护，基础铺筑、钢筋制安、井身砌筑、勾缝、抹面、流槽砌筑、爬梯制作安装、井内外抹灰，井筒、井圈、井盖安装，井口板浇筑、踏步安装，防水止水、标识等相关费用。</w:t>
      </w:r>
    </w:p>
    <w:p w14:paraId="50E1C73F">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
        </w:rPr>
        <w:t>9</w:t>
      </w:r>
      <w:r>
        <w:rPr>
          <w:rFonts w:hint="eastAsia" w:asciiTheme="minorEastAsia" w:hAnsiTheme="minorEastAsia" w:eastAsiaTheme="minorEastAsia" w:cstheme="minorEastAsia"/>
          <w:b/>
          <w:color w:val="auto"/>
          <w:sz w:val="24"/>
          <w:szCs w:val="24"/>
          <w:highlight w:val="none"/>
        </w:rPr>
        <w:t>.消防报警主机</w:t>
      </w:r>
    </w:p>
    <w:p w14:paraId="1B79C7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（1）计量包括分不同类型、型号，以“台”为计量单位计算。</w:t>
      </w:r>
    </w:p>
    <w:p w14:paraId="20F430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（2）计价包括本体及配件安装、接线、接地、调试等相关费用。</w:t>
      </w:r>
    </w:p>
    <w:p w14:paraId="3F8511DF">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eastAsia="zh"/>
        </w:rPr>
        <w:t>0</w:t>
      </w:r>
      <w:r>
        <w:rPr>
          <w:rFonts w:hint="eastAsia" w:asciiTheme="minorEastAsia" w:hAnsiTheme="minorEastAsia" w:eastAsiaTheme="minorEastAsia" w:cstheme="minorEastAsia"/>
          <w:b/>
          <w:color w:val="auto"/>
          <w:sz w:val="24"/>
          <w:szCs w:val="24"/>
          <w:highlight w:val="none"/>
        </w:rPr>
        <w:t>.点型探测器</w:t>
      </w:r>
    </w:p>
    <w:p w14:paraId="1D4960F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（1）点型探测器包括感温类、感烟类等。</w:t>
      </w:r>
    </w:p>
    <w:p w14:paraId="11E033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（2）计量包括分不同类型、型号，以“个”为计量单位计算。</w:t>
      </w:r>
    </w:p>
    <w:p w14:paraId="4F53050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（3）计价包括本体及配件安装、各类预埋件留设、金属软管、底盒安装、接线、编码、调试、焊压接线端子等相关费用。</w:t>
      </w:r>
    </w:p>
    <w:p w14:paraId="3167D4E0">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eastAsia="zh"/>
        </w:rPr>
        <w:t>1</w:t>
      </w:r>
      <w:r>
        <w:rPr>
          <w:rFonts w:hint="eastAsia" w:asciiTheme="minorEastAsia" w:hAnsiTheme="minorEastAsia" w:eastAsiaTheme="minorEastAsia" w:cstheme="minorEastAsia"/>
          <w:b/>
          <w:color w:val="auto"/>
          <w:sz w:val="24"/>
          <w:szCs w:val="24"/>
          <w:highlight w:val="none"/>
        </w:rPr>
        <w:t>.自动报警系统调试</w:t>
      </w:r>
    </w:p>
    <w:p w14:paraId="0C4302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（1）计量包括电动防火门、防火卷帘门、正压送风阀、排烟阀、防火控制阀、消防电梯等防火控制装置、报警系统的整体调试。按“项”为计量单位计算。</w:t>
      </w:r>
    </w:p>
    <w:p w14:paraId="75D349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（2）计价包括功能测试、系统调试。</w:t>
      </w:r>
    </w:p>
    <w:p w14:paraId="6A3A8EF5">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.风机</w:t>
      </w:r>
    </w:p>
    <w:p w14:paraId="08A0D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（1）计量包括本体及配件[含</w:t>
      </w:r>
      <w:r>
        <w:rPr>
          <w:rFonts w:hint="eastAsia" w:asciiTheme="minorEastAsia" w:hAnsiTheme="minorEastAsia" w:eastAsiaTheme="minorEastAsia" w:cstheme="minorEastAsia"/>
          <w:color w:val="auto"/>
          <w:sz w:val="24"/>
          <w:szCs w:val="24"/>
          <w:highlight w:val="none"/>
          <w:lang w:eastAsia="zh-CN"/>
        </w:rPr>
        <w:t>随机</w:t>
      </w:r>
      <w:r>
        <w:rPr>
          <w:rFonts w:hint="eastAsia" w:asciiTheme="minorEastAsia" w:hAnsiTheme="minorEastAsia" w:eastAsiaTheme="minorEastAsia" w:cstheme="minorEastAsia"/>
          <w:color w:val="auto"/>
          <w:sz w:val="24"/>
          <w:szCs w:val="24"/>
          <w:highlight w:val="none"/>
        </w:rPr>
        <w:t>配套控制柜</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箱、减震垫（器）等全部配件）]，分不同的型号、规格，综合考虑安装形式、重量、支架形式及材质，按设计图示数量以“台”为计量单位计算。</w:t>
      </w:r>
    </w:p>
    <w:p w14:paraId="34BF0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（2）计价包括预埋件预埋，基础制作、安装，支架制作、安装，软连接口（含防火软接头、帆布软接）制作安装，设备到</w:t>
      </w:r>
      <w:r>
        <w:rPr>
          <w:rFonts w:hint="eastAsia" w:asciiTheme="minorEastAsia" w:hAnsiTheme="minorEastAsia" w:eastAsiaTheme="minorEastAsia" w:cstheme="minorEastAsia"/>
          <w:color w:val="auto"/>
          <w:sz w:val="24"/>
          <w:szCs w:val="24"/>
          <w:highlight w:val="none"/>
          <w:lang w:eastAsia="zh-CN"/>
        </w:rPr>
        <w:t>随机</w:t>
      </w:r>
      <w:r>
        <w:rPr>
          <w:rFonts w:hint="eastAsia" w:asciiTheme="minorEastAsia" w:hAnsiTheme="minorEastAsia" w:eastAsiaTheme="minorEastAsia" w:cstheme="minorEastAsia"/>
          <w:color w:val="auto"/>
          <w:sz w:val="24"/>
          <w:szCs w:val="24"/>
          <w:highlight w:val="none"/>
        </w:rPr>
        <w:t>配套控制柜</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箱之间的电气配管及线缆连接，设备本体及配件安装、调试，二次灌浆，电机检查接线、干燥、配线，补刷（喷）油漆、接地等工作内容。</w:t>
      </w:r>
    </w:p>
    <w:p w14:paraId="33B1E1F9">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.通风管道</w:t>
      </w:r>
    </w:p>
    <w:p w14:paraId="78C5D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（1）通风管道包括碳钢、净化、不锈钢板、铝板、玻璃钢、塑料、复合型等各种材质通风管道。</w:t>
      </w:r>
    </w:p>
    <w:p w14:paraId="2EFDA5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各类风管及配件（含弯头、三通、导流叶片、三通调节阀、加固框、法兰、软连接、回风箱、防虫过滤网等全部配件），有保温的应含保温软木、保温材料，分不同壁厚、材质、保温材料及厚度，不分风管形状、规格、接口形式，按设计图示内径尺寸以展开面积“平方米”为计量单位计算，其中渐缩管按平均周长，计入通风管道工程量中。</w:t>
      </w:r>
    </w:p>
    <w:p w14:paraId="2D5387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价包括配合土建预留孔洞、预埋件留设，本体及配件制作安装、封堵，支吊架制作、安装，套管制作、安装，风管检查孔制作，温度、风量测定孔制作，风管保温及保护层的安装，过跨风管落地支架制作、安装，风管、法兰、加固框、支吊架、保护层除锈、刷油等工作内容。洁净空调应含风管内表面清洗、两端风口、涂密封胶。</w:t>
      </w:r>
    </w:p>
    <w:p w14:paraId="54FC74AF">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.通风管道部件-风阀类</w:t>
      </w:r>
    </w:p>
    <w:p w14:paraId="726CC0B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（1）风阀包括碳钢阀门、柔性软风管阀门、铝蝶阀、不锈钢蝶阀，塑料阀门，玻璃钢蝶阀，不含人字阀。</w:t>
      </w:r>
    </w:p>
    <w:p w14:paraId="5D27AE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（2）计量包括各类风阀及配件（含执行器等随风阀配带的全部配件），分不同用途、类别、保温要求，不分型号、规格，按设计图示尺寸，以“㎡”为计量单位计算。</w:t>
      </w:r>
    </w:p>
    <w:p w14:paraId="0BED88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（3）计价包括配合土建预留孔洞、预埋件留设；风阀安装；支吊架制作、安装、除锈、刷油、防腐，电气接线，有保温的应包含保温及保护层安装等工作内容。</w:t>
      </w:r>
    </w:p>
    <w:p w14:paraId="368D7D75">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.通风管道部件-风口类</w:t>
      </w:r>
    </w:p>
    <w:p w14:paraId="67A9AF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（1）包括碳钢风口、散流器、百叶窗，不锈钢风口、塑料风口、玻璃钢风口及铝合金风口、静压箱、消声器等。</w:t>
      </w:r>
    </w:p>
    <w:p w14:paraId="002FFE6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（2）计量包括各类风口、散流器、百叶窗、静压箱、消声器及配件（含防防虫网过滤网等），分不同用途、类别、保温要求，不分型号、规格，各类风口、散流器、百叶窗</w:t>
      </w:r>
      <w:r>
        <w:rPr>
          <w:rFonts w:hint="eastAsia" w:asciiTheme="minorEastAsia" w:hAnsiTheme="minorEastAsia" w:eastAsiaTheme="minorEastAsia" w:cstheme="minorEastAsia"/>
          <w:color w:val="auto"/>
          <w:sz w:val="24"/>
          <w:szCs w:val="24"/>
          <w:highlight w:val="none"/>
          <w:lang w:val="en-US" w:eastAsia="zh-CN"/>
        </w:rPr>
        <w:t>及配件</w:t>
      </w:r>
      <w:r>
        <w:rPr>
          <w:rFonts w:hint="eastAsia" w:asciiTheme="minorEastAsia" w:hAnsiTheme="minorEastAsia" w:eastAsiaTheme="minorEastAsia" w:cstheme="minorEastAsia"/>
          <w:color w:val="auto"/>
          <w:sz w:val="24"/>
          <w:szCs w:val="24"/>
          <w:highlight w:val="none"/>
        </w:rPr>
        <w:t>按设计图示尺寸</w:t>
      </w:r>
      <w:r>
        <w:rPr>
          <w:rFonts w:hint="eastAsia" w:asciiTheme="minorEastAsia" w:hAnsiTheme="minorEastAsia" w:eastAsiaTheme="minorEastAsia" w:cstheme="minorEastAsia"/>
          <w:color w:val="auto"/>
          <w:sz w:val="24"/>
          <w:szCs w:val="24"/>
          <w:highlight w:val="none"/>
          <w:lang w:val="en-US" w:eastAsia="zh-CN"/>
        </w:rPr>
        <w:t>面积</w:t>
      </w:r>
      <w:r>
        <w:rPr>
          <w:rFonts w:hint="eastAsia" w:asciiTheme="minorEastAsia" w:hAnsiTheme="minorEastAsia" w:eastAsiaTheme="minorEastAsia" w:cstheme="minorEastAsia"/>
          <w:color w:val="auto"/>
          <w:sz w:val="24"/>
          <w:szCs w:val="24"/>
          <w:highlight w:val="none"/>
        </w:rPr>
        <w:t>，以“㎡”为计量单位计算</w:t>
      </w:r>
      <w:r>
        <w:rPr>
          <w:rFonts w:hint="eastAsia" w:asciiTheme="minorEastAsia" w:hAnsiTheme="minorEastAsia" w:eastAsiaTheme="minorEastAsia" w:cstheme="minorEastAsia"/>
          <w:color w:val="auto"/>
          <w:sz w:val="24"/>
          <w:szCs w:val="24"/>
          <w:highlight w:val="none"/>
          <w:lang w:eastAsia="zh-CN"/>
        </w:rPr>
        <w:t>。其中</w:t>
      </w:r>
      <w:r>
        <w:rPr>
          <w:rFonts w:hint="eastAsia" w:asciiTheme="minorEastAsia" w:hAnsiTheme="minorEastAsia" w:eastAsiaTheme="minorEastAsia" w:cstheme="minorEastAsia"/>
          <w:color w:val="auto"/>
          <w:sz w:val="24"/>
          <w:szCs w:val="24"/>
          <w:highlight w:val="none"/>
        </w:rPr>
        <w:t>静压箱</w:t>
      </w:r>
      <w:r>
        <w:rPr>
          <w:rFonts w:hint="eastAsia" w:asciiTheme="minorEastAsia" w:hAnsiTheme="minorEastAsia" w:eastAsiaTheme="minorEastAsia" w:cstheme="minorEastAsia"/>
          <w:color w:val="auto"/>
          <w:sz w:val="24"/>
          <w:szCs w:val="24"/>
          <w:highlight w:val="none"/>
          <w:lang w:val="en-US" w:eastAsia="zh-CN"/>
        </w:rPr>
        <w:t>按设计图纸尺寸六面展开面积，即（A+B)×2×L+A×B×2；</w:t>
      </w:r>
      <w:r>
        <w:rPr>
          <w:rFonts w:hint="eastAsia" w:asciiTheme="minorEastAsia" w:hAnsiTheme="minorEastAsia" w:eastAsiaTheme="minorEastAsia" w:cstheme="minorEastAsia"/>
          <w:color w:val="auto"/>
          <w:sz w:val="24"/>
          <w:szCs w:val="24"/>
          <w:highlight w:val="none"/>
        </w:rPr>
        <w:t>消声器</w:t>
      </w:r>
      <w:r>
        <w:rPr>
          <w:rFonts w:hint="eastAsia" w:asciiTheme="minorEastAsia" w:hAnsiTheme="minorEastAsia" w:eastAsiaTheme="minorEastAsia" w:cstheme="minorEastAsia"/>
          <w:color w:val="auto"/>
          <w:sz w:val="24"/>
          <w:szCs w:val="24"/>
          <w:highlight w:val="none"/>
          <w:lang w:val="en-US" w:eastAsia="zh-CN"/>
        </w:rPr>
        <w:t>按设计图纸尺寸展开面积，即（A+B）×2×L</w:t>
      </w:r>
      <w:r>
        <w:rPr>
          <w:rFonts w:hint="eastAsia" w:asciiTheme="minorEastAsia" w:hAnsiTheme="minorEastAsia" w:eastAsiaTheme="minorEastAsia" w:cstheme="minorEastAsia"/>
          <w:color w:val="auto"/>
          <w:sz w:val="24"/>
          <w:szCs w:val="24"/>
          <w:highlight w:val="none"/>
        </w:rPr>
        <w:t>。</w:t>
      </w:r>
    </w:p>
    <w:p w14:paraId="7F4BD5D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（3）计价包括配合土建预留孔洞、预埋件留设；本体及配件安装；支吊架制作、安装、除锈、刷油、防腐，风口喷塑或配合装修要求，有保温的应包含括保温及保护层安装等工作内容。</w:t>
      </w:r>
    </w:p>
    <w:p w14:paraId="6B8645ED">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16</w:t>
      </w:r>
      <w:r>
        <w:rPr>
          <w:rFonts w:hint="eastAsia" w:asciiTheme="minorEastAsia" w:hAnsiTheme="minorEastAsia" w:eastAsiaTheme="minorEastAsia" w:cstheme="minorEastAsia"/>
          <w:b/>
          <w:color w:val="auto"/>
          <w:sz w:val="24"/>
          <w:szCs w:val="24"/>
          <w:highlight w:val="none"/>
        </w:rPr>
        <w:t>.控制箱，配电箱</w:t>
      </w:r>
    </w:p>
    <w:p w14:paraId="2347A6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（1）包括照明配电箱、动力配电箱、动力控制箱、电源自动切换箱、端子箱、插接开关箱等各类箱体。要求箱体应按设计图纸预留安装电源监控、漏电报警、智能照明控制器及面板等其他系统模块的位置。</w:t>
      </w:r>
    </w:p>
    <w:p w14:paraId="0747BE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（2）计量包括按不同的用途及设计编号，不分安装方式，以“台”为计量单位计算。</w:t>
      </w:r>
    </w:p>
    <w:p w14:paraId="1FD3B1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（3）计价包括基础型钢制作安装、除锈刷油，本件及附件安装、调试、接地、接线等相关费用。</w:t>
      </w:r>
    </w:p>
    <w:p w14:paraId="36472CA1">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.小电器</w:t>
      </w:r>
    </w:p>
    <w:p w14:paraId="6B0FC6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（1）包括呼叫按钮、呼叫警铃、干手装置、按钮、电笛、电铃、电铃控制器、水位电气信号装置、测量表计、继电器、电磁锁等各类小电器。</w:t>
      </w:r>
    </w:p>
    <w:p w14:paraId="4C91FF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（2）计量包括电器、附件及底盒、吊杆等全部配件，分不同用途、类型、规格、型号，不分安装方式，以“个”为计量单位计算。</w:t>
      </w:r>
    </w:p>
    <w:p w14:paraId="49551CF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价包括按钮、警铃、干手装置等各类小电器本体及配件（含配套的金属软管、电气配管、电气配线）安装、调试、各类预埋件留设、接线底盒安装、接线、接地、焊压接线端子、于砖墙或有找平层的地面上的刨槽、砖墙开孔、修补等相关费用。</w:t>
      </w:r>
    </w:p>
    <w:p w14:paraId="6F88D65C">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.照明开关、插座</w:t>
      </w:r>
    </w:p>
    <w:p w14:paraId="58B298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（1）计量包括开关、插座面板及附件，分不同用途、类型、规格、型号，不分安装方式，以“个”为计量单位计算。</w:t>
      </w:r>
    </w:p>
    <w:p w14:paraId="3AFA00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（2）计价包括底盒安装，本体安装，接线、接地、焊压接线端子、于砖墙或有找平层的地面上的开刨槽、砖墙开孔、修补等相关费用。</w:t>
      </w:r>
    </w:p>
    <w:p w14:paraId="03CB7A8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（3）于大堂、电梯厅等有对称形状瓷片、石材装修的部位，开关、插座应安装于瓷片、石材中间位置，实际安装位置与招标图纸表示位置的差异引起的相关工程量(电线、线管)增加的费用已经含于本项目报价中。</w:t>
      </w:r>
    </w:p>
    <w:p w14:paraId="5C485E07">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.电力电缆，控制电缆</w:t>
      </w:r>
    </w:p>
    <w:p w14:paraId="1B27FA8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（1）计量包括分电压等级、用途、材质、规格、型号，不分敷设方式，以“米”为计量单位计算。</w:t>
      </w:r>
    </w:p>
    <w:p w14:paraId="383A13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揭（盖）盖板、电缆敷设、电缆头(含中间接头)制作及安装、电缆T接箱的制作安装、连接体、接地、试压、测试、调试、防火堵洞、电缆防护、电缆防火隔板、电缆防火涂料、电缆穿刺线夹制作及安装等相关费用。</w:t>
      </w:r>
    </w:p>
    <w:p w14:paraId="0AF150A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（3）当电缆规格发生变化时，主材价只调整电缆价格，《广州地区建设工程常用材料税前综合价格》有约定的加价系数按其规定，耐火电缆加价3%，B1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B2</w:t>
      </w:r>
      <w:r>
        <w:rPr>
          <w:rFonts w:hint="eastAsia" w:asciiTheme="minorEastAsia" w:hAnsiTheme="minorEastAsia" w:eastAsiaTheme="minorEastAsia" w:cstheme="minorEastAsia"/>
          <w:color w:val="auto"/>
          <w:sz w:val="24"/>
          <w:szCs w:val="24"/>
          <w:highlight w:val="none"/>
        </w:rPr>
        <w:t>电缆不加价，如果有两种以上加价百分比的，每项加价的百分比是</w:t>
      </w:r>
      <w:r>
        <w:rPr>
          <w:rFonts w:hint="eastAsia" w:asciiTheme="minorEastAsia" w:hAnsiTheme="minorEastAsia" w:eastAsiaTheme="minorEastAsia" w:cstheme="minorEastAsia"/>
          <w:color w:val="auto"/>
          <w:sz w:val="24"/>
          <w:szCs w:val="24"/>
          <w:highlight w:val="none"/>
          <w:lang w:val="en-US" w:eastAsia="zh-CN"/>
        </w:rPr>
        <w:t>相加</w:t>
      </w:r>
      <w:r>
        <w:rPr>
          <w:rFonts w:hint="eastAsia" w:asciiTheme="minorEastAsia" w:hAnsiTheme="minorEastAsia" w:eastAsiaTheme="minorEastAsia" w:cstheme="minorEastAsia"/>
          <w:color w:val="auto"/>
          <w:sz w:val="24"/>
          <w:szCs w:val="24"/>
          <w:highlight w:val="none"/>
        </w:rPr>
        <w:t>的关系。</w:t>
      </w:r>
    </w:p>
    <w:p w14:paraId="1A59DAB7">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
        </w:rPr>
        <w:t>2</w:t>
      </w:r>
      <w:r>
        <w:rPr>
          <w:rFonts w:hint="eastAsia" w:asciiTheme="minorEastAsia" w:hAnsiTheme="minorEastAsia" w:eastAsiaTheme="minorEastAsia" w:cstheme="minorEastAsia"/>
          <w:b/>
          <w:color w:val="auto"/>
          <w:sz w:val="24"/>
          <w:szCs w:val="24"/>
          <w:highlight w:val="none"/>
          <w:lang w:val="en-US" w:eastAsia="zh-CN"/>
        </w:rPr>
        <w:t>0</w:t>
      </w:r>
      <w:r>
        <w:rPr>
          <w:rFonts w:hint="eastAsia" w:asciiTheme="minorEastAsia" w:hAnsiTheme="minorEastAsia" w:eastAsiaTheme="minorEastAsia" w:cstheme="minorEastAsia"/>
          <w:b/>
          <w:color w:val="auto"/>
          <w:sz w:val="24"/>
          <w:szCs w:val="24"/>
          <w:highlight w:val="none"/>
        </w:rPr>
        <w:t>.配管</w:t>
      </w:r>
    </w:p>
    <w:p w14:paraId="787260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（1）包括镀锌钢管、镀锌电线管、可挠金属套管、PVC塑料电线管等电气管道。</w:t>
      </w:r>
    </w:p>
    <w:p w14:paraId="150C81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（2）计量包括分不同材质、不同规格，不分敷设方式，以“米”为计量单位计算。</w:t>
      </w:r>
    </w:p>
    <w:p w14:paraId="28417E7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价包括管道敷设、穿线用牵引铁线、砼结构内的管道预埋施工、于砖墙或有找平层的地面上的开刨槽、砖墙开孔、修补、配件管件及安装、支吊架制作安装、除锈刷油、接线盒（箱）安装、套管（含防水套管、穿墙、穿梁、楼板套管）制作安装、防腐油漆、标识、接地等相关费用。</w:t>
      </w:r>
    </w:p>
    <w:p w14:paraId="3C2D7CCC">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
        </w:rPr>
        <w:t>2</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lang w:eastAsia="zh"/>
        </w:rPr>
        <w:t>.线槽、桥架</w:t>
      </w:r>
    </w:p>
    <w:p w14:paraId="5873F0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（1）计量按不同材质，不扣除直通、弯头、异径、三通、四通、管路中间的连接箱（盒）、灯头盒、开关盒所占长度，按设计图示尺寸，以“米”为计量单位计算。</w:t>
      </w:r>
    </w:p>
    <w:p w14:paraId="5D8AFF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本体及配件安装（含盖板、隔板、直通、三通、四通、弯头、支承件等附件以及软接头、接地铜排等全部配件）及，支（吊）架制作安装、除锈、刷油，套管（含防水套管、穿墙、穿梁、楼板套管）制作安装、接地、防火堵洞、伸缩软接头、刷防火漆等相关费用。</w:t>
      </w:r>
    </w:p>
    <w:p w14:paraId="744705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（3）当线槽、桥架规格发生变化时，主材价只</w:t>
      </w:r>
      <w:r>
        <w:rPr>
          <w:rFonts w:hint="eastAsia" w:asciiTheme="minorEastAsia" w:hAnsiTheme="minorEastAsia" w:eastAsiaTheme="minorEastAsia" w:cstheme="minorEastAsia"/>
          <w:color w:val="auto"/>
          <w:sz w:val="24"/>
          <w:szCs w:val="24"/>
          <w:highlight w:val="none"/>
          <w:lang w:val="en-US" w:eastAsia="zh-CN"/>
        </w:rPr>
        <w:t>计算</w:t>
      </w:r>
      <w:r>
        <w:rPr>
          <w:rFonts w:hint="eastAsia" w:asciiTheme="minorEastAsia" w:hAnsiTheme="minorEastAsia" w:eastAsiaTheme="minorEastAsia" w:cstheme="minorEastAsia"/>
          <w:color w:val="auto"/>
          <w:sz w:val="24"/>
          <w:szCs w:val="24"/>
          <w:highlight w:val="none"/>
        </w:rPr>
        <w:t>线槽、桥架的价格，直通、弯头、异径、三通、四通、盖板、隔板等不另行计算。</w:t>
      </w:r>
    </w:p>
    <w:p w14:paraId="08986485">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
        </w:rPr>
        <w:t>2</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eastAsia="zh"/>
        </w:rPr>
        <w:t>.配线</w:t>
      </w:r>
    </w:p>
    <w:p w14:paraId="7A2646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（1）计量包括分电压等级、用途、材质、规格、型号，不分敷设方式，以“米”为计量单位计算。</w:t>
      </w:r>
    </w:p>
    <w:p w14:paraId="5E0C87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（2）计价包括支持体（夹板、绝缘子、街码等）安装、配线、管内穿线、焊压接线端子、接地等相关费用。</w:t>
      </w:r>
    </w:p>
    <w:p w14:paraId="62A0E6D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（3）当电线规格发生变化时，主材价只调整电线价格，《广州地区建设工程常用材料税前综合价格》有约定的加价系数按其规定，耐火电线加价3%，B1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B2</w:t>
      </w:r>
      <w:r>
        <w:rPr>
          <w:rFonts w:hint="eastAsia" w:asciiTheme="minorEastAsia" w:hAnsiTheme="minorEastAsia" w:eastAsiaTheme="minorEastAsia" w:cstheme="minorEastAsia"/>
          <w:color w:val="auto"/>
          <w:sz w:val="24"/>
          <w:szCs w:val="24"/>
          <w:highlight w:val="none"/>
        </w:rPr>
        <w:t>电线不加价，如果有两种以上加价百分比的，每项加价的百分比是</w:t>
      </w:r>
      <w:r>
        <w:rPr>
          <w:rFonts w:hint="eastAsia" w:asciiTheme="minorEastAsia" w:hAnsiTheme="minorEastAsia" w:eastAsiaTheme="minorEastAsia" w:cstheme="minorEastAsia"/>
          <w:color w:val="auto"/>
          <w:sz w:val="24"/>
          <w:szCs w:val="24"/>
          <w:highlight w:val="none"/>
          <w:lang w:val="en-US" w:eastAsia="zh-CN"/>
        </w:rPr>
        <w:t>相加的</w:t>
      </w:r>
      <w:r>
        <w:rPr>
          <w:rFonts w:hint="eastAsia" w:asciiTheme="minorEastAsia" w:hAnsiTheme="minorEastAsia" w:eastAsiaTheme="minorEastAsia" w:cstheme="minorEastAsia"/>
          <w:color w:val="auto"/>
          <w:sz w:val="24"/>
          <w:szCs w:val="24"/>
          <w:highlight w:val="none"/>
        </w:rPr>
        <w:t>关系。</w:t>
      </w:r>
    </w:p>
    <w:p w14:paraId="2C8BB45A">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lang w:eastAsia="zh"/>
        </w:rPr>
        <w:t>.普通灯具</w:t>
      </w:r>
    </w:p>
    <w:p w14:paraId="61EE0B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（1）普通灯具包括装饰灯、荧光灯、吸顶灯、射灯、应急照明灯等。</w:t>
      </w:r>
    </w:p>
    <w:p w14:paraId="20548C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（2）计量包括成套灯具及配件（包括吊杆、吊链、吊钩、底座、灯盘、灯头、光源、底盒、轨道、电气控制装置及安装附件）分不同用途、类型、规格、型号，不分安装方式，以“套”为计量单位计算。</w:t>
      </w:r>
    </w:p>
    <w:p w14:paraId="66350B8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（3）计价包括各类预埋件留设、接线盒安装、灯具（含光源）及配件安装、金属软管、接线、接地、焊（压）接线端子、支架、调试等相关费用。应急照明灯应含预埋插座。</w:t>
      </w:r>
    </w:p>
    <w:p w14:paraId="29FA8A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（4）当灯具于须吊顶区域（如电梯厅、电梯大堂等）安装时，应考虑带塑套金属软管和相应电线的工程量，相关费用已经含于本项目报价中。</w:t>
      </w:r>
    </w:p>
    <w:p w14:paraId="469B30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（5）当灯具采用吊链安装时，须考虑悬吊电线的工程量，相关费用已经含于本项目报价中。</w:t>
      </w:r>
    </w:p>
    <w:p w14:paraId="54E72C93">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24</w:t>
      </w:r>
      <w:r>
        <w:rPr>
          <w:rFonts w:hint="eastAsia" w:asciiTheme="minorEastAsia" w:hAnsiTheme="minorEastAsia" w:eastAsiaTheme="minorEastAsia" w:cstheme="minorEastAsia"/>
          <w:b/>
          <w:color w:val="auto"/>
          <w:sz w:val="24"/>
          <w:szCs w:val="24"/>
          <w:highlight w:val="none"/>
          <w:lang w:eastAsia="zh"/>
        </w:rPr>
        <w:t>.电气调整试验</w:t>
      </w:r>
    </w:p>
    <w:p w14:paraId="34AA3A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（1）计量包括电气各系统、特殊设备的调试，按“项”为计量单位计算。</w:t>
      </w:r>
    </w:p>
    <w:p w14:paraId="214B62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（2）计价包括括电力变压器系统、10KV送配电装置系统、保护装置、自动投入装置、事故照明切换系统、无功补偿装置系统、故障滤波系统、微机监控系统、“五防”系统等系统调试</w:t>
      </w:r>
    </w:p>
    <w:p w14:paraId="4C8D91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（3）此费用单项包干，结算时不做调整。</w:t>
      </w:r>
    </w:p>
    <w:p w14:paraId="1FB9216B">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val="en-US" w:eastAsia="zh"/>
        </w:rPr>
        <w:t>5.机柜、机架</w:t>
      </w:r>
    </w:p>
    <w:p w14:paraId="221402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（1）计量包括机柜、机架，按“台”为计量单位计算。</w:t>
      </w:r>
    </w:p>
    <w:p w14:paraId="3FD92F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（2）计价包括本体、抗震底座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机柜电源分配插座、电源配线、机架等安装、接地接地、调试等全部费用，综合考虑安装方式。</w:t>
      </w:r>
    </w:p>
    <w:p w14:paraId="77A04A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（3）报价时需充分考虑设备运行所需要的冗余空间，结算时不做调整。</w:t>
      </w:r>
    </w:p>
    <w:p w14:paraId="1480653F">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val="en-US" w:eastAsia="zh"/>
        </w:rPr>
        <w:t>6</w:t>
      </w:r>
      <w:r>
        <w:rPr>
          <w:rFonts w:hint="eastAsia" w:asciiTheme="minorEastAsia" w:hAnsiTheme="minorEastAsia" w:eastAsiaTheme="minorEastAsia" w:cstheme="minorEastAsia"/>
          <w:b/>
          <w:color w:val="auto"/>
          <w:sz w:val="24"/>
          <w:szCs w:val="24"/>
          <w:highlight w:val="none"/>
          <w:lang w:val="en-US" w:eastAsia="zh-CN"/>
        </w:rPr>
        <w:t>.双绞线缆</w:t>
      </w:r>
    </w:p>
    <w:p w14:paraId="5D4196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（1）计量包括按用途、材质、规格、型号，不分敷设方式，以“米”为计量单位计算。</w:t>
      </w:r>
    </w:p>
    <w:p w14:paraId="06D115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（2）计价包括敷设、线缆绑扎固定、编号、标记、卡接、测试、分线接线箱（盒）安装等相关费用。</w:t>
      </w:r>
    </w:p>
    <w:p w14:paraId="3AC62E23">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val="en-US" w:eastAsia="zh"/>
        </w:rPr>
        <w:t>7</w:t>
      </w:r>
      <w:r>
        <w:rPr>
          <w:rFonts w:hint="eastAsia" w:asciiTheme="minorEastAsia" w:hAnsiTheme="minorEastAsia" w:eastAsiaTheme="minorEastAsia" w:cstheme="minorEastAsia"/>
          <w:b/>
          <w:color w:val="auto"/>
          <w:sz w:val="24"/>
          <w:szCs w:val="24"/>
          <w:highlight w:val="none"/>
          <w:lang w:val="en-US" w:eastAsia="zh-CN"/>
        </w:rPr>
        <w:t>.光缆</w:t>
      </w:r>
    </w:p>
    <w:p w14:paraId="4191B8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（1）计量包括按用途、材质、规格、型号，不分敷设方式，以“米”为计量单位计算。</w:t>
      </w:r>
    </w:p>
    <w:p w14:paraId="0D099D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（2）计价包括光纤敷设、光纤连（熔）接、标记、卡接、测试、分线接线箱（盒）、光纤盒、终端盒等相关费用。</w:t>
      </w:r>
    </w:p>
    <w:p w14:paraId="7C9D0378">
      <w:pPr>
        <w:keepNext w:val="0"/>
        <w:keepLines w:val="0"/>
        <w:pageBreakBefore w:val="0"/>
        <w:widowControl w:val="0"/>
        <w:numPr>
          <w:ilvl w:val="3"/>
          <w:numId w:val="0"/>
        </w:numPr>
        <w:kinsoku/>
        <w:wordWrap/>
        <w:overflowPunct/>
        <w:topLinePunct w:val="0"/>
        <w:autoSpaceDE/>
        <w:autoSpaceDN/>
        <w:bidi w:val="0"/>
        <w:adjustRightInd w:val="0"/>
        <w:snapToGrid w:val="0"/>
        <w:spacing w:line="360" w:lineRule="auto"/>
        <w:ind w:left="0" w:leftChars="0"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28.抗震支架</w:t>
      </w:r>
    </w:p>
    <w:p w14:paraId="28304C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（1）计量包括抗震支吊架及其配件（吊杆、槽钢、紧固件、抗震连接件、膨胀锚栓、管箍、管夹、限位紧构件、底座、角配件），以“m2”为计量单位计算。</w:t>
      </w:r>
    </w:p>
    <w:p w14:paraId="4933BD0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抗震支吊架及其配件（吊杆、槽钢、紧固件、抗震连接件、膨胀锚栓、管箍、管夹、限位紧构件、底座、角配件）的安装及深化，含除锈、刷油，预拼装、检验、核对、拆解、标识、扫描、测量、定位、组对、吊装、安装、调整、验收。</w:t>
      </w:r>
    </w:p>
    <w:p w14:paraId="54D90B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color w:val="auto"/>
          <w:sz w:val="28"/>
          <w:szCs w:val="21"/>
          <w:highlight w:val="none"/>
        </w:rPr>
      </w:pPr>
      <w:r>
        <w:rPr>
          <w:rFonts w:hint="eastAsia" w:asciiTheme="minorEastAsia" w:hAnsiTheme="minorEastAsia" w:eastAsiaTheme="minorEastAsia" w:cstheme="minorEastAsia"/>
          <w:color w:val="auto"/>
          <w:sz w:val="24"/>
          <w:szCs w:val="24"/>
          <w:highlight w:val="none"/>
        </w:rPr>
        <w:t>（3）结算按建筑面积，以“m2”为计量单位计算。</w:t>
      </w:r>
      <w:bookmarkStart w:id="168" w:name="_Toc8798"/>
      <w:bookmarkStart w:id="169" w:name="_Toc11724"/>
    </w:p>
    <w:p w14:paraId="17B32AE1">
      <w:pPr>
        <w:pStyle w:val="27"/>
        <w:spacing w:before="143" w:after="143" w:line="360" w:lineRule="auto"/>
        <w:jc w:val="both"/>
        <w:outlineLvl w:val="9"/>
        <w:rPr>
          <w:rFonts w:hint="eastAsia"/>
          <w:color w:val="auto"/>
          <w:sz w:val="28"/>
          <w:szCs w:val="21"/>
          <w:highlight w:val="none"/>
        </w:rPr>
      </w:pPr>
    </w:p>
    <w:p w14:paraId="292A1FCE">
      <w:pPr>
        <w:pStyle w:val="27"/>
        <w:spacing w:before="143" w:after="143" w:line="360" w:lineRule="auto"/>
        <w:jc w:val="center"/>
        <w:outlineLvl w:val="3"/>
        <w:rPr>
          <w:color w:val="auto"/>
          <w:sz w:val="28"/>
          <w:szCs w:val="21"/>
          <w:highlight w:val="none"/>
        </w:rPr>
      </w:pPr>
      <w:r>
        <w:rPr>
          <w:rFonts w:hint="eastAsia"/>
          <w:color w:val="auto"/>
          <w:sz w:val="28"/>
          <w:szCs w:val="21"/>
          <w:highlight w:val="none"/>
        </w:rPr>
        <w:t>三、市政工程计价补充说明</w:t>
      </w:r>
    </w:p>
    <w:p w14:paraId="4E4F59CC">
      <w:pPr>
        <w:pStyle w:val="32"/>
        <w:spacing w:before="143" w:beforeAutospacing="0" w:after="143" w:line="360" w:lineRule="auto"/>
        <w:jc w:val="left"/>
        <w:outlineLvl w:val="4"/>
        <w:rPr>
          <w:rFonts w:ascii="宋体" w:eastAsia="宋体"/>
          <w:color w:val="auto"/>
          <w:sz w:val="28"/>
          <w:szCs w:val="28"/>
          <w:highlight w:val="none"/>
        </w:rPr>
      </w:pPr>
      <w:r>
        <w:rPr>
          <w:rFonts w:hint="eastAsia" w:ascii="宋体" w:eastAsia="宋体"/>
          <w:strike w:val="0"/>
          <w:color w:val="auto"/>
          <w:sz w:val="28"/>
          <w:szCs w:val="28"/>
          <w:highlight w:val="none"/>
        </w:rPr>
        <w:t>B</w:t>
      </w:r>
      <w:r>
        <w:rPr>
          <w:rFonts w:hint="eastAsia" w:ascii="宋体" w:eastAsia="宋体"/>
          <w:strike w:val="0"/>
          <w:color w:val="auto"/>
          <w:sz w:val="28"/>
          <w:szCs w:val="28"/>
          <w:highlight w:val="none"/>
          <w:lang w:eastAsia="zh-CN"/>
        </w:rPr>
        <w:t>.</w:t>
      </w:r>
      <w:r>
        <w:rPr>
          <w:rFonts w:hint="eastAsia" w:ascii="宋体" w:eastAsia="宋体"/>
          <w:strike w:val="0"/>
          <w:color w:val="auto"/>
          <w:sz w:val="28"/>
          <w:szCs w:val="28"/>
          <w:highlight w:val="none"/>
        </w:rPr>
        <w:t>1</w:t>
      </w:r>
      <w:r>
        <w:rPr>
          <w:rFonts w:hint="eastAsia" w:ascii="宋体" w:eastAsia="宋体"/>
          <w:color w:val="auto"/>
          <w:sz w:val="28"/>
          <w:szCs w:val="28"/>
          <w:highlight w:val="none"/>
        </w:rPr>
        <w:t xml:space="preserve"> 道路工程</w:t>
      </w:r>
    </w:p>
    <w:p w14:paraId="7D03E4A2">
      <w:pPr>
        <w:pStyle w:val="32"/>
        <w:keepNext w:val="0"/>
        <w:keepLines w:val="0"/>
        <w:pageBreakBefore w:val="0"/>
        <w:widowControl/>
        <w:kinsoku/>
        <w:wordWrap/>
        <w:overflowPunct/>
        <w:topLinePunct/>
        <w:autoSpaceDE/>
        <w:autoSpaceDN/>
        <w:bidi w:val="0"/>
        <w:adjustRightInd w:val="0"/>
        <w:snapToGrid w:val="0"/>
        <w:spacing w:before="0" w:beforeLines="0" w:beforeAutospacing="0" w:after="0" w:afterLines="0" w:line="360" w:lineRule="auto"/>
        <w:ind w:firstLine="498" w:firstLineChars="200"/>
        <w:textAlignment w:val="auto"/>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1.水泥稳定碎（砾）石</w:t>
      </w:r>
    </w:p>
    <w:p w14:paraId="578460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（1）计价综合考虑石料规格、拌和方式、摊铺方式、养护方式、材料运距、找平、碾压、养护等。</w:t>
      </w:r>
    </w:p>
    <w:p w14:paraId="1FCCA9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（2）计价包括路床（槽）整形、拌和、运输、铺筑、找平、碾压、养护、材料及材料运输等一切相关费用。</w:t>
      </w:r>
    </w:p>
    <w:p w14:paraId="52E7F6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（3）计量分不同厚度、配合比，按设计图示尺寸以平方米计算，不扣除各种井所占面积。</w:t>
      </w:r>
    </w:p>
    <w:p w14:paraId="707B02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（4）当基层厚度发生变化，按厚度比进行换算；配合比发生变更时，只调整相应材料的价差。</w:t>
      </w:r>
    </w:p>
    <w:p w14:paraId="71D0BB16">
      <w:pPr>
        <w:pStyle w:val="32"/>
        <w:spacing w:before="143" w:beforeAutospacing="0" w:after="143" w:line="360" w:lineRule="auto"/>
        <w:outlineLvl w:val="5"/>
        <w:rPr>
          <w:rFonts w:ascii="宋体" w:eastAsia="宋体"/>
          <w:color w:val="auto"/>
          <w:sz w:val="28"/>
          <w:szCs w:val="28"/>
          <w:highlight w:val="none"/>
        </w:rPr>
      </w:pPr>
      <w:r>
        <w:rPr>
          <w:rFonts w:hint="eastAsia" w:ascii="宋体" w:eastAsia="宋体"/>
          <w:color w:val="auto"/>
          <w:sz w:val="28"/>
          <w:szCs w:val="28"/>
          <w:highlight w:val="none"/>
        </w:rPr>
        <w:t>B.</w:t>
      </w:r>
      <w:r>
        <w:rPr>
          <w:rFonts w:hint="eastAsia" w:ascii="宋体" w:eastAsia="宋体"/>
          <w:color w:val="auto"/>
          <w:sz w:val="28"/>
          <w:szCs w:val="28"/>
          <w:highlight w:val="none"/>
          <w:lang w:val="en-US" w:eastAsia="zh-CN"/>
        </w:rPr>
        <w:t>2</w:t>
      </w:r>
      <w:r>
        <w:rPr>
          <w:rFonts w:hint="eastAsia" w:ascii="宋体" w:eastAsia="宋体"/>
          <w:color w:val="auto"/>
          <w:sz w:val="28"/>
          <w:szCs w:val="28"/>
          <w:highlight w:val="none"/>
        </w:rPr>
        <w:t xml:space="preserve"> 道路面层</w:t>
      </w:r>
    </w:p>
    <w:p w14:paraId="50DA78E6">
      <w:pPr>
        <w:pStyle w:val="24"/>
        <w:keepNext w:val="0"/>
        <w:keepLines w:val="0"/>
        <w:pageBreakBefore w:val="0"/>
        <w:widowControl/>
        <w:kinsoku/>
        <w:wordWrap/>
        <w:overflowPunct/>
        <w:topLinePunct/>
        <w:autoSpaceDE/>
        <w:autoSpaceDN/>
        <w:bidi w:val="0"/>
        <w:adjustRightInd w:val="0"/>
        <w:snapToGrid w:val="0"/>
        <w:spacing w:before="143" w:beforeLines="50" w:beforeAutospacing="0" w:after="143" w:afterLines="50" w:line="360" w:lineRule="auto"/>
        <w:ind w:firstLine="482" w:firstLineChars="200"/>
        <w:textAlignment w:val="auto"/>
        <w:outlineLvl w:val="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snapToGrid/>
          <w:color w:val="auto"/>
          <w:spacing w:val="0"/>
          <w:kern w:val="2"/>
          <w:sz w:val="24"/>
          <w:szCs w:val="24"/>
          <w:highlight w:val="none"/>
          <w:lang w:val="en-US" w:eastAsia="zh-CN" w:bidi="ar-SA"/>
        </w:rPr>
        <w:t>1.水泥混凝土</w:t>
      </w:r>
    </w:p>
    <w:p w14:paraId="45B895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（1）计价综合考虑粒径、拌和方式、支模方式、摊铺方式、养护方式、传力杆套筒、材料运距、胀缝、缩缝、嵌缝、掺和料、压痕或刻防滑槽等。</w:t>
      </w:r>
    </w:p>
    <w:p w14:paraId="164BC24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（2）计价包括基层处理、混凝土制作、运输、浇筑、养护及传力杆套筒、各类伸缩缝、切缝等及按图纸和规范要求而进行、完成和维护等一切相关费用。</w:t>
      </w:r>
    </w:p>
    <w:p w14:paraId="3E5805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（3）计量分不同混凝土强度等级、厚度，按设计图示尺寸以平方米计算。</w:t>
      </w:r>
    </w:p>
    <w:p w14:paraId="383486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（4）当混凝土强度等级、混凝土面层厚度发生变更时，只调整混凝土材料的价差。</w:t>
      </w:r>
    </w:p>
    <w:p w14:paraId="540F4DFB">
      <w:pPr>
        <w:pStyle w:val="32"/>
        <w:spacing w:before="143" w:beforeAutospacing="0" w:after="143" w:line="360" w:lineRule="auto"/>
        <w:outlineLvl w:val="5"/>
        <w:rPr>
          <w:rFonts w:ascii="宋体" w:eastAsia="宋体"/>
          <w:strike w:val="0"/>
          <w:dstrike w:val="0"/>
          <w:color w:val="auto"/>
          <w:sz w:val="28"/>
          <w:szCs w:val="28"/>
          <w:highlight w:val="none"/>
        </w:rPr>
      </w:pPr>
      <w:r>
        <w:rPr>
          <w:rFonts w:hint="eastAsia" w:ascii="宋体" w:eastAsia="宋体"/>
          <w:strike w:val="0"/>
          <w:dstrike w:val="0"/>
          <w:color w:val="auto"/>
          <w:sz w:val="28"/>
          <w:szCs w:val="28"/>
          <w:highlight w:val="none"/>
        </w:rPr>
        <w:t>B.</w:t>
      </w:r>
      <w:r>
        <w:rPr>
          <w:rFonts w:hint="eastAsia" w:ascii="宋体" w:eastAsia="宋体"/>
          <w:strike w:val="0"/>
          <w:dstrike w:val="0"/>
          <w:color w:val="auto"/>
          <w:sz w:val="28"/>
          <w:szCs w:val="28"/>
          <w:highlight w:val="none"/>
          <w:lang w:val="en-US" w:eastAsia="zh-CN"/>
        </w:rPr>
        <w:t>3</w:t>
      </w:r>
      <w:r>
        <w:rPr>
          <w:rFonts w:hint="eastAsia" w:ascii="宋体" w:eastAsia="宋体"/>
          <w:strike w:val="0"/>
          <w:dstrike w:val="0"/>
          <w:color w:val="auto"/>
          <w:sz w:val="28"/>
          <w:szCs w:val="28"/>
          <w:highlight w:val="none"/>
        </w:rPr>
        <w:t xml:space="preserve"> 交通管理设施</w:t>
      </w:r>
    </w:p>
    <w:p w14:paraId="23E550A0">
      <w:pPr>
        <w:pStyle w:val="32"/>
        <w:keepNext w:val="0"/>
        <w:keepLines w:val="0"/>
        <w:pageBreakBefore w:val="0"/>
        <w:widowControl/>
        <w:kinsoku/>
        <w:wordWrap/>
        <w:overflowPunct/>
        <w:topLinePunct/>
        <w:autoSpaceDE/>
        <w:autoSpaceDN/>
        <w:bidi w:val="0"/>
        <w:adjustRightInd w:val="0"/>
        <w:snapToGrid w:val="0"/>
        <w:spacing w:before="0" w:beforeLines="0" w:beforeAutospacing="0" w:after="0" w:afterLines="0" w:line="360" w:lineRule="auto"/>
        <w:ind w:firstLine="498" w:firstLineChars="200"/>
        <w:textAlignment w:val="auto"/>
        <w:outlineLvl w:val="6"/>
        <w:rPr>
          <w:rFonts w:ascii="宋体" w:eastAsia="宋体"/>
          <w:strike w:val="0"/>
          <w:dstrike w:val="0"/>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1.标志牌</w:t>
      </w:r>
    </w:p>
    <w:p w14:paraId="550A033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（1）计价综合考虑安装部位、高度等。</w:t>
      </w:r>
    </w:p>
    <w:p w14:paraId="7D9249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（2）计价包括制作、安装、材料及材料运输等一切相关费用。</w:t>
      </w:r>
    </w:p>
    <w:p w14:paraId="482144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（3）计量分不同材质、规格尺寸、反光膜等级，以块计算。</w:t>
      </w:r>
    </w:p>
    <w:p w14:paraId="20748C4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strike w:val="0"/>
          <w:dstrike w:val="0"/>
          <w:color w:val="auto"/>
          <w:sz w:val="24"/>
          <w:szCs w:val="24"/>
          <w:highlight w:val="none"/>
        </w:rPr>
      </w:pPr>
      <w:r>
        <w:rPr>
          <w:rFonts w:hint="eastAsia" w:asciiTheme="minorEastAsia" w:hAnsiTheme="minorEastAsia" w:eastAsiaTheme="minorEastAsia" w:cstheme="minorEastAsia"/>
          <w:color w:val="auto"/>
          <w:sz w:val="24"/>
          <w:szCs w:val="24"/>
          <w:highlight w:val="none"/>
        </w:rPr>
        <w:t>（4）当标志板材质、反光膜等级发生变更时，只调整材料的价差；当标志板规格尺寸发生变更时，按标志板面积比进行换算。</w:t>
      </w:r>
    </w:p>
    <w:p w14:paraId="04153377">
      <w:pPr>
        <w:pStyle w:val="32"/>
        <w:keepNext w:val="0"/>
        <w:keepLines w:val="0"/>
        <w:pageBreakBefore w:val="0"/>
        <w:widowControl/>
        <w:kinsoku/>
        <w:wordWrap/>
        <w:overflowPunct/>
        <w:topLinePunct/>
        <w:autoSpaceDE/>
        <w:autoSpaceDN/>
        <w:bidi w:val="0"/>
        <w:adjustRightInd w:val="0"/>
        <w:snapToGrid w:val="0"/>
        <w:spacing w:before="0" w:beforeLines="0" w:beforeAutospacing="0" w:after="0" w:afterLines="0" w:line="360" w:lineRule="auto"/>
        <w:ind w:firstLine="498" w:firstLineChars="200"/>
        <w:textAlignment w:val="auto"/>
        <w:outlineLvl w:val="6"/>
        <w:rPr>
          <w:rFonts w:ascii="宋体" w:eastAsia="宋体"/>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2.标线</w:t>
      </w:r>
    </w:p>
    <w:p w14:paraId="4A06D5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（1）计价综合考虑线型、涂料厚度、材料运距等。</w:t>
      </w:r>
    </w:p>
    <w:p w14:paraId="7262461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（2）计价包括清扫、放样、画线、护线、材料及材料运输等一切相关费用。</w:t>
      </w:r>
    </w:p>
    <w:p w14:paraId="50678C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（3）计量分不同材料品种、涂刷工艺，按设计图示尺寸以平方米计算。</w:t>
      </w:r>
    </w:p>
    <w:p w14:paraId="07EED8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（4）当标线材料品种发生变更时，只调整材料的价差。</w:t>
      </w:r>
    </w:p>
    <w:bookmarkEnd w:id="168"/>
    <w:bookmarkEnd w:id="169"/>
    <w:p w14:paraId="5A1D62F1">
      <w:pPr>
        <w:pStyle w:val="27"/>
        <w:spacing w:before="143" w:after="143" w:line="360" w:lineRule="auto"/>
        <w:jc w:val="center"/>
        <w:outlineLvl w:val="3"/>
        <w:rPr>
          <w:rFonts w:asciiTheme="minorEastAsia" w:hAnsiTheme="minorEastAsia" w:eastAsiaTheme="minorEastAsia" w:cstheme="minorEastAsia"/>
          <w:b w:val="0"/>
          <w:bCs/>
          <w:color w:val="auto"/>
          <w:sz w:val="24"/>
          <w:szCs w:val="20"/>
          <w:highlight w:val="none"/>
        </w:rPr>
      </w:pPr>
      <w:bookmarkStart w:id="170" w:name="_Toc223341771"/>
      <w:bookmarkStart w:id="171" w:name="_Toc15275"/>
      <w:bookmarkStart w:id="172" w:name="_Toc1838"/>
      <w:bookmarkStart w:id="173" w:name="_Toc22505"/>
      <w:bookmarkStart w:id="174" w:name="_Toc16771"/>
      <w:bookmarkStart w:id="175" w:name="_Toc29669"/>
      <w:r>
        <w:rPr>
          <w:rFonts w:hint="eastAsia"/>
          <w:color w:val="auto"/>
          <w:sz w:val="28"/>
          <w:szCs w:val="21"/>
          <w:highlight w:val="none"/>
        </w:rPr>
        <w:t>五、拆改工程计价补充说明</w:t>
      </w:r>
    </w:p>
    <w:p w14:paraId="0A017DEA">
      <w:pPr>
        <w:pStyle w:val="24"/>
        <w:keepNext w:val="0"/>
        <w:keepLines w:val="0"/>
        <w:pageBreakBefore w:val="0"/>
        <w:widowControl/>
        <w:kinsoku/>
        <w:wordWrap/>
        <w:overflowPunct/>
        <w:topLinePunct/>
        <w:autoSpaceDE/>
        <w:autoSpaceDN/>
        <w:bidi w:val="0"/>
        <w:adjustRightInd w:val="0"/>
        <w:snapToGrid w:val="0"/>
        <w:spacing w:before="143" w:beforeLines="50" w:beforeAutospacing="0" w:after="143" w:afterLines="50" w:line="360" w:lineRule="auto"/>
        <w:ind w:firstLine="498" w:firstLineChars="200"/>
        <w:textAlignment w:val="auto"/>
        <w:rPr>
          <w:b/>
          <w:color w:val="auto"/>
          <w:sz w:val="24"/>
          <w:szCs w:val="24"/>
          <w:highlight w:val="none"/>
        </w:rPr>
      </w:pPr>
      <w:r>
        <w:rPr>
          <w:rFonts w:hint="eastAsia"/>
          <w:b/>
          <w:color w:val="auto"/>
          <w:sz w:val="24"/>
          <w:szCs w:val="24"/>
          <w:highlight w:val="none"/>
        </w:rPr>
        <w:t>拆除工程，分一般拆除、拆装两种情况：</w:t>
      </w:r>
    </w:p>
    <w:p w14:paraId="589EDB5D">
      <w:pPr>
        <w:pStyle w:val="24"/>
        <w:keepNext w:val="0"/>
        <w:keepLines w:val="0"/>
        <w:pageBreakBefore w:val="0"/>
        <w:widowControl/>
        <w:tabs>
          <w:tab w:val="left" w:pos="1134"/>
        </w:tabs>
        <w:kinsoku/>
        <w:wordWrap/>
        <w:overflowPunct/>
        <w:topLinePunct/>
        <w:autoSpaceDE/>
        <w:autoSpaceDN/>
        <w:bidi w:val="0"/>
        <w:adjustRightInd w:val="0"/>
        <w:snapToGrid w:val="0"/>
        <w:spacing w:before="0" w:beforeAutospacing="0" w:after="0" w:line="360" w:lineRule="auto"/>
        <w:ind w:firstLine="496"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一般拆除是指中标人实施时按设计及招标人要求充分考虑采用各种有效的措施，拆除原有建筑实体项目，负责把拆除物清理外运弃置，并结合项目情况综合考虑残值回收、运距及消纳费。结算时工程量以设计图示尺寸按相应计量规则计算；没有设计图纸的以现场签证为准，其中以“项”或“宗”为计量单位计算的，属费用包干项目，投标人依据现场实际踏勘摸查情况，需充分考虑其风险性因素进行投标报价，除合同另有约定外，结算时不作调整。</w:t>
      </w:r>
    </w:p>
    <w:p w14:paraId="13147D70">
      <w:pPr>
        <w:pStyle w:val="24"/>
        <w:keepNext w:val="0"/>
        <w:keepLines w:val="0"/>
        <w:pageBreakBefore w:val="0"/>
        <w:widowControl/>
        <w:tabs>
          <w:tab w:val="left" w:pos="1134"/>
        </w:tabs>
        <w:kinsoku/>
        <w:wordWrap/>
        <w:overflowPunct/>
        <w:topLinePunct/>
        <w:autoSpaceDE/>
        <w:autoSpaceDN/>
        <w:bidi w:val="0"/>
        <w:adjustRightInd w:val="0"/>
        <w:snapToGrid w:val="0"/>
        <w:spacing w:before="0" w:beforeAutospacing="0" w:after="0" w:line="360" w:lineRule="auto"/>
        <w:ind w:firstLine="496" w:firstLineChars="200"/>
        <w:textAlignment w:val="auto"/>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拆装是指中标人实施时按设计及招标人要求充分考虑采用各种有效的措施，保护性拆除原有建筑实体项目，按需存放，并按设计图纸要求实施安装。</w:t>
      </w:r>
    </w:p>
    <w:p w14:paraId="48D328F3">
      <w:pPr>
        <w:pStyle w:val="32"/>
        <w:spacing w:before="143" w:beforeAutospacing="0" w:after="143" w:line="360" w:lineRule="auto"/>
        <w:outlineLvl w:val="5"/>
        <w:rPr>
          <w:rFonts w:ascii="宋体" w:eastAsia="宋体"/>
          <w:color w:val="auto"/>
          <w:sz w:val="28"/>
          <w:szCs w:val="28"/>
          <w:highlight w:val="none"/>
        </w:rPr>
      </w:pPr>
      <w:r>
        <w:rPr>
          <w:rFonts w:hint="eastAsia" w:ascii="宋体" w:eastAsia="宋体"/>
          <w:color w:val="auto"/>
          <w:sz w:val="28"/>
          <w:szCs w:val="28"/>
          <w:highlight w:val="none"/>
        </w:rPr>
        <w:t>（一）建筑装饰工程拆除清单项目</w:t>
      </w:r>
    </w:p>
    <w:p w14:paraId="4E1336A0">
      <w:pPr>
        <w:pStyle w:val="11"/>
        <w:keepNext w:val="0"/>
        <w:keepLines w:val="0"/>
        <w:widowControl/>
        <w:suppressLineNumbers w:val="0"/>
        <w:topLinePunct/>
        <w:autoSpaceDE w:val="0"/>
        <w:autoSpaceDN/>
        <w:adjustRightInd w:val="0"/>
        <w:snapToGrid w:val="0"/>
        <w:spacing w:before="0" w:beforeLines="0" w:beforeAutospacing="0" w:after="0" w:afterLines="0" w:afterAutospacing="0" w:line="360" w:lineRule="auto"/>
        <w:ind w:left="0" w:right="0" w:firstLine="482" w:firstLineChars="200"/>
        <w:jc w:val="left"/>
        <w:outlineLvl w:val="6"/>
        <w:rPr>
          <w:rFonts w:hint="eastAsia" w:ascii="宋体" w:hAnsi="宋体" w:eastAsia="宋体" w:cs="宋体"/>
          <w:b/>
          <w:bCs w:val="0"/>
          <w:spacing w:val="4"/>
          <w:kern w:val="0"/>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 w:bidi="ar-SA"/>
        </w:rPr>
        <w:t>1</w:t>
      </w:r>
      <w:r>
        <w:rPr>
          <w:rFonts w:hint="eastAsia" w:asciiTheme="minorEastAsia" w:hAnsiTheme="minorEastAsia" w:eastAsiaTheme="minorEastAsia" w:cstheme="minorEastAsia"/>
          <w:b/>
          <w:color w:val="auto"/>
          <w:kern w:val="2"/>
          <w:sz w:val="24"/>
          <w:szCs w:val="24"/>
          <w:highlight w:val="none"/>
          <w:lang w:val="en-US" w:eastAsia="zh-CN" w:bidi="ar-SA"/>
        </w:rPr>
        <w:t>.拆除门窗清单项目</w:t>
      </w:r>
    </w:p>
    <w:p w14:paraId="3D595F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（1）计价综合考虑拆除方式（人工或机械）、</w:t>
      </w:r>
      <w:r>
        <w:rPr>
          <w:rFonts w:hint="eastAsia" w:asciiTheme="minorEastAsia" w:hAnsiTheme="minorEastAsia" w:eastAsiaTheme="minorEastAsia" w:cstheme="minorEastAsia"/>
          <w:color w:val="auto"/>
          <w:sz w:val="24"/>
          <w:szCs w:val="24"/>
          <w:highlight w:val="none"/>
          <w:lang w:val="en-US" w:eastAsia="zh"/>
        </w:rPr>
        <w:t>基层的拆除及清理、钢材残值、拆除所产生的</w:t>
      </w:r>
      <w:r>
        <w:rPr>
          <w:rFonts w:hint="eastAsia" w:asciiTheme="minorEastAsia" w:hAnsiTheme="minorEastAsia" w:eastAsiaTheme="minorEastAsia" w:cstheme="minorEastAsia"/>
          <w:color w:val="auto"/>
          <w:sz w:val="24"/>
          <w:szCs w:val="24"/>
          <w:highlight w:val="none"/>
          <w:lang w:val="en-US" w:eastAsia="zh-CN"/>
        </w:rPr>
        <w:t>建筑垃圾的清理、转堆及弃运处理、运输方式、场内外运距、每天运输及作业时间、建筑垃圾消纳处置等。</w:t>
      </w:r>
    </w:p>
    <w:p w14:paraId="5790E2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pacing w:val="4"/>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（2）计量按拆除尺寸以平方米计算。</w:t>
      </w:r>
    </w:p>
    <w:p w14:paraId="59EBFD8E">
      <w:pPr>
        <w:pStyle w:val="11"/>
        <w:keepNext w:val="0"/>
        <w:keepLines w:val="0"/>
        <w:widowControl/>
        <w:suppressLineNumbers w:val="0"/>
        <w:topLinePunct/>
        <w:autoSpaceDE w:val="0"/>
        <w:autoSpaceDN/>
        <w:adjustRightInd w:val="0"/>
        <w:snapToGrid w:val="0"/>
        <w:spacing w:before="0" w:beforeLines="0" w:beforeAutospacing="0" w:after="0" w:afterLines="0" w:afterAutospacing="0" w:line="360" w:lineRule="auto"/>
        <w:ind w:left="0" w:right="0" w:firstLine="482" w:firstLineChars="200"/>
        <w:jc w:val="left"/>
        <w:outlineLvl w:val="6"/>
        <w:rPr>
          <w:rFonts w:hint="eastAsia" w:ascii="宋体" w:hAnsi="宋体" w:eastAsia="宋体" w:cs="宋体"/>
          <w:b/>
          <w:bCs w:val="0"/>
          <w:spacing w:val="4"/>
          <w:kern w:val="0"/>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 w:bidi="ar-SA"/>
        </w:rPr>
        <w:t>2</w:t>
      </w:r>
      <w:r>
        <w:rPr>
          <w:rFonts w:hint="eastAsia" w:asciiTheme="minorEastAsia" w:hAnsiTheme="minorEastAsia" w:eastAsiaTheme="minorEastAsia" w:cstheme="minorEastAsia"/>
          <w:b/>
          <w:color w:val="auto"/>
          <w:kern w:val="2"/>
          <w:sz w:val="24"/>
          <w:szCs w:val="24"/>
          <w:highlight w:val="none"/>
          <w:lang w:val="en-US" w:eastAsia="zh-CN" w:bidi="ar-SA"/>
        </w:rPr>
        <w:t>.拆除砌体及墙体清单项目</w:t>
      </w:r>
    </w:p>
    <w:p w14:paraId="06CD841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（1）计价综合考虑拆除厚度（含结构层和装饰层）、拆除方式（人工或机械）、</w:t>
      </w:r>
      <w:r>
        <w:rPr>
          <w:rFonts w:hint="eastAsia" w:asciiTheme="minorEastAsia" w:hAnsiTheme="minorEastAsia" w:eastAsiaTheme="minorEastAsia" w:cstheme="minorEastAsia"/>
          <w:color w:val="auto"/>
          <w:sz w:val="24"/>
          <w:szCs w:val="24"/>
          <w:highlight w:val="none"/>
          <w:lang w:val="en-US" w:eastAsia="zh"/>
        </w:rPr>
        <w:t>拆除砖墙砖渣残值，</w:t>
      </w:r>
      <w:r>
        <w:rPr>
          <w:rFonts w:hint="eastAsia" w:asciiTheme="minorEastAsia" w:hAnsiTheme="minorEastAsia" w:eastAsiaTheme="minorEastAsia" w:cstheme="minorEastAsia"/>
          <w:color w:val="auto"/>
          <w:sz w:val="24"/>
          <w:szCs w:val="24"/>
          <w:highlight w:val="none"/>
          <w:lang w:val="en-US" w:eastAsia="zh-CN"/>
        </w:rPr>
        <w:t>建筑垃圾的清理、转堆及弃运处理、场内外运距、每天运输及作业时间、消纳费等。</w:t>
      </w:r>
    </w:p>
    <w:p w14:paraId="4063773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（2）计价包含拆除、清理、转堆、场内外运距、建筑垃圾消纳处置等工作内容。</w:t>
      </w:r>
    </w:p>
    <w:p w14:paraId="51A52D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pacing w:val="4"/>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（3）计量按拆除范围按相应计价规则以立方米计算。</w:t>
      </w:r>
    </w:p>
    <w:p w14:paraId="40898A82">
      <w:pPr>
        <w:pStyle w:val="11"/>
        <w:keepNext w:val="0"/>
        <w:keepLines w:val="0"/>
        <w:widowControl/>
        <w:suppressLineNumbers w:val="0"/>
        <w:topLinePunct/>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宋体"/>
          <w:b/>
          <w:bCs w:val="0"/>
          <w:snapToGrid/>
          <w:spacing w:val="4"/>
          <w:kern w:val="0"/>
          <w:sz w:val="24"/>
          <w:szCs w:val="24"/>
          <w:highlight w:val="none"/>
          <w:lang w:val="en-US" w:eastAsia="zh" w:bidi="ar"/>
        </w:rPr>
      </w:pPr>
      <w:r>
        <w:rPr>
          <w:rFonts w:hint="eastAsia" w:asciiTheme="minorEastAsia" w:hAnsiTheme="minorEastAsia" w:eastAsiaTheme="minorEastAsia" w:cstheme="minorEastAsia"/>
          <w:b/>
          <w:color w:val="auto"/>
          <w:kern w:val="2"/>
          <w:sz w:val="24"/>
          <w:szCs w:val="24"/>
          <w:highlight w:val="none"/>
          <w:lang w:val="en-US" w:eastAsia="zh" w:bidi="ar-SA"/>
        </w:rPr>
        <w:t>3</w:t>
      </w:r>
      <w:r>
        <w:rPr>
          <w:rFonts w:hint="eastAsia" w:asciiTheme="minorEastAsia" w:hAnsiTheme="minorEastAsia" w:eastAsiaTheme="minorEastAsia" w:cstheme="minorEastAsia"/>
          <w:b/>
          <w:color w:val="auto"/>
          <w:kern w:val="2"/>
          <w:sz w:val="24"/>
          <w:szCs w:val="24"/>
          <w:highlight w:val="none"/>
          <w:lang w:val="en-US" w:eastAsia="zh-CN" w:bidi="ar-SA"/>
        </w:rPr>
        <w:t>.拆除</w:t>
      </w:r>
      <w:r>
        <w:rPr>
          <w:rFonts w:hint="eastAsia" w:asciiTheme="minorEastAsia" w:hAnsiTheme="minorEastAsia" w:eastAsiaTheme="minorEastAsia" w:cstheme="minorEastAsia"/>
          <w:b/>
          <w:color w:val="auto"/>
          <w:kern w:val="2"/>
          <w:sz w:val="24"/>
          <w:szCs w:val="24"/>
          <w:highlight w:val="none"/>
          <w:lang w:val="en-US" w:eastAsia="zh" w:bidi="ar-SA"/>
        </w:rPr>
        <w:t>排水沟盖板</w:t>
      </w:r>
    </w:p>
    <w:p w14:paraId="77421BB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（1）计价综合考虑</w:t>
      </w:r>
      <w:r>
        <w:rPr>
          <w:rFonts w:hint="eastAsia" w:asciiTheme="minorEastAsia" w:hAnsiTheme="minorEastAsia" w:eastAsiaTheme="minorEastAsia" w:cstheme="minorEastAsia"/>
          <w:color w:val="auto"/>
          <w:sz w:val="24"/>
          <w:szCs w:val="24"/>
          <w:highlight w:val="none"/>
          <w:lang w:val="en-US" w:eastAsia="zh"/>
        </w:rPr>
        <w:t>拆除盖板样式、拆除方式（人工或机械）、建筑垃圾的清理转堆及弃运处理、建筑垃圾消纳费、运输方式、场内外运距、每天运输及作业时间等相关一切费用</w:t>
      </w:r>
      <w:r>
        <w:rPr>
          <w:rFonts w:hint="eastAsia" w:asciiTheme="minorEastAsia" w:hAnsiTheme="minorEastAsia" w:eastAsiaTheme="minorEastAsia" w:cstheme="minorEastAsia"/>
          <w:color w:val="auto"/>
          <w:sz w:val="24"/>
          <w:szCs w:val="24"/>
          <w:highlight w:val="none"/>
          <w:lang w:val="en-US" w:eastAsia="zh-CN"/>
        </w:rPr>
        <w:t>。</w:t>
      </w:r>
    </w:p>
    <w:p w14:paraId="357C99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pacing w:val="4"/>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（2）计量按拆除</w:t>
      </w:r>
      <w:r>
        <w:rPr>
          <w:rFonts w:hint="eastAsia" w:asciiTheme="minorEastAsia" w:hAnsiTheme="minorEastAsia" w:eastAsiaTheme="minorEastAsia" w:cstheme="minorEastAsia"/>
          <w:color w:val="auto"/>
          <w:sz w:val="24"/>
          <w:szCs w:val="24"/>
          <w:highlight w:val="none"/>
          <w:lang w:val="en-US" w:eastAsia="zh"/>
        </w:rPr>
        <w:t>长度</w:t>
      </w:r>
      <w:r>
        <w:rPr>
          <w:rFonts w:hint="eastAsia" w:asciiTheme="minorEastAsia" w:hAnsiTheme="minorEastAsia" w:eastAsiaTheme="minorEastAsia" w:cstheme="minorEastAsia"/>
          <w:color w:val="auto"/>
          <w:sz w:val="24"/>
          <w:szCs w:val="24"/>
          <w:highlight w:val="none"/>
          <w:lang w:val="en-US" w:eastAsia="zh-CN"/>
        </w:rPr>
        <w:t>以米计算。</w:t>
      </w:r>
    </w:p>
    <w:p w14:paraId="2132A914">
      <w:pPr>
        <w:pStyle w:val="11"/>
        <w:keepNext w:val="0"/>
        <w:keepLines w:val="0"/>
        <w:widowControl/>
        <w:suppressLineNumbers w:val="0"/>
        <w:topLinePunct/>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宋体"/>
          <w:b/>
          <w:bCs w:val="0"/>
          <w:snapToGrid/>
          <w:spacing w:val="4"/>
          <w:kern w:val="0"/>
          <w:sz w:val="24"/>
          <w:szCs w:val="24"/>
          <w:highlight w:val="none"/>
          <w:lang w:val="en-US" w:eastAsia="zh" w:bidi="ar"/>
        </w:rPr>
      </w:pPr>
      <w:r>
        <w:rPr>
          <w:rFonts w:hint="eastAsia" w:asciiTheme="minorEastAsia" w:hAnsiTheme="minorEastAsia" w:eastAsiaTheme="minorEastAsia" w:cstheme="minorEastAsia"/>
          <w:b/>
          <w:color w:val="auto"/>
          <w:kern w:val="2"/>
          <w:sz w:val="24"/>
          <w:szCs w:val="24"/>
          <w:highlight w:val="none"/>
          <w:lang w:val="en-US" w:eastAsia="zh-CN" w:bidi="ar-SA"/>
        </w:rPr>
        <w:t>4.拆除</w:t>
      </w:r>
      <w:r>
        <w:rPr>
          <w:rFonts w:hint="eastAsia" w:asciiTheme="minorEastAsia" w:hAnsiTheme="minorEastAsia" w:eastAsiaTheme="minorEastAsia" w:cstheme="minorEastAsia"/>
          <w:b/>
          <w:color w:val="auto"/>
          <w:kern w:val="2"/>
          <w:sz w:val="24"/>
          <w:szCs w:val="24"/>
          <w:highlight w:val="none"/>
          <w:lang w:val="en-US" w:eastAsia="zh" w:bidi="ar-SA"/>
        </w:rPr>
        <w:t>钢筋混凝土密闭门</w:t>
      </w:r>
    </w:p>
    <w:p w14:paraId="063D4DA1">
      <w:pPr>
        <w:pStyle w:val="11"/>
        <w:keepNext w:val="0"/>
        <w:keepLines w:val="0"/>
        <w:widowControl/>
        <w:suppressLineNumbers w:val="0"/>
        <w:spacing w:before="0" w:beforeAutospacing="0" w:after="0" w:afterAutospacing="0"/>
        <w:ind w:left="0" w:right="0" w:firstLine="480" w:firstLineChars="200"/>
        <w:rPr>
          <w:rFonts w:hint="eastAsia" w:eastAsia="宋体"/>
          <w:highlight w:val="none"/>
          <w:lang w:eastAsia="zh"/>
        </w:rPr>
      </w:pPr>
      <w:r>
        <w:rPr>
          <w:rFonts w:hint="eastAsia" w:asciiTheme="minorEastAsia" w:hAnsiTheme="minorEastAsia" w:eastAsiaTheme="minorEastAsia" w:cstheme="minorEastAsia"/>
          <w:color w:val="auto"/>
          <w:kern w:val="2"/>
          <w:sz w:val="24"/>
          <w:szCs w:val="24"/>
          <w:highlight w:val="none"/>
          <w:lang w:val="en-US" w:eastAsia="zh-CN" w:bidi="ar-SA"/>
        </w:rPr>
        <w:t>（1）计价综合考虑</w:t>
      </w:r>
      <w:r>
        <w:rPr>
          <w:rFonts w:hint="eastAsia" w:asciiTheme="minorEastAsia" w:hAnsiTheme="minorEastAsia" w:eastAsiaTheme="minorEastAsia" w:cstheme="minorEastAsia"/>
          <w:color w:val="auto"/>
          <w:kern w:val="2"/>
          <w:sz w:val="24"/>
          <w:szCs w:val="24"/>
          <w:highlight w:val="none"/>
          <w:lang w:val="en-US" w:eastAsia="zh" w:bidi="ar-SA"/>
        </w:rPr>
        <w:t>拆除方式（人工或机械）、</w:t>
      </w:r>
      <w:r>
        <w:rPr>
          <w:rFonts w:hint="eastAsia" w:asciiTheme="minorEastAsia" w:hAnsiTheme="minorEastAsia" w:eastAsiaTheme="minorEastAsia" w:cstheme="minorEastAsia"/>
          <w:color w:val="auto"/>
          <w:kern w:val="2"/>
          <w:sz w:val="24"/>
          <w:szCs w:val="24"/>
          <w:highlight w:val="none"/>
          <w:lang w:val="en-US" w:eastAsia="zh-CN" w:bidi="ar-SA"/>
        </w:rPr>
        <w:t>基层的拆除及清理、</w:t>
      </w:r>
      <w:r>
        <w:rPr>
          <w:rFonts w:hint="eastAsia" w:asciiTheme="minorEastAsia" w:hAnsiTheme="minorEastAsia" w:eastAsiaTheme="minorEastAsia" w:cstheme="minorEastAsia"/>
          <w:color w:val="auto"/>
          <w:kern w:val="2"/>
          <w:sz w:val="24"/>
          <w:szCs w:val="24"/>
          <w:highlight w:val="none"/>
          <w:lang w:val="en-US" w:eastAsia="zh" w:bidi="ar-SA"/>
        </w:rPr>
        <w:t>拆除钢筋混凝土人防门钢筋残值、</w:t>
      </w:r>
      <w:r>
        <w:rPr>
          <w:rFonts w:hint="eastAsia" w:asciiTheme="minorEastAsia" w:hAnsiTheme="minorEastAsia" w:eastAsiaTheme="minorEastAsia" w:cstheme="minorEastAsia"/>
          <w:color w:val="auto"/>
          <w:kern w:val="2"/>
          <w:sz w:val="24"/>
          <w:szCs w:val="24"/>
          <w:highlight w:val="none"/>
          <w:lang w:val="en-US" w:eastAsia="zh-CN" w:bidi="ar-SA"/>
        </w:rPr>
        <w:t>拆除所产生的建筑垃圾的清理、转堆及弃运处理、运输方式、场内外运距、建筑垃圾消纳处置等</w:t>
      </w:r>
      <w:r>
        <w:rPr>
          <w:rFonts w:hint="eastAsia" w:asciiTheme="minorEastAsia" w:hAnsiTheme="minorEastAsia" w:eastAsiaTheme="minorEastAsia" w:cstheme="minorEastAsia"/>
          <w:color w:val="auto"/>
          <w:kern w:val="2"/>
          <w:sz w:val="24"/>
          <w:szCs w:val="24"/>
          <w:highlight w:val="none"/>
          <w:lang w:val="en-US" w:eastAsia="zh" w:bidi="ar-SA"/>
        </w:rPr>
        <w:t>。</w:t>
      </w:r>
    </w:p>
    <w:p w14:paraId="32BDFBFC">
      <w:pPr>
        <w:pStyle w:val="11"/>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（2）计量按拆除</w:t>
      </w:r>
      <w:r>
        <w:rPr>
          <w:rFonts w:hint="eastAsia" w:asciiTheme="minorEastAsia" w:hAnsiTheme="minorEastAsia" w:eastAsiaTheme="minorEastAsia" w:cstheme="minorEastAsia"/>
          <w:color w:val="auto"/>
          <w:kern w:val="2"/>
          <w:sz w:val="24"/>
          <w:szCs w:val="24"/>
          <w:highlight w:val="none"/>
          <w:lang w:val="en-US" w:eastAsia="zh" w:bidi="ar-SA"/>
        </w:rPr>
        <w:t>尺寸以平方米</w:t>
      </w:r>
      <w:r>
        <w:rPr>
          <w:rFonts w:hint="eastAsia" w:asciiTheme="minorEastAsia" w:hAnsiTheme="minorEastAsia" w:eastAsiaTheme="minorEastAsia" w:cstheme="minorEastAsia"/>
          <w:color w:val="auto"/>
          <w:kern w:val="2"/>
          <w:sz w:val="24"/>
          <w:szCs w:val="24"/>
          <w:highlight w:val="none"/>
          <w:lang w:val="en-US" w:eastAsia="zh-CN" w:bidi="ar-SA"/>
        </w:rPr>
        <w:t>计算。</w:t>
      </w:r>
    </w:p>
    <w:p w14:paraId="137778D5">
      <w:pPr>
        <w:pStyle w:val="11"/>
        <w:keepNext w:val="0"/>
        <w:keepLines w:val="0"/>
        <w:widowControl/>
        <w:suppressLineNumbers w:val="0"/>
        <w:topLinePunct/>
        <w:autoSpaceDE w:val="0"/>
        <w:autoSpaceDN/>
        <w:adjustRightInd w:val="0"/>
        <w:snapToGrid w:val="0"/>
        <w:spacing w:before="0" w:beforeLines="0" w:beforeAutospacing="0" w:after="0" w:afterLines="0" w:afterAutospacing="0" w:line="360" w:lineRule="auto"/>
        <w:ind w:left="0" w:right="0" w:firstLine="482" w:firstLineChars="200"/>
        <w:jc w:val="left"/>
        <w:outlineLvl w:val="6"/>
        <w:rPr>
          <w:rFonts w:hint="eastAsia" w:ascii="宋体" w:hAnsi="宋体" w:eastAsia="宋体" w:cs="宋体"/>
          <w:b/>
          <w:bCs w:val="0"/>
          <w:spacing w:val="4"/>
          <w:kern w:val="0"/>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5.整体拆除墙面、地面、天棚装修清单项目</w:t>
      </w:r>
    </w:p>
    <w:p w14:paraId="61EAA9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（1）计价综合考虑铲除厚度（</w:t>
      </w:r>
      <w:r>
        <w:rPr>
          <w:rFonts w:hint="eastAsia" w:asciiTheme="minorEastAsia" w:hAnsiTheme="minorEastAsia" w:eastAsiaTheme="minorEastAsia" w:cstheme="minorEastAsia"/>
          <w:color w:val="auto"/>
          <w:sz w:val="24"/>
          <w:szCs w:val="24"/>
          <w:highlight w:val="none"/>
          <w:lang w:val="en-US" w:eastAsia="zh"/>
        </w:rPr>
        <w:t>拆除饰面层</w:t>
      </w:r>
      <w:r>
        <w:rPr>
          <w:rFonts w:hint="eastAsia" w:asciiTheme="minorEastAsia" w:hAnsiTheme="minorEastAsia" w:eastAsiaTheme="minorEastAsia" w:cstheme="minorEastAsia"/>
          <w:color w:val="auto"/>
          <w:sz w:val="24"/>
          <w:szCs w:val="24"/>
          <w:highlight w:val="none"/>
          <w:lang w:val="en-US" w:eastAsia="zh-CN"/>
        </w:rPr>
        <w:t>、抹灰层）、原铺装材料、原施工方式及工艺、铲除方式（人工或机械）、建筑垃圾的清理转堆及弃运处理、消纳费、运输方式、场内外运距、每天运输及作业时间等相关一切费用。</w:t>
      </w:r>
    </w:p>
    <w:p w14:paraId="698A641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（2）卫生间整体拆除地面计价包含隔断、隔板、蹲位、填充料等相关配件的拆除、清运及建筑垃圾消纳处置。</w:t>
      </w:r>
    </w:p>
    <w:p w14:paraId="0F6C77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pacing w:val="4"/>
          <w:kern w:val="0"/>
          <w:sz w:val="24"/>
          <w:szCs w:val="24"/>
          <w:highlight w:val="none"/>
          <w:lang w:val="en-US" w:eastAsia="zh" w:bidi="ar"/>
        </w:rPr>
      </w:pPr>
      <w:r>
        <w:rPr>
          <w:rFonts w:hint="eastAsia" w:asciiTheme="minorEastAsia" w:hAnsiTheme="minorEastAsia" w:eastAsiaTheme="minorEastAsia" w:cstheme="minorEastAsia"/>
          <w:color w:val="auto"/>
          <w:sz w:val="24"/>
          <w:szCs w:val="24"/>
          <w:highlight w:val="none"/>
          <w:lang w:val="en-US" w:eastAsia="zh-CN"/>
        </w:rPr>
        <w:t>（3）计量分墙面、地面、天棚不同部位按图示拆除范围以平方米计算。不规则墙面、天棚按其投影面积以平方米计算。</w:t>
      </w:r>
    </w:p>
    <w:p w14:paraId="3FC349A9">
      <w:pPr>
        <w:pStyle w:val="32"/>
        <w:keepNext w:val="0"/>
        <w:keepLines w:val="0"/>
        <w:pageBreakBefore w:val="0"/>
        <w:widowControl/>
        <w:kinsoku/>
        <w:wordWrap/>
        <w:overflowPunct/>
        <w:autoSpaceDE/>
        <w:autoSpaceDN/>
        <w:bidi w:val="0"/>
        <w:adjustRightInd w:val="0"/>
        <w:snapToGrid w:val="0"/>
        <w:spacing w:before="0" w:beforeLines="0" w:beforeAutospacing="0" w:after="0" w:afterLines="0" w:line="360" w:lineRule="auto"/>
        <w:ind w:firstLine="498" w:firstLineChars="200"/>
        <w:textAlignment w:val="auto"/>
        <w:outlineLvl w:val="6"/>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6.原有建（构）筑物拆除清单项目</w:t>
      </w:r>
    </w:p>
    <w:p w14:paraId="4B1948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（1）计价综合考虑拆除的结构类型、拆除方式（人工或机械）、建筑垃圾的转堆及弃运处理、运输方式、场内外运距、每天运输及作业时间、消纳费等相关一切费用。</w:t>
      </w:r>
    </w:p>
    <w:p w14:paraId="7D35EB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（2）计价包括结构、墙体及附属品、装修工程、机电系统工程等建筑物整体拆除及拆除后场地整平清理、废渣堆放及转运、场内外运输、建筑垃圾消纳处置等</w:t>
      </w:r>
      <w:r>
        <w:rPr>
          <w:rFonts w:hint="eastAsia" w:asciiTheme="minorEastAsia" w:hAnsiTheme="minorEastAsia" w:eastAsiaTheme="minorEastAsia" w:cstheme="minorEastAsia"/>
          <w:color w:val="auto"/>
          <w:sz w:val="24"/>
          <w:szCs w:val="24"/>
          <w:highlight w:val="none"/>
          <w:lang w:eastAsia="zh-CN"/>
        </w:rPr>
        <w:t>。</w:t>
      </w:r>
    </w:p>
    <w:p w14:paraId="083B12E7">
      <w:pPr>
        <w:pStyle w:val="32"/>
        <w:keepNext w:val="0"/>
        <w:keepLines w:val="0"/>
        <w:pageBreakBefore w:val="0"/>
        <w:widowControl/>
        <w:kinsoku/>
        <w:wordWrap/>
        <w:overflowPunct/>
        <w:autoSpaceDE/>
        <w:autoSpaceDN/>
        <w:bidi w:val="0"/>
        <w:adjustRightInd w:val="0"/>
        <w:snapToGrid w:val="0"/>
        <w:spacing w:before="0" w:beforeLines="0" w:beforeAutospacing="0" w:after="0" w:afterLines="0" w:line="360" w:lineRule="auto"/>
        <w:ind w:firstLine="498" w:firstLineChars="200"/>
        <w:textAlignment w:val="auto"/>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7.钢筋混凝土构件拆除清单项目</w:t>
      </w:r>
    </w:p>
    <w:p w14:paraId="36E52E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（1）计价综合考虑铲除方式（人工或机械）、机械类型、</w:t>
      </w:r>
      <w:r>
        <w:rPr>
          <w:rFonts w:hint="eastAsia" w:asciiTheme="minorEastAsia" w:hAnsiTheme="minorEastAsia" w:eastAsiaTheme="minorEastAsia" w:cstheme="minorEastAsia"/>
          <w:color w:val="auto"/>
          <w:sz w:val="24"/>
          <w:szCs w:val="24"/>
          <w:highlight w:val="none"/>
          <w:lang w:eastAsia="zh"/>
        </w:rPr>
        <w:t>拆除钢筋混凝土结构钢筋残值、</w:t>
      </w:r>
      <w:r>
        <w:rPr>
          <w:rFonts w:hint="eastAsia" w:asciiTheme="minorEastAsia" w:hAnsiTheme="minorEastAsia" w:eastAsiaTheme="minorEastAsia" w:cstheme="minorEastAsia"/>
          <w:color w:val="auto"/>
          <w:sz w:val="24"/>
          <w:szCs w:val="24"/>
          <w:highlight w:val="none"/>
        </w:rPr>
        <w:t>建筑垃圾清理、转堆及弃运处理，消纳费、运输方式、场内外运距、每天运输及作业时间</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相关一切费用。</w:t>
      </w:r>
    </w:p>
    <w:p w14:paraId="32E4A6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（2）计价包含钢筋混凝土拆除及破碎、钢筋切割、建筑垃圾、清理、转堆及弃运处理，场内外运输、建筑垃圾消纳处置等工作内容。</w:t>
      </w:r>
    </w:p>
    <w:p w14:paraId="544822A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（3）计量分构件类型（梁、板、柱、基础）按图示尺寸以立方米计算。</w:t>
      </w:r>
    </w:p>
    <w:p w14:paraId="1A1CD0E8">
      <w:pPr>
        <w:pStyle w:val="32"/>
        <w:keepNext w:val="0"/>
        <w:keepLines w:val="0"/>
        <w:pageBreakBefore w:val="0"/>
        <w:widowControl/>
        <w:kinsoku/>
        <w:wordWrap/>
        <w:overflowPunct/>
        <w:autoSpaceDE/>
        <w:autoSpaceDN/>
        <w:bidi w:val="0"/>
        <w:adjustRightInd w:val="0"/>
        <w:snapToGrid w:val="0"/>
        <w:spacing w:before="0" w:beforeLines="0" w:beforeAutospacing="0" w:after="0" w:afterLines="0" w:line="360" w:lineRule="auto"/>
        <w:ind w:firstLine="498" w:firstLineChars="200"/>
        <w:textAlignment w:val="auto"/>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8.道路、人行道拆除清单项目</w:t>
      </w:r>
    </w:p>
    <w:p w14:paraId="5CAABD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（1）计价综合考虑拆除方式（人工或机械）、道路类型、面层及基层材料种类、厚度，转堆、机械切缝、运输方式、场内外运距、消纳费等相关费用。</w:t>
      </w:r>
    </w:p>
    <w:p w14:paraId="4E26A81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（2）计价包括：拆除、镗刨路面、路面凿毛、各类底层、基底清理、建筑垃圾清理、转堆及弃运处理、场内外运输、建筑垃圾消纳处置等工作内容。</w:t>
      </w:r>
    </w:p>
    <w:p w14:paraId="78A336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（3）计量分道路、人行道，按拆除面积以平方米计算。</w:t>
      </w:r>
    </w:p>
    <w:p w14:paraId="405B4648">
      <w:pPr>
        <w:pStyle w:val="26"/>
        <w:keepNext w:val="0"/>
        <w:keepLines w:val="0"/>
        <w:pageBreakBefore w:val="0"/>
        <w:widowControl/>
        <w:kinsoku/>
        <w:wordWrap/>
        <w:overflowPunct/>
        <w:autoSpaceDE/>
        <w:autoSpaceDN/>
        <w:bidi w:val="0"/>
        <w:adjustRightInd w:val="0"/>
        <w:snapToGrid w:val="0"/>
        <w:spacing w:before="0" w:beforeLines="0" w:after="0" w:afterLines="0" w:line="360" w:lineRule="auto"/>
        <w:ind w:left="0" w:leftChars="0" w:firstLine="0" w:firstLineChars="0"/>
        <w:textAlignment w:val="auto"/>
        <w:rPr>
          <w:rFonts w:hint="eastAsia" w:ascii="宋体" w:eastAsia="宋体"/>
          <w:b/>
          <w:bCs/>
          <w:sz w:val="28"/>
          <w:szCs w:val="28"/>
          <w:highlight w:val="none"/>
        </w:rPr>
      </w:pPr>
      <w:r>
        <w:rPr>
          <w:rFonts w:hint="eastAsia" w:ascii="宋体" w:eastAsia="宋体"/>
          <w:sz w:val="28"/>
          <w:szCs w:val="28"/>
          <w:highlight w:val="none"/>
        </w:rPr>
        <w:t>（</w:t>
      </w:r>
      <w:r>
        <w:rPr>
          <w:rFonts w:hint="eastAsia" w:ascii="宋体" w:eastAsia="宋体"/>
          <w:b/>
          <w:bCs/>
          <w:sz w:val="28"/>
          <w:szCs w:val="28"/>
          <w:highlight w:val="none"/>
        </w:rPr>
        <w:t>二）机电安装工程一般拆除清单项目</w:t>
      </w:r>
    </w:p>
    <w:p w14:paraId="5A8034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（1）主要包括</w:t>
      </w:r>
      <w:r>
        <w:rPr>
          <w:rFonts w:hint="eastAsia" w:asciiTheme="minorEastAsia" w:hAnsiTheme="minorEastAsia" w:eastAsiaTheme="minorEastAsia" w:cstheme="minorEastAsia"/>
          <w:color w:val="auto"/>
          <w:sz w:val="24"/>
          <w:szCs w:val="24"/>
          <w:highlight w:val="none"/>
          <w:lang w:val="en-US" w:eastAsia="zh-CN"/>
        </w:rPr>
        <w:t>电气、给排水、通风、智能化工程等</w:t>
      </w:r>
      <w:r>
        <w:rPr>
          <w:rFonts w:hint="eastAsia" w:asciiTheme="minorEastAsia" w:hAnsiTheme="minorEastAsia" w:eastAsiaTheme="minorEastAsia" w:cstheme="minorEastAsia"/>
          <w:color w:val="auto"/>
          <w:sz w:val="24"/>
          <w:szCs w:val="24"/>
          <w:highlight w:val="none"/>
        </w:rPr>
        <w:t>所有拆除工作内容，以“</w:t>
      </w:r>
      <w:r>
        <w:rPr>
          <w:rFonts w:hint="eastAsia" w:asciiTheme="minorEastAsia" w:hAnsiTheme="minorEastAsia" w:eastAsiaTheme="minorEastAsia" w:cstheme="minorEastAsia"/>
          <w:color w:val="auto"/>
          <w:sz w:val="24"/>
          <w:szCs w:val="24"/>
          <w:highlight w:val="none"/>
          <w:lang w:val="en-US" w:eastAsia="zh-CN"/>
        </w:rPr>
        <w:t>项</w:t>
      </w:r>
      <w:r>
        <w:rPr>
          <w:rFonts w:hint="eastAsia" w:asciiTheme="minorEastAsia" w:hAnsiTheme="minorEastAsia" w:eastAsiaTheme="minorEastAsia" w:cstheme="minorEastAsia"/>
          <w:color w:val="auto"/>
          <w:sz w:val="24"/>
          <w:szCs w:val="24"/>
          <w:highlight w:val="none"/>
        </w:rPr>
        <w:t>”为计量单位计算。</w:t>
      </w:r>
    </w:p>
    <w:p w14:paraId="3FD57F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（2）包括机电设备及管线等拆除工作内容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计价综合考虑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残值回收，</w:t>
      </w:r>
      <w:r>
        <w:rPr>
          <w:rFonts w:hint="eastAsia" w:asciiTheme="minorEastAsia" w:hAnsiTheme="minorEastAsia" w:eastAsiaTheme="minorEastAsia" w:cstheme="minorEastAsia"/>
          <w:color w:val="auto"/>
          <w:sz w:val="24"/>
          <w:szCs w:val="24"/>
          <w:highlight w:val="none"/>
        </w:rPr>
        <w:t>拆除高度，拆除方式，拆除物及垃圾的转堆、弃运处理，包括现场清理、检查、整修、运输至指定位置存放，按要求清理外运弃置，并根据项目情况综合考虑运距及消纳费等，措施费用。</w:t>
      </w:r>
    </w:p>
    <w:p w14:paraId="115C9B3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此费用合价包干</w:t>
      </w:r>
      <w:r>
        <w:rPr>
          <w:rFonts w:hint="eastAsia" w:asciiTheme="minorEastAsia" w:hAnsiTheme="minorEastAsia" w:eastAsiaTheme="minorEastAsia" w:cstheme="minorEastAsia"/>
          <w:color w:val="auto"/>
          <w:sz w:val="24"/>
          <w:szCs w:val="24"/>
          <w:highlight w:val="none"/>
        </w:rPr>
        <w:t>，结算不因施工条件变化而调整。</w:t>
      </w:r>
    </w:p>
    <w:p w14:paraId="1F9F0685">
      <w:pPr>
        <w:pStyle w:val="24"/>
        <w:rPr>
          <w:rFonts w:hint="eastAsia"/>
          <w:color w:val="auto"/>
          <w:highlight w:val="none"/>
        </w:rPr>
      </w:pPr>
    </w:p>
    <w:p w14:paraId="4B3EE73A">
      <w:pPr>
        <w:pStyle w:val="27"/>
        <w:spacing w:before="143" w:after="143" w:line="360" w:lineRule="auto"/>
        <w:outlineLvl w:val="3"/>
        <w:rPr>
          <w:color w:val="auto"/>
          <w:sz w:val="28"/>
          <w:szCs w:val="28"/>
          <w:highlight w:val="none"/>
        </w:rPr>
      </w:pPr>
      <w:r>
        <w:rPr>
          <w:rFonts w:hint="eastAsia"/>
          <w:color w:val="auto"/>
          <w:sz w:val="28"/>
          <w:szCs w:val="28"/>
          <w:highlight w:val="none"/>
          <w:lang w:val="en-US" w:eastAsia="zh-CN"/>
        </w:rPr>
        <w:t>六</w:t>
      </w:r>
      <w:r>
        <w:rPr>
          <w:rFonts w:hint="eastAsia"/>
          <w:color w:val="auto"/>
          <w:sz w:val="28"/>
          <w:szCs w:val="28"/>
          <w:highlight w:val="none"/>
        </w:rPr>
        <w:t>、机电安装工程各系统申报新增主材、综合单价，主材费、安装费界定表如下（其中主材的损含在相应的综合单价中）</w:t>
      </w:r>
    </w:p>
    <w:tbl>
      <w:tblPr>
        <w:tblStyle w:val="12"/>
        <w:tblW w:w="9288" w:type="dxa"/>
        <w:jc w:val="center"/>
        <w:tblLayout w:type="fixed"/>
        <w:tblCellMar>
          <w:top w:w="32" w:type="dxa"/>
          <w:left w:w="64" w:type="dxa"/>
          <w:bottom w:w="32" w:type="dxa"/>
          <w:right w:w="64" w:type="dxa"/>
        </w:tblCellMar>
      </w:tblPr>
      <w:tblGrid>
        <w:gridCol w:w="641"/>
        <w:gridCol w:w="1368"/>
        <w:gridCol w:w="2704"/>
        <w:gridCol w:w="4575"/>
      </w:tblGrid>
      <w:tr w14:paraId="6198EBD5">
        <w:tblPrEx>
          <w:tblCellMar>
            <w:top w:w="32" w:type="dxa"/>
            <w:left w:w="64" w:type="dxa"/>
            <w:bottom w:w="32" w:type="dxa"/>
            <w:right w:w="64" w:type="dxa"/>
          </w:tblCellMar>
        </w:tblPrEx>
        <w:trPr>
          <w:trHeight w:val="0" w:hRule="atLeast"/>
          <w:jc w:val="center"/>
        </w:trPr>
        <w:tc>
          <w:tcPr>
            <w:tcW w:w="641" w:type="dxa"/>
            <w:tcBorders>
              <w:top w:val="single" w:color="auto" w:sz="12" w:space="0"/>
              <w:left w:val="single" w:color="auto" w:sz="12" w:space="0"/>
              <w:bottom w:val="single" w:color="auto" w:sz="4" w:space="0"/>
              <w:right w:val="single" w:color="auto" w:sz="4" w:space="0"/>
            </w:tcBorders>
            <w:vAlign w:val="center"/>
          </w:tcPr>
          <w:p w14:paraId="050D39E0">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368" w:type="dxa"/>
            <w:tcBorders>
              <w:top w:val="single" w:color="auto" w:sz="12" w:space="0"/>
              <w:left w:val="single" w:color="auto" w:sz="4" w:space="0"/>
              <w:bottom w:val="single" w:color="auto" w:sz="4" w:space="0"/>
              <w:right w:val="single" w:color="auto" w:sz="4" w:space="0"/>
            </w:tcBorders>
            <w:vAlign w:val="center"/>
          </w:tcPr>
          <w:p w14:paraId="3E1A14E3">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项名名称</w:t>
            </w:r>
          </w:p>
        </w:tc>
        <w:tc>
          <w:tcPr>
            <w:tcW w:w="2704" w:type="dxa"/>
            <w:tcBorders>
              <w:top w:val="single" w:color="auto" w:sz="12" w:space="0"/>
              <w:left w:val="single" w:color="auto" w:sz="4" w:space="0"/>
              <w:bottom w:val="single" w:color="auto" w:sz="4" w:space="0"/>
              <w:right w:val="single" w:color="auto" w:sz="4" w:space="0"/>
            </w:tcBorders>
            <w:vAlign w:val="center"/>
          </w:tcPr>
          <w:p w14:paraId="6DC4F0FD">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主材费内容（不含损耗）</w:t>
            </w:r>
          </w:p>
        </w:tc>
        <w:tc>
          <w:tcPr>
            <w:tcW w:w="4575" w:type="dxa"/>
            <w:tcBorders>
              <w:top w:val="single" w:color="auto" w:sz="12" w:space="0"/>
              <w:left w:val="single" w:color="auto" w:sz="4" w:space="0"/>
              <w:bottom w:val="single" w:color="auto" w:sz="4" w:space="0"/>
              <w:right w:val="single" w:color="auto" w:sz="12" w:space="0"/>
            </w:tcBorders>
            <w:vAlign w:val="center"/>
          </w:tcPr>
          <w:p w14:paraId="7194782A">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安装费内容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包括但不限于以下</w:t>
            </w:r>
            <w:r>
              <w:rPr>
                <w:rFonts w:hint="eastAsia" w:asciiTheme="minorEastAsia" w:hAnsiTheme="minorEastAsia" w:eastAsiaTheme="minorEastAsia" w:cstheme="minorEastAsia"/>
                <w:color w:val="auto"/>
                <w:kern w:val="0"/>
                <w:sz w:val="24"/>
                <w:szCs w:val="24"/>
                <w:highlight w:val="none"/>
                <w:lang w:eastAsia="zh-CN"/>
              </w:rPr>
              <w:t>）</w:t>
            </w:r>
          </w:p>
        </w:tc>
      </w:tr>
      <w:tr w14:paraId="3EC33CFD">
        <w:tblPrEx>
          <w:tblCellMar>
            <w:top w:w="32" w:type="dxa"/>
            <w:left w:w="64" w:type="dxa"/>
            <w:bottom w:w="32" w:type="dxa"/>
            <w:right w:w="64" w:type="dxa"/>
          </w:tblCellMar>
        </w:tblPrEx>
        <w:trPr>
          <w:trHeight w:val="0" w:hRule="atLeast"/>
          <w:jc w:val="center"/>
        </w:trPr>
        <w:tc>
          <w:tcPr>
            <w:tcW w:w="641" w:type="dxa"/>
            <w:vMerge w:val="restart"/>
            <w:tcBorders>
              <w:top w:val="single" w:color="auto" w:sz="4" w:space="0"/>
              <w:left w:val="single" w:color="auto" w:sz="12" w:space="0"/>
              <w:right w:val="single" w:color="auto" w:sz="4" w:space="0"/>
            </w:tcBorders>
            <w:textDirection w:val="tbRlV"/>
            <w:vAlign w:val="center"/>
          </w:tcPr>
          <w:p w14:paraId="7694B21F">
            <w:pPr>
              <w:keepNext/>
              <w:keepLines w:val="0"/>
              <w:widowControl/>
              <w:suppressLineNumbers w:val="0"/>
              <w:adjustRightInd w:val="0"/>
              <w:snapToGrid w:val="0"/>
              <w:spacing w:before="0" w:beforeAutospacing="0" w:after="0" w:afterAutospacing="0"/>
              <w:ind w:left="0" w:right="113"/>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电气系统（含消防报警）</w:t>
            </w:r>
          </w:p>
        </w:tc>
        <w:tc>
          <w:tcPr>
            <w:tcW w:w="1368" w:type="dxa"/>
            <w:tcBorders>
              <w:top w:val="single" w:color="auto" w:sz="4" w:space="0"/>
              <w:left w:val="single" w:color="auto" w:sz="4" w:space="0"/>
              <w:bottom w:val="single" w:color="auto" w:sz="4" w:space="0"/>
              <w:right w:val="single" w:color="auto" w:sz="4" w:space="0"/>
            </w:tcBorders>
            <w:vAlign w:val="center"/>
          </w:tcPr>
          <w:p w14:paraId="19E87B8B">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配电箱</w:t>
            </w:r>
          </w:p>
        </w:tc>
        <w:tc>
          <w:tcPr>
            <w:tcW w:w="2704" w:type="dxa"/>
            <w:tcBorders>
              <w:top w:val="single" w:color="auto" w:sz="4" w:space="0"/>
              <w:left w:val="single" w:color="auto" w:sz="4" w:space="0"/>
              <w:bottom w:val="single" w:color="auto" w:sz="4" w:space="0"/>
              <w:right w:val="single" w:color="auto" w:sz="4" w:space="0"/>
            </w:tcBorders>
            <w:vAlign w:val="center"/>
          </w:tcPr>
          <w:p w14:paraId="40F5E8E4">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箱内开关元件（指主元件，即断路器、漏电开关、自动转换开关、接触器、隔离开关、继电器、浪涌产品、计量表（电度表）、</w:t>
            </w:r>
            <w:r>
              <w:rPr>
                <w:rFonts w:hint="eastAsia" w:asciiTheme="minorEastAsia" w:hAnsiTheme="minorEastAsia" w:eastAsiaTheme="minorEastAsia" w:cstheme="minorEastAsia"/>
                <w:snapToGrid w:val="0"/>
                <w:color w:val="auto"/>
                <w:kern w:val="0"/>
                <w:sz w:val="24"/>
                <w:szCs w:val="24"/>
                <w:highlight w:val="none"/>
              </w:rPr>
              <w:t>互感器、避雷器</w:t>
            </w:r>
            <w:r>
              <w:rPr>
                <w:rFonts w:hint="eastAsia" w:asciiTheme="minorEastAsia" w:hAnsiTheme="minorEastAsia" w:eastAsiaTheme="minorEastAsia" w:cstheme="minorEastAsia"/>
                <w:color w:val="auto"/>
                <w:kern w:val="0"/>
                <w:sz w:val="24"/>
                <w:szCs w:val="24"/>
                <w:highlight w:val="none"/>
              </w:rPr>
              <w:t>）、箱体</w:t>
            </w:r>
          </w:p>
        </w:tc>
        <w:tc>
          <w:tcPr>
            <w:tcW w:w="4575" w:type="dxa"/>
            <w:tcBorders>
              <w:top w:val="single" w:color="auto" w:sz="4" w:space="0"/>
              <w:left w:val="single" w:color="auto" w:sz="4" w:space="0"/>
              <w:bottom w:val="single" w:color="auto" w:sz="4" w:space="0"/>
              <w:right w:val="single" w:color="auto" w:sz="12" w:space="0"/>
            </w:tcBorders>
            <w:vAlign w:val="center"/>
          </w:tcPr>
          <w:p w14:paraId="72632353">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基础制作安装；箱体内所必需的所有金属隔板、底板等的安装；成套箱体安装；端子板安装；引下线安装；焊铜接线端子、盘柜配线；接地等工作内容。</w:t>
            </w:r>
          </w:p>
        </w:tc>
      </w:tr>
      <w:tr w14:paraId="6A1A4086">
        <w:tblPrEx>
          <w:tblCellMar>
            <w:top w:w="32" w:type="dxa"/>
            <w:left w:w="64" w:type="dxa"/>
            <w:bottom w:w="32" w:type="dxa"/>
            <w:right w:w="64" w:type="dxa"/>
          </w:tblCellMar>
        </w:tblPrEx>
        <w:trPr>
          <w:trHeight w:val="0" w:hRule="atLeast"/>
          <w:jc w:val="center"/>
        </w:trPr>
        <w:tc>
          <w:tcPr>
            <w:tcW w:w="641" w:type="dxa"/>
            <w:vMerge w:val="continue"/>
            <w:tcBorders>
              <w:left w:val="single" w:color="auto" w:sz="12" w:space="0"/>
              <w:right w:val="single" w:color="auto" w:sz="4" w:space="0"/>
            </w:tcBorders>
            <w:vAlign w:val="center"/>
          </w:tcPr>
          <w:p w14:paraId="6B82C5DD">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1250D25F">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电缆</w:t>
            </w:r>
          </w:p>
        </w:tc>
        <w:tc>
          <w:tcPr>
            <w:tcW w:w="2704" w:type="dxa"/>
            <w:tcBorders>
              <w:top w:val="single" w:color="auto" w:sz="4" w:space="0"/>
              <w:left w:val="single" w:color="auto" w:sz="4" w:space="0"/>
              <w:bottom w:val="single" w:color="auto" w:sz="4" w:space="0"/>
              <w:right w:val="single" w:color="auto" w:sz="4" w:space="0"/>
            </w:tcBorders>
            <w:vAlign w:val="center"/>
          </w:tcPr>
          <w:p w14:paraId="1B310CC4">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缆材</w:t>
            </w:r>
          </w:p>
        </w:tc>
        <w:tc>
          <w:tcPr>
            <w:tcW w:w="4575" w:type="dxa"/>
            <w:tcBorders>
              <w:top w:val="single" w:color="auto" w:sz="4" w:space="0"/>
              <w:left w:val="single" w:color="auto" w:sz="4" w:space="0"/>
              <w:bottom w:val="single" w:color="auto" w:sz="4" w:space="0"/>
              <w:right w:val="single" w:color="auto" w:sz="12" w:space="0"/>
            </w:tcBorders>
            <w:vAlign w:val="center"/>
          </w:tcPr>
          <w:p w14:paraId="0991324A">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揭（盖）盖板；电缆敷设；电缆头制作、安装；支吊架、连接体、连接件；接地、试压、测试；防火堵洞；电缆防护、电缆防火隔板、电缆防火涂料、单体调试等工作内容。</w:t>
            </w:r>
          </w:p>
        </w:tc>
      </w:tr>
      <w:tr w14:paraId="5A9AECF3">
        <w:tblPrEx>
          <w:tblCellMar>
            <w:top w:w="32" w:type="dxa"/>
            <w:left w:w="64" w:type="dxa"/>
            <w:bottom w:w="32" w:type="dxa"/>
            <w:right w:w="64" w:type="dxa"/>
          </w:tblCellMar>
        </w:tblPrEx>
        <w:trPr>
          <w:trHeight w:val="0" w:hRule="atLeast"/>
          <w:jc w:val="center"/>
        </w:trPr>
        <w:tc>
          <w:tcPr>
            <w:tcW w:w="641" w:type="dxa"/>
            <w:vMerge w:val="continue"/>
            <w:tcBorders>
              <w:left w:val="single" w:color="auto" w:sz="12" w:space="0"/>
              <w:right w:val="single" w:color="auto" w:sz="4" w:space="0"/>
            </w:tcBorders>
            <w:vAlign w:val="center"/>
          </w:tcPr>
          <w:p w14:paraId="1261D7B7">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4C93675D">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电线</w:t>
            </w:r>
          </w:p>
        </w:tc>
        <w:tc>
          <w:tcPr>
            <w:tcW w:w="2704" w:type="dxa"/>
            <w:tcBorders>
              <w:top w:val="single" w:color="auto" w:sz="4" w:space="0"/>
              <w:left w:val="single" w:color="auto" w:sz="4" w:space="0"/>
              <w:bottom w:val="single" w:color="auto" w:sz="4" w:space="0"/>
              <w:right w:val="single" w:color="auto" w:sz="4" w:space="0"/>
            </w:tcBorders>
            <w:vAlign w:val="center"/>
          </w:tcPr>
          <w:p w14:paraId="323930B1">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线材</w:t>
            </w:r>
          </w:p>
        </w:tc>
        <w:tc>
          <w:tcPr>
            <w:tcW w:w="4575" w:type="dxa"/>
            <w:tcBorders>
              <w:top w:val="single" w:color="auto" w:sz="4" w:space="0"/>
              <w:left w:val="single" w:color="auto" w:sz="4" w:space="0"/>
              <w:bottom w:val="single" w:color="auto" w:sz="4" w:space="0"/>
              <w:right w:val="single" w:color="auto" w:sz="12" w:space="0"/>
            </w:tcBorders>
            <w:vAlign w:val="center"/>
          </w:tcPr>
          <w:p w14:paraId="333C6510">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支持体（夹板、绝缘子、街码等）安装；支架制作安装；配线、管内穿线；焊、压接线端子；接地等工作内容。</w:t>
            </w:r>
          </w:p>
        </w:tc>
      </w:tr>
      <w:tr w14:paraId="5B71E113">
        <w:tblPrEx>
          <w:tblCellMar>
            <w:top w:w="32" w:type="dxa"/>
            <w:left w:w="64" w:type="dxa"/>
            <w:bottom w:w="32" w:type="dxa"/>
            <w:right w:w="64" w:type="dxa"/>
          </w:tblCellMar>
        </w:tblPrEx>
        <w:trPr>
          <w:trHeight w:val="0" w:hRule="atLeast"/>
          <w:jc w:val="center"/>
        </w:trPr>
        <w:tc>
          <w:tcPr>
            <w:tcW w:w="641" w:type="dxa"/>
            <w:vMerge w:val="continue"/>
            <w:tcBorders>
              <w:left w:val="single" w:color="auto" w:sz="12" w:space="0"/>
              <w:right w:val="single" w:color="auto" w:sz="4" w:space="0"/>
            </w:tcBorders>
            <w:vAlign w:val="center"/>
          </w:tcPr>
          <w:p w14:paraId="0765C218">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128D759A">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管道(电)</w:t>
            </w:r>
          </w:p>
        </w:tc>
        <w:tc>
          <w:tcPr>
            <w:tcW w:w="2704" w:type="dxa"/>
            <w:tcBorders>
              <w:top w:val="single" w:color="auto" w:sz="4" w:space="0"/>
              <w:left w:val="single" w:color="auto" w:sz="4" w:space="0"/>
              <w:bottom w:val="single" w:color="auto" w:sz="4" w:space="0"/>
              <w:right w:val="single" w:color="auto" w:sz="4" w:space="0"/>
            </w:tcBorders>
            <w:vAlign w:val="center"/>
          </w:tcPr>
          <w:p w14:paraId="67F3596D">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管道直材</w:t>
            </w:r>
          </w:p>
        </w:tc>
        <w:tc>
          <w:tcPr>
            <w:tcW w:w="4575" w:type="dxa"/>
            <w:tcBorders>
              <w:top w:val="single" w:color="auto" w:sz="4" w:space="0"/>
              <w:left w:val="single" w:color="auto" w:sz="4" w:space="0"/>
              <w:bottom w:val="single" w:color="auto" w:sz="4" w:space="0"/>
              <w:right w:val="single" w:color="auto" w:sz="12" w:space="0"/>
            </w:tcBorders>
            <w:vAlign w:val="center"/>
          </w:tcPr>
          <w:p w14:paraId="4B96BB53">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管道敷设；配件管件及安装；支吊架制作安装；套管制作、安装，接线盒（箱）安装；防腐油漆、标识、接地、凿槽、刨沟、修补等工作内容。</w:t>
            </w:r>
          </w:p>
        </w:tc>
      </w:tr>
      <w:tr w14:paraId="326BC7DF">
        <w:tblPrEx>
          <w:tblCellMar>
            <w:top w:w="32" w:type="dxa"/>
            <w:left w:w="64" w:type="dxa"/>
            <w:bottom w:w="32" w:type="dxa"/>
            <w:right w:w="64" w:type="dxa"/>
          </w:tblCellMar>
        </w:tblPrEx>
        <w:trPr>
          <w:trHeight w:val="0" w:hRule="atLeast"/>
          <w:jc w:val="center"/>
        </w:trPr>
        <w:tc>
          <w:tcPr>
            <w:tcW w:w="641" w:type="dxa"/>
            <w:vMerge w:val="continue"/>
            <w:tcBorders>
              <w:left w:val="single" w:color="auto" w:sz="12" w:space="0"/>
              <w:right w:val="single" w:color="auto" w:sz="4" w:space="0"/>
            </w:tcBorders>
            <w:vAlign w:val="center"/>
          </w:tcPr>
          <w:p w14:paraId="7C73143D">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434BDFB7">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开关、插座</w:t>
            </w:r>
          </w:p>
        </w:tc>
        <w:tc>
          <w:tcPr>
            <w:tcW w:w="2704" w:type="dxa"/>
            <w:tcBorders>
              <w:top w:val="single" w:color="auto" w:sz="4" w:space="0"/>
              <w:left w:val="single" w:color="auto" w:sz="4" w:space="0"/>
              <w:bottom w:val="single" w:color="auto" w:sz="4" w:space="0"/>
              <w:right w:val="single" w:color="auto" w:sz="4" w:space="0"/>
            </w:tcBorders>
            <w:vAlign w:val="center"/>
          </w:tcPr>
          <w:p w14:paraId="2E24BF76">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开关、插座</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含面板</w:t>
            </w:r>
            <w:r>
              <w:rPr>
                <w:rFonts w:hint="eastAsia" w:asciiTheme="minorEastAsia" w:hAnsiTheme="minorEastAsia" w:eastAsiaTheme="minorEastAsia" w:cstheme="minorEastAsia"/>
                <w:color w:val="auto"/>
                <w:kern w:val="0"/>
                <w:sz w:val="24"/>
                <w:szCs w:val="24"/>
                <w:highlight w:val="none"/>
                <w:lang w:eastAsia="zh-CN"/>
              </w:rPr>
              <w:t>）</w:t>
            </w:r>
          </w:p>
        </w:tc>
        <w:tc>
          <w:tcPr>
            <w:tcW w:w="4575" w:type="dxa"/>
            <w:tcBorders>
              <w:top w:val="single" w:color="auto" w:sz="4" w:space="0"/>
              <w:left w:val="single" w:color="auto" w:sz="4" w:space="0"/>
              <w:bottom w:val="single" w:color="auto" w:sz="4" w:space="0"/>
              <w:right w:val="single" w:color="auto" w:sz="12" w:space="0"/>
            </w:tcBorders>
            <w:vAlign w:val="center"/>
          </w:tcPr>
          <w:p w14:paraId="73227946">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终端安装；各类预埋件留设；底盒安装；接线；接地；焊、压接线端子等工作内容。</w:t>
            </w:r>
          </w:p>
        </w:tc>
      </w:tr>
      <w:tr w14:paraId="73585C2B">
        <w:tblPrEx>
          <w:tblCellMar>
            <w:top w:w="32" w:type="dxa"/>
            <w:left w:w="64" w:type="dxa"/>
            <w:bottom w:w="32" w:type="dxa"/>
            <w:right w:w="64" w:type="dxa"/>
          </w:tblCellMar>
        </w:tblPrEx>
        <w:trPr>
          <w:trHeight w:val="0" w:hRule="atLeast"/>
          <w:jc w:val="center"/>
        </w:trPr>
        <w:tc>
          <w:tcPr>
            <w:tcW w:w="641" w:type="dxa"/>
            <w:vMerge w:val="continue"/>
            <w:tcBorders>
              <w:left w:val="single" w:color="auto" w:sz="12" w:space="0"/>
              <w:right w:val="single" w:color="auto" w:sz="4" w:space="0"/>
            </w:tcBorders>
            <w:vAlign w:val="center"/>
          </w:tcPr>
          <w:p w14:paraId="7E012BA2">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44F87952">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灯具</w:t>
            </w:r>
          </w:p>
        </w:tc>
        <w:tc>
          <w:tcPr>
            <w:tcW w:w="2704" w:type="dxa"/>
            <w:tcBorders>
              <w:top w:val="single" w:color="auto" w:sz="4" w:space="0"/>
              <w:left w:val="single" w:color="auto" w:sz="4" w:space="0"/>
              <w:bottom w:val="single" w:color="auto" w:sz="4" w:space="0"/>
              <w:right w:val="single" w:color="auto" w:sz="4" w:space="0"/>
            </w:tcBorders>
            <w:vAlign w:val="center"/>
          </w:tcPr>
          <w:p w14:paraId="35B14405">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灯具及配件</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含光源</w:t>
            </w:r>
            <w:r>
              <w:rPr>
                <w:rFonts w:hint="eastAsia" w:asciiTheme="minorEastAsia" w:hAnsiTheme="minorEastAsia" w:eastAsiaTheme="minorEastAsia" w:cstheme="minorEastAsia"/>
                <w:color w:val="auto"/>
                <w:kern w:val="0"/>
                <w:sz w:val="24"/>
                <w:szCs w:val="24"/>
                <w:highlight w:val="none"/>
                <w:lang w:eastAsia="zh-CN"/>
              </w:rPr>
              <w:t>）</w:t>
            </w:r>
          </w:p>
        </w:tc>
        <w:tc>
          <w:tcPr>
            <w:tcW w:w="4575" w:type="dxa"/>
            <w:tcBorders>
              <w:top w:val="single" w:color="auto" w:sz="4" w:space="0"/>
              <w:left w:val="single" w:color="auto" w:sz="4" w:space="0"/>
              <w:bottom w:val="single" w:color="auto" w:sz="4" w:space="0"/>
              <w:right w:val="single" w:color="auto" w:sz="12" w:space="0"/>
            </w:tcBorders>
            <w:vAlign w:val="center"/>
          </w:tcPr>
          <w:p w14:paraId="53CFE807">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灯具及配件(含应急装置、光源)安装；各类预埋件留设；底盒安装；金属软管；接线、接地；焊压接线端子；支架；调试等工作内容。</w:t>
            </w:r>
          </w:p>
        </w:tc>
      </w:tr>
      <w:tr w14:paraId="5A428410">
        <w:tblPrEx>
          <w:tblCellMar>
            <w:top w:w="32" w:type="dxa"/>
            <w:left w:w="64" w:type="dxa"/>
            <w:bottom w:w="32" w:type="dxa"/>
            <w:right w:w="64" w:type="dxa"/>
          </w:tblCellMar>
        </w:tblPrEx>
        <w:trPr>
          <w:trHeight w:val="0" w:hRule="atLeast"/>
          <w:jc w:val="center"/>
        </w:trPr>
        <w:tc>
          <w:tcPr>
            <w:tcW w:w="641" w:type="dxa"/>
            <w:vMerge w:val="continue"/>
            <w:tcBorders>
              <w:left w:val="single" w:color="auto" w:sz="12" w:space="0"/>
              <w:right w:val="single" w:color="auto" w:sz="4" w:space="0"/>
            </w:tcBorders>
            <w:vAlign w:val="center"/>
          </w:tcPr>
          <w:p w14:paraId="1371DBC1">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5B0890D3">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消防控制主机广播主机、消防电话主机、显示屏</w:t>
            </w:r>
          </w:p>
        </w:tc>
        <w:tc>
          <w:tcPr>
            <w:tcW w:w="2704" w:type="dxa"/>
            <w:tcBorders>
              <w:top w:val="single" w:color="auto" w:sz="4" w:space="0"/>
              <w:left w:val="single" w:color="auto" w:sz="4" w:space="0"/>
              <w:bottom w:val="single" w:color="auto" w:sz="4" w:space="0"/>
              <w:right w:val="single" w:color="auto" w:sz="4" w:space="0"/>
            </w:tcBorders>
            <w:vAlign w:val="center"/>
          </w:tcPr>
          <w:p w14:paraId="29C1BD88">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消防控制主机广播主机、消防电话主机、显示屏</w:t>
            </w:r>
          </w:p>
        </w:tc>
        <w:tc>
          <w:tcPr>
            <w:tcW w:w="4575" w:type="dxa"/>
            <w:tcBorders>
              <w:top w:val="single" w:color="auto" w:sz="4" w:space="0"/>
              <w:left w:val="single" w:color="auto" w:sz="4" w:space="0"/>
              <w:bottom w:val="single" w:color="auto" w:sz="4" w:space="0"/>
              <w:right w:val="single" w:color="auto" w:sz="12" w:space="0"/>
            </w:tcBorders>
            <w:vAlign w:val="center"/>
          </w:tcPr>
          <w:p w14:paraId="4A125EFC">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基础制作、安装；设备安装、接地、端子板安装；备用电源安装；校接线、调试等工作内容。</w:t>
            </w:r>
          </w:p>
        </w:tc>
      </w:tr>
      <w:tr w14:paraId="1D790FE5">
        <w:tblPrEx>
          <w:tblCellMar>
            <w:top w:w="32" w:type="dxa"/>
            <w:left w:w="64" w:type="dxa"/>
            <w:bottom w:w="32" w:type="dxa"/>
            <w:right w:w="64" w:type="dxa"/>
          </w:tblCellMar>
        </w:tblPrEx>
        <w:trPr>
          <w:trHeight w:val="0" w:hRule="atLeast"/>
          <w:jc w:val="center"/>
        </w:trPr>
        <w:tc>
          <w:tcPr>
            <w:tcW w:w="641" w:type="dxa"/>
            <w:vMerge w:val="continue"/>
            <w:tcBorders>
              <w:left w:val="single" w:color="auto" w:sz="12" w:space="0"/>
              <w:right w:val="single" w:color="auto" w:sz="4" w:space="0"/>
            </w:tcBorders>
            <w:vAlign w:val="center"/>
          </w:tcPr>
          <w:p w14:paraId="1448EC0B">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1C204311">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各类模块</w:t>
            </w:r>
          </w:p>
        </w:tc>
        <w:tc>
          <w:tcPr>
            <w:tcW w:w="2704" w:type="dxa"/>
            <w:tcBorders>
              <w:top w:val="single" w:color="auto" w:sz="4" w:space="0"/>
              <w:left w:val="single" w:color="auto" w:sz="4" w:space="0"/>
              <w:bottom w:val="single" w:color="auto" w:sz="4" w:space="0"/>
              <w:right w:val="single" w:color="auto" w:sz="4" w:space="0"/>
            </w:tcBorders>
            <w:vAlign w:val="center"/>
          </w:tcPr>
          <w:p w14:paraId="73F00CC7">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各类模块</w:t>
            </w:r>
          </w:p>
        </w:tc>
        <w:tc>
          <w:tcPr>
            <w:tcW w:w="4575" w:type="dxa"/>
            <w:tcBorders>
              <w:top w:val="single" w:color="auto" w:sz="4" w:space="0"/>
              <w:left w:val="single" w:color="auto" w:sz="4" w:space="0"/>
              <w:bottom w:val="single" w:color="auto" w:sz="4" w:space="0"/>
              <w:right w:val="single" w:color="auto" w:sz="12" w:space="0"/>
            </w:tcBorders>
            <w:vAlign w:val="center"/>
          </w:tcPr>
          <w:p w14:paraId="67E1C5E6">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安装；接地、端子板安装；校接线、调试等工作内容。</w:t>
            </w:r>
          </w:p>
        </w:tc>
      </w:tr>
      <w:tr w14:paraId="6BDCF1A8">
        <w:tblPrEx>
          <w:tblCellMar>
            <w:top w:w="32" w:type="dxa"/>
            <w:left w:w="64" w:type="dxa"/>
            <w:bottom w:w="32" w:type="dxa"/>
            <w:right w:w="64" w:type="dxa"/>
          </w:tblCellMar>
        </w:tblPrEx>
        <w:trPr>
          <w:trHeight w:val="0" w:hRule="atLeast"/>
          <w:jc w:val="center"/>
        </w:trPr>
        <w:tc>
          <w:tcPr>
            <w:tcW w:w="641" w:type="dxa"/>
            <w:vMerge w:val="continue"/>
            <w:tcBorders>
              <w:left w:val="single" w:color="auto" w:sz="12" w:space="0"/>
              <w:bottom w:val="single" w:color="auto" w:sz="4" w:space="0"/>
              <w:right w:val="single" w:color="auto" w:sz="4" w:space="0"/>
            </w:tcBorders>
            <w:vAlign w:val="center"/>
          </w:tcPr>
          <w:p w14:paraId="531064E8">
            <w:pPr>
              <w:keepNext/>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2645C6D5">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探测器、警铃、按钮、广播、消防电话</w:t>
            </w:r>
          </w:p>
        </w:tc>
        <w:tc>
          <w:tcPr>
            <w:tcW w:w="2704" w:type="dxa"/>
            <w:tcBorders>
              <w:top w:val="single" w:color="auto" w:sz="4" w:space="0"/>
              <w:left w:val="single" w:color="auto" w:sz="4" w:space="0"/>
              <w:bottom w:val="single" w:color="auto" w:sz="4" w:space="0"/>
              <w:right w:val="single" w:color="auto" w:sz="4" w:space="0"/>
            </w:tcBorders>
            <w:vAlign w:val="center"/>
          </w:tcPr>
          <w:p w14:paraId="75F249A2">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探测器、警铃、按钮、广播、消防电话 </w:t>
            </w:r>
          </w:p>
        </w:tc>
        <w:tc>
          <w:tcPr>
            <w:tcW w:w="4575" w:type="dxa"/>
            <w:tcBorders>
              <w:top w:val="single" w:color="auto" w:sz="4" w:space="0"/>
              <w:left w:val="single" w:color="auto" w:sz="4" w:space="0"/>
              <w:bottom w:val="single" w:color="auto" w:sz="4" w:space="0"/>
              <w:right w:val="single" w:color="auto" w:sz="12" w:space="0"/>
            </w:tcBorders>
            <w:vAlign w:val="center"/>
          </w:tcPr>
          <w:p w14:paraId="2704F71C">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设备安装、调试、校接线；底盒；金属软管；电气接线等工作内容。</w:t>
            </w:r>
          </w:p>
        </w:tc>
      </w:tr>
      <w:tr w14:paraId="2E211334">
        <w:tblPrEx>
          <w:tblCellMar>
            <w:top w:w="32" w:type="dxa"/>
            <w:left w:w="64" w:type="dxa"/>
            <w:bottom w:w="32" w:type="dxa"/>
            <w:right w:w="64" w:type="dxa"/>
          </w:tblCellMar>
        </w:tblPrEx>
        <w:trPr>
          <w:trHeight w:val="0" w:hRule="atLeast"/>
          <w:jc w:val="center"/>
        </w:trPr>
        <w:tc>
          <w:tcPr>
            <w:tcW w:w="641" w:type="dxa"/>
            <w:vMerge w:val="restart"/>
            <w:tcBorders>
              <w:top w:val="single" w:color="auto" w:sz="4" w:space="0"/>
              <w:left w:val="single" w:color="auto" w:sz="12" w:space="0"/>
              <w:bottom w:val="single" w:color="auto" w:sz="4" w:space="0"/>
              <w:right w:val="single" w:color="auto" w:sz="4" w:space="0"/>
            </w:tcBorders>
            <w:vAlign w:val="center"/>
          </w:tcPr>
          <w:p w14:paraId="47CBCBB8">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给</w:t>
            </w:r>
            <w:r>
              <w:rPr>
                <w:rFonts w:hint="eastAsia" w:asciiTheme="minorEastAsia" w:hAnsiTheme="minorEastAsia" w:eastAsiaTheme="minorEastAsia" w:cstheme="minorEastAsia"/>
                <w:color w:val="auto"/>
                <w:kern w:val="0"/>
                <w:sz w:val="24"/>
                <w:szCs w:val="24"/>
                <w:highlight w:val="none"/>
              </w:rPr>
              <w:br w:type="page"/>
            </w:r>
            <w:r>
              <w:rPr>
                <w:rFonts w:hint="eastAsia" w:asciiTheme="minorEastAsia" w:hAnsiTheme="minorEastAsia" w:eastAsiaTheme="minorEastAsia" w:cstheme="minorEastAsia"/>
                <w:color w:val="auto"/>
                <w:kern w:val="0"/>
                <w:sz w:val="24"/>
                <w:szCs w:val="24"/>
                <w:highlight w:val="none"/>
              </w:rPr>
              <w:t>排</w:t>
            </w:r>
            <w:r>
              <w:rPr>
                <w:rFonts w:hint="eastAsia" w:asciiTheme="minorEastAsia" w:hAnsiTheme="minorEastAsia" w:eastAsiaTheme="minorEastAsia" w:cstheme="minorEastAsia"/>
                <w:color w:val="auto"/>
                <w:kern w:val="0"/>
                <w:sz w:val="24"/>
                <w:szCs w:val="24"/>
                <w:highlight w:val="none"/>
              </w:rPr>
              <w:br w:type="page"/>
            </w:r>
            <w:r>
              <w:rPr>
                <w:rFonts w:hint="eastAsia" w:asciiTheme="minorEastAsia" w:hAnsiTheme="minorEastAsia" w:eastAsiaTheme="minorEastAsia" w:cstheme="minorEastAsia"/>
                <w:color w:val="auto"/>
                <w:kern w:val="0"/>
                <w:sz w:val="24"/>
                <w:szCs w:val="24"/>
                <w:highlight w:val="none"/>
              </w:rPr>
              <w:t>水</w:t>
            </w:r>
            <w:r>
              <w:rPr>
                <w:rFonts w:hint="eastAsia" w:asciiTheme="minorEastAsia" w:hAnsiTheme="minorEastAsia" w:eastAsiaTheme="minorEastAsia" w:cstheme="minorEastAsia"/>
                <w:color w:val="auto"/>
                <w:kern w:val="0"/>
                <w:sz w:val="24"/>
                <w:szCs w:val="24"/>
                <w:highlight w:val="none"/>
              </w:rPr>
              <w:br w:type="page"/>
            </w:r>
            <w:r>
              <w:rPr>
                <w:rFonts w:hint="eastAsia" w:asciiTheme="minorEastAsia" w:hAnsiTheme="minorEastAsia" w:eastAsiaTheme="minorEastAsia" w:cstheme="minorEastAsia"/>
                <w:color w:val="auto"/>
                <w:kern w:val="0"/>
                <w:sz w:val="24"/>
                <w:szCs w:val="24"/>
                <w:highlight w:val="none"/>
              </w:rPr>
              <w:t>及</w:t>
            </w:r>
            <w:r>
              <w:rPr>
                <w:rFonts w:hint="eastAsia" w:asciiTheme="minorEastAsia" w:hAnsiTheme="minorEastAsia" w:eastAsiaTheme="minorEastAsia" w:cstheme="minorEastAsia"/>
                <w:color w:val="auto"/>
                <w:kern w:val="0"/>
                <w:sz w:val="24"/>
                <w:szCs w:val="24"/>
                <w:highlight w:val="none"/>
              </w:rPr>
              <w:br w:type="page"/>
            </w:r>
            <w:r>
              <w:rPr>
                <w:rFonts w:hint="eastAsia" w:asciiTheme="minorEastAsia" w:hAnsiTheme="minorEastAsia" w:eastAsiaTheme="minorEastAsia" w:cstheme="minorEastAsia"/>
                <w:color w:val="auto"/>
                <w:kern w:val="0"/>
                <w:sz w:val="24"/>
                <w:szCs w:val="24"/>
                <w:highlight w:val="none"/>
              </w:rPr>
              <w:t>消</w:t>
            </w:r>
            <w:r>
              <w:rPr>
                <w:rFonts w:hint="eastAsia" w:asciiTheme="minorEastAsia" w:hAnsiTheme="minorEastAsia" w:eastAsiaTheme="minorEastAsia" w:cstheme="minorEastAsia"/>
                <w:color w:val="auto"/>
                <w:kern w:val="0"/>
                <w:sz w:val="24"/>
                <w:szCs w:val="24"/>
                <w:highlight w:val="none"/>
              </w:rPr>
              <w:br w:type="page"/>
            </w:r>
            <w:r>
              <w:rPr>
                <w:rFonts w:hint="eastAsia" w:asciiTheme="minorEastAsia" w:hAnsiTheme="minorEastAsia" w:eastAsiaTheme="minorEastAsia" w:cstheme="minorEastAsia"/>
                <w:color w:val="auto"/>
                <w:kern w:val="0"/>
                <w:sz w:val="24"/>
                <w:szCs w:val="24"/>
                <w:highlight w:val="none"/>
              </w:rPr>
              <w:t>防</w:t>
            </w:r>
            <w:r>
              <w:rPr>
                <w:rFonts w:hint="eastAsia" w:asciiTheme="minorEastAsia" w:hAnsiTheme="minorEastAsia" w:eastAsiaTheme="minorEastAsia" w:cstheme="minorEastAsia"/>
                <w:color w:val="auto"/>
                <w:kern w:val="0"/>
                <w:sz w:val="24"/>
                <w:szCs w:val="24"/>
                <w:highlight w:val="none"/>
              </w:rPr>
              <w:br w:type="page"/>
            </w:r>
            <w:r>
              <w:rPr>
                <w:rFonts w:hint="eastAsia" w:asciiTheme="minorEastAsia" w:hAnsiTheme="minorEastAsia" w:eastAsiaTheme="minorEastAsia" w:cstheme="minorEastAsia"/>
                <w:color w:val="auto"/>
                <w:kern w:val="0"/>
                <w:sz w:val="24"/>
                <w:szCs w:val="24"/>
                <w:highlight w:val="none"/>
              </w:rPr>
              <w:t>系</w:t>
            </w:r>
            <w:r>
              <w:rPr>
                <w:rFonts w:hint="eastAsia" w:asciiTheme="minorEastAsia" w:hAnsiTheme="minorEastAsia" w:eastAsiaTheme="minorEastAsia" w:cstheme="minorEastAsia"/>
                <w:color w:val="auto"/>
                <w:kern w:val="0"/>
                <w:sz w:val="24"/>
                <w:szCs w:val="24"/>
                <w:highlight w:val="none"/>
              </w:rPr>
              <w:br w:type="page"/>
            </w:r>
            <w:r>
              <w:rPr>
                <w:rFonts w:hint="eastAsia" w:asciiTheme="minorEastAsia" w:hAnsiTheme="minorEastAsia" w:eastAsiaTheme="minorEastAsia" w:cstheme="minorEastAsia"/>
                <w:color w:val="auto"/>
                <w:kern w:val="0"/>
                <w:sz w:val="24"/>
                <w:szCs w:val="24"/>
                <w:highlight w:val="none"/>
              </w:rPr>
              <w:t>统</w:t>
            </w:r>
          </w:p>
        </w:tc>
        <w:tc>
          <w:tcPr>
            <w:tcW w:w="1368" w:type="dxa"/>
            <w:tcBorders>
              <w:top w:val="single" w:color="auto" w:sz="4" w:space="0"/>
              <w:left w:val="single" w:color="auto" w:sz="4" w:space="0"/>
              <w:bottom w:val="single" w:color="auto" w:sz="4" w:space="0"/>
              <w:right w:val="single" w:color="auto" w:sz="4" w:space="0"/>
            </w:tcBorders>
            <w:vAlign w:val="center"/>
          </w:tcPr>
          <w:p w14:paraId="212F9D1A">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各类水泵，给水设备、热水给水设备</w:t>
            </w:r>
          </w:p>
        </w:tc>
        <w:tc>
          <w:tcPr>
            <w:tcW w:w="2704" w:type="dxa"/>
            <w:tcBorders>
              <w:top w:val="single" w:color="auto" w:sz="4" w:space="0"/>
              <w:left w:val="single" w:color="auto" w:sz="4" w:space="0"/>
              <w:bottom w:val="single" w:color="auto" w:sz="4" w:space="0"/>
              <w:right w:val="single" w:color="auto" w:sz="4" w:space="0"/>
            </w:tcBorders>
            <w:vAlign w:val="center"/>
          </w:tcPr>
          <w:p w14:paraId="67AB6728">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水泵（设备）及</w:t>
            </w:r>
            <w:r>
              <w:rPr>
                <w:rFonts w:hint="eastAsia" w:asciiTheme="minorEastAsia" w:hAnsiTheme="minorEastAsia" w:eastAsiaTheme="minorEastAsia" w:cstheme="minorEastAsia"/>
                <w:color w:val="auto"/>
                <w:kern w:val="0"/>
                <w:sz w:val="24"/>
                <w:szCs w:val="24"/>
                <w:highlight w:val="none"/>
                <w:lang w:eastAsia="zh-CN"/>
              </w:rPr>
              <w:t>随机配套材料</w:t>
            </w:r>
          </w:p>
        </w:tc>
        <w:tc>
          <w:tcPr>
            <w:tcW w:w="4575" w:type="dxa"/>
            <w:tcBorders>
              <w:top w:val="single" w:color="auto" w:sz="4" w:space="0"/>
              <w:left w:val="single" w:color="auto" w:sz="4" w:space="0"/>
              <w:bottom w:val="single" w:color="auto" w:sz="4" w:space="0"/>
              <w:right w:val="single" w:color="auto" w:sz="12" w:space="0"/>
            </w:tcBorders>
            <w:vAlign w:val="center"/>
          </w:tcPr>
          <w:p w14:paraId="0D92DEA4">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泵拆装检查；水泵安装；管道安装、配件(包括底座、地脚螺栓、减振装置、气压罐、阀门、减震软接头等)安装；预埋件预埋、二次灌浆；随机控制箱安装接线；电动机检查接线、干燥、安装、调试；仪表安装；需保温的包括机组保温、绝热等工作内容。</w:t>
            </w:r>
          </w:p>
        </w:tc>
      </w:tr>
      <w:tr w14:paraId="2A264028">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49C56BD5">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4E36D197">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给水管道</w:t>
            </w:r>
          </w:p>
        </w:tc>
        <w:tc>
          <w:tcPr>
            <w:tcW w:w="2704" w:type="dxa"/>
            <w:tcBorders>
              <w:top w:val="single" w:color="auto" w:sz="4" w:space="0"/>
              <w:left w:val="single" w:color="auto" w:sz="4" w:space="0"/>
              <w:bottom w:val="single" w:color="auto" w:sz="4" w:space="0"/>
              <w:right w:val="single" w:color="auto" w:sz="4" w:space="0"/>
            </w:tcBorders>
            <w:vAlign w:val="center"/>
          </w:tcPr>
          <w:p w14:paraId="537ACE47">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管道直材</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不含连接件</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，需保温的含保温材料</w:t>
            </w:r>
          </w:p>
        </w:tc>
        <w:tc>
          <w:tcPr>
            <w:tcW w:w="4575" w:type="dxa"/>
            <w:tcBorders>
              <w:top w:val="single" w:color="auto" w:sz="4" w:space="0"/>
              <w:left w:val="single" w:color="auto" w:sz="4" w:space="0"/>
              <w:bottom w:val="single" w:color="auto" w:sz="4" w:space="0"/>
              <w:right w:val="single" w:color="auto" w:sz="12" w:space="0"/>
            </w:tcBorders>
            <w:vAlign w:val="center"/>
          </w:tcPr>
          <w:p w14:paraId="0868EBC2">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管道敷设；连接件及其安装；配件（包括</w:t>
            </w:r>
            <w:r>
              <w:rPr>
                <w:rFonts w:hint="eastAsia" w:asciiTheme="minorEastAsia" w:hAnsiTheme="minorEastAsia" w:eastAsiaTheme="minorEastAsia" w:cstheme="minorEastAsia"/>
                <w:color w:val="auto"/>
                <w:sz w:val="24"/>
                <w:szCs w:val="24"/>
                <w:highlight w:val="none"/>
              </w:rPr>
              <w:t>透气帽、止水环、存水弯、弯头、雨水漏斗、H型管、三通、大小头、补心、检查口、伸缩节、波纹管、法兰、钢塑转换接头、卡箍</w:t>
            </w:r>
            <w:r>
              <w:rPr>
                <w:rFonts w:hint="eastAsia" w:asciiTheme="minorEastAsia" w:hAnsiTheme="minorEastAsia" w:eastAsiaTheme="minorEastAsia" w:cstheme="minorEastAsia"/>
                <w:color w:val="auto"/>
                <w:kern w:val="0"/>
                <w:sz w:val="24"/>
                <w:szCs w:val="24"/>
                <w:highlight w:val="none"/>
              </w:rPr>
              <w:t>等）及其安装；孔洞、预埋件预留；管道基础（包括挖填土方、外运）；套管（包括防水套管）制作安装；管道除锈、刷油、标识、防腐、接地；管道绝热及保护层安装；管道消毒、冲洗、水压及泄漏试验；管道支架制作安装、除锈、刷油；三通补强圈制作安装；如设计有要求，还包括吹扫、脱脂、探伤等工作等工作内容。</w:t>
            </w:r>
          </w:p>
        </w:tc>
      </w:tr>
      <w:tr w14:paraId="29E7A7E7">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04D7A8C6">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0746BE82">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阀门</w:t>
            </w:r>
          </w:p>
        </w:tc>
        <w:tc>
          <w:tcPr>
            <w:tcW w:w="2704" w:type="dxa"/>
            <w:tcBorders>
              <w:top w:val="single" w:color="auto" w:sz="4" w:space="0"/>
              <w:left w:val="single" w:color="auto" w:sz="4" w:space="0"/>
              <w:bottom w:val="single" w:color="auto" w:sz="4" w:space="0"/>
              <w:right w:val="single" w:color="auto" w:sz="4" w:space="0"/>
            </w:tcBorders>
            <w:vAlign w:val="center"/>
          </w:tcPr>
          <w:p w14:paraId="19797E7A">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阀门（包括随阀门配带的电磁执行器、水力警铃、压力表、传感器等配件），需保温的含保温材料</w:t>
            </w:r>
          </w:p>
        </w:tc>
        <w:tc>
          <w:tcPr>
            <w:tcW w:w="4575" w:type="dxa"/>
            <w:tcBorders>
              <w:top w:val="single" w:color="auto" w:sz="4" w:space="0"/>
              <w:left w:val="single" w:color="auto" w:sz="4" w:space="0"/>
              <w:bottom w:val="single" w:color="auto" w:sz="4" w:space="0"/>
              <w:right w:val="single" w:color="auto" w:sz="12" w:space="0"/>
            </w:tcBorders>
            <w:vAlign w:val="center"/>
          </w:tcPr>
          <w:p w14:paraId="4BCACC5A">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阀门安装；附件（包括随阀门配带的电磁执行器、水力警铃、压力表、传感器等全部配件）安装；法兰安装；水压试验；电气接线；需要保温的应包括阀门（含法兰）保温等工作内容。</w:t>
            </w:r>
          </w:p>
        </w:tc>
      </w:tr>
      <w:tr w14:paraId="2504F9B9">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4D6C9AE0">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6D47F02A">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水龙头</w:t>
            </w:r>
          </w:p>
        </w:tc>
        <w:tc>
          <w:tcPr>
            <w:tcW w:w="2704" w:type="dxa"/>
            <w:tcBorders>
              <w:top w:val="single" w:color="auto" w:sz="4" w:space="0"/>
              <w:left w:val="single" w:color="auto" w:sz="4" w:space="0"/>
              <w:bottom w:val="single" w:color="auto" w:sz="4" w:space="0"/>
              <w:right w:val="single" w:color="auto" w:sz="4" w:space="0"/>
            </w:tcBorders>
            <w:vAlign w:val="center"/>
          </w:tcPr>
          <w:p w14:paraId="1E0C585A">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水龙头</w:t>
            </w:r>
          </w:p>
        </w:tc>
        <w:tc>
          <w:tcPr>
            <w:tcW w:w="4575" w:type="dxa"/>
            <w:tcBorders>
              <w:top w:val="single" w:color="auto" w:sz="4" w:space="0"/>
              <w:left w:val="single" w:color="auto" w:sz="4" w:space="0"/>
              <w:bottom w:val="single" w:color="auto" w:sz="4" w:space="0"/>
              <w:right w:val="single" w:color="auto" w:sz="12" w:space="0"/>
            </w:tcBorders>
            <w:vAlign w:val="center"/>
          </w:tcPr>
          <w:p w14:paraId="5306BA53">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水龙头安装；铅油、线麻等辅材；配件及其安装。</w:t>
            </w:r>
          </w:p>
        </w:tc>
      </w:tr>
      <w:tr w14:paraId="576A9D95">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232DD755">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62F2576D">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卫生洁具</w:t>
            </w:r>
          </w:p>
        </w:tc>
        <w:tc>
          <w:tcPr>
            <w:tcW w:w="2704" w:type="dxa"/>
            <w:tcBorders>
              <w:top w:val="single" w:color="auto" w:sz="4" w:space="0"/>
              <w:left w:val="single" w:color="auto" w:sz="4" w:space="0"/>
              <w:bottom w:val="single" w:color="auto" w:sz="4" w:space="0"/>
              <w:right w:val="single" w:color="auto" w:sz="4" w:space="0"/>
            </w:tcBorders>
            <w:vAlign w:val="center"/>
          </w:tcPr>
          <w:p w14:paraId="60705EE7">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洁具及附件</w:t>
            </w:r>
          </w:p>
        </w:tc>
        <w:tc>
          <w:tcPr>
            <w:tcW w:w="4575" w:type="dxa"/>
            <w:tcBorders>
              <w:top w:val="single" w:color="auto" w:sz="4" w:space="0"/>
              <w:left w:val="single" w:color="auto" w:sz="4" w:space="0"/>
              <w:bottom w:val="single" w:color="auto" w:sz="4" w:space="0"/>
              <w:right w:val="single" w:color="auto" w:sz="12" w:space="0"/>
            </w:tcBorders>
            <w:vAlign w:val="center"/>
          </w:tcPr>
          <w:p w14:paraId="272161A8">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各类预埋件留设、孔洞预留、防火堵洞、洁具、附件（包括水箱、水龙头等水暖五金配件、去水配件、存水弯、支架、冲洗阀、角阀等全部配件）安装、支架制作、安装，电子感应式洁具还包括电气接线、接地等工作内容。</w:t>
            </w:r>
          </w:p>
        </w:tc>
      </w:tr>
      <w:tr w14:paraId="5AE7A4F8">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3D242D36">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08394DDD">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消防栓箱</w:t>
            </w:r>
          </w:p>
        </w:tc>
        <w:tc>
          <w:tcPr>
            <w:tcW w:w="2704" w:type="dxa"/>
            <w:tcBorders>
              <w:top w:val="single" w:color="auto" w:sz="4" w:space="0"/>
              <w:left w:val="single" w:color="auto" w:sz="4" w:space="0"/>
              <w:bottom w:val="single" w:color="auto" w:sz="4" w:space="0"/>
              <w:right w:val="single" w:color="auto" w:sz="4" w:space="0"/>
            </w:tcBorders>
            <w:vAlign w:val="center"/>
          </w:tcPr>
          <w:p w14:paraId="0D1BDBDF">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消防栓箱及配件</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消火栓、水枪、水带、灭火器等</w:t>
            </w:r>
            <w:r>
              <w:rPr>
                <w:rFonts w:hint="eastAsia" w:asciiTheme="minorEastAsia" w:hAnsiTheme="minorEastAsia" w:eastAsiaTheme="minorEastAsia" w:cstheme="minorEastAsia"/>
                <w:color w:val="auto"/>
                <w:kern w:val="0"/>
                <w:sz w:val="24"/>
                <w:szCs w:val="24"/>
                <w:highlight w:val="none"/>
                <w:lang w:eastAsia="zh-CN"/>
              </w:rPr>
              <w:t>）</w:t>
            </w:r>
          </w:p>
        </w:tc>
        <w:tc>
          <w:tcPr>
            <w:tcW w:w="4575" w:type="dxa"/>
            <w:tcBorders>
              <w:top w:val="single" w:color="auto" w:sz="4" w:space="0"/>
              <w:left w:val="single" w:color="auto" w:sz="4" w:space="0"/>
              <w:bottom w:val="single" w:color="auto" w:sz="4" w:space="0"/>
              <w:right w:val="single" w:color="auto" w:sz="12" w:space="0"/>
            </w:tcBorders>
            <w:vAlign w:val="center"/>
          </w:tcPr>
          <w:p w14:paraId="30E7C0F2">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消防箱及自带配件安装接线；孔洞预留；接地、试压等工作内容。</w:t>
            </w:r>
          </w:p>
        </w:tc>
      </w:tr>
      <w:tr w14:paraId="1DE32E57">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3EA548C9">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1A2AE1E8">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水泵接合器</w:t>
            </w:r>
          </w:p>
        </w:tc>
        <w:tc>
          <w:tcPr>
            <w:tcW w:w="2704" w:type="dxa"/>
            <w:tcBorders>
              <w:top w:val="single" w:color="auto" w:sz="4" w:space="0"/>
              <w:left w:val="single" w:color="auto" w:sz="4" w:space="0"/>
              <w:bottom w:val="single" w:color="auto" w:sz="4" w:space="0"/>
              <w:right w:val="single" w:color="auto" w:sz="4" w:space="0"/>
            </w:tcBorders>
            <w:vAlign w:val="center"/>
          </w:tcPr>
          <w:p w14:paraId="76B58128">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水泵接合器（含三阀）</w:t>
            </w:r>
          </w:p>
        </w:tc>
        <w:tc>
          <w:tcPr>
            <w:tcW w:w="4575" w:type="dxa"/>
            <w:tcBorders>
              <w:top w:val="single" w:color="auto" w:sz="4" w:space="0"/>
              <w:left w:val="single" w:color="auto" w:sz="4" w:space="0"/>
              <w:bottom w:val="single" w:color="auto" w:sz="4" w:space="0"/>
              <w:right w:val="single" w:color="auto" w:sz="12" w:space="0"/>
            </w:tcBorders>
            <w:vAlign w:val="center"/>
          </w:tcPr>
          <w:p w14:paraId="2A9DB5D3">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安装、试压等工作内容。</w:t>
            </w:r>
          </w:p>
        </w:tc>
      </w:tr>
      <w:tr w14:paraId="393E035B">
        <w:tblPrEx>
          <w:tblCellMar>
            <w:top w:w="32" w:type="dxa"/>
            <w:left w:w="64" w:type="dxa"/>
            <w:bottom w:w="32" w:type="dxa"/>
            <w:right w:w="64" w:type="dxa"/>
          </w:tblCellMar>
        </w:tblPrEx>
        <w:trPr>
          <w:trHeight w:val="0" w:hRule="atLeast"/>
          <w:jc w:val="center"/>
        </w:trPr>
        <w:tc>
          <w:tcPr>
            <w:tcW w:w="641" w:type="dxa"/>
            <w:vMerge w:val="restart"/>
            <w:tcBorders>
              <w:top w:val="single" w:color="auto" w:sz="4" w:space="0"/>
              <w:left w:val="single" w:color="auto" w:sz="12" w:space="0"/>
              <w:bottom w:val="single" w:color="auto" w:sz="4" w:space="0"/>
              <w:right w:val="single" w:color="auto" w:sz="4" w:space="0"/>
            </w:tcBorders>
            <w:vAlign w:val="center"/>
          </w:tcPr>
          <w:p w14:paraId="1583E901">
            <w:pPr>
              <w:keepNext/>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06C6A652">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喷头</w:t>
            </w:r>
          </w:p>
        </w:tc>
        <w:tc>
          <w:tcPr>
            <w:tcW w:w="2704" w:type="dxa"/>
            <w:tcBorders>
              <w:top w:val="single" w:color="auto" w:sz="4" w:space="0"/>
              <w:left w:val="single" w:color="auto" w:sz="4" w:space="0"/>
              <w:bottom w:val="single" w:color="auto" w:sz="4" w:space="0"/>
              <w:right w:val="single" w:color="auto" w:sz="4" w:space="0"/>
            </w:tcBorders>
            <w:vAlign w:val="center"/>
          </w:tcPr>
          <w:p w14:paraId="460B1399">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喷头及配件（装饰碟）</w:t>
            </w:r>
          </w:p>
        </w:tc>
        <w:tc>
          <w:tcPr>
            <w:tcW w:w="4575" w:type="dxa"/>
            <w:tcBorders>
              <w:top w:val="single" w:color="auto" w:sz="4" w:space="0"/>
              <w:left w:val="single" w:color="auto" w:sz="4" w:space="0"/>
              <w:bottom w:val="single" w:color="auto" w:sz="4" w:space="0"/>
              <w:right w:val="single" w:color="auto" w:sz="12" w:space="0"/>
            </w:tcBorders>
            <w:vAlign w:val="center"/>
          </w:tcPr>
          <w:p w14:paraId="003A327E">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喷头及配件安装；支架制作、安装；支架除锈、刷油、标识等工作内容。</w:t>
            </w:r>
          </w:p>
        </w:tc>
      </w:tr>
      <w:tr w14:paraId="060658D3">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62AEBEEF">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77566685">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水流指示器、湿式报警装置</w:t>
            </w:r>
          </w:p>
        </w:tc>
        <w:tc>
          <w:tcPr>
            <w:tcW w:w="2704" w:type="dxa"/>
            <w:tcBorders>
              <w:top w:val="single" w:color="auto" w:sz="4" w:space="0"/>
              <w:left w:val="single" w:color="auto" w:sz="4" w:space="0"/>
              <w:bottom w:val="single" w:color="auto" w:sz="4" w:space="0"/>
              <w:right w:val="single" w:color="auto" w:sz="4" w:space="0"/>
            </w:tcBorders>
            <w:vAlign w:val="center"/>
          </w:tcPr>
          <w:p w14:paraId="61830E6C">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水流指示器、湿式报警装置（含三阀）</w:t>
            </w:r>
          </w:p>
        </w:tc>
        <w:tc>
          <w:tcPr>
            <w:tcW w:w="4575" w:type="dxa"/>
            <w:tcBorders>
              <w:top w:val="single" w:color="auto" w:sz="4" w:space="0"/>
              <w:left w:val="single" w:color="auto" w:sz="4" w:space="0"/>
              <w:bottom w:val="single" w:color="auto" w:sz="4" w:space="0"/>
              <w:right w:val="single" w:color="auto" w:sz="12" w:space="0"/>
            </w:tcBorders>
            <w:vAlign w:val="center"/>
          </w:tcPr>
          <w:p w14:paraId="1DE017B2">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设备及自带配件安装接线、调试等工作内容。</w:t>
            </w:r>
          </w:p>
        </w:tc>
      </w:tr>
      <w:tr w14:paraId="2B481547">
        <w:tblPrEx>
          <w:tblCellMar>
            <w:top w:w="32" w:type="dxa"/>
            <w:left w:w="64" w:type="dxa"/>
            <w:bottom w:w="32" w:type="dxa"/>
            <w:right w:w="64" w:type="dxa"/>
          </w:tblCellMar>
        </w:tblPrEx>
        <w:trPr>
          <w:trHeight w:val="2617" w:hRule="atLeast"/>
          <w:jc w:val="center"/>
        </w:trPr>
        <w:tc>
          <w:tcPr>
            <w:tcW w:w="641" w:type="dxa"/>
            <w:vMerge w:val="restart"/>
            <w:tcBorders>
              <w:top w:val="single" w:color="auto" w:sz="4" w:space="0"/>
              <w:left w:val="single" w:color="auto" w:sz="12" w:space="0"/>
              <w:bottom w:val="single" w:color="auto" w:sz="4" w:space="0"/>
              <w:right w:val="single" w:color="auto" w:sz="4" w:space="0"/>
            </w:tcBorders>
            <w:vAlign w:val="center"/>
          </w:tcPr>
          <w:p w14:paraId="2D99F311">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通风</w:t>
            </w:r>
          </w:p>
          <w:p w14:paraId="5C6B554F">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空</w:t>
            </w:r>
          </w:p>
          <w:p w14:paraId="18D79844">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调</w:t>
            </w:r>
          </w:p>
          <w:p w14:paraId="7DE0E4D0">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系</w:t>
            </w:r>
          </w:p>
          <w:p w14:paraId="03ACF375">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统</w:t>
            </w:r>
          </w:p>
        </w:tc>
        <w:tc>
          <w:tcPr>
            <w:tcW w:w="1368" w:type="dxa"/>
            <w:tcBorders>
              <w:top w:val="single" w:color="auto" w:sz="4" w:space="0"/>
              <w:left w:val="single" w:color="auto" w:sz="4" w:space="0"/>
              <w:right w:val="single" w:color="auto" w:sz="4" w:space="0"/>
            </w:tcBorders>
            <w:vAlign w:val="center"/>
          </w:tcPr>
          <w:p w14:paraId="07FC5CB8">
            <w:pPr>
              <w:keepNext/>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风机（通风柜）</w:t>
            </w:r>
          </w:p>
        </w:tc>
        <w:tc>
          <w:tcPr>
            <w:tcW w:w="2704" w:type="dxa"/>
            <w:tcBorders>
              <w:top w:val="single" w:color="auto" w:sz="4" w:space="0"/>
              <w:left w:val="single" w:color="auto" w:sz="4" w:space="0"/>
              <w:right w:val="single" w:color="auto" w:sz="4" w:space="0"/>
            </w:tcBorders>
            <w:vAlign w:val="center"/>
          </w:tcPr>
          <w:p w14:paraId="5974C972">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风机（通风柜）</w:t>
            </w:r>
          </w:p>
        </w:tc>
        <w:tc>
          <w:tcPr>
            <w:tcW w:w="4575" w:type="dxa"/>
            <w:tcBorders>
              <w:top w:val="single" w:color="auto" w:sz="4" w:space="0"/>
              <w:left w:val="single" w:color="auto" w:sz="4" w:space="0"/>
              <w:bottom w:val="single" w:color="auto" w:sz="4" w:space="0"/>
              <w:right w:val="single" w:color="auto" w:sz="12" w:space="0"/>
            </w:tcBorders>
            <w:vAlign w:val="center"/>
          </w:tcPr>
          <w:p w14:paraId="53220F86">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风机（通风柜）及随机配套的配件安装；预埋件预埋；基础制作安装；二次灌浆；减震垫、防虫过滤网</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温控器安装；随机阀门及其安装；控制箱安装接线；电动机安装、检查接线、干燥接线、调试；仪表安装、接线；软连接；支架制作安装、除锈、油漆等工作内容。</w:t>
            </w:r>
          </w:p>
        </w:tc>
      </w:tr>
      <w:tr w14:paraId="69210567">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67F4A9FE">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03A3FB3E">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风管</w:t>
            </w:r>
          </w:p>
        </w:tc>
        <w:tc>
          <w:tcPr>
            <w:tcW w:w="2704" w:type="dxa"/>
            <w:tcBorders>
              <w:top w:val="single" w:color="auto" w:sz="4" w:space="0"/>
              <w:left w:val="single" w:color="auto" w:sz="4" w:space="0"/>
              <w:bottom w:val="single" w:color="auto" w:sz="4" w:space="0"/>
              <w:right w:val="single" w:color="auto" w:sz="4" w:space="0"/>
            </w:tcBorders>
            <w:vAlign w:val="center"/>
          </w:tcPr>
          <w:p w14:paraId="691AAD85">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风管板材，有保温的包括保温材料</w:t>
            </w:r>
          </w:p>
        </w:tc>
        <w:tc>
          <w:tcPr>
            <w:tcW w:w="4575" w:type="dxa"/>
            <w:tcBorders>
              <w:top w:val="single" w:color="auto" w:sz="4" w:space="0"/>
              <w:left w:val="single" w:color="auto" w:sz="4" w:space="0"/>
              <w:bottom w:val="single" w:color="auto" w:sz="4" w:space="0"/>
              <w:right w:val="single" w:color="auto" w:sz="12" w:space="0"/>
            </w:tcBorders>
            <w:vAlign w:val="center"/>
          </w:tcPr>
          <w:p w14:paraId="7184206E">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风管安装；配件（包括</w:t>
            </w:r>
            <w:r>
              <w:rPr>
                <w:rFonts w:hint="eastAsia" w:asciiTheme="minorEastAsia" w:hAnsiTheme="minorEastAsia" w:eastAsiaTheme="minorEastAsia" w:cstheme="minorEastAsia"/>
                <w:color w:val="auto"/>
                <w:sz w:val="24"/>
                <w:szCs w:val="24"/>
                <w:highlight w:val="none"/>
              </w:rPr>
              <w:t>弯头、三通、导流叶片、三通调节阀、加固框、法兰、软连接、回风箱、防虫过滤网等</w:t>
            </w:r>
            <w:r>
              <w:rPr>
                <w:rFonts w:hint="eastAsia" w:asciiTheme="minorEastAsia" w:hAnsiTheme="minorEastAsia" w:eastAsiaTheme="minorEastAsia" w:cstheme="minorEastAsia"/>
                <w:color w:val="auto"/>
                <w:kern w:val="0"/>
                <w:sz w:val="24"/>
                <w:szCs w:val="24"/>
                <w:highlight w:val="none"/>
              </w:rPr>
              <w:t>）及其安装；预留孔洞、预埋件留设；支吊架制作安装；弯头导流叶片制作、安装；风管检查孔制作；温度、风量测定孔制作；风管保温及保护层的安装；保护层除锈、刷油等工作内容。</w:t>
            </w:r>
          </w:p>
        </w:tc>
      </w:tr>
      <w:tr w14:paraId="2C6C847D">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14:paraId="2F447E3A">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14:paraId="53A69A77">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静压箱、消声器</w:t>
            </w:r>
          </w:p>
        </w:tc>
        <w:tc>
          <w:tcPr>
            <w:tcW w:w="2704" w:type="dxa"/>
            <w:tcBorders>
              <w:top w:val="single" w:color="auto" w:sz="4" w:space="0"/>
              <w:left w:val="single" w:color="auto" w:sz="4" w:space="0"/>
              <w:bottom w:val="single" w:color="auto" w:sz="4" w:space="0"/>
              <w:right w:val="single" w:color="auto" w:sz="4" w:space="0"/>
            </w:tcBorders>
            <w:vAlign w:val="center"/>
          </w:tcPr>
          <w:p w14:paraId="75947C4B">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静压箱、消声器，有保温的包括保温材料</w:t>
            </w:r>
          </w:p>
        </w:tc>
        <w:tc>
          <w:tcPr>
            <w:tcW w:w="4575" w:type="dxa"/>
            <w:tcBorders>
              <w:top w:val="single" w:color="auto" w:sz="4" w:space="0"/>
              <w:left w:val="single" w:color="auto" w:sz="4" w:space="0"/>
              <w:bottom w:val="single" w:color="auto" w:sz="4" w:space="0"/>
              <w:right w:val="single" w:color="auto" w:sz="12" w:space="0"/>
            </w:tcBorders>
            <w:vAlign w:val="center"/>
          </w:tcPr>
          <w:p w14:paraId="10CFE269">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设备安装；配件及其安装；预留孔洞、预埋件留设；法兰及其安装；支吊架制作安装、除锈、刷油、防腐；保温及保护层安装等工作内容。</w:t>
            </w:r>
          </w:p>
        </w:tc>
      </w:tr>
      <w:tr w14:paraId="19088368">
        <w:tblPrEx>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12" w:space="0"/>
              <w:right w:val="single" w:color="auto" w:sz="4" w:space="0"/>
            </w:tcBorders>
            <w:vAlign w:val="center"/>
          </w:tcPr>
          <w:p w14:paraId="52D0958F">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p>
        </w:tc>
        <w:tc>
          <w:tcPr>
            <w:tcW w:w="1368" w:type="dxa"/>
            <w:tcBorders>
              <w:top w:val="single" w:color="auto" w:sz="4" w:space="0"/>
              <w:left w:val="single" w:color="auto" w:sz="4" w:space="0"/>
              <w:bottom w:val="single" w:color="auto" w:sz="12" w:space="0"/>
              <w:right w:val="single" w:color="auto" w:sz="4" w:space="0"/>
            </w:tcBorders>
            <w:vAlign w:val="center"/>
          </w:tcPr>
          <w:p w14:paraId="797FE9AE">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风阀、风口</w:t>
            </w:r>
          </w:p>
        </w:tc>
        <w:tc>
          <w:tcPr>
            <w:tcW w:w="2704" w:type="dxa"/>
            <w:tcBorders>
              <w:top w:val="single" w:color="auto" w:sz="4" w:space="0"/>
              <w:left w:val="single" w:color="auto" w:sz="4" w:space="0"/>
              <w:bottom w:val="single" w:color="auto" w:sz="12" w:space="0"/>
              <w:right w:val="single" w:color="auto" w:sz="4" w:space="0"/>
            </w:tcBorders>
            <w:vAlign w:val="center"/>
          </w:tcPr>
          <w:p w14:paraId="0B206B72">
            <w:pPr>
              <w:keepNext/>
              <w:keepLines w:val="0"/>
              <w:widowControl/>
              <w:suppressLineNumbers w:val="0"/>
              <w:adjustRightInd w:val="0"/>
              <w:snapToGrid w:val="0"/>
              <w:spacing w:before="0" w:beforeAutospacing="0" w:after="0" w:afterAutospacing="0"/>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风阀、风口及配件（包括执行器等随风阀配带的全部配件）</w:t>
            </w:r>
          </w:p>
        </w:tc>
        <w:tc>
          <w:tcPr>
            <w:tcW w:w="4575" w:type="dxa"/>
            <w:tcBorders>
              <w:top w:val="single" w:color="auto" w:sz="4" w:space="0"/>
              <w:left w:val="single" w:color="auto" w:sz="4" w:space="0"/>
              <w:bottom w:val="single" w:color="auto" w:sz="12" w:space="0"/>
              <w:right w:val="single" w:color="auto" w:sz="12" w:space="0"/>
            </w:tcBorders>
            <w:vAlign w:val="center"/>
          </w:tcPr>
          <w:p w14:paraId="5A431D0D">
            <w:pPr>
              <w:keepNext/>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各类风阀(风口)及配件安装接线；预留孔洞、预埋件留设；支吊架制作安装、除锈、刷油、防腐等工作内容。</w:t>
            </w:r>
          </w:p>
        </w:tc>
      </w:tr>
    </w:tbl>
    <w:p w14:paraId="3E0DF8E2">
      <w:pPr>
        <w:pStyle w:val="24"/>
        <w:ind w:firstLine="0" w:firstLineChars="0"/>
        <w:rPr>
          <w:color w:val="auto"/>
          <w:highlight w:val="none"/>
        </w:rPr>
      </w:pPr>
    </w:p>
    <w:p w14:paraId="2EB70FCF">
      <w:pPr>
        <w:pStyle w:val="24"/>
        <w:ind w:firstLine="496"/>
        <w:rPr>
          <w:color w:val="auto"/>
          <w:highlight w:val="none"/>
        </w:rPr>
      </w:pPr>
      <w:r>
        <w:rPr>
          <w:rFonts w:hint="eastAsia"/>
          <w:color w:val="auto"/>
          <w:highlight w:val="none"/>
        </w:rPr>
        <w:t>有类似的主材可参考上述的界定方式，其余按照广东省定额和广州市补充定额的相关规定界定。</w:t>
      </w:r>
    </w:p>
    <w:p w14:paraId="307C09E3">
      <w:pPr>
        <w:spacing w:before="143" w:beforeLines="50" w:after="143" w:afterLines="50" w:line="360" w:lineRule="auto"/>
        <w:ind w:firstLine="578"/>
        <w:rPr>
          <w:rFonts w:ascii="宋体" w:hAnsi="宋体"/>
          <w:color w:val="auto"/>
          <w:sz w:val="24"/>
          <w:szCs w:val="24"/>
          <w:highlight w:val="none"/>
        </w:rPr>
        <w:sectPr>
          <w:footerReference r:id="rId9" w:type="default"/>
          <w:pgSz w:w="11906" w:h="16838"/>
          <w:pgMar w:top="1418" w:right="1328" w:bottom="1134" w:left="1418" w:header="284" w:footer="284" w:gutter="0"/>
          <w:pgNumType w:fmt="numberInDash" w:start="1"/>
          <w:cols w:space="720" w:num="1"/>
          <w:docGrid w:type="lines" w:linePitch="287" w:charSpace="-3879"/>
        </w:sectPr>
      </w:pPr>
    </w:p>
    <w:bookmarkEnd w:id="92"/>
    <w:bookmarkEnd w:id="93"/>
    <w:bookmarkEnd w:id="94"/>
    <w:bookmarkEnd w:id="95"/>
    <w:bookmarkEnd w:id="96"/>
    <w:bookmarkEnd w:id="97"/>
    <w:bookmarkEnd w:id="98"/>
    <w:bookmarkEnd w:id="99"/>
    <w:bookmarkEnd w:id="170"/>
    <w:bookmarkEnd w:id="171"/>
    <w:bookmarkEnd w:id="172"/>
    <w:bookmarkEnd w:id="173"/>
    <w:bookmarkEnd w:id="174"/>
    <w:bookmarkEnd w:id="175"/>
    <w:p w14:paraId="5B492BB6">
      <w:pPr>
        <w:pStyle w:val="38"/>
        <w:spacing w:before="143" w:beforeAutospacing="0" w:after="143" w:line="360" w:lineRule="auto"/>
        <w:rPr>
          <w:color w:val="auto"/>
          <w:kern w:val="44"/>
          <w:highlight w:val="none"/>
        </w:rPr>
      </w:pPr>
      <w:bookmarkStart w:id="176" w:name="_Toc243070783"/>
      <w:bookmarkStart w:id="177" w:name="_Toc243458109"/>
      <w:bookmarkStart w:id="178" w:name="_Toc6929"/>
      <w:bookmarkStart w:id="179" w:name="_Toc20652"/>
      <w:bookmarkStart w:id="180" w:name="_Toc578"/>
      <w:bookmarkStart w:id="181" w:name="_Toc10718"/>
      <w:bookmarkStart w:id="182" w:name="_Toc24322"/>
      <w:bookmarkStart w:id="183" w:name="_Toc14729"/>
      <w:bookmarkStart w:id="184" w:name="_Toc26726"/>
      <w:bookmarkStart w:id="185" w:name="_Toc17276"/>
      <w:bookmarkStart w:id="186" w:name="_Toc505776047"/>
      <w:bookmarkStart w:id="187" w:name="_Toc32039"/>
      <w:bookmarkStart w:id="188" w:name="_Toc7387"/>
      <w:bookmarkStart w:id="189" w:name="_Toc32670"/>
      <w:bookmarkStart w:id="190" w:name="_Toc15195"/>
      <w:bookmarkStart w:id="191" w:name="_Toc21951"/>
      <w:bookmarkStart w:id="192" w:name="_Toc17248"/>
      <w:bookmarkStart w:id="193" w:name="_Toc20024"/>
      <w:bookmarkStart w:id="194" w:name="_Toc314044190"/>
      <w:bookmarkStart w:id="195" w:name="_Toc6003_WPSOffice_Level1"/>
      <w:bookmarkStart w:id="196" w:name="_Toc353782578"/>
      <w:bookmarkStart w:id="197" w:name="_Toc529298718"/>
      <w:bookmarkStart w:id="198" w:name="_Toc19722"/>
      <w:bookmarkStart w:id="199" w:name="_Toc5216"/>
      <w:bookmarkStart w:id="200" w:name="_Toc392516311"/>
      <w:bookmarkStart w:id="201" w:name="_Toc316916410"/>
      <w:bookmarkStart w:id="202" w:name="_Toc294031077"/>
      <w:bookmarkStart w:id="203" w:name="_Toc20735"/>
      <w:r>
        <w:rPr>
          <w:rFonts w:hint="eastAsia"/>
          <w:color w:val="auto"/>
          <w:kern w:val="44"/>
          <w:highlight w:val="none"/>
        </w:rPr>
        <w:t>第二部分</w:t>
      </w:r>
      <w:r>
        <w:rPr>
          <w:color w:val="auto"/>
          <w:kern w:val="44"/>
          <w:highlight w:val="none"/>
        </w:rPr>
        <w:t xml:space="preserve">   </w:t>
      </w:r>
      <w:r>
        <w:rPr>
          <w:rFonts w:hint="eastAsia"/>
          <w:color w:val="auto"/>
          <w:kern w:val="44"/>
          <w:highlight w:val="none"/>
        </w:rPr>
        <w:t>工程量清单</w:t>
      </w:r>
      <w:bookmarkEnd w:id="176"/>
      <w:bookmarkEnd w:id="177"/>
      <w:r>
        <w:rPr>
          <w:rFonts w:hint="eastAsia"/>
          <w:color w:val="auto"/>
          <w:kern w:val="44"/>
          <w:highlight w:val="none"/>
        </w:rPr>
        <w:t>填报须知</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99C33D7">
      <w:pPr>
        <w:pStyle w:val="24"/>
        <w:spacing w:before="143" w:beforeLines="50" w:beforeAutospacing="0" w:after="143" w:afterLines="50" w:line="360" w:lineRule="auto"/>
        <w:ind w:firstLine="496"/>
        <w:rPr>
          <w:rFonts w:hint="eastAsia" w:asciiTheme="minorEastAsia" w:hAnsiTheme="minorEastAsia" w:eastAsiaTheme="minorEastAsia" w:cstheme="minorEastAsia"/>
          <w:snapToGrid/>
          <w:color w:val="auto"/>
          <w:spacing w:val="0"/>
          <w:kern w:val="2"/>
          <w:sz w:val="24"/>
          <w:szCs w:val="24"/>
          <w:highlight w:val="none"/>
          <w:lang w:val="en-US" w:eastAsia="zh-CN" w:bidi="ar-SA"/>
        </w:rPr>
      </w:pPr>
      <w:bookmarkStart w:id="204" w:name="_Toc5861"/>
      <w:bookmarkStart w:id="205" w:name="_Toc314044191"/>
      <w:bookmarkStart w:id="206" w:name="_Toc294031078"/>
      <w:bookmarkStart w:id="207" w:name="_Toc4268"/>
      <w:bookmarkStart w:id="208" w:name="_Toc4939"/>
      <w:bookmarkStart w:id="209" w:name="_Toc392516312"/>
      <w:bookmarkStart w:id="210" w:name="_Toc5709"/>
      <w:bookmarkStart w:id="211" w:name="_Toc30260"/>
      <w:bookmarkStart w:id="212" w:name="_Toc20816"/>
      <w:bookmarkStart w:id="213" w:name="_Toc353782579"/>
      <w:bookmarkStart w:id="214" w:name="_Toc505776048"/>
      <w:bookmarkStart w:id="215" w:name="_Toc316916412"/>
      <w:bookmarkStart w:id="216" w:name="_Toc1844"/>
      <w:r>
        <w:rPr>
          <w:rFonts w:hint="eastAsia" w:asciiTheme="minorEastAsia" w:hAnsiTheme="minorEastAsia" w:eastAsiaTheme="minorEastAsia" w:cstheme="minorEastAsia"/>
          <w:snapToGrid/>
          <w:color w:val="auto"/>
          <w:spacing w:val="0"/>
          <w:kern w:val="2"/>
          <w:sz w:val="24"/>
          <w:szCs w:val="24"/>
          <w:highlight w:val="none"/>
          <w:lang w:val="en-US" w:eastAsia="zh-CN" w:bidi="ar-SA"/>
        </w:rPr>
        <w:t>1.本项目分部分项人工费总额为1,768,522.73元，为本工程分部分项最高人工费总额。</w:t>
      </w:r>
      <w:bookmarkStart w:id="217" w:name="OLE_LINK1"/>
      <w:r>
        <w:rPr>
          <w:rFonts w:hint="eastAsia" w:asciiTheme="minorEastAsia" w:hAnsiTheme="minorEastAsia" w:eastAsiaTheme="minorEastAsia" w:cstheme="minorEastAsia"/>
          <w:snapToGrid/>
          <w:color w:val="auto"/>
          <w:spacing w:val="0"/>
          <w:kern w:val="2"/>
          <w:sz w:val="24"/>
          <w:szCs w:val="24"/>
          <w:highlight w:val="none"/>
          <w:lang w:val="en-US" w:eastAsia="zh-CN" w:bidi="ar-SA"/>
        </w:rPr>
        <w:t>此价不作为否决其投标的条款。</w:t>
      </w:r>
      <w:bookmarkEnd w:id="217"/>
    </w:p>
    <w:p w14:paraId="13F0F16C">
      <w:pPr>
        <w:pStyle w:val="24"/>
        <w:spacing w:before="143" w:beforeLines="50" w:beforeAutospacing="0" w:after="143" w:afterLines="50" w:line="360" w:lineRule="auto"/>
        <w:ind w:firstLine="496"/>
        <w:rPr>
          <w:rFonts w:ascii="宋体" w:hAnsi="宋体" w:cs="宋体"/>
          <w:color w:val="auto"/>
          <w:highlight w:val="none"/>
        </w:rPr>
      </w:pPr>
      <w:r>
        <w:rPr>
          <w:rFonts w:hint="eastAsia" w:asciiTheme="minorEastAsia" w:hAnsiTheme="minorEastAsia" w:eastAsiaTheme="minorEastAsia" w:cstheme="minorEastAsia"/>
          <w:snapToGrid/>
          <w:color w:val="auto"/>
          <w:spacing w:val="0"/>
          <w:kern w:val="2"/>
          <w:sz w:val="24"/>
          <w:szCs w:val="24"/>
          <w:highlight w:val="none"/>
          <w:lang w:val="en-US" w:eastAsia="zh-CN" w:bidi="ar-SA"/>
        </w:rPr>
        <w:t>2.投标人需按下表格式，在投标文件“其他投标人认为应该提供的资料”处，提交投标报价总表。</w:t>
      </w:r>
    </w:p>
    <w:p w14:paraId="04C30D9A">
      <w:pPr>
        <w:pStyle w:val="24"/>
        <w:spacing w:before="143" w:beforeLines="50" w:beforeAutospacing="0" w:after="143" w:afterLines="50" w:line="360" w:lineRule="auto"/>
        <w:ind w:firstLine="296" w:firstLineChars="80"/>
        <w:jc w:val="center"/>
        <w:outlineLvl w:val="5"/>
        <w:rPr>
          <w:rFonts w:ascii="黑体" w:hAnsi="黑体" w:eastAsia="黑体"/>
          <w:b/>
          <w:color w:val="auto"/>
          <w:sz w:val="36"/>
          <w:szCs w:val="36"/>
          <w:highlight w:val="none"/>
        </w:rPr>
      </w:pPr>
      <w:bookmarkStart w:id="218" w:name="_Toc26655"/>
      <w:bookmarkStart w:id="219" w:name="_Toc28161"/>
      <w:bookmarkStart w:id="220" w:name="_Toc20568"/>
      <w:bookmarkStart w:id="221" w:name="_Toc21373"/>
      <w:bookmarkStart w:id="222" w:name="_Toc14927"/>
      <w:bookmarkStart w:id="223" w:name="_Toc29750"/>
      <w:bookmarkStart w:id="224" w:name="_Toc11458"/>
      <w:bookmarkStart w:id="225" w:name="_Toc28440"/>
      <w:r>
        <w:rPr>
          <w:rFonts w:hint="eastAsia" w:ascii="黑体" w:hAnsi="黑体" w:eastAsia="黑体"/>
          <w:b/>
          <w:color w:val="auto"/>
          <w:sz w:val="36"/>
          <w:szCs w:val="36"/>
          <w:highlight w:val="none"/>
        </w:rPr>
        <w:t>投标报价总表</w:t>
      </w:r>
      <w:bookmarkEnd w:id="218"/>
      <w:bookmarkEnd w:id="219"/>
      <w:bookmarkEnd w:id="220"/>
      <w:bookmarkEnd w:id="221"/>
      <w:bookmarkEnd w:id="222"/>
      <w:bookmarkEnd w:id="223"/>
      <w:bookmarkEnd w:id="224"/>
      <w:bookmarkEnd w:id="225"/>
    </w:p>
    <w:p w14:paraId="757D5BB2">
      <w:pPr>
        <w:pStyle w:val="24"/>
        <w:spacing w:before="143" w:beforeLines="50" w:beforeAutospacing="0" w:after="143" w:afterLines="50"/>
        <w:ind w:firstLine="0" w:firstLineChars="0"/>
        <w:rPr>
          <w:color w:val="auto"/>
          <w:szCs w:val="24"/>
          <w:highlight w:val="none"/>
        </w:rPr>
      </w:pPr>
      <w:r>
        <w:rPr>
          <w:rFonts w:hint="eastAsia"/>
          <w:b/>
          <w:color w:val="auto"/>
          <w:szCs w:val="24"/>
          <w:highlight w:val="none"/>
        </w:rPr>
        <w:t>工程名称：</w:t>
      </w:r>
    </w:p>
    <w:tbl>
      <w:tblPr>
        <w:tblStyle w:val="12"/>
        <w:tblW w:w="9013" w:type="dxa"/>
        <w:tblInd w:w="0" w:type="dxa"/>
        <w:tblLayout w:type="fixed"/>
        <w:tblCellMar>
          <w:top w:w="0" w:type="dxa"/>
          <w:left w:w="0" w:type="dxa"/>
          <w:bottom w:w="0" w:type="dxa"/>
          <w:right w:w="0" w:type="dxa"/>
        </w:tblCellMar>
      </w:tblPr>
      <w:tblGrid>
        <w:gridCol w:w="659"/>
        <w:gridCol w:w="3568"/>
        <w:gridCol w:w="2355"/>
        <w:gridCol w:w="2431"/>
      </w:tblGrid>
      <w:tr w14:paraId="79198898">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5E2D2">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序号</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7D4E4">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项</w:t>
            </w:r>
            <w:r>
              <w:rPr>
                <w:rStyle w:val="21"/>
                <w:rFonts w:hint="eastAsia"/>
                <w:color w:val="auto"/>
                <w:highlight w:val="none"/>
              </w:rPr>
              <w:t>目名称</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28326">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18"/>
                <w:szCs w:val="18"/>
                <w:highlight w:val="none"/>
              </w:rPr>
            </w:pPr>
            <w:r>
              <w:rPr>
                <w:rFonts w:hint="eastAsia" w:ascii="宋体" w:hAnsi="宋体" w:cs="宋体"/>
                <w:color w:val="auto"/>
                <w:kern w:val="0"/>
                <w:sz w:val="18"/>
                <w:szCs w:val="18"/>
                <w:highlight w:val="none"/>
              </w:rPr>
              <w:t>金额（元）</w:t>
            </w: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AF819">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备注</w:t>
            </w:r>
          </w:p>
        </w:tc>
      </w:tr>
      <w:tr w14:paraId="04910B06">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A5540">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一</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BAC39">
            <w:pPr>
              <w:keepNext w:val="0"/>
              <w:keepLines w:val="0"/>
              <w:widowControl/>
              <w:suppressLineNumbers w:val="0"/>
              <w:spacing w:before="143" w:beforeLines="50" w:beforeAutospacing="0" w:after="143" w:afterLines="50" w:afterAutospacing="0" w:line="240" w:lineRule="auto"/>
              <w:ind w:left="0" w:right="0"/>
              <w:jc w:val="both"/>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分部分项工程量清单计价汇总合计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7098A">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DE7EF">
            <w:pPr>
              <w:keepNext w:val="0"/>
              <w:keepLines w:val="0"/>
              <w:suppressLineNumbers w:val="0"/>
              <w:tabs>
                <w:tab w:val="left" w:pos="3629"/>
              </w:tabs>
              <w:spacing w:before="143" w:beforeLines="50" w:beforeAutospacing="0" w:after="143" w:afterLines="50" w:afterAutospacing="0" w:line="240" w:lineRule="auto"/>
              <w:ind w:left="-178" w:leftChars="-85" w:right="1077" w:rightChars="513" w:firstLine="178" w:firstLineChars="89"/>
              <w:jc w:val="center"/>
              <w:rPr>
                <w:rFonts w:hint="default" w:ascii="宋体" w:hAnsi="Calibri" w:cs="宋体"/>
                <w:color w:val="auto"/>
                <w:sz w:val="20"/>
                <w:szCs w:val="20"/>
                <w:highlight w:val="none"/>
              </w:rPr>
            </w:pPr>
          </w:p>
        </w:tc>
      </w:tr>
      <w:tr w14:paraId="1453F186">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14B6C">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二</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9460F">
            <w:pPr>
              <w:keepNext w:val="0"/>
              <w:keepLines w:val="0"/>
              <w:widowControl/>
              <w:suppressLineNumbers w:val="0"/>
              <w:spacing w:before="143" w:beforeLines="50" w:beforeAutospacing="0" w:after="143" w:afterLines="50" w:afterAutospacing="0" w:line="240" w:lineRule="auto"/>
              <w:ind w:left="0" w:right="0"/>
              <w:jc w:val="both"/>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措施项目清单计价汇总合计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C82AE">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79D9A">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r>
      <w:tr w14:paraId="6BA7475B">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7DDCE">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三</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F187B">
            <w:pPr>
              <w:keepNext w:val="0"/>
              <w:keepLines w:val="0"/>
              <w:widowControl/>
              <w:suppressLineNumbers w:val="0"/>
              <w:spacing w:before="143" w:beforeLines="50" w:beforeAutospacing="0" w:after="143" w:afterLines="50" w:afterAutospacing="0" w:line="240" w:lineRule="auto"/>
              <w:ind w:left="0" w:right="0"/>
              <w:jc w:val="both"/>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其它项目清单计价汇总合计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C2598">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FD2FA">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r>
      <w:tr w14:paraId="2309F5BE">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FD918">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四</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CE2A8">
            <w:pPr>
              <w:keepNext w:val="0"/>
              <w:keepLines w:val="0"/>
              <w:widowControl/>
              <w:suppressLineNumbers w:val="0"/>
              <w:spacing w:before="143" w:beforeLines="50" w:beforeAutospacing="0" w:after="143" w:afterLines="50" w:afterAutospacing="0" w:line="240" w:lineRule="auto"/>
              <w:ind w:left="0" w:right="0"/>
              <w:jc w:val="both"/>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税金计价汇总合计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A5122">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7BDE8">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r>
      <w:tr w14:paraId="3CEF47C5">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4A1B8">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五</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153BF">
            <w:pPr>
              <w:keepNext w:val="0"/>
              <w:keepLines w:val="0"/>
              <w:widowControl/>
              <w:suppressLineNumbers w:val="0"/>
              <w:spacing w:before="143" w:beforeLines="50" w:beforeAutospacing="0" w:after="143" w:afterLines="50" w:afterAutospacing="0" w:line="240" w:lineRule="auto"/>
              <w:ind w:left="0" w:right="0"/>
              <w:jc w:val="both"/>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投标总报价</w:t>
            </w:r>
            <w:r>
              <w:rPr>
                <w:rFonts w:hint="default" w:ascii="宋体" w:hAnsi="宋体" w:cs="宋体"/>
                <w:color w:val="auto"/>
                <w:kern w:val="0"/>
                <w:sz w:val="20"/>
                <w:szCs w:val="20"/>
                <w:highlight w:val="none"/>
              </w:rPr>
              <w:t>(</w:t>
            </w:r>
            <w:r>
              <w:rPr>
                <w:rFonts w:hint="eastAsia" w:ascii="宋体" w:hAnsi="宋体" w:cs="宋体"/>
                <w:color w:val="auto"/>
                <w:kern w:val="0"/>
                <w:sz w:val="20"/>
                <w:szCs w:val="20"/>
                <w:highlight w:val="none"/>
              </w:rPr>
              <w:t>一</w:t>
            </w:r>
            <w:r>
              <w:rPr>
                <w:rFonts w:hint="default" w:ascii="宋体" w:hAnsi="宋体" w:cs="宋体"/>
                <w:color w:val="auto"/>
                <w:kern w:val="0"/>
                <w:sz w:val="20"/>
                <w:szCs w:val="20"/>
                <w:highlight w:val="none"/>
              </w:rPr>
              <w:t>+</w:t>
            </w:r>
            <w:r>
              <w:rPr>
                <w:rFonts w:hint="eastAsia" w:ascii="宋体" w:hAnsi="宋体" w:cs="宋体"/>
                <w:color w:val="auto"/>
                <w:kern w:val="0"/>
                <w:sz w:val="20"/>
                <w:szCs w:val="20"/>
                <w:highlight w:val="none"/>
              </w:rPr>
              <w:t>二</w:t>
            </w:r>
            <w:r>
              <w:rPr>
                <w:rFonts w:hint="default" w:ascii="宋体" w:hAnsi="宋体" w:cs="宋体"/>
                <w:color w:val="auto"/>
                <w:kern w:val="0"/>
                <w:sz w:val="20"/>
                <w:szCs w:val="20"/>
                <w:highlight w:val="none"/>
              </w:rPr>
              <w:t>+</w:t>
            </w:r>
            <w:r>
              <w:rPr>
                <w:rFonts w:hint="eastAsia" w:ascii="宋体" w:hAnsi="宋体" w:cs="宋体"/>
                <w:color w:val="auto"/>
                <w:kern w:val="0"/>
                <w:sz w:val="20"/>
                <w:szCs w:val="20"/>
                <w:highlight w:val="none"/>
              </w:rPr>
              <w:t>三</w:t>
            </w:r>
            <w:r>
              <w:rPr>
                <w:rFonts w:hint="default" w:ascii="宋体" w:hAnsi="宋体" w:cs="宋体"/>
                <w:color w:val="auto"/>
                <w:kern w:val="0"/>
                <w:sz w:val="20"/>
                <w:szCs w:val="20"/>
                <w:highlight w:val="none"/>
              </w:rPr>
              <w:t>+</w:t>
            </w:r>
            <w:r>
              <w:rPr>
                <w:rFonts w:hint="eastAsia" w:ascii="宋体" w:hAnsi="宋体" w:cs="宋体"/>
                <w:color w:val="auto"/>
                <w:kern w:val="0"/>
                <w:sz w:val="20"/>
                <w:szCs w:val="20"/>
                <w:highlight w:val="none"/>
              </w:rPr>
              <w:t>四</w:t>
            </w:r>
            <w:r>
              <w:rPr>
                <w:rFonts w:hint="default" w:ascii="宋体" w:hAnsi="宋体" w:cs="宋体"/>
                <w:color w:val="auto"/>
                <w:kern w:val="0"/>
                <w:sz w:val="20"/>
                <w:szCs w:val="20"/>
                <w:highlight w:val="none"/>
              </w:rPr>
              <w:t>)</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8782B">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F8627">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r>
      <w:tr w14:paraId="48EF1385">
        <w:tblPrEx>
          <w:tblCellMar>
            <w:top w:w="0" w:type="dxa"/>
            <w:left w:w="0" w:type="dxa"/>
            <w:bottom w:w="0" w:type="dxa"/>
            <w:right w:w="0" w:type="dxa"/>
          </w:tblCellMar>
        </w:tblPrEx>
        <w:trPr>
          <w:trHeight w:val="9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45B0F">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C637E">
            <w:pPr>
              <w:keepNext w:val="0"/>
              <w:keepLines w:val="0"/>
              <w:widowControl/>
              <w:suppressLineNumbers w:val="0"/>
              <w:spacing w:before="143" w:beforeLines="50" w:beforeAutospacing="0" w:after="143" w:afterLines="50" w:afterAutospacing="0" w:line="240" w:lineRule="auto"/>
              <w:ind w:left="0" w:right="0"/>
              <w:jc w:val="both"/>
              <w:textAlignment w:val="center"/>
              <w:rPr>
                <w:rFonts w:hint="eastAsia" w:ascii="宋体" w:hAnsi="Calibri" w:eastAsia="宋体" w:cs="宋体"/>
                <w:color w:val="auto"/>
                <w:sz w:val="20"/>
                <w:szCs w:val="20"/>
                <w:highlight w:val="none"/>
                <w:lang w:eastAsia="zh-CN"/>
              </w:rPr>
            </w:pPr>
            <w:r>
              <w:rPr>
                <w:rFonts w:hint="eastAsia" w:ascii="宋体" w:hAnsi="宋体" w:cs="宋体"/>
                <w:color w:val="auto"/>
                <w:kern w:val="0"/>
                <w:sz w:val="20"/>
                <w:szCs w:val="20"/>
                <w:highlight w:val="none"/>
              </w:rPr>
              <w:t>其中：</w:t>
            </w:r>
            <w:r>
              <w:rPr>
                <w:rFonts w:hint="default" w:ascii="宋体" w:hAnsi="宋体" w:cs="宋体"/>
                <w:color w:val="auto"/>
                <w:kern w:val="0"/>
                <w:sz w:val="20"/>
                <w:szCs w:val="20"/>
                <w:highlight w:val="none"/>
              </w:rPr>
              <w:t>1</w:t>
            </w: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eastAsia="zh-CN"/>
              </w:rPr>
              <w:t>安全生产措施</w:t>
            </w:r>
            <w:r>
              <w:rPr>
                <w:rFonts w:hint="eastAsia" w:ascii="宋体" w:hAnsi="宋体" w:cs="宋体"/>
                <w:color w:val="auto"/>
                <w:kern w:val="0"/>
                <w:sz w:val="20"/>
                <w:szCs w:val="20"/>
                <w:highlight w:val="none"/>
                <w:lang w:val="en-US" w:eastAsia="zh-CN"/>
              </w:rPr>
              <w:t>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DC4CE">
            <w:pPr>
              <w:keepNext w:val="0"/>
              <w:keepLines w:val="0"/>
              <w:widowControl/>
              <w:suppressLineNumbers w:val="0"/>
              <w:spacing w:before="0" w:beforeAutospacing="0" w:after="0" w:afterAutospacing="0"/>
              <w:ind w:left="0" w:right="0"/>
              <w:jc w:val="right"/>
              <w:textAlignment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B5A1F">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固定金额</w:t>
            </w:r>
          </w:p>
        </w:tc>
      </w:tr>
      <w:tr w14:paraId="62C0D986">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F9910">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889EC">
            <w:pPr>
              <w:keepNext w:val="0"/>
              <w:keepLines w:val="0"/>
              <w:widowControl/>
              <w:suppressLineNumbers w:val="0"/>
              <w:spacing w:before="143" w:beforeLines="50" w:beforeAutospacing="0" w:after="143" w:afterLines="50" w:afterAutospacing="0" w:line="240" w:lineRule="auto"/>
              <w:ind w:left="0" w:right="0"/>
              <w:jc w:val="both"/>
              <w:textAlignment w:val="center"/>
              <w:rPr>
                <w:rFonts w:hint="default" w:ascii="宋体" w:hAnsi="Calibri" w:cs="宋体"/>
                <w:color w:val="auto"/>
                <w:sz w:val="20"/>
                <w:szCs w:val="20"/>
                <w:highlight w:val="none"/>
              </w:rPr>
            </w:pPr>
            <w:r>
              <w:rPr>
                <w:rFonts w:hint="default" w:ascii="宋体" w:hAnsi="宋体" w:cs="宋体"/>
                <w:color w:val="auto"/>
                <w:kern w:val="0"/>
                <w:sz w:val="20"/>
                <w:szCs w:val="20"/>
                <w:highlight w:val="none"/>
              </w:rPr>
              <w:t>2</w:t>
            </w:r>
            <w:r>
              <w:rPr>
                <w:rFonts w:hint="eastAsia" w:ascii="宋体" w:hAnsi="宋体" w:cs="宋体"/>
                <w:color w:val="auto"/>
                <w:kern w:val="0"/>
                <w:sz w:val="20"/>
                <w:szCs w:val="20"/>
                <w:highlight w:val="none"/>
              </w:rPr>
              <w:t>.暂列金额</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91B58">
            <w:pPr>
              <w:keepNext w:val="0"/>
              <w:keepLines w:val="0"/>
              <w:widowControl/>
              <w:suppressLineNumbers w:val="0"/>
              <w:spacing w:before="0" w:beforeAutospacing="0" w:after="0" w:afterAutospacing="0"/>
              <w:ind w:left="0" w:right="0"/>
              <w:jc w:val="right"/>
              <w:textAlignment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2222D">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固定金额</w:t>
            </w:r>
          </w:p>
        </w:tc>
      </w:tr>
      <w:tr w14:paraId="534783F2">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25491">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DCE6C">
            <w:pPr>
              <w:keepNext w:val="0"/>
              <w:keepLines w:val="0"/>
              <w:widowControl/>
              <w:suppressLineNumbers w:val="0"/>
              <w:spacing w:before="143" w:beforeLines="50" w:beforeAutospacing="0" w:after="143" w:afterLines="50" w:afterAutospacing="0" w:line="240" w:lineRule="auto"/>
              <w:ind w:left="0" w:right="0" w:firstLine="0" w:firstLineChars="0"/>
              <w:jc w:val="both"/>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3.工程保险费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53AC6">
            <w:pPr>
              <w:keepNext w:val="0"/>
              <w:keepLines w:val="0"/>
              <w:widowControl/>
              <w:suppressLineNumbers w:val="0"/>
              <w:spacing w:before="0" w:beforeAutospacing="0" w:after="0" w:afterAutospacing="0"/>
              <w:ind w:left="0" w:right="0"/>
              <w:jc w:val="right"/>
              <w:textAlignment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315AC">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固定金额</w:t>
            </w:r>
          </w:p>
        </w:tc>
      </w:tr>
      <w:tr w14:paraId="5F4E2316">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40C18">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6F487">
            <w:pPr>
              <w:keepNext w:val="0"/>
              <w:keepLines w:val="0"/>
              <w:widowControl/>
              <w:suppressLineNumbers w:val="0"/>
              <w:spacing w:before="143" w:beforeLines="50" w:beforeAutospacing="0" w:after="143" w:afterLines="50" w:afterAutospacing="0" w:line="240" w:lineRule="auto"/>
              <w:ind w:left="0" w:right="0"/>
              <w:jc w:val="both"/>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4.分部分项人工费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74531">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63BD7">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p>
        </w:tc>
      </w:tr>
      <w:tr w14:paraId="5ED1072E">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A8441">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CF15F">
            <w:pPr>
              <w:keepNext w:val="0"/>
              <w:keepLines w:val="0"/>
              <w:widowControl/>
              <w:suppressLineNumbers w:val="0"/>
              <w:spacing w:before="143" w:beforeLines="50" w:beforeAutospacing="0" w:after="143" w:afterLines="50" w:afterAutospacing="0" w:line="240" w:lineRule="auto"/>
              <w:ind w:left="0" w:right="0"/>
              <w:jc w:val="both"/>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5.总人工费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0DB2F">
            <w:pPr>
              <w:keepNext w:val="0"/>
              <w:keepLines w:val="0"/>
              <w:suppressLineNumbers w:val="0"/>
              <w:spacing w:before="143" w:beforeLines="50" w:beforeAutospacing="0" w:after="143" w:afterLines="50" w:afterAutospacing="0" w:line="240" w:lineRule="auto"/>
              <w:ind w:left="0" w:right="0"/>
              <w:jc w:val="center"/>
              <w:rPr>
                <w:rFonts w:hint="default" w:ascii="宋体" w:hAnsi="Calibri" w:cs="宋体"/>
                <w:color w:val="auto"/>
                <w:sz w:val="20"/>
                <w:szCs w:val="20"/>
                <w:highlight w:val="none"/>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99EF3">
            <w:pPr>
              <w:keepNext w:val="0"/>
              <w:keepLines w:val="0"/>
              <w:widowControl/>
              <w:suppressLineNumbers w:val="0"/>
              <w:spacing w:before="143" w:beforeLines="50" w:beforeAutospacing="0" w:after="143" w:afterLines="50" w:afterAutospacing="0" w:line="240" w:lineRule="auto"/>
              <w:ind w:left="0" w:right="0"/>
              <w:jc w:val="center"/>
              <w:textAlignment w:val="center"/>
              <w:rPr>
                <w:rFonts w:hint="default" w:ascii="宋体" w:hAnsi="Calibri" w:cs="宋体"/>
                <w:color w:val="auto"/>
                <w:sz w:val="20"/>
                <w:szCs w:val="20"/>
                <w:highlight w:val="none"/>
              </w:rPr>
            </w:pPr>
            <w:r>
              <w:rPr>
                <w:rFonts w:hint="eastAsia" w:ascii="宋体" w:hAnsi="宋体" w:cs="宋体"/>
                <w:color w:val="auto"/>
                <w:kern w:val="0"/>
                <w:sz w:val="20"/>
                <w:szCs w:val="20"/>
                <w:highlight w:val="none"/>
              </w:rPr>
              <w:t>含分部分项、措施项目</w:t>
            </w:r>
          </w:p>
        </w:tc>
      </w:tr>
    </w:tbl>
    <w:p w14:paraId="29D09428">
      <w:pPr>
        <w:pStyle w:val="24"/>
        <w:spacing w:before="143" w:beforeLines="50" w:beforeAutospacing="0" w:after="143" w:afterLines="50" w:line="360" w:lineRule="auto"/>
        <w:ind w:firstLine="496"/>
        <w:rPr>
          <w:color w:val="auto"/>
          <w:highlight w:val="none"/>
        </w:rPr>
      </w:pPr>
    </w:p>
    <w:p w14:paraId="64A5C9F3">
      <w:pPr>
        <w:widowControl/>
        <w:spacing w:before="143" w:beforeLines="50" w:after="143" w:afterLines="50" w:line="360" w:lineRule="auto"/>
        <w:jc w:val="left"/>
        <w:rPr>
          <w:snapToGrid w:val="0"/>
          <w:color w:val="auto"/>
          <w:spacing w:val="4"/>
          <w:kern w:val="0"/>
          <w:sz w:val="24"/>
          <w:szCs w:val="24"/>
          <w:highlight w:val="none"/>
        </w:rPr>
      </w:pPr>
      <w:r>
        <w:rPr>
          <w:color w:val="auto"/>
          <w:highlight w:val="none"/>
        </w:rPr>
        <w:br w:type="page"/>
      </w:r>
    </w:p>
    <w:p w14:paraId="29421E8C">
      <w:pPr>
        <w:pStyle w:val="24"/>
        <w:spacing w:before="143" w:beforeLines="50" w:beforeAutospacing="0" w:after="143" w:afterLines="50" w:line="360" w:lineRule="auto"/>
        <w:ind w:firstLine="4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spacing w:val="0"/>
          <w:kern w:val="2"/>
          <w:sz w:val="24"/>
          <w:szCs w:val="24"/>
          <w:highlight w:val="none"/>
          <w:lang w:val="en-US" w:eastAsia="zh-CN" w:bidi="ar-SA"/>
        </w:rPr>
        <w:t>3.安装工程含配电箱的，需按下表格式，在投标文件“其他投标人认为应该提供的资料”处，提交配电箱价格分析表。</w:t>
      </w:r>
    </w:p>
    <w:p w14:paraId="1DB93FCD">
      <w:pPr>
        <w:pStyle w:val="24"/>
        <w:spacing w:before="143" w:beforeLines="50" w:beforeAutospacing="0" w:after="143" w:afterLines="50" w:line="360" w:lineRule="auto"/>
        <w:ind w:firstLine="296" w:firstLineChars="80"/>
        <w:jc w:val="center"/>
        <w:outlineLvl w:val="5"/>
        <w:rPr>
          <w:rFonts w:ascii="黑体" w:hAnsi="黑体" w:eastAsia="黑体"/>
          <w:b/>
          <w:color w:val="auto"/>
          <w:sz w:val="36"/>
          <w:szCs w:val="36"/>
          <w:highlight w:val="none"/>
        </w:rPr>
      </w:pPr>
      <w:bookmarkStart w:id="226" w:name="_Toc6701"/>
      <w:bookmarkStart w:id="227" w:name="_Toc21800"/>
      <w:bookmarkStart w:id="228" w:name="_Toc18864"/>
      <w:bookmarkStart w:id="229" w:name="_Toc14435"/>
      <w:bookmarkStart w:id="230" w:name="_Toc956"/>
      <w:bookmarkStart w:id="231" w:name="_Toc31146"/>
      <w:bookmarkStart w:id="232" w:name="_Toc7683"/>
      <w:bookmarkStart w:id="233" w:name="_Toc22483"/>
      <w:r>
        <w:rPr>
          <w:rFonts w:hint="eastAsia" w:ascii="黑体" w:hAnsi="黑体" w:eastAsia="黑体"/>
          <w:b/>
          <w:color w:val="auto"/>
          <w:sz w:val="36"/>
          <w:szCs w:val="36"/>
          <w:highlight w:val="none"/>
        </w:rPr>
        <w:t>配电箱价格分析表</w:t>
      </w:r>
      <w:bookmarkEnd w:id="226"/>
      <w:bookmarkEnd w:id="227"/>
      <w:bookmarkEnd w:id="228"/>
      <w:bookmarkEnd w:id="229"/>
      <w:bookmarkEnd w:id="230"/>
      <w:bookmarkEnd w:id="231"/>
      <w:bookmarkEnd w:id="232"/>
      <w:bookmarkEnd w:id="233"/>
    </w:p>
    <w:p w14:paraId="329A975B">
      <w:pPr>
        <w:pStyle w:val="24"/>
        <w:spacing w:before="143" w:beforeLines="50" w:beforeAutospacing="0" w:after="143" w:afterLines="50" w:line="360" w:lineRule="auto"/>
        <w:ind w:firstLine="167" w:firstLineChars="80"/>
        <w:rPr>
          <w:rFonts w:hint="eastAsia" w:eastAsia="宋体"/>
          <w:b/>
          <w:color w:val="auto"/>
          <w:sz w:val="20"/>
          <w:highlight w:val="none"/>
          <w:lang w:val="en-US" w:eastAsia="zh-CN"/>
        </w:rPr>
      </w:pPr>
      <w:r>
        <w:rPr>
          <w:rFonts w:hint="eastAsia"/>
          <w:b/>
          <w:color w:val="auto"/>
          <w:sz w:val="20"/>
          <w:highlight w:val="none"/>
        </w:rPr>
        <w:t>工程名称：</w:t>
      </w:r>
    </w:p>
    <w:tbl>
      <w:tblPr>
        <w:tblStyle w:val="12"/>
        <w:tblW w:w="8500" w:type="dxa"/>
        <w:jc w:val="center"/>
        <w:tblLayout w:type="fixed"/>
        <w:tblCellMar>
          <w:top w:w="0" w:type="dxa"/>
          <w:left w:w="108" w:type="dxa"/>
          <w:bottom w:w="0" w:type="dxa"/>
          <w:right w:w="108" w:type="dxa"/>
        </w:tblCellMar>
      </w:tblPr>
      <w:tblGrid>
        <w:gridCol w:w="554"/>
        <w:gridCol w:w="1326"/>
        <w:gridCol w:w="1479"/>
        <w:gridCol w:w="717"/>
        <w:gridCol w:w="885"/>
        <w:gridCol w:w="1005"/>
        <w:gridCol w:w="1342"/>
        <w:gridCol w:w="1192"/>
      </w:tblGrid>
      <w:tr w14:paraId="2991B5FD">
        <w:tblPrEx>
          <w:tblCellMar>
            <w:top w:w="0" w:type="dxa"/>
            <w:left w:w="108" w:type="dxa"/>
            <w:bottom w:w="0" w:type="dxa"/>
            <w:right w:w="108" w:type="dxa"/>
          </w:tblCellMar>
        </w:tblPrEx>
        <w:trPr>
          <w:trHeight w:val="567" w:hRule="exact"/>
          <w:jc w:val="center"/>
        </w:trPr>
        <w:tc>
          <w:tcPr>
            <w:tcW w:w="1880" w:type="dxa"/>
            <w:gridSpan w:val="2"/>
            <w:tcBorders>
              <w:top w:val="single" w:color="auto" w:sz="4" w:space="0"/>
              <w:left w:val="single" w:color="auto" w:sz="4" w:space="0"/>
              <w:bottom w:val="single" w:color="auto" w:sz="4" w:space="0"/>
              <w:right w:val="single" w:color="000000" w:sz="4" w:space="0"/>
            </w:tcBorders>
            <w:vAlign w:val="center"/>
          </w:tcPr>
          <w:p w14:paraId="4D8EAE21">
            <w:pPr>
              <w:keepNext w:val="0"/>
              <w:keepLines w:val="0"/>
              <w:widowControl/>
              <w:suppressLineNumbers w:val="0"/>
              <w:spacing w:before="143" w:beforeLines="50" w:beforeAutospacing="0" w:after="143" w:afterLines="50" w:afterAutospacing="0"/>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配电箱编号</w:t>
            </w:r>
          </w:p>
        </w:tc>
        <w:tc>
          <w:tcPr>
            <w:tcW w:w="1479" w:type="dxa"/>
            <w:tcBorders>
              <w:top w:val="single" w:color="auto" w:sz="4" w:space="0"/>
              <w:left w:val="nil"/>
              <w:bottom w:val="single" w:color="auto" w:sz="4" w:space="0"/>
              <w:right w:val="single" w:color="auto" w:sz="4" w:space="0"/>
            </w:tcBorders>
            <w:vAlign w:val="center"/>
          </w:tcPr>
          <w:p w14:paraId="6266AA79">
            <w:pPr>
              <w:keepNext w:val="0"/>
              <w:keepLines w:val="0"/>
              <w:widowControl/>
              <w:suppressLineNumbers w:val="0"/>
              <w:spacing w:before="143" w:beforeLines="50" w:beforeAutospacing="0" w:after="143" w:afterLines="50" w:afterAutospacing="0"/>
              <w:ind w:left="0" w:right="0"/>
              <w:jc w:val="center"/>
              <w:rPr>
                <w:rFonts w:hint="default" w:ascii="宋体" w:hAnsi="Calibri" w:cs="宋体"/>
                <w:strike w:val="0"/>
                <w:dstrike w:val="0"/>
                <w:color w:val="auto"/>
                <w:kern w:val="0"/>
                <w:sz w:val="20"/>
                <w:szCs w:val="20"/>
                <w:highlight w:val="none"/>
              </w:rPr>
            </w:pPr>
          </w:p>
        </w:tc>
        <w:tc>
          <w:tcPr>
            <w:tcW w:w="1602" w:type="dxa"/>
            <w:gridSpan w:val="2"/>
            <w:tcBorders>
              <w:top w:val="single" w:color="auto" w:sz="4" w:space="0"/>
              <w:left w:val="single" w:color="auto" w:sz="4" w:space="0"/>
              <w:bottom w:val="single" w:color="auto" w:sz="4" w:space="0"/>
              <w:right w:val="single" w:color="000000" w:sz="4" w:space="0"/>
            </w:tcBorders>
            <w:vAlign w:val="center"/>
          </w:tcPr>
          <w:p w14:paraId="685C4F3A">
            <w:pPr>
              <w:keepNext w:val="0"/>
              <w:keepLines w:val="0"/>
              <w:widowControl/>
              <w:suppressLineNumbers w:val="0"/>
              <w:spacing w:before="143" w:beforeLines="50" w:beforeAutospacing="0" w:after="143" w:afterLines="50" w:afterAutospacing="0"/>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设计图号</w:t>
            </w:r>
          </w:p>
        </w:tc>
        <w:tc>
          <w:tcPr>
            <w:tcW w:w="3539" w:type="dxa"/>
            <w:gridSpan w:val="3"/>
            <w:tcBorders>
              <w:top w:val="single" w:color="auto" w:sz="4" w:space="0"/>
              <w:left w:val="nil"/>
              <w:bottom w:val="single" w:color="auto" w:sz="4" w:space="0"/>
              <w:right w:val="single" w:color="auto" w:sz="4" w:space="0"/>
            </w:tcBorders>
            <w:vAlign w:val="center"/>
          </w:tcPr>
          <w:p w14:paraId="09789E9A">
            <w:pPr>
              <w:keepNext w:val="0"/>
              <w:keepLines w:val="0"/>
              <w:widowControl/>
              <w:suppressLineNumbers w:val="0"/>
              <w:spacing w:before="143" w:beforeLines="50" w:beforeAutospacing="0" w:after="143" w:afterLines="50" w:afterAutospacing="0"/>
              <w:ind w:left="0" w:right="0"/>
              <w:jc w:val="center"/>
              <w:rPr>
                <w:rFonts w:hint="default" w:ascii="Arial Narrow" w:hAnsi="Arial Narrow" w:cs="宋体"/>
                <w:strike w:val="0"/>
                <w:dstrike w:val="0"/>
                <w:color w:val="auto"/>
                <w:kern w:val="0"/>
                <w:sz w:val="20"/>
                <w:szCs w:val="20"/>
                <w:highlight w:val="none"/>
              </w:rPr>
            </w:pPr>
          </w:p>
        </w:tc>
      </w:tr>
      <w:tr w14:paraId="394B7DF5">
        <w:tblPrEx>
          <w:tblCellMar>
            <w:top w:w="0" w:type="dxa"/>
            <w:left w:w="108" w:type="dxa"/>
            <w:bottom w:w="0" w:type="dxa"/>
            <w:right w:w="108" w:type="dxa"/>
          </w:tblCellMar>
        </w:tblPrEx>
        <w:trPr>
          <w:trHeight w:val="1107" w:hRule="exact"/>
          <w:jc w:val="center"/>
        </w:trPr>
        <w:tc>
          <w:tcPr>
            <w:tcW w:w="554" w:type="dxa"/>
            <w:tcBorders>
              <w:top w:val="nil"/>
              <w:left w:val="single" w:color="auto" w:sz="4" w:space="0"/>
              <w:bottom w:val="single" w:color="auto" w:sz="4" w:space="0"/>
              <w:right w:val="single" w:color="auto" w:sz="4" w:space="0"/>
            </w:tcBorders>
            <w:vAlign w:val="center"/>
          </w:tcPr>
          <w:p w14:paraId="480B491E">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序号</w:t>
            </w:r>
          </w:p>
        </w:tc>
        <w:tc>
          <w:tcPr>
            <w:tcW w:w="1326" w:type="dxa"/>
            <w:tcBorders>
              <w:top w:val="nil"/>
              <w:left w:val="nil"/>
              <w:bottom w:val="single" w:color="auto" w:sz="4" w:space="0"/>
              <w:right w:val="single" w:color="auto" w:sz="4" w:space="0"/>
            </w:tcBorders>
            <w:vAlign w:val="center"/>
          </w:tcPr>
          <w:p w14:paraId="74833D35">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部件名称</w:t>
            </w:r>
          </w:p>
        </w:tc>
        <w:tc>
          <w:tcPr>
            <w:tcW w:w="1479" w:type="dxa"/>
            <w:tcBorders>
              <w:top w:val="nil"/>
              <w:left w:val="nil"/>
              <w:bottom w:val="single" w:color="auto" w:sz="4" w:space="0"/>
              <w:right w:val="single" w:color="auto" w:sz="4" w:space="0"/>
            </w:tcBorders>
            <w:vAlign w:val="center"/>
          </w:tcPr>
          <w:p w14:paraId="19E4CCA3">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型号规格</w:t>
            </w:r>
          </w:p>
        </w:tc>
        <w:tc>
          <w:tcPr>
            <w:tcW w:w="717" w:type="dxa"/>
            <w:tcBorders>
              <w:top w:val="nil"/>
              <w:left w:val="nil"/>
              <w:bottom w:val="single" w:color="auto" w:sz="4" w:space="0"/>
              <w:right w:val="single" w:color="auto" w:sz="4" w:space="0"/>
            </w:tcBorders>
            <w:vAlign w:val="center"/>
          </w:tcPr>
          <w:p w14:paraId="2C956FF8">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单位</w:t>
            </w:r>
          </w:p>
        </w:tc>
        <w:tc>
          <w:tcPr>
            <w:tcW w:w="885" w:type="dxa"/>
            <w:tcBorders>
              <w:top w:val="nil"/>
              <w:left w:val="nil"/>
              <w:bottom w:val="nil"/>
              <w:right w:val="single" w:color="auto" w:sz="4" w:space="0"/>
            </w:tcBorders>
            <w:vAlign w:val="center"/>
          </w:tcPr>
          <w:p w14:paraId="32052C11">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数量</w:t>
            </w:r>
          </w:p>
        </w:tc>
        <w:tc>
          <w:tcPr>
            <w:tcW w:w="1005" w:type="dxa"/>
            <w:tcBorders>
              <w:top w:val="nil"/>
              <w:left w:val="nil"/>
              <w:bottom w:val="single" w:color="auto" w:sz="4" w:space="0"/>
              <w:right w:val="single" w:color="auto" w:sz="4" w:space="0"/>
            </w:tcBorders>
            <w:vAlign w:val="center"/>
          </w:tcPr>
          <w:p w14:paraId="1B0C87FA">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单价</w:t>
            </w:r>
          </w:p>
        </w:tc>
        <w:tc>
          <w:tcPr>
            <w:tcW w:w="1342" w:type="dxa"/>
            <w:tcBorders>
              <w:top w:val="nil"/>
              <w:left w:val="nil"/>
              <w:bottom w:val="single" w:color="auto" w:sz="4" w:space="0"/>
              <w:right w:val="single" w:color="auto" w:sz="4" w:space="0"/>
            </w:tcBorders>
            <w:vAlign w:val="center"/>
          </w:tcPr>
          <w:p w14:paraId="2BA0929F">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合价</w:t>
            </w:r>
          </w:p>
        </w:tc>
        <w:tc>
          <w:tcPr>
            <w:tcW w:w="1192" w:type="dxa"/>
            <w:tcBorders>
              <w:top w:val="nil"/>
              <w:left w:val="nil"/>
              <w:bottom w:val="single" w:color="auto" w:sz="4" w:space="0"/>
              <w:right w:val="single" w:color="auto" w:sz="4" w:space="0"/>
            </w:tcBorders>
            <w:vAlign w:val="center"/>
          </w:tcPr>
          <w:p w14:paraId="28624874">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备注</w:t>
            </w:r>
          </w:p>
        </w:tc>
      </w:tr>
      <w:tr w14:paraId="4954DE1A">
        <w:tblPrEx>
          <w:tblCellMar>
            <w:top w:w="0" w:type="dxa"/>
            <w:left w:w="108" w:type="dxa"/>
            <w:bottom w:w="0" w:type="dxa"/>
            <w:right w:w="108" w:type="dxa"/>
          </w:tblCellMar>
        </w:tblPrEx>
        <w:trPr>
          <w:trHeight w:val="567" w:hRule="exact"/>
          <w:jc w:val="center"/>
        </w:trPr>
        <w:tc>
          <w:tcPr>
            <w:tcW w:w="554" w:type="dxa"/>
            <w:tcBorders>
              <w:top w:val="nil"/>
              <w:left w:val="single" w:color="auto" w:sz="4" w:space="0"/>
              <w:bottom w:val="single" w:color="auto" w:sz="4" w:space="0"/>
              <w:right w:val="single" w:color="auto" w:sz="4" w:space="0"/>
            </w:tcBorders>
            <w:vAlign w:val="center"/>
          </w:tcPr>
          <w:p w14:paraId="71193371">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default" w:ascii="Arial Narrow" w:hAnsi="Arial Narrow" w:cs="宋体"/>
                <w:strike w:val="0"/>
                <w:dstrike w:val="0"/>
                <w:color w:val="auto"/>
                <w:kern w:val="0"/>
                <w:sz w:val="20"/>
                <w:szCs w:val="20"/>
                <w:highlight w:val="none"/>
              </w:rPr>
              <w:t>1</w:t>
            </w:r>
          </w:p>
        </w:tc>
        <w:tc>
          <w:tcPr>
            <w:tcW w:w="1326" w:type="dxa"/>
            <w:tcBorders>
              <w:top w:val="nil"/>
              <w:left w:val="nil"/>
              <w:bottom w:val="single" w:color="auto" w:sz="4" w:space="0"/>
              <w:right w:val="single" w:color="auto" w:sz="4" w:space="0"/>
            </w:tcBorders>
            <w:vAlign w:val="center"/>
          </w:tcPr>
          <w:p w14:paraId="11F687AC">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箱体</w:t>
            </w:r>
          </w:p>
        </w:tc>
        <w:tc>
          <w:tcPr>
            <w:tcW w:w="1479" w:type="dxa"/>
            <w:tcBorders>
              <w:top w:val="nil"/>
              <w:left w:val="nil"/>
              <w:bottom w:val="single" w:color="auto" w:sz="4" w:space="0"/>
              <w:right w:val="single" w:color="auto" w:sz="4" w:space="0"/>
            </w:tcBorders>
            <w:vAlign w:val="center"/>
          </w:tcPr>
          <w:p w14:paraId="460C0727">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（长</w:t>
            </w:r>
            <w:r>
              <w:rPr>
                <w:rFonts w:hint="default" w:ascii="Arial Narrow" w:hAnsi="Arial Narrow" w:cs="宋体"/>
                <w:strike w:val="0"/>
                <w:dstrike w:val="0"/>
                <w:color w:val="auto"/>
                <w:kern w:val="0"/>
                <w:sz w:val="20"/>
                <w:szCs w:val="20"/>
                <w:highlight w:val="none"/>
              </w:rPr>
              <w:t>×</w:t>
            </w:r>
            <w:r>
              <w:rPr>
                <w:rFonts w:hint="eastAsia" w:ascii="宋体" w:hAnsi="宋体" w:cs="宋体"/>
                <w:strike w:val="0"/>
                <w:dstrike w:val="0"/>
                <w:color w:val="auto"/>
                <w:kern w:val="0"/>
                <w:sz w:val="20"/>
                <w:szCs w:val="20"/>
                <w:highlight w:val="none"/>
              </w:rPr>
              <w:t>宽</w:t>
            </w:r>
            <w:r>
              <w:rPr>
                <w:rFonts w:hint="default" w:ascii="Arial Narrow" w:hAnsi="Arial Narrow" w:cs="宋体"/>
                <w:strike w:val="0"/>
                <w:dstrike w:val="0"/>
                <w:color w:val="auto"/>
                <w:kern w:val="0"/>
                <w:sz w:val="20"/>
                <w:szCs w:val="20"/>
                <w:highlight w:val="none"/>
              </w:rPr>
              <w:t>×</w:t>
            </w:r>
            <w:r>
              <w:rPr>
                <w:rFonts w:hint="eastAsia" w:ascii="宋体" w:hAnsi="宋体" w:cs="宋体"/>
                <w:strike w:val="0"/>
                <w:dstrike w:val="0"/>
                <w:color w:val="auto"/>
                <w:kern w:val="0"/>
                <w:sz w:val="20"/>
                <w:szCs w:val="20"/>
                <w:highlight w:val="none"/>
              </w:rPr>
              <w:t>高）</w:t>
            </w:r>
          </w:p>
        </w:tc>
        <w:tc>
          <w:tcPr>
            <w:tcW w:w="717" w:type="dxa"/>
            <w:tcBorders>
              <w:top w:val="nil"/>
              <w:left w:val="nil"/>
              <w:bottom w:val="single" w:color="auto" w:sz="4" w:space="0"/>
              <w:right w:val="single" w:color="auto" w:sz="4" w:space="0"/>
            </w:tcBorders>
            <w:vAlign w:val="center"/>
          </w:tcPr>
          <w:p w14:paraId="00FDEFDE">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个</w:t>
            </w:r>
          </w:p>
        </w:tc>
        <w:tc>
          <w:tcPr>
            <w:tcW w:w="885" w:type="dxa"/>
            <w:tcBorders>
              <w:top w:val="single" w:color="auto" w:sz="4" w:space="0"/>
              <w:left w:val="nil"/>
              <w:bottom w:val="single" w:color="auto" w:sz="4" w:space="0"/>
              <w:right w:val="single" w:color="auto" w:sz="4" w:space="0"/>
            </w:tcBorders>
            <w:vAlign w:val="center"/>
          </w:tcPr>
          <w:p w14:paraId="6D85C725">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1005" w:type="dxa"/>
            <w:tcBorders>
              <w:top w:val="nil"/>
              <w:left w:val="nil"/>
              <w:bottom w:val="single" w:color="auto" w:sz="4" w:space="0"/>
              <w:right w:val="single" w:color="auto" w:sz="4" w:space="0"/>
            </w:tcBorders>
            <w:vAlign w:val="center"/>
          </w:tcPr>
          <w:p w14:paraId="5E484EA9">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342" w:type="dxa"/>
            <w:tcBorders>
              <w:top w:val="nil"/>
              <w:left w:val="nil"/>
              <w:bottom w:val="single" w:color="auto" w:sz="4" w:space="0"/>
              <w:right w:val="single" w:color="auto" w:sz="4" w:space="0"/>
            </w:tcBorders>
            <w:vAlign w:val="center"/>
          </w:tcPr>
          <w:p w14:paraId="1B5D3440">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192" w:type="dxa"/>
            <w:tcBorders>
              <w:top w:val="nil"/>
              <w:left w:val="nil"/>
              <w:bottom w:val="single" w:color="auto" w:sz="4" w:space="0"/>
              <w:right w:val="single" w:color="auto" w:sz="4" w:space="0"/>
            </w:tcBorders>
            <w:vAlign w:val="center"/>
          </w:tcPr>
          <w:p w14:paraId="05133589">
            <w:pPr>
              <w:keepNext w:val="0"/>
              <w:keepLines w:val="0"/>
              <w:widowControl/>
              <w:suppressLineNumbers w:val="0"/>
              <w:spacing w:before="143" w:beforeLines="50" w:beforeAutospacing="0" w:after="143" w:afterLines="50" w:afterAutospacing="0" w:line="360" w:lineRule="auto"/>
              <w:ind w:left="0" w:right="0"/>
              <w:jc w:val="both"/>
              <w:rPr>
                <w:rFonts w:hint="default" w:ascii="Arial Narrow" w:hAnsi="Arial Narrow" w:cs="宋体"/>
                <w:strike w:val="0"/>
                <w:dstrike w:val="0"/>
                <w:color w:val="auto"/>
                <w:kern w:val="0"/>
                <w:sz w:val="20"/>
                <w:szCs w:val="20"/>
                <w:highlight w:val="none"/>
              </w:rPr>
            </w:pPr>
            <w:r>
              <w:rPr>
                <w:rFonts w:hint="eastAsia" w:ascii="Times New Roman" w:hAnsi="Times New Roman" w:eastAsia="宋体" w:cs="Times New Roman"/>
                <w:strike w:val="0"/>
                <w:dstrike w:val="0"/>
                <w:snapToGrid w:val="0"/>
                <w:color w:val="auto"/>
                <w:spacing w:val="4"/>
                <w:kern w:val="0"/>
                <w:sz w:val="20"/>
                <w:szCs w:val="20"/>
                <w:highlight w:val="none"/>
                <w:lang w:val="en-US" w:eastAsia="zh-CN" w:bidi="ar-SA"/>
              </w:rPr>
              <w:t>需填规格</w:t>
            </w:r>
          </w:p>
        </w:tc>
      </w:tr>
      <w:tr w14:paraId="776E5C95">
        <w:tblPrEx>
          <w:tblCellMar>
            <w:top w:w="0" w:type="dxa"/>
            <w:left w:w="108" w:type="dxa"/>
            <w:bottom w:w="0" w:type="dxa"/>
            <w:right w:w="108" w:type="dxa"/>
          </w:tblCellMar>
        </w:tblPrEx>
        <w:trPr>
          <w:trHeight w:val="567" w:hRule="exact"/>
          <w:jc w:val="center"/>
        </w:trPr>
        <w:tc>
          <w:tcPr>
            <w:tcW w:w="554" w:type="dxa"/>
            <w:tcBorders>
              <w:top w:val="nil"/>
              <w:left w:val="single" w:color="auto" w:sz="4" w:space="0"/>
              <w:bottom w:val="single" w:color="auto" w:sz="4" w:space="0"/>
              <w:right w:val="single" w:color="auto" w:sz="4" w:space="0"/>
            </w:tcBorders>
            <w:vAlign w:val="center"/>
          </w:tcPr>
          <w:p w14:paraId="74BF5B38">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default" w:ascii="Arial Narrow" w:hAnsi="Arial Narrow" w:cs="宋体"/>
                <w:strike w:val="0"/>
                <w:dstrike w:val="0"/>
                <w:color w:val="auto"/>
                <w:kern w:val="0"/>
                <w:sz w:val="20"/>
                <w:szCs w:val="20"/>
                <w:highlight w:val="none"/>
              </w:rPr>
              <w:t>2</w:t>
            </w:r>
          </w:p>
        </w:tc>
        <w:tc>
          <w:tcPr>
            <w:tcW w:w="1326" w:type="dxa"/>
            <w:tcBorders>
              <w:top w:val="nil"/>
              <w:left w:val="nil"/>
              <w:bottom w:val="single" w:color="auto" w:sz="4" w:space="0"/>
              <w:right w:val="single" w:color="auto" w:sz="4" w:space="0"/>
            </w:tcBorders>
            <w:vAlign w:val="center"/>
          </w:tcPr>
          <w:p w14:paraId="2CED7BD3">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主元器件</w:t>
            </w:r>
          </w:p>
        </w:tc>
        <w:tc>
          <w:tcPr>
            <w:tcW w:w="1479" w:type="dxa"/>
            <w:tcBorders>
              <w:top w:val="nil"/>
              <w:left w:val="nil"/>
              <w:bottom w:val="single" w:color="auto" w:sz="4" w:space="0"/>
              <w:right w:val="single" w:color="auto" w:sz="4" w:space="0"/>
            </w:tcBorders>
            <w:vAlign w:val="center"/>
          </w:tcPr>
          <w:p w14:paraId="6F88065B">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（按分类）</w:t>
            </w:r>
          </w:p>
        </w:tc>
        <w:tc>
          <w:tcPr>
            <w:tcW w:w="717" w:type="dxa"/>
            <w:tcBorders>
              <w:top w:val="nil"/>
              <w:left w:val="nil"/>
              <w:bottom w:val="single" w:color="auto" w:sz="4" w:space="0"/>
              <w:right w:val="single" w:color="auto" w:sz="4" w:space="0"/>
            </w:tcBorders>
            <w:vAlign w:val="center"/>
          </w:tcPr>
          <w:p w14:paraId="4F7FB81F">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885" w:type="dxa"/>
            <w:tcBorders>
              <w:top w:val="nil"/>
              <w:left w:val="nil"/>
              <w:bottom w:val="single" w:color="auto" w:sz="4" w:space="0"/>
              <w:right w:val="single" w:color="auto" w:sz="4" w:space="0"/>
            </w:tcBorders>
            <w:vAlign w:val="center"/>
          </w:tcPr>
          <w:p w14:paraId="320E7F01">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1005" w:type="dxa"/>
            <w:tcBorders>
              <w:top w:val="nil"/>
              <w:left w:val="nil"/>
              <w:bottom w:val="single" w:color="auto" w:sz="4" w:space="0"/>
              <w:right w:val="single" w:color="auto" w:sz="4" w:space="0"/>
            </w:tcBorders>
            <w:vAlign w:val="center"/>
          </w:tcPr>
          <w:p w14:paraId="2F2A2846">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342" w:type="dxa"/>
            <w:tcBorders>
              <w:top w:val="nil"/>
              <w:left w:val="nil"/>
              <w:bottom w:val="single" w:color="auto" w:sz="4" w:space="0"/>
              <w:right w:val="single" w:color="auto" w:sz="4" w:space="0"/>
            </w:tcBorders>
            <w:vAlign w:val="center"/>
          </w:tcPr>
          <w:p w14:paraId="7BDF8053">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192" w:type="dxa"/>
            <w:tcBorders>
              <w:top w:val="nil"/>
              <w:left w:val="nil"/>
              <w:bottom w:val="single" w:color="auto" w:sz="4" w:space="0"/>
              <w:right w:val="single" w:color="auto" w:sz="4" w:space="0"/>
            </w:tcBorders>
            <w:vAlign w:val="center"/>
          </w:tcPr>
          <w:p w14:paraId="0165D596">
            <w:pPr>
              <w:keepNext w:val="0"/>
              <w:keepLines w:val="0"/>
              <w:widowControl/>
              <w:suppressLineNumbers w:val="0"/>
              <w:spacing w:before="143" w:beforeLines="50" w:beforeAutospacing="0" w:after="143" w:afterLines="50" w:afterAutospacing="0" w:line="360" w:lineRule="auto"/>
              <w:ind w:left="0" w:right="0"/>
              <w:jc w:val="left"/>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r>
      <w:tr w14:paraId="5764A82A">
        <w:tblPrEx>
          <w:tblCellMar>
            <w:top w:w="0" w:type="dxa"/>
            <w:left w:w="108" w:type="dxa"/>
            <w:bottom w:w="0" w:type="dxa"/>
            <w:right w:w="108" w:type="dxa"/>
          </w:tblCellMar>
        </w:tblPrEx>
        <w:trPr>
          <w:trHeight w:val="567" w:hRule="exact"/>
          <w:jc w:val="center"/>
        </w:trPr>
        <w:tc>
          <w:tcPr>
            <w:tcW w:w="554" w:type="dxa"/>
            <w:tcBorders>
              <w:top w:val="nil"/>
              <w:left w:val="single" w:color="auto" w:sz="4" w:space="0"/>
              <w:bottom w:val="single" w:color="auto" w:sz="4" w:space="0"/>
              <w:right w:val="single" w:color="auto" w:sz="4" w:space="0"/>
            </w:tcBorders>
            <w:vAlign w:val="center"/>
          </w:tcPr>
          <w:p w14:paraId="3686247D">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1326" w:type="dxa"/>
            <w:tcBorders>
              <w:top w:val="nil"/>
              <w:left w:val="nil"/>
              <w:bottom w:val="single" w:color="auto" w:sz="4" w:space="0"/>
              <w:right w:val="single" w:color="auto" w:sz="4" w:space="0"/>
            </w:tcBorders>
            <w:vAlign w:val="center"/>
          </w:tcPr>
          <w:p w14:paraId="285FBE5C">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断路器</w:t>
            </w:r>
            <w:r>
              <w:rPr>
                <w:rFonts w:hint="default" w:ascii="宋体" w:hAnsi="宋体" w:cs="宋体"/>
                <w:strike w:val="0"/>
                <w:dstrike w:val="0"/>
                <w:color w:val="auto"/>
                <w:kern w:val="0"/>
                <w:sz w:val="20"/>
                <w:szCs w:val="20"/>
                <w:highlight w:val="none"/>
              </w:rPr>
              <w:t>1</w:t>
            </w:r>
          </w:p>
        </w:tc>
        <w:tc>
          <w:tcPr>
            <w:tcW w:w="1479" w:type="dxa"/>
            <w:tcBorders>
              <w:top w:val="nil"/>
              <w:left w:val="nil"/>
              <w:bottom w:val="single" w:color="auto" w:sz="4" w:space="0"/>
              <w:right w:val="single" w:color="auto" w:sz="4" w:space="0"/>
            </w:tcBorders>
            <w:vAlign w:val="center"/>
          </w:tcPr>
          <w:p w14:paraId="489EDE2E">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p>
        </w:tc>
        <w:tc>
          <w:tcPr>
            <w:tcW w:w="717" w:type="dxa"/>
            <w:tcBorders>
              <w:top w:val="nil"/>
              <w:left w:val="nil"/>
              <w:bottom w:val="single" w:color="auto" w:sz="4" w:space="0"/>
              <w:right w:val="single" w:color="auto" w:sz="4" w:space="0"/>
            </w:tcBorders>
            <w:vAlign w:val="center"/>
          </w:tcPr>
          <w:p w14:paraId="0D7699BB">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个</w:t>
            </w:r>
          </w:p>
        </w:tc>
        <w:tc>
          <w:tcPr>
            <w:tcW w:w="885" w:type="dxa"/>
            <w:tcBorders>
              <w:top w:val="nil"/>
              <w:left w:val="nil"/>
              <w:bottom w:val="single" w:color="auto" w:sz="4" w:space="0"/>
              <w:right w:val="single" w:color="auto" w:sz="4" w:space="0"/>
            </w:tcBorders>
            <w:vAlign w:val="center"/>
          </w:tcPr>
          <w:p w14:paraId="732AB255">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1005" w:type="dxa"/>
            <w:tcBorders>
              <w:top w:val="nil"/>
              <w:left w:val="nil"/>
              <w:bottom w:val="single" w:color="auto" w:sz="4" w:space="0"/>
              <w:right w:val="single" w:color="auto" w:sz="4" w:space="0"/>
            </w:tcBorders>
            <w:vAlign w:val="center"/>
          </w:tcPr>
          <w:p w14:paraId="2534F7AC">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342" w:type="dxa"/>
            <w:tcBorders>
              <w:top w:val="nil"/>
              <w:left w:val="nil"/>
              <w:bottom w:val="single" w:color="auto" w:sz="4" w:space="0"/>
              <w:right w:val="single" w:color="auto" w:sz="4" w:space="0"/>
            </w:tcBorders>
            <w:vAlign w:val="center"/>
          </w:tcPr>
          <w:p w14:paraId="2FC58F19">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192" w:type="dxa"/>
            <w:tcBorders>
              <w:top w:val="nil"/>
              <w:left w:val="nil"/>
              <w:bottom w:val="single" w:color="auto" w:sz="4" w:space="0"/>
              <w:right w:val="single" w:color="auto" w:sz="4" w:space="0"/>
            </w:tcBorders>
            <w:vAlign w:val="center"/>
          </w:tcPr>
          <w:p w14:paraId="0E369A66">
            <w:pPr>
              <w:keepNext w:val="0"/>
              <w:keepLines w:val="0"/>
              <w:widowControl/>
              <w:suppressLineNumbers w:val="0"/>
              <w:spacing w:before="143" w:beforeLines="50" w:beforeAutospacing="0" w:after="143" w:afterLines="50" w:afterAutospacing="0" w:line="360" w:lineRule="auto"/>
              <w:ind w:left="0" w:right="0"/>
              <w:jc w:val="left"/>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r>
      <w:tr w14:paraId="05B6A05B">
        <w:tblPrEx>
          <w:tblCellMar>
            <w:top w:w="0" w:type="dxa"/>
            <w:left w:w="108" w:type="dxa"/>
            <w:bottom w:w="0" w:type="dxa"/>
            <w:right w:w="108" w:type="dxa"/>
          </w:tblCellMar>
        </w:tblPrEx>
        <w:trPr>
          <w:trHeight w:val="567" w:hRule="exact"/>
          <w:jc w:val="center"/>
        </w:trPr>
        <w:tc>
          <w:tcPr>
            <w:tcW w:w="554" w:type="dxa"/>
            <w:tcBorders>
              <w:top w:val="nil"/>
              <w:left w:val="single" w:color="auto" w:sz="4" w:space="0"/>
              <w:bottom w:val="single" w:color="auto" w:sz="4" w:space="0"/>
              <w:right w:val="single" w:color="auto" w:sz="4" w:space="0"/>
            </w:tcBorders>
            <w:vAlign w:val="center"/>
          </w:tcPr>
          <w:p w14:paraId="738D026F">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1326" w:type="dxa"/>
            <w:tcBorders>
              <w:top w:val="nil"/>
              <w:left w:val="nil"/>
              <w:bottom w:val="single" w:color="auto" w:sz="4" w:space="0"/>
              <w:right w:val="single" w:color="auto" w:sz="4" w:space="0"/>
            </w:tcBorders>
            <w:vAlign w:val="center"/>
          </w:tcPr>
          <w:p w14:paraId="7589C299">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断路器</w:t>
            </w:r>
            <w:r>
              <w:rPr>
                <w:rFonts w:hint="default" w:ascii="宋体" w:hAnsi="宋体" w:cs="宋体"/>
                <w:strike w:val="0"/>
                <w:dstrike w:val="0"/>
                <w:color w:val="auto"/>
                <w:kern w:val="0"/>
                <w:sz w:val="20"/>
                <w:szCs w:val="20"/>
                <w:highlight w:val="none"/>
              </w:rPr>
              <w:t>2</w:t>
            </w:r>
          </w:p>
        </w:tc>
        <w:tc>
          <w:tcPr>
            <w:tcW w:w="1479" w:type="dxa"/>
            <w:tcBorders>
              <w:top w:val="nil"/>
              <w:left w:val="nil"/>
              <w:bottom w:val="single" w:color="auto" w:sz="4" w:space="0"/>
              <w:right w:val="single" w:color="auto" w:sz="4" w:space="0"/>
            </w:tcBorders>
            <w:vAlign w:val="center"/>
          </w:tcPr>
          <w:p w14:paraId="39BA28C4">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p>
        </w:tc>
        <w:tc>
          <w:tcPr>
            <w:tcW w:w="717" w:type="dxa"/>
            <w:tcBorders>
              <w:top w:val="nil"/>
              <w:left w:val="nil"/>
              <w:bottom w:val="single" w:color="auto" w:sz="4" w:space="0"/>
              <w:right w:val="single" w:color="auto" w:sz="4" w:space="0"/>
            </w:tcBorders>
            <w:vAlign w:val="center"/>
          </w:tcPr>
          <w:p w14:paraId="247BD09D">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个</w:t>
            </w:r>
          </w:p>
        </w:tc>
        <w:tc>
          <w:tcPr>
            <w:tcW w:w="885" w:type="dxa"/>
            <w:tcBorders>
              <w:top w:val="nil"/>
              <w:left w:val="nil"/>
              <w:bottom w:val="single" w:color="auto" w:sz="4" w:space="0"/>
              <w:right w:val="single" w:color="auto" w:sz="4" w:space="0"/>
            </w:tcBorders>
            <w:vAlign w:val="center"/>
          </w:tcPr>
          <w:p w14:paraId="200ADB12">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1005" w:type="dxa"/>
            <w:tcBorders>
              <w:top w:val="nil"/>
              <w:left w:val="nil"/>
              <w:bottom w:val="single" w:color="auto" w:sz="4" w:space="0"/>
              <w:right w:val="single" w:color="auto" w:sz="4" w:space="0"/>
            </w:tcBorders>
            <w:vAlign w:val="center"/>
          </w:tcPr>
          <w:p w14:paraId="453EDAC7">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342" w:type="dxa"/>
            <w:tcBorders>
              <w:top w:val="nil"/>
              <w:left w:val="nil"/>
              <w:bottom w:val="single" w:color="auto" w:sz="4" w:space="0"/>
              <w:right w:val="single" w:color="auto" w:sz="4" w:space="0"/>
            </w:tcBorders>
            <w:vAlign w:val="center"/>
          </w:tcPr>
          <w:p w14:paraId="15869E4A">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192" w:type="dxa"/>
            <w:tcBorders>
              <w:top w:val="nil"/>
              <w:left w:val="nil"/>
              <w:bottom w:val="single" w:color="auto" w:sz="4" w:space="0"/>
              <w:right w:val="single" w:color="auto" w:sz="4" w:space="0"/>
            </w:tcBorders>
            <w:vAlign w:val="center"/>
          </w:tcPr>
          <w:p w14:paraId="70CEACD7">
            <w:pPr>
              <w:keepNext w:val="0"/>
              <w:keepLines w:val="0"/>
              <w:widowControl/>
              <w:suppressLineNumbers w:val="0"/>
              <w:spacing w:before="143" w:beforeLines="50" w:beforeAutospacing="0" w:after="143" w:afterLines="50" w:afterAutospacing="0" w:line="360" w:lineRule="auto"/>
              <w:ind w:left="0" w:right="0"/>
              <w:jc w:val="left"/>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r>
      <w:tr w14:paraId="2C125434">
        <w:tblPrEx>
          <w:tblCellMar>
            <w:top w:w="0" w:type="dxa"/>
            <w:left w:w="108" w:type="dxa"/>
            <w:bottom w:w="0" w:type="dxa"/>
            <w:right w:w="108" w:type="dxa"/>
          </w:tblCellMar>
        </w:tblPrEx>
        <w:trPr>
          <w:trHeight w:val="667" w:hRule="exact"/>
          <w:jc w:val="center"/>
        </w:trPr>
        <w:tc>
          <w:tcPr>
            <w:tcW w:w="554" w:type="dxa"/>
            <w:tcBorders>
              <w:top w:val="nil"/>
              <w:left w:val="single" w:color="auto" w:sz="4" w:space="0"/>
              <w:bottom w:val="single" w:color="auto" w:sz="4" w:space="0"/>
              <w:right w:val="single" w:color="auto" w:sz="4" w:space="0"/>
            </w:tcBorders>
            <w:vAlign w:val="center"/>
          </w:tcPr>
          <w:p w14:paraId="7DD24282">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1326" w:type="dxa"/>
            <w:tcBorders>
              <w:top w:val="nil"/>
              <w:left w:val="nil"/>
              <w:bottom w:val="single" w:color="auto" w:sz="4" w:space="0"/>
              <w:right w:val="single" w:color="auto" w:sz="4" w:space="0"/>
            </w:tcBorders>
            <w:vAlign w:val="center"/>
          </w:tcPr>
          <w:p w14:paraId="427E0ACB">
            <w:pPr>
              <w:keepNext w:val="0"/>
              <w:keepLines w:val="0"/>
              <w:widowControl/>
              <w:suppressLineNumbers w:val="0"/>
              <w:spacing w:before="143" w:beforeLines="50" w:beforeAutospacing="0" w:after="143" w:afterLines="50" w:afterAutospacing="0" w:line="360" w:lineRule="auto"/>
              <w:ind w:left="0" w:right="0"/>
              <w:jc w:val="left"/>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w:t>
            </w:r>
          </w:p>
        </w:tc>
        <w:tc>
          <w:tcPr>
            <w:tcW w:w="1479" w:type="dxa"/>
            <w:tcBorders>
              <w:top w:val="nil"/>
              <w:left w:val="nil"/>
              <w:bottom w:val="single" w:color="auto" w:sz="4" w:space="0"/>
              <w:right w:val="single" w:color="auto" w:sz="4" w:space="0"/>
            </w:tcBorders>
            <w:vAlign w:val="center"/>
          </w:tcPr>
          <w:p w14:paraId="296D06A5">
            <w:pPr>
              <w:keepNext w:val="0"/>
              <w:keepLines w:val="0"/>
              <w:widowControl/>
              <w:suppressLineNumbers w:val="0"/>
              <w:spacing w:before="143" w:beforeLines="50" w:beforeAutospacing="0" w:after="143" w:afterLines="50" w:afterAutospacing="0" w:line="360" w:lineRule="auto"/>
              <w:ind w:left="0" w:right="0"/>
              <w:jc w:val="left"/>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14:paraId="1B4136A6">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885" w:type="dxa"/>
            <w:tcBorders>
              <w:top w:val="nil"/>
              <w:left w:val="nil"/>
              <w:bottom w:val="single" w:color="auto" w:sz="4" w:space="0"/>
              <w:right w:val="single" w:color="auto" w:sz="4" w:space="0"/>
            </w:tcBorders>
            <w:vAlign w:val="center"/>
          </w:tcPr>
          <w:p w14:paraId="291BFF2A">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　</w:t>
            </w:r>
          </w:p>
        </w:tc>
        <w:tc>
          <w:tcPr>
            <w:tcW w:w="1005" w:type="dxa"/>
            <w:tcBorders>
              <w:top w:val="nil"/>
              <w:left w:val="nil"/>
              <w:bottom w:val="single" w:color="auto" w:sz="4" w:space="0"/>
              <w:right w:val="single" w:color="auto" w:sz="4" w:space="0"/>
            </w:tcBorders>
            <w:vAlign w:val="center"/>
          </w:tcPr>
          <w:p w14:paraId="04D9B92F">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342" w:type="dxa"/>
            <w:tcBorders>
              <w:top w:val="nil"/>
              <w:left w:val="nil"/>
              <w:bottom w:val="single" w:color="auto" w:sz="4" w:space="0"/>
              <w:right w:val="single" w:color="auto" w:sz="4" w:space="0"/>
            </w:tcBorders>
            <w:vAlign w:val="center"/>
          </w:tcPr>
          <w:p w14:paraId="1F88B85E">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c>
          <w:tcPr>
            <w:tcW w:w="1192" w:type="dxa"/>
            <w:tcBorders>
              <w:top w:val="nil"/>
              <w:left w:val="nil"/>
              <w:bottom w:val="nil"/>
              <w:right w:val="single" w:color="auto" w:sz="4" w:space="0"/>
            </w:tcBorders>
            <w:vAlign w:val="center"/>
          </w:tcPr>
          <w:p w14:paraId="1C6B3B55">
            <w:pPr>
              <w:keepNext w:val="0"/>
              <w:keepLines w:val="0"/>
              <w:widowControl/>
              <w:suppressLineNumbers w:val="0"/>
              <w:spacing w:before="143" w:beforeLines="50" w:beforeAutospacing="0" w:after="143" w:afterLines="50" w:afterAutospacing="0" w:line="360" w:lineRule="auto"/>
              <w:ind w:left="0" w:right="0"/>
              <w:jc w:val="left"/>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r>
      <w:tr w14:paraId="53614BA4">
        <w:tblPrEx>
          <w:tblCellMar>
            <w:top w:w="0" w:type="dxa"/>
            <w:left w:w="108" w:type="dxa"/>
            <w:bottom w:w="0" w:type="dxa"/>
            <w:right w:w="108" w:type="dxa"/>
          </w:tblCellMar>
        </w:tblPrEx>
        <w:trPr>
          <w:trHeight w:val="752" w:hRule="exact"/>
          <w:jc w:val="center"/>
        </w:trPr>
        <w:tc>
          <w:tcPr>
            <w:tcW w:w="554" w:type="dxa"/>
            <w:tcBorders>
              <w:top w:val="nil"/>
              <w:left w:val="single" w:color="auto" w:sz="4" w:space="0"/>
              <w:bottom w:val="single" w:color="auto" w:sz="4" w:space="0"/>
              <w:right w:val="single" w:color="auto" w:sz="4" w:space="0"/>
            </w:tcBorders>
            <w:vAlign w:val="center"/>
          </w:tcPr>
          <w:p w14:paraId="27630507">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default" w:ascii="Arial Narrow" w:hAnsi="Arial Narrow" w:cs="宋体"/>
                <w:strike w:val="0"/>
                <w:dstrike w:val="0"/>
                <w:color w:val="auto"/>
                <w:kern w:val="0"/>
                <w:sz w:val="20"/>
                <w:szCs w:val="20"/>
                <w:highlight w:val="none"/>
              </w:rPr>
              <w:t>3</w:t>
            </w:r>
          </w:p>
        </w:tc>
        <w:tc>
          <w:tcPr>
            <w:tcW w:w="2805" w:type="dxa"/>
            <w:gridSpan w:val="2"/>
            <w:tcBorders>
              <w:top w:val="single" w:color="auto" w:sz="4" w:space="0"/>
              <w:left w:val="nil"/>
              <w:bottom w:val="single" w:color="auto" w:sz="4" w:space="0"/>
              <w:right w:val="single" w:color="auto" w:sz="4" w:space="0"/>
            </w:tcBorders>
            <w:vAlign w:val="center"/>
          </w:tcPr>
          <w:p w14:paraId="0793753C">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综合费</w:t>
            </w:r>
          </w:p>
        </w:tc>
        <w:tc>
          <w:tcPr>
            <w:tcW w:w="717" w:type="dxa"/>
            <w:tcBorders>
              <w:top w:val="nil"/>
              <w:left w:val="nil"/>
              <w:bottom w:val="single" w:color="auto" w:sz="4" w:space="0"/>
              <w:right w:val="single" w:color="auto" w:sz="4" w:space="0"/>
            </w:tcBorders>
            <w:vAlign w:val="center"/>
          </w:tcPr>
          <w:p w14:paraId="2FA9BBCC">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项</w:t>
            </w:r>
          </w:p>
        </w:tc>
        <w:tc>
          <w:tcPr>
            <w:tcW w:w="885" w:type="dxa"/>
            <w:tcBorders>
              <w:top w:val="nil"/>
              <w:left w:val="nil"/>
              <w:bottom w:val="single" w:color="auto" w:sz="4" w:space="0"/>
              <w:right w:val="single" w:color="auto" w:sz="4" w:space="0"/>
            </w:tcBorders>
            <w:vAlign w:val="center"/>
          </w:tcPr>
          <w:p w14:paraId="54CEA770">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p>
        </w:tc>
        <w:tc>
          <w:tcPr>
            <w:tcW w:w="1005" w:type="dxa"/>
            <w:tcBorders>
              <w:top w:val="nil"/>
              <w:left w:val="nil"/>
              <w:bottom w:val="single" w:color="auto" w:sz="4" w:space="0"/>
              <w:right w:val="single" w:color="auto" w:sz="4" w:space="0"/>
            </w:tcBorders>
            <w:vAlign w:val="center"/>
          </w:tcPr>
          <w:p w14:paraId="6321DF91">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p>
        </w:tc>
        <w:tc>
          <w:tcPr>
            <w:tcW w:w="1342" w:type="dxa"/>
            <w:tcBorders>
              <w:top w:val="nil"/>
              <w:left w:val="nil"/>
              <w:bottom w:val="nil"/>
              <w:right w:val="nil"/>
            </w:tcBorders>
            <w:vAlign w:val="center"/>
          </w:tcPr>
          <w:p w14:paraId="6D2E9B45">
            <w:pPr>
              <w:keepNext w:val="0"/>
              <w:keepLines w:val="0"/>
              <w:widowControl/>
              <w:suppressLineNumbers w:val="0"/>
              <w:spacing w:before="143" w:beforeLines="50" w:beforeAutospacing="0" w:after="143" w:afterLines="50" w:afterAutospacing="0"/>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w:t>
            </w:r>
            <w:r>
              <w:rPr>
                <w:rFonts w:hint="default" w:ascii="宋体" w:hAnsi="宋体" w:cs="宋体"/>
                <w:strike w:val="0"/>
                <w:dstrike w:val="0"/>
                <w:color w:val="auto"/>
                <w:kern w:val="0"/>
                <w:sz w:val="20"/>
                <w:szCs w:val="20"/>
                <w:highlight w:val="none"/>
              </w:rPr>
              <w:t>1+2</w:t>
            </w:r>
            <w:r>
              <w:rPr>
                <w:rFonts w:hint="eastAsia" w:ascii="宋体" w:hAnsi="宋体" w:cs="宋体"/>
                <w:strike w:val="0"/>
                <w:dstrike w:val="0"/>
                <w:color w:val="auto"/>
                <w:kern w:val="0"/>
                <w:sz w:val="20"/>
                <w:szCs w:val="20"/>
                <w:highlight w:val="none"/>
              </w:rPr>
              <w:t>）×综合费率</w:t>
            </w:r>
          </w:p>
        </w:tc>
        <w:tc>
          <w:tcPr>
            <w:tcW w:w="1192" w:type="dxa"/>
            <w:tcBorders>
              <w:top w:val="nil"/>
              <w:left w:val="single" w:color="auto" w:sz="4" w:space="0"/>
              <w:bottom w:val="single" w:color="auto" w:sz="4" w:space="0"/>
              <w:right w:val="single" w:color="auto" w:sz="4" w:space="0"/>
            </w:tcBorders>
            <w:vAlign w:val="center"/>
          </w:tcPr>
          <w:p w14:paraId="737671D6">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p>
        </w:tc>
      </w:tr>
      <w:tr w14:paraId="5B2EE0BD">
        <w:tblPrEx>
          <w:tblCellMar>
            <w:top w:w="0" w:type="dxa"/>
            <w:left w:w="108" w:type="dxa"/>
            <w:bottom w:w="0" w:type="dxa"/>
            <w:right w:w="108" w:type="dxa"/>
          </w:tblCellMar>
        </w:tblPrEx>
        <w:trPr>
          <w:trHeight w:val="797" w:hRule="exact"/>
          <w:jc w:val="center"/>
        </w:trPr>
        <w:tc>
          <w:tcPr>
            <w:tcW w:w="3359" w:type="dxa"/>
            <w:gridSpan w:val="3"/>
            <w:tcBorders>
              <w:top w:val="single" w:color="auto" w:sz="4" w:space="0"/>
              <w:left w:val="single" w:color="auto" w:sz="4" w:space="0"/>
              <w:bottom w:val="single" w:color="auto" w:sz="4" w:space="0"/>
              <w:right w:val="single" w:color="auto" w:sz="4" w:space="0"/>
            </w:tcBorders>
            <w:vAlign w:val="center"/>
          </w:tcPr>
          <w:p w14:paraId="651998D9">
            <w:pPr>
              <w:keepNext w:val="0"/>
              <w:keepLines w:val="0"/>
              <w:widowControl/>
              <w:suppressLineNumbers w:val="0"/>
              <w:spacing w:before="143" w:beforeLines="50" w:beforeAutospacing="0" w:after="143" w:afterLines="50" w:afterAutospacing="0" w:line="360" w:lineRule="auto"/>
              <w:ind w:left="0" w:right="0"/>
              <w:jc w:val="center"/>
              <w:rPr>
                <w:rFonts w:hint="default" w:ascii="宋体" w:hAnsi="Calibri" w:cs="宋体"/>
                <w:strike w:val="0"/>
                <w:dstrike w:val="0"/>
                <w:color w:val="auto"/>
                <w:kern w:val="0"/>
                <w:sz w:val="20"/>
                <w:szCs w:val="20"/>
                <w:highlight w:val="none"/>
              </w:rPr>
            </w:pPr>
            <w:r>
              <w:rPr>
                <w:rFonts w:hint="eastAsia" w:ascii="宋体" w:hAnsi="宋体" w:cs="宋体"/>
                <w:strike w:val="0"/>
                <w:dstrike w:val="0"/>
                <w:color w:val="auto"/>
                <w:kern w:val="0"/>
                <w:sz w:val="20"/>
                <w:szCs w:val="20"/>
                <w:highlight w:val="none"/>
              </w:rPr>
              <w:t>配电箱总价</w:t>
            </w:r>
            <w:r>
              <w:rPr>
                <w:rFonts w:hint="default" w:ascii="宋体" w:hAnsi="宋体" w:cs="宋体"/>
                <w:strike w:val="0"/>
                <w:dstrike w:val="0"/>
                <w:color w:val="auto"/>
                <w:kern w:val="0"/>
                <w:sz w:val="20"/>
                <w:szCs w:val="20"/>
                <w:highlight w:val="none"/>
              </w:rPr>
              <w:t>(1+2+3)</w:t>
            </w:r>
          </w:p>
        </w:tc>
        <w:tc>
          <w:tcPr>
            <w:tcW w:w="5141" w:type="dxa"/>
            <w:gridSpan w:val="5"/>
            <w:tcBorders>
              <w:top w:val="single" w:color="auto" w:sz="4" w:space="0"/>
              <w:left w:val="nil"/>
              <w:bottom w:val="single" w:color="auto" w:sz="4" w:space="0"/>
              <w:right w:val="single" w:color="auto" w:sz="4" w:space="0"/>
            </w:tcBorders>
            <w:vAlign w:val="center"/>
          </w:tcPr>
          <w:p w14:paraId="09AC565E">
            <w:pPr>
              <w:keepNext w:val="0"/>
              <w:keepLines w:val="0"/>
              <w:widowControl/>
              <w:suppressLineNumbers w:val="0"/>
              <w:spacing w:before="143" w:beforeLines="50" w:beforeAutospacing="0" w:after="143" w:afterLines="50" w:afterAutospacing="0" w:line="360" w:lineRule="auto"/>
              <w:ind w:left="0" w:right="0"/>
              <w:jc w:val="center"/>
              <w:rPr>
                <w:rFonts w:hint="default" w:ascii="Arial Narrow" w:hAnsi="Arial Narrow" w:cs="宋体"/>
                <w:strike w:val="0"/>
                <w:dstrike w:val="0"/>
                <w:color w:val="auto"/>
                <w:kern w:val="0"/>
                <w:sz w:val="20"/>
                <w:szCs w:val="20"/>
                <w:highlight w:val="none"/>
              </w:rPr>
            </w:pPr>
            <w:r>
              <w:rPr>
                <w:rFonts w:hint="eastAsia" w:ascii="Arial Narrow" w:hAnsi="Arial Narrow" w:cs="宋体"/>
                <w:strike w:val="0"/>
                <w:dstrike w:val="0"/>
                <w:color w:val="auto"/>
                <w:kern w:val="0"/>
                <w:sz w:val="20"/>
                <w:szCs w:val="20"/>
                <w:highlight w:val="none"/>
              </w:rPr>
              <w:t>　</w:t>
            </w:r>
          </w:p>
        </w:tc>
      </w:tr>
    </w:tbl>
    <w:p w14:paraId="02BBD4FA">
      <w:pPr>
        <w:pStyle w:val="24"/>
        <w:spacing w:before="143" w:beforeLines="50" w:beforeAutospacing="0" w:after="143" w:afterLines="50" w:line="360" w:lineRule="auto"/>
        <w:ind w:firstLine="166" w:firstLineChars="80"/>
        <w:rPr>
          <w:rFonts w:ascii="宋体" w:hAnsi="宋体" w:cs="宋体"/>
          <w:color w:val="auto"/>
          <w:sz w:val="20"/>
          <w:highlight w:val="none"/>
        </w:rPr>
      </w:pPr>
      <w:bookmarkStart w:id="234" w:name="_Toc21711"/>
      <w:bookmarkStart w:id="235" w:name="_Toc19537"/>
      <w:bookmarkStart w:id="236" w:name="_Toc10408"/>
      <w:r>
        <w:rPr>
          <w:rFonts w:hint="eastAsia" w:ascii="宋体" w:hAnsi="宋体" w:cs="宋体"/>
          <w:color w:val="auto"/>
          <w:sz w:val="20"/>
          <w:highlight w:val="none"/>
        </w:rPr>
        <w:t>注：</w:t>
      </w:r>
      <w:bookmarkEnd w:id="234"/>
      <w:bookmarkEnd w:id="235"/>
      <w:bookmarkEnd w:id="236"/>
    </w:p>
    <w:p w14:paraId="62E9C7E7">
      <w:pPr>
        <w:pStyle w:val="24"/>
        <w:spacing w:before="143" w:beforeLines="50" w:beforeAutospacing="0" w:after="143" w:afterLines="50" w:line="240" w:lineRule="auto"/>
        <w:ind w:firstLine="166" w:firstLineChars="80"/>
        <w:rPr>
          <w:rFonts w:ascii="宋体" w:hAnsi="宋体" w:cs="宋体"/>
          <w:color w:val="auto"/>
          <w:sz w:val="20"/>
          <w:highlight w:val="none"/>
        </w:rPr>
      </w:pPr>
      <w:r>
        <w:rPr>
          <w:rFonts w:hint="eastAsia" w:ascii="宋体" w:hAnsi="宋体" w:cs="宋体"/>
          <w:color w:val="auto"/>
          <w:sz w:val="20"/>
          <w:highlight w:val="none"/>
        </w:rPr>
        <w:t>1．本表中内容由投标人对照招标人提供的设备清单和设计图纸，对每一类型配电箱规格/型号应分别填写。</w:t>
      </w:r>
      <w:bookmarkStart w:id="259" w:name="_GoBack"/>
      <w:bookmarkEnd w:id="259"/>
    </w:p>
    <w:p w14:paraId="45822B8C">
      <w:pPr>
        <w:pStyle w:val="24"/>
        <w:spacing w:before="143" w:beforeLines="50" w:beforeAutospacing="0" w:after="143" w:afterLines="50" w:line="240" w:lineRule="auto"/>
        <w:ind w:firstLine="166" w:firstLineChars="80"/>
        <w:rPr>
          <w:rFonts w:ascii="宋体" w:hAnsi="宋体" w:cs="宋体"/>
          <w:color w:val="auto"/>
          <w:sz w:val="20"/>
          <w:highlight w:val="none"/>
        </w:rPr>
      </w:pPr>
      <w:r>
        <w:rPr>
          <w:rFonts w:hint="eastAsia" w:ascii="宋体" w:hAnsi="宋体" w:cs="宋体"/>
          <w:color w:val="auto"/>
          <w:sz w:val="20"/>
          <w:highlight w:val="none"/>
        </w:rPr>
        <w:t>2.箱体单位面积限价为250.00元/m2（此限价不作为否决其投标的条款）。</w:t>
      </w:r>
    </w:p>
    <w:p w14:paraId="6EBFE232">
      <w:pPr>
        <w:pStyle w:val="24"/>
        <w:spacing w:before="143" w:beforeLines="50" w:beforeAutospacing="0" w:after="143" w:afterLines="50" w:line="240" w:lineRule="auto"/>
        <w:ind w:firstLine="166" w:firstLineChars="80"/>
        <w:rPr>
          <w:rFonts w:ascii="宋体" w:hAnsi="宋体" w:cs="宋体"/>
          <w:color w:val="auto"/>
          <w:sz w:val="20"/>
          <w:highlight w:val="none"/>
        </w:rPr>
      </w:pPr>
      <w:r>
        <w:rPr>
          <w:rFonts w:hint="eastAsia" w:ascii="宋体" w:hAnsi="宋体" w:cs="宋体"/>
          <w:color w:val="auto"/>
          <w:sz w:val="20"/>
          <w:highlight w:val="none"/>
        </w:rPr>
        <w:t>3．综合费费率按25%统一取定。</w:t>
      </w:r>
    </w:p>
    <w:p w14:paraId="397FE474">
      <w:pPr>
        <w:pStyle w:val="24"/>
        <w:spacing w:before="143" w:beforeLines="50" w:beforeAutospacing="0" w:after="143" w:afterLines="50" w:line="240" w:lineRule="auto"/>
        <w:ind w:firstLine="166" w:firstLineChars="80"/>
        <w:rPr>
          <w:rFonts w:ascii="宋体" w:hAnsi="宋体" w:cs="宋体"/>
          <w:color w:val="auto"/>
          <w:sz w:val="20"/>
          <w:highlight w:val="none"/>
        </w:rPr>
      </w:pPr>
      <w:r>
        <w:rPr>
          <w:rFonts w:hint="eastAsia" w:ascii="宋体" w:hAnsi="宋体" w:cs="宋体"/>
          <w:color w:val="auto"/>
          <w:sz w:val="20"/>
          <w:highlight w:val="none"/>
        </w:rPr>
        <w:t>4.以上配电箱价格分析表中计算出的各配电箱“配电箱总价”等于分部分项清单计价表中的“主材费”。</w:t>
      </w:r>
    </w:p>
    <w:p w14:paraId="33B9D056">
      <w:pPr>
        <w:pStyle w:val="24"/>
        <w:spacing w:before="143" w:beforeLines="50" w:beforeAutospacing="0" w:after="143" w:afterLines="50" w:line="240" w:lineRule="auto"/>
        <w:ind w:firstLine="166" w:firstLineChars="80"/>
        <w:rPr>
          <w:rFonts w:ascii="宋体" w:hAnsi="宋体" w:cs="宋体"/>
          <w:color w:val="auto"/>
          <w:sz w:val="20"/>
          <w:highlight w:val="none"/>
        </w:rPr>
      </w:pPr>
      <w:r>
        <w:rPr>
          <w:rFonts w:hint="eastAsia" w:ascii="宋体" w:hAnsi="宋体" w:cs="宋体"/>
          <w:color w:val="auto"/>
          <w:sz w:val="20"/>
          <w:highlight w:val="none"/>
        </w:rPr>
        <w:t>5．如投标人未填报配电箱价格分析表，则新增配电箱箱体价格以出线回路总</w:t>
      </w:r>
      <w:r>
        <w:rPr>
          <w:rFonts w:hint="eastAsia" w:ascii="宋体" w:hAnsi="宋体" w:cs="宋体"/>
          <w:color w:val="auto"/>
          <w:sz w:val="20"/>
          <w:highlight w:val="none"/>
          <w:lang w:val="en-US" w:eastAsia="zh-CN"/>
        </w:rPr>
        <w:t>位</w:t>
      </w:r>
      <w:r>
        <w:rPr>
          <w:rFonts w:hint="eastAsia" w:ascii="宋体" w:hAnsi="宋体" w:cs="宋体"/>
          <w:color w:val="auto"/>
          <w:sz w:val="20"/>
          <w:highlight w:val="none"/>
        </w:rPr>
        <w:t>数统一按合同中《新增配电箱箱体税前价格计算表》计取。</w:t>
      </w:r>
    </w:p>
    <w:p w14:paraId="1A8B3063">
      <w:pPr>
        <w:pStyle w:val="24"/>
        <w:spacing w:before="143" w:beforeLines="50" w:beforeAutospacing="0" w:after="143" w:afterLines="50" w:line="360" w:lineRule="auto"/>
        <w:ind w:firstLine="198" w:firstLineChars="80"/>
        <w:rPr>
          <w:rFonts w:ascii="宋体" w:hAnsi="宋体" w:cs="宋体"/>
          <w:color w:val="auto"/>
          <w:highlight w:val="none"/>
        </w:rPr>
      </w:pPr>
    </w:p>
    <w:p w14:paraId="35840C68">
      <w:pPr>
        <w:pStyle w:val="26"/>
        <w:spacing w:before="143" w:after="143" w:line="360" w:lineRule="auto"/>
        <w:ind w:firstLine="480"/>
        <w:rPr>
          <w:rFonts w:ascii="宋体" w:hAnsi="宋体" w:cs="宋体"/>
          <w:color w:val="auto"/>
          <w:highlight w:val="none"/>
        </w:rPr>
        <w:sectPr>
          <w:footerReference r:id="rId10" w:type="default"/>
          <w:pgSz w:w="11906" w:h="16838"/>
          <w:pgMar w:top="1418" w:right="1418" w:bottom="1134" w:left="1418" w:header="284" w:footer="284" w:gutter="0"/>
          <w:pgNumType w:fmt="numberInDash"/>
          <w:cols w:space="720" w:num="1"/>
          <w:docGrid w:type="lines" w:linePitch="287" w:charSpace="-3879"/>
        </w:sectPr>
      </w:pPr>
    </w:p>
    <w:p w14:paraId="1966DC8B">
      <w:pPr>
        <w:pStyle w:val="38"/>
        <w:spacing w:beforeAutospacing="0" w:line="360" w:lineRule="auto"/>
        <w:rPr>
          <w:color w:val="auto"/>
          <w:kern w:val="44"/>
          <w:highlight w:val="none"/>
        </w:rPr>
      </w:pPr>
      <w:bookmarkStart w:id="237" w:name="_Toc6897"/>
      <w:bookmarkStart w:id="238" w:name="_Toc4377"/>
      <w:bookmarkStart w:id="239" w:name="_Toc14704"/>
      <w:bookmarkStart w:id="240" w:name="_Toc24587"/>
      <w:bookmarkStart w:id="241" w:name="_Toc11584"/>
      <w:bookmarkStart w:id="242" w:name="_Toc24031_WPSOffice_Level1"/>
      <w:bookmarkStart w:id="243" w:name="_Toc18682"/>
      <w:bookmarkStart w:id="244" w:name="_Toc5269"/>
      <w:bookmarkStart w:id="245" w:name="_Toc11199"/>
      <w:bookmarkStart w:id="246" w:name="_Toc11709"/>
      <w:bookmarkStart w:id="247" w:name="_Toc28135"/>
      <w:bookmarkStart w:id="248" w:name="_Toc462"/>
      <w:bookmarkStart w:id="249" w:name="_Toc529298719"/>
      <w:r>
        <w:rPr>
          <w:rFonts w:hint="eastAsia"/>
          <w:color w:val="auto"/>
          <w:kern w:val="44"/>
          <w:highlight w:val="none"/>
        </w:rPr>
        <w:t>第三部分</w:t>
      </w:r>
      <w:r>
        <w:rPr>
          <w:color w:val="auto"/>
          <w:kern w:val="44"/>
          <w:highlight w:val="none"/>
        </w:rPr>
        <w:t xml:space="preserve">   </w:t>
      </w:r>
      <w:r>
        <w:rPr>
          <w:rFonts w:hint="eastAsia"/>
          <w:color w:val="auto"/>
          <w:kern w:val="44"/>
          <w:highlight w:val="none"/>
        </w:rPr>
        <w:t>工程量清单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37"/>
      <w:bookmarkEnd w:id="238"/>
      <w:bookmarkEnd w:id="239"/>
      <w:bookmarkEnd w:id="240"/>
      <w:bookmarkEnd w:id="241"/>
      <w:bookmarkEnd w:id="242"/>
      <w:bookmarkEnd w:id="243"/>
      <w:bookmarkEnd w:id="244"/>
      <w:bookmarkEnd w:id="245"/>
      <w:bookmarkEnd w:id="246"/>
      <w:bookmarkEnd w:id="247"/>
      <w:bookmarkEnd w:id="248"/>
      <w:bookmarkEnd w:id="249"/>
    </w:p>
    <w:p w14:paraId="646BB79B">
      <w:pPr>
        <w:pStyle w:val="24"/>
        <w:spacing w:before="156" w:beforeLines="50" w:beforeAutospacing="0" w:after="156" w:afterLines="50" w:line="360" w:lineRule="auto"/>
        <w:ind w:firstLine="0" w:firstLineChars="0"/>
        <w:jc w:val="center"/>
        <w:rPr>
          <w:rFonts w:ascii="宋体"/>
          <w:color w:val="auto"/>
          <w:highlight w:val="none"/>
        </w:rPr>
      </w:pPr>
      <w:bookmarkStart w:id="250" w:name="_Toc7462"/>
      <w:bookmarkStart w:id="251" w:name="_Toc20130_WPSOffice_Level1"/>
      <w:bookmarkStart w:id="252" w:name="_Toc2644"/>
      <w:bookmarkStart w:id="253" w:name="_Toc30037"/>
      <w:bookmarkStart w:id="254" w:name="_Toc23080"/>
      <w:bookmarkStart w:id="255" w:name="_Toc4529"/>
      <w:bookmarkStart w:id="256" w:name="_Toc4640"/>
      <w:bookmarkStart w:id="257" w:name="_Toc17558"/>
      <w:bookmarkStart w:id="258" w:name="_Toc8336"/>
      <w:r>
        <w:rPr>
          <w:rFonts w:hint="eastAsia" w:ascii="宋体" w:hAnsi="宋体" w:eastAsia="宋体" w:cs="宋体"/>
          <w:color w:val="auto"/>
          <w:sz w:val="24"/>
          <w:szCs w:val="20"/>
          <w:highlight w:val="none"/>
        </w:rPr>
        <w:t xml:space="preserve">招标工程量清单以PDF版为准，广联达软件版（GBQ版）只是用于投标人参考使用 </w:t>
      </w:r>
      <w:bookmarkEnd w:id="250"/>
      <w:bookmarkEnd w:id="251"/>
      <w:bookmarkEnd w:id="252"/>
      <w:bookmarkEnd w:id="253"/>
      <w:bookmarkEnd w:id="254"/>
      <w:bookmarkEnd w:id="255"/>
      <w:bookmarkEnd w:id="256"/>
      <w:bookmarkEnd w:id="257"/>
      <w:bookmarkEnd w:id="258"/>
    </w:p>
    <w:p w14:paraId="200C1F76">
      <w:pPr>
        <w:spacing w:before="156" w:beforeLines="50" w:after="156" w:afterLines="50" w:line="360" w:lineRule="auto"/>
        <w:rPr>
          <w:color w:val="auto"/>
          <w:highlight w:val="none"/>
        </w:rPr>
      </w:pPr>
      <w:r>
        <w:rPr>
          <w:rFonts w:hint="eastAsia"/>
          <w:color w:val="auto"/>
          <w:highlight w:val="none"/>
        </w:rPr>
        <w:t xml:space="preserve"> </w:t>
      </w:r>
    </w:p>
    <w:p w14:paraId="059AEEF7">
      <w:pPr>
        <w:rPr>
          <w:highlight w:val="none"/>
        </w:rPr>
      </w:pPr>
    </w:p>
    <w:sectPr>
      <w:pgSz w:w="11906" w:h="16838"/>
      <w:pgMar w:top="1440" w:right="1706"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Times New Roman"/>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03AD">
    <w:pPr>
      <w:pStyle w:val="7"/>
      <w:ind w:firstLine="4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4E89">
    <w:pPr>
      <w:pStyle w:val="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503E">
    <w:pPr>
      <w:pStyle w:val="7"/>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5492">
    <w:pPr>
      <w:pStyle w:val="7"/>
      <w:ind w:firstLine="42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3245" cy="59753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63245" cy="597535"/>
                      </a:xfrm>
                      <a:prstGeom prst="rect">
                        <a:avLst/>
                      </a:prstGeom>
                      <a:noFill/>
                      <a:ln>
                        <a:noFill/>
                      </a:ln>
                    </wps:spPr>
                    <wps:txbx>
                      <w:txbxContent>
                        <w:p w14:paraId="1809416D">
                          <w:pPr>
                            <w:pStyle w:val="7"/>
                            <w:ind w:firstLine="420"/>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47.05pt;width:44.35pt;mso-position-horizontal:outside;mso-position-horizontal-relative:margin;mso-wrap-style:none;z-index:251659264;mso-width-relative:page;mso-height-relative:page;" filled="f" stroked="f" coordsize="21600,21600" o:gfxdata="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3PIbXRAAAAAwEAAA8AAAAAAAAAAQAgAAAAIgAAAGRycy9kb3ducmV2Lnht&#10;bFBLAQIUABQAAAAIAIdO4kDp+9SKxwEAAIsDAAAOAAAAAAAAAAEAIAAAACABAABkcnMvZTJvRG9j&#10;LnhtbFBLBQYAAAAABgAGAFkBAABZBQAAAAA=&#10;">
              <v:fill on="f" focussize="0,0"/>
              <v:stroke on="f"/>
              <v:imagedata o:title=""/>
              <o:lock v:ext="edit" aspectratio="f"/>
              <v:textbox inset="0mm,0mm,0mm,0mm" style="mso-fit-shape-to-text:t;">
                <w:txbxContent>
                  <w:p w14:paraId="1809416D">
                    <w:pPr>
                      <w:pStyle w:val="7"/>
                      <w:ind w:firstLine="420"/>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39915">
    <w:pPr>
      <w:pStyle w:val="7"/>
      <w:ind w:firstLine="42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3245" cy="59753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63245" cy="597535"/>
                      </a:xfrm>
                      <a:prstGeom prst="rect">
                        <a:avLst/>
                      </a:prstGeom>
                      <a:noFill/>
                      <a:ln>
                        <a:noFill/>
                      </a:ln>
                    </wps:spPr>
                    <wps:txbx>
                      <w:txbxContent>
                        <w:p w14:paraId="042195DF">
                          <w:pPr>
                            <w:pStyle w:val="7"/>
                            <w:ind w:firstLine="420"/>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47.05pt;width:44.35pt;mso-position-horizontal:outside;mso-position-horizontal-relative:margin;mso-wrap-style:none;z-index:251659264;mso-width-relative:page;mso-height-relative:page;" filled="f" stroked="f" coordsize="21600,21600" o:gfxdata="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3PIbXRAAAAAwEAAA8AAAAAAAAAAQAgAAAAIgAAAGRycy9kb3ducmV2Lnht&#10;bFBLAQIUABQAAAAIAIdO4kC9lH9wxwEAAIsDAAAOAAAAAAAAAAEAIAAAACABAABkcnMvZTJvRG9j&#10;LnhtbFBLBQYAAAAABgAGAFkBAABZBQAAAAA=&#10;">
              <v:fill on="f" focussize="0,0"/>
              <v:stroke on="f"/>
              <v:imagedata o:title=""/>
              <o:lock v:ext="edit" aspectratio="f"/>
              <v:textbox inset="0mm,0mm,0mm,0mm" style="mso-fit-shape-to-text:t;">
                <w:txbxContent>
                  <w:p w14:paraId="042195DF">
                    <w:pPr>
                      <w:pStyle w:val="7"/>
                      <w:ind w:firstLine="420"/>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6CE30">
    <w:pPr>
      <w:pStyle w:val="8"/>
      <w:pBdr>
        <w:bottom w:val="none" w:color="auto" w:sz="0" w:space="0"/>
      </w:pBdr>
      <w:ind w:firstLine="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2475">
    <w:pPr>
      <w:pStyle w:val="8"/>
      <w:ind w:firstLine="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A3AF">
    <w:pPr>
      <w:pStyle w:val="8"/>
      <w:ind w:firstLine="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97B3D"/>
    <w:multiLevelType w:val="singleLevel"/>
    <w:tmpl w:val="B0097B3D"/>
    <w:lvl w:ilvl="0" w:tentative="0">
      <w:start w:val="2"/>
      <w:numFmt w:val="chineseCounting"/>
      <w:suff w:val="space"/>
      <w:lvlText w:val="第%1节"/>
      <w:lvlJc w:val="left"/>
      <w:rPr>
        <w:rFonts w:hint="eastAsia"/>
      </w:rPr>
    </w:lvl>
  </w:abstractNum>
  <w:abstractNum w:abstractNumId="1">
    <w:nsid w:val="0000000B"/>
    <w:multiLevelType w:val="multilevel"/>
    <w:tmpl w:val="0000000B"/>
    <w:lvl w:ilvl="0" w:tentative="0">
      <w:start w:val="7"/>
      <w:numFmt w:val="japaneseCounting"/>
      <w:lvlText w:val="第%1章"/>
      <w:lvlJc w:val="left"/>
      <w:pPr>
        <w:tabs>
          <w:tab w:val="left" w:pos="2925"/>
        </w:tabs>
        <w:ind w:left="2925" w:hanging="292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8987B2B"/>
    <w:multiLevelType w:val="multilevel"/>
    <w:tmpl w:val="28987B2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11E520"/>
    <w:multiLevelType w:val="singleLevel"/>
    <w:tmpl w:val="3E11E520"/>
    <w:lvl w:ilvl="0" w:tentative="0">
      <w:start w:val="3"/>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I0ODFhYmRkZTkxNzgwMzY1YzhkZTI3ZGUxMjcifQ=="/>
  </w:docVars>
  <w:rsids>
    <w:rsidRoot w:val="00172A27"/>
    <w:rsid w:val="00000B77"/>
    <w:rsid w:val="00020FFE"/>
    <w:rsid w:val="00024870"/>
    <w:rsid w:val="00027CE1"/>
    <w:rsid w:val="00031F72"/>
    <w:rsid w:val="0004710E"/>
    <w:rsid w:val="00066D26"/>
    <w:rsid w:val="000721AF"/>
    <w:rsid w:val="000724DF"/>
    <w:rsid w:val="000B5B18"/>
    <w:rsid w:val="000C1FF9"/>
    <w:rsid w:val="000C5D72"/>
    <w:rsid w:val="000E1B52"/>
    <w:rsid w:val="000F2591"/>
    <w:rsid w:val="001056E7"/>
    <w:rsid w:val="0011213F"/>
    <w:rsid w:val="00172A27"/>
    <w:rsid w:val="00175A87"/>
    <w:rsid w:val="001774C3"/>
    <w:rsid w:val="001806AD"/>
    <w:rsid w:val="0018315F"/>
    <w:rsid w:val="001A09BA"/>
    <w:rsid w:val="001D0BE8"/>
    <w:rsid w:val="001D7E4D"/>
    <w:rsid w:val="001E17D8"/>
    <w:rsid w:val="00224957"/>
    <w:rsid w:val="00285725"/>
    <w:rsid w:val="002C4E14"/>
    <w:rsid w:val="002D0D7D"/>
    <w:rsid w:val="003066B8"/>
    <w:rsid w:val="003102DC"/>
    <w:rsid w:val="00311525"/>
    <w:rsid w:val="00392949"/>
    <w:rsid w:val="003A302F"/>
    <w:rsid w:val="003C1423"/>
    <w:rsid w:val="003C1610"/>
    <w:rsid w:val="003C3199"/>
    <w:rsid w:val="00405D9B"/>
    <w:rsid w:val="0042591B"/>
    <w:rsid w:val="00427244"/>
    <w:rsid w:val="0045136F"/>
    <w:rsid w:val="004765CF"/>
    <w:rsid w:val="004C670C"/>
    <w:rsid w:val="004C7F9F"/>
    <w:rsid w:val="004E1702"/>
    <w:rsid w:val="00510765"/>
    <w:rsid w:val="005348B1"/>
    <w:rsid w:val="00550380"/>
    <w:rsid w:val="00575688"/>
    <w:rsid w:val="00582BF9"/>
    <w:rsid w:val="005C3E8F"/>
    <w:rsid w:val="005D52AA"/>
    <w:rsid w:val="00606666"/>
    <w:rsid w:val="0061096E"/>
    <w:rsid w:val="00614063"/>
    <w:rsid w:val="00614A99"/>
    <w:rsid w:val="0062794C"/>
    <w:rsid w:val="006334F6"/>
    <w:rsid w:val="006637C8"/>
    <w:rsid w:val="006638B7"/>
    <w:rsid w:val="006672D1"/>
    <w:rsid w:val="00682EB4"/>
    <w:rsid w:val="006C7361"/>
    <w:rsid w:val="006E3DB9"/>
    <w:rsid w:val="007014BB"/>
    <w:rsid w:val="00712A2C"/>
    <w:rsid w:val="00725E92"/>
    <w:rsid w:val="00737F84"/>
    <w:rsid w:val="007424AC"/>
    <w:rsid w:val="0075024E"/>
    <w:rsid w:val="00750FEC"/>
    <w:rsid w:val="00752930"/>
    <w:rsid w:val="0078492A"/>
    <w:rsid w:val="00785C0E"/>
    <w:rsid w:val="007B4EED"/>
    <w:rsid w:val="007C1E64"/>
    <w:rsid w:val="007C30F0"/>
    <w:rsid w:val="007C7FC1"/>
    <w:rsid w:val="007F427D"/>
    <w:rsid w:val="007F6ACB"/>
    <w:rsid w:val="007F6EB7"/>
    <w:rsid w:val="008129A9"/>
    <w:rsid w:val="008969FD"/>
    <w:rsid w:val="008A3EAE"/>
    <w:rsid w:val="009017BE"/>
    <w:rsid w:val="00931784"/>
    <w:rsid w:val="00931A4C"/>
    <w:rsid w:val="00960A6A"/>
    <w:rsid w:val="00962190"/>
    <w:rsid w:val="00965218"/>
    <w:rsid w:val="00967916"/>
    <w:rsid w:val="009712B8"/>
    <w:rsid w:val="00973539"/>
    <w:rsid w:val="009A5FD5"/>
    <w:rsid w:val="009D0EA3"/>
    <w:rsid w:val="009E513A"/>
    <w:rsid w:val="009E54B1"/>
    <w:rsid w:val="009E7AB1"/>
    <w:rsid w:val="00A31BB2"/>
    <w:rsid w:val="00A33C2B"/>
    <w:rsid w:val="00A50125"/>
    <w:rsid w:val="00A6744B"/>
    <w:rsid w:val="00A77FB0"/>
    <w:rsid w:val="00A82A3E"/>
    <w:rsid w:val="00AB23C1"/>
    <w:rsid w:val="00AB4116"/>
    <w:rsid w:val="00AB71EA"/>
    <w:rsid w:val="00AC4D2A"/>
    <w:rsid w:val="00AE419F"/>
    <w:rsid w:val="00B067E1"/>
    <w:rsid w:val="00B25DBD"/>
    <w:rsid w:val="00B55496"/>
    <w:rsid w:val="00B65A70"/>
    <w:rsid w:val="00BB3314"/>
    <w:rsid w:val="00BC231A"/>
    <w:rsid w:val="00BE79AB"/>
    <w:rsid w:val="00C2120D"/>
    <w:rsid w:val="00C71563"/>
    <w:rsid w:val="00C72288"/>
    <w:rsid w:val="00C72D95"/>
    <w:rsid w:val="00CA558C"/>
    <w:rsid w:val="00CB578A"/>
    <w:rsid w:val="00CC57B7"/>
    <w:rsid w:val="00CC57BF"/>
    <w:rsid w:val="00CD7FCF"/>
    <w:rsid w:val="00D007A7"/>
    <w:rsid w:val="00D16FD9"/>
    <w:rsid w:val="00D25FB8"/>
    <w:rsid w:val="00D2742A"/>
    <w:rsid w:val="00D574E9"/>
    <w:rsid w:val="00D63F1F"/>
    <w:rsid w:val="00D6540F"/>
    <w:rsid w:val="00D73032"/>
    <w:rsid w:val="00D74A4A"/>
    <w:rsid w:val="00D872EF"/>
    <w:rsid w:val="00DD0F2A"/>
    <w:rsid w:val="00DD773A"/>
    <w:rsid w:val="00DE3DEE"/>
    <w:rsid w:val="00E007E5"/>
    <w:rsid w:val="00E318D4"/>
    <w:rsid w:val="00E373AE"/>
    <w:rsid w:val="00E701F9"/>
    <w:rsid w:val="00E72629"/>
    <w:rsid w:val="00E72A7E"/>
    <w:rsid w:val="00EA507E"/>
    <w:rsid w:val="00EA5B51"/>
    <w:rsid w:val="00EC02E4"/>
    <w:rsid w:val="00EC79E4"/>
    <w:rsid w:val="00EE3F1D"/>
    <w:rsid w:val="00F12571"/>
    <w:rsid w:val="00F40703"/>
    <w:rsid w:val="00F503EC"/>
    <w:rsid w:val="00F50858"/>
    <w:rsid w:val="00F56AD2"/>
    <w:rsid w:val="00F73593"/>
    <w:rsid w:val="00FC1B55"/>
    <w:rsid w:val="00FC2D92"/>
    <w:rsid w:val="00FD0D1C"/>
    <w:rsid w:val="00FD41B7"/>
    <w:rsid w:val="00FD4A71"/>
    <w:rsid w:val="00FF6044"/>
    <w:rsid w:val="016D2E09"/>
    <w:rsid w:val="018A4EE2"/>
    <w:rsid w:val="020820DC"/>
    <w:rsid w:val="021F4637"/>
    <w:rsid w:val="02401057"/>
    <w:rsid w:val="0246069D"/>
    <w:rsid w:val="025A704C"/>
    <w:rsid w:val="026C3FA6"/>
    <w:rsid w:val="026F769B"/>
    <w:rsid w:val="028C33A0"/>
    <w:rsid w:val="02C32E43"/>
    <w:rsid w:val="02DA7F65"/>
    <w:rsid w:val="02F66A52"/>
    <w:rsid w:val="02FA25DD"/>
    <w:rsid w:val="03465822"/>
    <w:rsid w:val="037C184C"/>
    <w:rsid w:val="038C1235"/>
    <w:rsid w:val="03AE7123"/>
    <w:rsid w:val="03BB1D6C"/>
    <w:rsid w:val="03D978E6"/>
    <w:rsid w:val="03E72B61"/>
    <w:rsid w:val="04294F27"/>
    <w:rsid w:val="042A3D0D"/>
    <w:rsid w:val="044273C0"/>
    <w:rsid w:val="044C0C16"/>
    <w:rsid w:val="046D64A6"/>
    <w:rsid w:val="048246C2"/>
    <w:rsid w:val="04886321"/>
    <w:rsid w:val="04B51F87"/>
    <w:rsid w:val="04BF3ADE"/>
    <w:rsid w:val="04DB11CB"/>
    <w:rsid w:val="04F17F71"/>
    <w:rsid w:val="05061B1A"/>
    <w:rsid w:val="053603A7"/>
    <w:rsid w:val="053B7608"/>
    <w:rsid w:val="053F4967"/>
    <w:rsid w:val="054D302C"/>
    <w:rsid w:val="055B2639"/>
    <w:rsid w:val="058009FC"/>
    <w:rsid w:val="05876D69"/>
    <w:rsid w:val="058A0780"/>
    <w:rsid w:val="058A4D22"/>
    <w:rsid w:val="05AA74A2"/>
    <w:rsid w:val="05E202EF"/>
    <w:rsid w:val="06467EAD"/>
    <w:rsid w:val="06882524"/>
    <w:rsid w:val="06C835FA"/>
    <w:rsid w:val="06E30DF4"/>
    <w:rsid w:val="07000AFB"/>
    <w:rsid w:val="07064E8B"/>
    <w:rsid w:val="075A189C"/>
    <w:rsid w:val="07634BF4"/>
    <w:rsid w:val="07675561"/>
    <w:rsid w:val="077F5B82"/>
    <w:rsid w:val="07872474"/>
    <w:rsid w:val="07914F94"/>
    <w:rsid w:val="0796437E"/>
    <w:rsid w:val="07B25F19"/>
    <w:rsid w:val="07DE1688"/>
    <w:rsid w:val="07EFEAC6"/>
    <w:rsid w:val="082543D6"/>
    <w:rsid w:val="08334FD0"/>
    <w:rsid w:val="08880391"/>
    <w:rsid w:val="08D15B8E"/>
    <w:rsid w:val="08E758D5"/>
    <w:rsid w:val="08ED5B86"/>
    <w:rsid w:val="0904405E"/>
    <w:rsid w:val="09055073"/>
    <w:rsid w:val="09077238"/>
    <w:rsid w:val="093C0B6E"/>
    <w:rsid w:val="096E162E"/>
    <w:rsid w:val="098B1DFD"/>
    <w:rsid w:val="09D6469B"/>
    <w:rsid w:val="09F03A1A"/>
    <w:rsid w:val="09F53B17"/>
    <w:rsid w:val="09F935EE"/>
    <w:rsid w:val="0A07465F"/>
    <w:rsid w:val="0A1D552E"/>
    <w:rsid w:val="0A347499"/>
    <w:rsid w:val="0A4C2D93"/>
    <w:rsid w:val="0A5C6A87"/>
    <w:rsid w:val="0A6424AA"/>
    <w:rsid w:val="0A652A31"/>
    <w:rsid w:val="0A671249"/>
    <w:rsid w:val="0A742C74"/>
    <w:rsid w:val="0A8E16CB"/>
    <w:rsid w:val="0AA26400"/>
    <w:rsid w:val="0AA74CD1"/>
    <w:rsid w:val="0AF53DB5"/>
    <w:rsid w:val="0AFA4ADF"/>
    <w:rsid w:val="0B12675B"/>
    <w:rsid w:val="0B391F9B"/>
    <w:rsid w:val="0B462D56"/>
    <w:rsid w:val="0B5E6F7F"/>
    <w:rsid w:val="0B60380B"/>
    <w:rsid w:val="0BB21851"/>
    <w:rsid w:val="0BD922FD"/>
    <w:rsid w:val="0BDE1BB3"/>
    <w:rsid w:val="0BFFB7A8"/>
    <w:rsid w:val="0C033E63"/>
    <w:rsid w:val="0C0C5695"/>
    <w:rsid w:val="0C1E78EC"/>
    <w:rsid w:val="0C5965C6"/>
    <w:rsid w:val="0C605BA6"/>
    <w:rsid w:val="0C65636D"/>
    <w:rsid w:val="0CA31396"/>
    <w:rsid w:val="0CA35A93"/>
    <w:rsid w:val="0CA710DF"/>
    <w:rsid w:val="0D1262D1"/>
    <w:rsid w:val="0D336E17"/>
    <w:rsid w:val="0D7E431C"/>
    <w:rsid w:val="0D9735F1"/>
    <w:rsid w:val="0DAF47FA"/>
    <w:rsid w:val="0DDF3C8F"/>
    <w:rsid w:val="0DE3526C"/>
    <w:rsid w:val="0DEE6B37"/>
    <w:rsid w:val="0E027FD4"/>
    <w:rsid w:val="0E160A58"/>
    <w:rsid w:val="0E205822"/>
    <w:rsid w:val="0E2A1FC8"/>
    <w:rsid w:val="0E2A2CAE"/>
    <w:rsid w:val="0E304A8C"/>
    <w:rsid w:val="0E540149"/>
    <w:rsid w:val="0E584AA2"/>
    <w:rsid w:val="0E6A6703"/>
    <w:rsid w:val="0E840A01"/>
    <w:rsid w:val="0E960CB3"/>
    <w:rsid w:val="0EB22ABA"/>
    <w:rsid w:val="0EB65F51"/>
    <w:rsid w:val="0EBE1C4D"/>
    <w:rsid w:val="0EDF7256"/>
    <w:rsid w:val="0EE611F2"/>
    <w:rsid w:val="0EF91A49"/>
    <w:rsid w:val="0EFE5203"/>
    <w:rsid w:val="0F015C04"/>
    <w:rsid w:val="0F0200FA"/>
    <w:rsid w:val="0F0E18EA"/>
    <w:rsid w:val="0F15777E"/>
    <w:rsid w:val="0F264D2E"/>
    <w:rsid w:val="0F3302A5"/>
    <w:rsid w:val="0F5D2FC2"/>
    <w:rsid w:val="0F6723E1"/>
    <w:rsid w:val="0F6E7B77"/>
    <w:rsid w:val="0F711651"/>
    <w:rsid w:val="0F735BF1"/>
    <w:rsid w:val="0F96368D"/>
    <w:rsid w:val="0FC50258"/>
    <w:rsid w:val="0FDB7A4A"/>
    <w:rsid w:val="0FDD10B6"/>
    <w:rsid w:val="0FE44DAE"/>
    <w:rsid w:val="0FEE5569"/>
    <w:rsid w:val="10125B83"/>
    <w:rsid w:val="10236847"/>
    <w:rsid w:val="103E7DE6"/>
    <w:rsid w:val="1043730E"/>
    <w:rsid w:val="1051431B"/>
    <w:rsid w:val="10581BF8"/>
    <w:rsid w:val="10663BAC"/>
    <w:rsid w:val="107C42FA"/>
    <w:rsid w:val="109C53F5"/>
    <w:rsid w:val="10B405B4"/>
    <w:rsid w:val="10B42151"/>
    <w:rsid w:val="10D91A83"/>
    <w:rsid w:val="10EE58BA"/>
    <w:rsid w:val="11122F87"/>
    <w:rsid w:val="11472E91"/>
    <w:rsid w:val="116701A0"/>
    <w:rsid w:val="118C748E"/>
    <w:rsid w:val="11CC03BE"/>
    <w:rsid w:val="11CD504A"/>
    <w:rsid w:val="11CE5D28"/>
    <w:rsid w:val="120E7E53"/>
    <w:rsid w:val="120F0DC9"/>
    <w:rsid w:val="121730FB"/>
    <w:rsid w:val="121864F1"/>
    <w:rsid w:val="124B4C03"/>
    <w:rsid w:val="126F08F1"/>
    <w:rsid w:val="1270144E"/>
    <w:rsid w:val="128C22B3"/>
    <w:rsid w:val="12E82452"/>
    <w:rsid w:val="131275DF"/>
    <w:rsid w:val="13410DF3"/>
    <w:rsid w:val="134C207F"/>
    <w:rsid w:val="13645F7C"/>
    <w:rsid w:val="136917E4"/>
    <w:rsid w:val="13914897"/>
    <w:rsid w:val="139A199E"/>
    <w:rsid w:val="13AC4C74"/>
    <w:rsid w:val="140C7724"/>
    <w:rsid w:val="142D47E4"/>
    <w:rsid w:val="14415FE0"/>
    <w:rsid w:val="145E1F3F"/>
    <w:rsid w:val="14731F34"/>
    <w:rsid w:val="14E07A3B"/>
    <w:rsid w:val="14EF3F6B"/>
    <w:rsid w:val="14F17923"/>
    <w:rsid w:val="14FF685E"/>
    <w:rsid w:val="15005D5E"/>
    <w:rsid w:val="15063C07"/>
    <w:rsid w:val="15094BDE"/>
    <w:rsid w:val="15962639"/>
    <w:rsid w:val="15F674C0"/>
    <w:rsid w:val="15FD6214"/>
    <w:rsid w:val="15FE8819"/>
    <w:rsid w:val="16304394"/>
    <w:rsid w:val="168F30F7"/>
    <w:rsid w:val="16D056D6"/>
    <w:rsid w:val="16FE3FF2"/>
    <w:rsid w:val="172732C7"/>
    <w:rsid w:val="172B5F11"/>
    <w:rsid w:val="172E1ED9"/>
    <w:rsid w:val="1750749B"/>
    <w:rsid w:val="175C6358"/>
    <w:rsid w:val="17AD27A5"/>
    <w:rsid w:val="18427999"/>
    <w:rsid w:val="185D743E"/>
    <w:rsid w:val="18813D03"/>
    <w:rsid w:val="188618EE"/>
    <w:rsid w:val="188C71AF"/>
    <w:rsid w:val="18B55F4F"/>
    <w:rsid w:val="18B85323"/>
    <w:rsid w:val="18C671CB"/>
    <w:rsid w:val="18D40DB0"/>
    <w:rsid w:val="18E412B5"/>
    <w:rsid w:val="19250E51"/>
    <w:rsid w:val="19671CD1"/>
    <w:rsid w:val="19762565"/>
    <w:rsid w:val="197A2D0D"/>
    <w:rsid w:val="19BD77FC"/>
    <w:rsid w:val="19CF0004"/>
    <w:rsid w:val="19D53F3B"/>
    <w:rsid w:val="19FF3EB7"/>
    <w:rsid w:val="1A004525"/>
    <w:rsid w:val="1A206975"/>
    <w:rsid w:val="1A4777A8"/>
    <w:rsid w:val="1A710F7F"/>
    <w:rsid w:val="1A860B0C"/>
    <w:rsid w:val="1A8A7532"/>
    <w:rsid w:val="1AAA2B3C"/>
    <w:rsid w:val="1AC46917"/>
    <w:rsid w:val="1AF38E7E"/>
    <w:rsid w:val="1AF87F47"/>
    <w:rsid w:val="1B1F1783"/>
    <w:rsid w:val="1B481CDF"/>
    <w:rsid w:val="1B7900EB"/>
    <w:rsid w:val="1BAC7E6B"/>
    <w:rsid w:val="1BBF407E"/>
    <w:rsid w:val="1BCE4516"/>
    <w:rsid w:val="1BDA50BC"/>
    <w:rsid w:val="1C23743A"/>
    <w:rsid w:val="1C3A6F04"/>
    <w:rsid w:val="1C42001A"/>
    <w:rsid w:val="1C6963B1"/>
    <w:rsid w:val="1C7B4336"/>
    <w:rsid w:val="1CAD3344"/>
    <w:rsid w:val="1CF77AF0"/>
    <w:rsid w:val="1D6848BB"/>
    <w:rsid w:val="1D7E10A3"/>
    <w:rsid w:val="1D8475BB"/>
    <w:rsid w:val="1D85546D"/>
    <w:rsid w:val="1DC43408"/>
    <w:rsid w:val="1DC934B1"/>
    <w:rsid w:val="1DFF0A25"/>
    <w:rsid w:val="1E0A7063"/>
    <w:rsid w:val="1E674B72"/>
    <w:rsid w:val="1E924BC2"/>
    <w:rsid w:val="1EB720C0"/>
    <w:rsid w:val="1EC658A0"/>
    <w:rsid w:val="1ED33FB6"/>
    <w:rsid w:val="1EE6637E"/>
    <w:rsid w:val="1EF451C6"/>
    <w:rsid w:val="1EFC79EE"/>
    <w:rsid w:val="1F6BDEC8"/>
    <w:rsid w:val="1F6BFFD9"/>
    <w:rsid w:val="1F724F50"/>
    <w:rsid w:val="1FB76B75"/>
    <w:rsid w:val="1FEF1FED"/>
    <w:rsid w:val="200F0074"/>
    <w:rsid w:val="201227FF"/>
    <w:rsid w:val="202569D7"/>
    <w:rsid w:val="20385E45"/>
    <w:rsid w:val="20642209"/>
    <w:rsid w:val="20662F4F"/>
    <w:rsid w:val="20D02EA3"/>
    <w:rsid w:val="20DF5D20"/>
    <w:rsid w:val="20FF01A8"/>
    <w:rsid w:val="2125790B"/>
    <w:rsid w:val="213C00B3"/>
    <w:rsid w:val="21426901"/>
    <w:rsid w:val="216A3453"/>
    <w:rsid w:val="21871145"/>
    <w:rsid w:val="21967768"/>
    <w:rsid w:val="2206044F"/>
    <w:rsid w:val="220B7F0B"/>
    <w:rsid w:val="22325497"/>
    <w:rsid w:val="2266006E"/>
    <w:rsid w:val="228D0920"/>
    <w:rsid w:val="22A068A5"/>
    <w:rsid w:val="22DD18A7"/>
    <w:rsid w:val="22E03145"/>
    <w:rsid w:val="22E8440B"/>
    <w:rsid w:val="22FE2635"/>
    <w:rsid w:val="235B2E1A"/>
    <w:rsid w:val="2360769E"/>
    <w:rsid w:val="237B69CA"/>
    <w:rsid w:val="237D53A0"/>
    <w:rsid w:val="23F116C1"/>
    <w:rsid w:val="243F4D56"/>
    <w:rsid w:val="24582C0B"/>
    <w:rsid w:val="24C148B0"/>
    <w:rsid w:val="24DA1539"/>
    <w:rsid w:val="24DB5972"/>
    <w:rsid w:val="24E346E4"/>
    <w:rsid w:val="24EB14F8"/>
    <w:rsid w:val="252668A5"/>
    <w:rsid w:val="252C08C4"/>
    <w:rsid w:val="25973F8F"/>
    <w:rsid w:val="25B4699C"/>
    <w:rsid w:val="25DC3335"/>
    <w:rsid w:val="25EE20FE"/>
    <w:rsid w:val="261C26E6"/>
    <w:rsid w:val="262B4D16"/>
    <w:rsid w:val="263B71C2"/>
    <w:rsid w:val="26461511"/>
    <w:rsid w:val="265328B2"/>
    <w:rsid w:val="26602042"/>
    <w:rsid w:val="26775526"/>
    <w:rsid w:val="267A70CD"/>
    <w:rsid w:val="26A326E8"/>
    <w:rsid w:val="26A94E63"/>
    <w:rsid w:val="26D7059A"/>
    <w:rsid w:val="26E1123A"/>
    <w:rsid w:val="27156B88"/>
    <w:rsid w:val="27307A5A"/>
    <w:rsid w:val="27355C95"/>
    <w:rsid w:val="27401CFB"/>
    <w:rsid w:val="2741542D"/>
    <w:rsid w:val="27434813"/>
    <w:rsid w:val="2766512B"/>
    <w:rsid w:val="276F11A4"/>
    <w:rsid w:val="27AC7069"/>
    <w:rsid w:val="27B36C49"/>
    <w:rsid w:val="28357D92"/>
    <w:rsid w:val="283E175A"/>
    <w:rsid w:val="284D2EB5"/>
    <w:rsid w:val="285048C9"/>
    <w:rsid w:val="28537F15"/>
    <w:rsid w:val="28A904E9"/>
    <w:rsid w:val="28B23B68"/>
    <w:rsid w:val="28B60BD0"/>
    <w:rsid w:val="28BB18D6"/>
    <w:rsid w:val="28FB65E3"/>
    <w:rsid w:val="29000163"/>
    <w:rsid w:val="293935AF"/>
    <w:rsid w:val="293E2974"/>
    <w:rsid w:val="29422464"/>
    <w:rsid w:val="29615F07"/>
    <w:rsid w:val="29B228E2"/>
    <w:rsid w:val="29B91CA7"/>
    <w:rsid w:val="29C56BF1"/>
    <w:rsid w:val="29EC7D13"/>
    <w:rsid w:val="2A2826A2"/>
    <w:rsid w:val="2A2E29E8"/>
    <w:rsid w:val="2A556BA5"/>
    <w:rsid w:val="2A60724B"/>
    <w:rsid w:val="2AEB7976"/>
    <w:rsid w:val="2AF7838E"/>
    <w:rsid w:val="2B5607BE"/>
    <w:rsid w:val="2B632B65"/>
    <w:rsid w:val="2B722141"/>
    <w:rsid w:val="2BCC070B"/>
    <w:rsid w:val="2C071743"/>
    <w:rsid w:val="2C0A3433"/>
    <w:rsid w:val="2C300C99"/>
    <w:rsid w:val="2C394CD9"/>
    <w:rsid w:val="2C497F51"/>
    <w:rsid w:val="2C5129BE"/>
    <w:rsid w:val="2C641CB4"/>
    <w:rsid w:val="2C727DFA"/>
    <w:rsid w:val="2C952267"/>
    <w:rsid w:val="2CA12162"/>
    <w:rsid w:val="2CAF0D77"/>
    <w:rsid w:val="2CB1385F"/>
    <w:rsid w:val="2CC63526"/>
    <w:rsid w:val="2CCB6C14"/>
    <w:rsid w:val="2CCF04B2"/>
    <w:rsid w:val="2D39592C"/>
    <w:rsid w:val="2D4C621B"/>
    <w:rsid w:val="2D7E17A5"/>
    <w:rsid w:val="2DAA4023"/>
    <w:rsid w:val="2DBD005A"/>
    <w:rsid w:val="2DCD42C6"/>
    <w:rsid w:val="2DF7362C"/>
    <w:rsid w:val="2DFB52D7"/>
    <w:rsid w:val="2DFB7085"/>
    <w:rsid w:val="2E3440DF"/>
    <w:rsid w:val="2E50596D"/>
    <w:rsid w:val="2E732264"/>
    <w:rsid w:val="2E967E6D"/>
    <w:rsid w:val="2EA074C9"/>
    <w:rsid w:val="2EAB719E"/>
    <w:rsid w:val="2EDA4EED"/>
    <w:rsid w:val="2EE61ABC"/>
    <w:rsid w:val="2F1F3534"/>
    <w:rsid w:val="2F4B0FE8"/>
    <w:rsid w:val="2F8E7D69"/>
    <w:rsid w:val="2F972DDE"/>
    <w:rsid w:val="2F9741F9"/>
    <w:rsid w:val="2FBC3E8D"/>
    <w:rsid w:val="2FD9ACB1"/>
    <w:rsid w:val="2FEE4F3E"/>
    <w:rsid w:val="2FF3EBF1"/>
    <w:rsid w:val="30536D05"/>
    <w:rsid w:val="305D7B83"/>
    <w:rsid w:val="30980BBB"/>
    <w:rsid w:val="309B183F"/>
    <w:rsid w:val="310A2931"/>
    <w:rsid w:val="311F55C7"/>
    <w:rsid w:val="314C13DF"/>
    <w:rsid w:val="315076E8"/>
    <w:rsid w:val="31C13561"/>
    <w:rsid w:val="31EE3D4D"/>
    <w:rsid w:val="31FA5672"/>
    <w:rsid w:val="3206167C"/>
    <w:rsid w:val="32193F7E"/>
    <w:rsid w:val="32222E32"/>
    <w:rsid w:val="32747C01"/>
    <w:rsid w:val="32BE6D77"/>
    <w:rsid w:val="32EE75B9"/>
    <w:rsid w:val="330864CC"/>
    <w:rsid w:val="334B79D5"/>
    <w:rsid w:val="33843462"/>
    <w:rsid w:val="33C46C09"/>
    <w:rsid w:val="33E10ACB"/>
    <w:rsid w:val="33E52A27"/>
    <w:rsid w:val="34125129"/>
    <w:rsid w:val="346723B9"/>
    <w:rsid w:val="346E05B1"/>
    <w:rsid w:val="348409EA"/>
    <w:rsid w:val="348773BC"/>
    <w:rsid w:val="34AA2125"/>
    <w:rsid w:val="34BB57F0"/>
    <w:rsid w:val="34CB2B48"/>
    <w:rsid w:val="34DD714D"/>
    <w:rsid w:val="34FF0CA1"/>
    <w:rsid w:val="358739AA"/>
    <w:rsid w:val="35CC203D"/>
    <w:rsid w:val="35F26FC0"/>
    <w:rsid w:val="3612648F"/>
    <w:rsid w:val="361F78F3"/>
    <w:rsid w:val="367C506C"/>
    <w:rsid w:val="369307B2"/>
    <w:rsid w:val="36C473A6"/>
    <w:rsid w:val="36C73FA8"/>
    <w:rsid w:val="36DF1FC3"/>
    <w:rsid w:val="36E8434B"/>
    <w:rsid w:val="36ED2995"/>
    <w:rsid w:val="371C1013"/>
    <w:rsid w:val="374745EE"/>
    <w:rsid w:val="37560C7A"/>
    <w:rsid w:val="376814FC"/>
    <w:rsid w:val="376A17D3"/>
    <w:rsid w:val="376B62F9"/>
    <w:rsid w:val="378B697D"/>
    <w:rsid w:val="3791014C"/>
    <w:rsid w:val="37A31AD7"/>
    <w:rsid w:val="37B7EC98"/>
    <w:rsid w:val="37D26EAE"/>
    <w:rsid w:val="37D76612"/>
    <w:rsid w:val="37DB65E4"/>
    <w:rsid w:val="37F72FA0"/>
    <w:rsid w:val="38033FE9"/>
    <w:rsid w:val="38123949"/>
    <w:rsid w:val="38215FD1"/>
    <w:rsid w:val="38741F0E"/>
    <w:rsid w:val="388D20F1"/>
    <w:rsid w:val="38A10300"/>
    <w:rsid w:val="38AC6C9B"/>
    <w:rsid w:val="38D92FC0"/>
    <w:rsid w:val="39365415"/>
    <w:rsid w:val="393B4EBE"/>
    <w:rsid w:val="394D1DA7"/>
    <w:rsid w:val="39561225"/>
    <w:rsid w:val="39576658"/>
    <w:rsid w:val="39757AEF"/>
    <w:rsid w:val="399C7B64"/>
    <w:rsid w:val="39B70C73"/>
    <w:rsid w:val="39C162BE"/>
    <w:rsid w:val="39DFBF49"/>
    <w:rsid w:val="39E80CB8"/>
    <w:rsid w:val="39ED07F1"/>
    <w:rsid w:val="3A0646A2"/>
    <w:rsid w:val="3A184B1B"/>
    <w:rsid w:val="3A49689B"/>
    <w:rsid w:val="3A59585F"/>
    <w:rsid w:val="3A747520"/>
    <w:rsid w:val="3A9248CD"/>
    <w:rsid w:val="3AC47A56"/>
    <w:rsid w:val="3AE145C8"/>
    <w:rsid w:val="3AEF6D55"/>
    <w:rsid w:val="3B4D798B"/>
    <w:rsid w:val="3B5F8244"/>
    <w:rsid w:val="3B7E986E"/>
    <w:rsid w:val="3B9A2442"/>
    <w:rsid w:val="3BA824A6"/>
    <w:rsid w:val="3BDD426E"/>
    <w:rsid w:val="3C0325A5"/>
    <w:rsid w:val="3C06429A"/>
    <w:rsid w:val="3C192F00"/>
    <w:rsid w:val="3C2B4FD9"/>
    <w:rsid w:val="3C3A29F5"/>
    <w:rsid w:val="3C7C3A87"/>
    <w:rsid w:val="3CB72164"/>
    <w:rsid w:val="3CBD3698"/>
    <w:rsid w:val="3CC650FE"/>
    <w:rsid w:val="3CD218F9"/>
    <w:rsid w:val="3CEF52C7"/>
    <w:rsid w:val="3D2E2FD3"/>
    <w:rsid w:val="3D2F7AC0"/>
    <w:rsid w:val="3D58485D"/>
    <w:rsid w:val="3D8175A7"/>
    <w:rsid w:val="3D874491"/>
    <w:rsid w:val="3DA22D0F"/>
    <w:rsid w:val="3DD3100E"/>
    <w:rsid w:val="3DF1587D"/>
    <w:rsid w:val="3E3C67B1"/>
    <w:rsid w:val="3E506ABA"/>
    <w:rsid w:val="3E662A02"/>
    <w:rsid w:val="3E7C0A75"/>
    <w:rsid w:val="3E9A12CF"/>
    <w:rsid w:val="3E9C5D1B"/>
    <w:rsid w:val="3EC9387B"/>
    <w:rsid w:val="3EEF44F0"/>
    <w:rsid w:val="3EEF834E"/>
    <w:rsid w:val="3F402B4A"/>
    <w:rsid w:val="3F9B3455"/>
    <w:rsid w:val="3FC01EDD"/>
    <w:rsid w:val="3FD17C46"/>
    <w:rsid w:val="3FDF05B5"/>
    <w:rsid w:val="3FE17E8C"/>
    <w:rsid w:val="3FEC67B1"/>
    <w:rsid w:val="3FF43477"/>
    <w:rsid w:val="3FFB0522"/>
    <w:rsid w:val="4013200C"/>
    <w:rsid w:val="402406BD"/>
    <w:rsid w:val="40410B73"/>
    <w:rsid w:val="40533F4D"/>
    <w:rsid w:val="406A73A8"/>
    <w:rsid w:val="40760DF2"/>
    <w:rsid w:val="40AB2A9D"/>
    <w:rsid w:val="41041441"/>
    <w:rsid w:val="416A6AFE"/>
    <w:rsid w:val="419E26E3"/>
    <w:rsid w:val="41CA0DF1"/>
    <w:rsid w:val="41CE5F6A"/>
    <w:rsid w:val="41D67795"/>
    <w:rsid w:val="41F14E69"/>
    <w:rsid w:val="41FD4252"/>
    <w:rsid w:val="42402E61"/>
    <w:rsid w:val="428C600D"/>
    <w:rsid w:val="42912926"/>
    <w:rsid w:val="42980BB9"/>
    <w:rsid w:val="42D24401"/>
    <w:rsid w:val="42EF32F1"/>
    <w:rsid w:val="432D48D2"/>
    <w:rsid w:val="43374301"/>
    <w:rsid w:val="435A42B8"/>
    <w:rsid w:val="435B2E87"/>
    <w:rsid w:val="43833C1E"/>
    <w:rsid w:val="43FF37AF"/>
    <w:rsid w:val="44042BCA"/>
    <w:rsid w:val="440913B2"/>
    <w:rsid w:val="445B21D4"/>
    <w:rsid w:val="447D214A"/>
    <w:rsid w:val="449000D0"/>
    <w:rsid w:val="449A0F4E"/>
    <w:rsid w:val="449F0635"/>
    <w:rsid w:val="44A845B6"/>
    <w:rsid w:val="44F74795"/>
    <w:rsid w:val="4545710C"/>
    <w:rsid w:val="45514A65"/>
    <w:rsid w:val="4574354D"/>
    <w:rsid w:val="45C93721"/>
    <w:rsid w:val="45CD14F4"/>
    <w:rsid w:val="45DD46C5"/>
    <w:rsid w:val="460F073B"/>
    <w:rsid w:val="466C691A"/>
    <w:rsid w:val="4670640B"/>
    <w:rsid w:val="46787030"/>
    <w:rsid w:val="468A06F1"/>
    <w:rsid w:val="46A66D0F"/>
    <w:rsid w:val="46BE3F70"/>
    <w:rsid w:val="46C611EF"/>
    <w:rsid w:val="46CF509C"/>
    <w:rsid w:val="46DB784C"/>
    <w:rsid w:val="46E376CB"/>
    <w:rsid w:val="46F91A41"/>
    <w:rsid w:val="47013507"/>
    <w:rsid w:val="47190850"/>
    <w:rsid w:val="47291522"/>
    <w:rsid w:val="47477572"/>
    <w:rsid w:val="478165B0"/>
    <w:rsid w:val="47A0106D"/>
    <w:rsid w:val="47DF91F5"/>
    <w:rsid w:val="47FD3616"/>
    <w:rsid w:val="48174E30"/>
    <w:rsid w:val="4851401A"/>
    <w:rsid w:val="487873CB"/>
    <w:rsid w:val="489F153B"/>
    <w:rsid w:val="48B958BE"/>
    <w:rsid w:val="48CD0276"/>
    <w:rsid w:val="48ED1565"/>
    <w:rsid w:val="48FC3346"/>
    <w:rsid w:val="49044390"/>
    <w:rsid w:val="49254D08"/>
    <w:rsid w:val="494F414D"/>
    <w:rsid w:val="495B3AA6"/>
    <w:rsid w:val="49663AF5"/>
    <w:rsid w:val="49DB245C"/>
    <w:rsid w:val="49ED5236"/>
    <w:rsid w:val="49EF5898"/>
    <w:rsid w:val="49FE3A64"/>
    <w:rsid w:val="4A185994"/>
    <w:rsid w:val="4A24A1C6"/>
    <w:rsid w:val="4A720F03"/>
    <w:rsid w:val="4A8915B8"/>
    <w:rsid w:val="4A9106FD"/>
    <w:rsid w:val="4AAA6CD4"/>
    <w:rsid w:val="4ACB3A3E"/>
    <w:rsid w:val="4B1B6B27"/>
    <w:rsid w:val="4B4340EE"/>
    <w:rsid w:val="4B490FD8"/>
    <w:rsid w:val="4B602D44"/>
    <w:rsid w:val="4B750990"/>
    <w:rsid w:val="4B75139B"/>
    <w:rsid w:val="4BE9643F"/>
    <w:rsid w:val="4C1B0BC7"/>
    <w:rsid w:val="4C2C2DD4"/>
    <w:rsid w:val="4C6E033F"/>
    <w:rsid w:val="4C947039"/>
    <w:rsid w:val="4CB35C30"/>
    <w:rsid w:val="4CFA4C80"/>
    <w:rsid w:val="4CFE5DF2"/>
    <w:rsid w:val="4D896004"/>
    <w:rsid w:val="4D8C1650"/>
    <w:rsid w:val="4DA22664"/>
    <w:rsid w:val="4DB40903"/>
    <w:rsid w:val="4DCA5C07"/>
    <w:rsid w:val="4DF81FF6"/>
    <w:rsid w:val="4DFF24C5"/>
    <w:rsid w:val="4E0629BD"/>
    <w:rsid w:val="4E0E2A21"/>
    <w:rsid w:val="4E0F004F"/>
    <w:rsid w:val="4E296BA0"/>
    <w:rsid w:val="4E4143CE"/>
    <w:rsid w:val="4E4252FA"/>
    <w:rsid w:val="4E8A629A"/>
    <w:rsid w:val="4E9749B3"/>
    <w:rsid w:val="4E9D3353"/>
    <w:rsid w:val="4EBB3A00"/>
    <w:rsid w:val="4EBBA1FD"/>
    <w:rsid w:val="4ED7762F"/>
    <w:rsid w:val="4EE92773"/>
    <w:rsid w:val="4EF98EEF"/>
    <w:rsid w:val="4F054E34"/>
    <w:rsid w:val="4F302BDB"/>
    <w:rsid w:val="4F71473A"/>
    <w:rsid w:val="4FCD4C3E"/>
    <w:rsid w:val="4FD5E432"/>
    <w:rsid w:val="4FFA6D45"/>
    <w:rsid w:val="501047BA"/>
    <w:rsid w:val="5066262C"/>
    <w:rsid w:val="506B2515"/>
    <w:rsid w:val="506E1893"/>
    <w:rsid w:val="507C1E50"/>
    <w:rsid w:val="508834F3"/>
    <w:rsid w:val="50A86769"/>
    <w:rsid w:val="50D14D0D"/>
    <w:rsid w:val="50E61077"/>
    <w:rsid w:val="50FB664F"/>
    <w:rsid w:val="51004707"/>
    <w:rsid w:val="51153A4F"/>
    <w:rsid w:val="512527B9"/>
    <w:rsid w:val="514E7348"/>
    <w:rsid w:val="51612946"/>
    <w:rsid w:val="5181340F"/>
    <w:rsid w:val="51936BF0"/>
    <w:rsid w:val="520E67ED"/>
    <w:rsid w:val="521F2DEA"/>
    <w:rsid w:val="526B0D4E"/>
    <w:rsid w:val="52884ADC"/>
    <w:rsid w:val="528C58A8"/>
    <w:rsid w:val="529369ED"/>
    <w:rsid w:val="52E45075"/>
    <w:rsid w:val="52EA42FC"/>
    <w:rsid w:val="52FFF8CF"/>
    <w:rsid w:val="53794DF5"/>
    <w:rsid w:val="537A7948"/>
    <w:rsid w:val="53934FA0"/>
    <w:rsid w:val="53937294"/>
    <w:rsid w:val="53A55C08"/>
    <w:rsid w:val="53AC47FA"/>
    <w:rsid w:val="53DB6E8D"/>
    <w:rsid w:val="53DF77EE"/>
    <w:rsid w:val="53EB5894"/>
    <w:rsid w:val="53FB3123"/>
    <w:rsid w:val="54071BD3"/>
    <w:rsid w:val="54085ED4"/>
    <w:rsid w:val="541F75C8"/>
    <w:rsid w:val="544F4A68"/>
    <w:rsid w:val="548624A8"/>
    <w:rsid w:val="549A2D39"/>
    <w:rsid w:val="54A656ED"/>
    <w:rsid w:val="54BB6065"/>
    <w:rsid w:val="554B3383"/>
    <w:rsid w:val="5586575E"/>
    <w:rsid w:val="55A466F0"/>
    <w:rsid w:val="55AA4D69"/>
    <w:rsid w:val="55AD0C36"/>
    <w:rsid w:val="55D30991"/>
    <w:rsid w:val="55E5223F"/>
    <w:rsid w:val="561D1FC3"/>
    <w:rsid w:val="56312D95"/>
    <w:rsid w:val="563A60ED"/>
    <w:rsid w:val="568E6439"/>
    <w:rsid w:val="571068B8"/>
    <w:rsid w:val="57393A4C"/>
    <w:rsid w:val="57401A2B"/>
    <w:rsid w:val="5756B0A9"/>
    <w:rsid w:val="576126CC"/>
    <w:rsid w:val="579969CC"/>
    <w:rsid w:val="579C7024"/>
    <w:rsid w:val="57B57CAB"/>
    <w:rsid w:val="57C25C85"/>
    <w:rsid w:val="57DE6C17"/>
    <w:rsid w:val="57EA58F1"/>
    <w:rsid w:val="57F76F2E"/>
    <w:rsid w:val="57FFA39E"/>
    <w:rsid w:val="5808131B"/>
    <w:rsid w:val="58166888"/>
    <w:rsid w:val="5822508B"/>
    <w:rsid w:val="58367C09"/>
    <w:rsid w:val="58616165"/>
    <w:rsid w:val="586B3150"/>
    <w:rsid w:val="587663DD"/>
    <w:rsid w:val="58C21518"/>
    <w:rsid w:val="590D17E5"/>
    <w:rsid w:val="591B2945"/>
    <w:rsid w:val="59202131"/>
    <w:rsid w:val="592E69A0"/>
    <w:rsid w:val="5937287A"/>
    <w:rsid w:val="597A7064"/>
    <w:rsid w:val="59A109A3"/>
    <w:rsid w:val="59B21A73"/>
    <w:rsid w:val="59CE5EA5"/>
    <w:rsid w:val="59D10B16"/>
    <w:rsid w:val="59D93E6F"/>
    <w:rsid w:val="59D94E6A"/>
    <w:rsid w:val="5A153D34"/>
    <w:rsid w:val="5A3B0ADB"/>
    <w:rsid w:val="5A47473A"/>
    <w:rsid w:val="5A582493"/>
    <w:rsid w:val="5A70032F"/>
    <w:rsid w:val="5ABC17C7"/>
    <w:rsid w:val="5B111A56"/>
    <w:rsid w:val="5B403C30"/>
    <w:rsid w:val="5B5128C1"/>
    <w:rsid w:val="5B5F1C66"/>
    <w:rsid w:val="5B84587D"/>
    <w:rsid w:val="5B8A71CF"/>
    <w:rsid w:val="5B8B1199"/>
    <w:rsid w:val="5BD3BFE1"/>
    <w:rsid w:val="5BE03293"/>
    <w:rsid w:val="5BEC159A"/>
    <w:rsid w:val="5BFF0458"/>
    <w:rsid w:val="5BFFA6CA"/>
    <w:rsid w:val="5C081189"/>
    <w:rsid w:val="5C142F3C"/>
    <w:rsid w:val="5C157FAC"/>
    <w:rsid w:val="5C2A2925"/>
    <w:rsid w:val="5C3046CA"/>
    <w:rsid w:val="5C4855C1"/>
    <w:rsid w:val="5C52505C"/>
    <w:rsid w:val="5C6A684D"/>
    <w:rsid w:val="5C802FB6"/>
    <w:rsid w:val="5CA16EC6"/>
    <w:rsid w:val="5CC52489"/>
    <w:rsid w:val="5D150B96"/>
    <w:rsid w:val="5D2A0063"/>
    <w:rsid w:val="5D497FBE"/>
    <w:rsid w:val="5D8C3421"/>
    <w:rsid w:val="5D9806BD"/>
    <w:rsid w:val="5DAD5E5A"/>
    <w:rsid w:val="5DB02078"/>
    <w:rsid w:val="5DC05C3D"/>
    <w:rsid w:val="5DDC45A8"/>
    <w:rsid w:val="5E096D59"/>
    <w:rsid w:val="5E150F45"/>
    <w:rsid w:val="5E4F64AE"/>
    <w:rsid w:val="5E6F4DA2"/>
    <w:rsid w:val="5E727EC6"/>
    <w:rsid w:val="5E7A2598"/>
    <w:rsid w:val="5E9688E0"/>
    <w:rsid w:val="5E9F7921"/>
    <w:rsid w:val="5EC155FD"/>
    <w:rsid w:val="5ED35331"/>
    <w:rsid w:val="5EEAF03A"/>
    <w:rsid w:val="5F180F96"/>
    <w:rsid w:val="5F1D3778"/>
    <w:rsid w:val="5F1D76E0"/>
    <w:rsid w:val="5F57132F"/>
    <w:rsid w:val="5F5749EE"/>
    <w:rsid w:val="5F77068B"/>
    <w:rsid w:val="5F7D0688"/>
    <w:rsid w:val="5F9658E3"/>
    <w:rsid w:val="5F9F03B7"/>
    <w:rsid w:val="5FA317BF"/>
    <w:rsid w:val="5FA82319"/>
    <w:rsid w:val="5FB7C316"/>
    <w:rsid w:val="5FBE7D8F"/>
    <w:rsid w:val="5FC55CFD"/>
    <w:rsid w:val="5FC94739"/>
    <w:rsid w:val="5FCFA16B"/>
    <w:rsid w:val="5FD0361E"/>
    <w:rsid w:val="5FE702E6"/>
    <w:rsid w:val="5FEA2932"/>
    <w:rsid w:val="5FF4C8B7"/>
    <w:rsid w:val="5FF5052D"/>
    <w:rsid w:val="6008100A"/>
    <w:rsid w:val="60A94E0E"/>
    <w:rsid w:val="61046A56"/>
    <w:rsid w:val="61165994"/>
    <w:rsid w:val="6147663E"/>
    <w:rsid w:val="61495218"/>
    <w:rsid w:val="614C4F26"/>
    <w:rsid w:val="6162474A"/>
    <w:rsid w:val="61661167"/>
    <w:rsid w:val="61926B64"/>
    <w:rsid w:val="61D07906"/>
    <w:rsid w:val="61D73854"/>
    <w:rsid w:val="61E46AF3"/>
    <w:rsid w:val="61F24F72"/>
    <w:rsid w:val="62095A92"/>
    <w:rsid w:val="620F042E"/>
    <w:rsid w:val="622B2D1C"/>
    <w:rsid w:val="62430B0C"/>
    <w:rsid w:val="624A3985"/>
    <w:rsid w:val="62882710"/>
    <w:rsid w:val="62920C6F"/>
    <w:rsid w:val="629A0CEC"/>
    <w:rsid w:val="62CA6DE2"/>
    <w:rsid w:val="62DB0C58"/>
    <w:rsid w:val="63302D52"/>
    <w:rsid w:val="6330599C"/>
    <w:rsid w:val="63392F77"/>
    <w:rsid w:val="63415817"/>
    <w:rsid w:val="63824641"/>
    <w:rsid w:val="638C5AAE"/>
    <w:rsid w:val="63A76616"/>
    <w:rsid w:val="63DC07E4"/>
    <w:rsid w:val="63E94CAF"/>
    <w:rsid w:val="64104931"/>
    <w:rsid w:val="64163F14"/>
    <w:rsid w:val="642D5AD0"/>
    <w:rsid w:val="644A5F50"/>
    <w:rsid w:val="644D05D1"/>
    <w:rsid w:val="644D2F39"/>
    <w:rsid w:val="64A34349"/>
    <w:rsid w:val="64BA4D10"/>
    <w:rsid w:val="64E24D6C"/>
    <w:rsid w:val="65110A9C"/>
    <w:rsid w:val="651B281B"/>
    <w:rsid w:val="654A79CF"/>
    <w:rsid w:val="655A40B6"/>
    <w:rsid w:val="657B3D82"/>
    <w:rsid w:val="6582360D"/>
    <w:rsid w:val="65A235C1"/>
    <w:rsid w:val="65A41639"/>
    <w:rsid w:val="65B92FA9"/>
    <w:rsid w:val="65CB6D62"/>
    <w:rsid w:val="65CE23AE"/>
    <w:rsid w:val="65EBDE64"/>
    <w:rsid w:val="65F41B13"/>
    <w:rsid w:val="66292968"/>
    <w:rsid w:val="664D09A9"/>
    <w:rsid w:val="664F4836"/>
    <w:rsid w:val="66590095"/>
    <w:rsid w:val="66593116"/>
    <w:rsid w:val="666B782C"/>
    <w:rsid w:val="66734D28"/>
    <w:rsid w:val="668313EA"/>
    <w:rsid w:val="668855AB"/>
    <w:rsid w:val="66943F42"/>
    <w:rsid w:val="66E04A8F"/>
    <w:rsid w:val="66E67E8F"/>
    <w:rsid w:val="6703434E"/>
    <w:rsid w:val="67075EE0"/>
    <w:rsid w:val="6719319A"/>
    <w:rsid w:val="675306D7"/>
    <w:rsid w:val="678D23CA"/>
    <w:rsid w:val="686B0388"/>
    <w:rsid w:val="688E1276"/>
    <w:rsid w:val="68920561"/>
    <w:rsid w:val="689E6996"/>
    <w:rsid w:val="68CF3463"/>
    <w:rsid w:val="68F41C88"/>
    <w:rsid w:val="68FD7931"/>
    <w:rsid w:val="69205616"/>
    <w:rsid w:val="6963042E"/>
    <w:rsid w:val="696B601D"/>
    <w:rsid w:val="697D7477"/>
    <w:rsid w:val="69BA11E8"/>
    <w:rsid w:val="69F12F22"/>
    <w:rsid w:val="69F745C9"/>
    <w:rsid w:val="6A190AAA"/>
    <w:rsid w:val="6A3273AF"/>
    <w:rsid w:val="6A5E0F74"/>
    <w:rsid w:val="6A721EA2"/>
    <w:rsid w:val="6A9142E6"/>
    <w:rsid w:val="6A9F2028"/>
    <w:rsid w:val="6AA9761F"/>
    <w:rsid w:val="6AC96E88"/>
    <w:rsid w:val="6ACA16EF"/>
    <w:rsid w:val="6AEF34F2"/>
    <w:rsid w:val="6B1940CB"/>
    <w:rsid w:val="6B703E7E"/>
    <w:rsid w:val="6B8A3827"/>
    <w:rsid w:val="6BC0197D"/>
    <w:rsid w:val="6BD42718"/>
    <w:rsid w:val="6BEA2980"/>
    <w:rsid w:val="6C0134DD"/>
    <w:rsid w:val="6C045401"/>
    <w:rsid w:val="6C045B48"/>
    <w:rsid w:val="6C136D6D"/>
    <w:rsid w:val="6C254DA3"/>
    <w:rsid w:val="6C507FC1"/>
    <w:rsid w:val="6C667113"/>
    <w:rsid w:val="6C6C16B7"/>
    <w:rsid w:val="6C73141F"/>
    <w:rsid w:val="6CA6688A"/>
    <w:rsid w:val="6CAD61DE"/>
    <w:rsid w:val="6CC85DA9"/>
    <w:rsid w:val="6CD56718"/>
    <w:rsid w:val="6CD848DE"/>
    <w:rsid w:val="6CDD38FE"/>
    <w:rsid w:val="6CEE044F"/>
    <w:rsid w:val="6CF1194E"/>
    <w:rsid w:val="6D041A7D"/>
    <w:rsid w:val="6D471F91"/>
    <w:rsid w:val="6D584914"/>
    <w:rsid w:val="6D7767EF"/>
    <w:rsid w:val="6DAA462E"/>
    <w:rsid w:val="6DBB590E"/>
    <w:rsid w:val="6DD442E6"/>
    <w:rsid w:val="6DE24C48"/>
    <w:rsid w:val="6DF43D84"/>
    <w:rsid w:val="6DFBA2A5"/>
    <w:rsid w:val="6E2C05BA"/>
    <w:rsid w:val="6E6FF090"/>
    <w:rsid w:val="6E8151DA"/>
    <w:rsid w:val="6E957B94"/>
    <w:rsid w:val="6EA6FDCE"/>
    <w:rsid w:val="6EBD9988"/>
    <w:rsid w:val="6EC24A7A"/>
    <w:rsid w:val="6EDC27B1"/>
    <w:rsid w:val="6EEF48DD"/>
    <w:rsid w:val="6EFF4368"/>
    <w:rsid w:val="6EFF5B3F"/>
    <w:rsid w:val="6F2F78B8"/>
    <w:rsid w:val="6F347F03"/>
    <w:rsid w:val="6F435BBB"/>
    <w:rsid w:val="6F6A26B9"/>
    <w:rsid w:val="6F6D2D47"/>
    <w:rsid w:val="6F6F1A71"/>
    <w:rsid w:val="6F75A62A"/>
    <w:rsid w:val="6F9A11EF"/>
    <w:rsid w:val="6FB645DF"/>
    <w:rsid w:val="6FB72B5B"/>
    <w:rsid w:val="6FC26D8C"/>
    <w:rsid w:val="6FCDAB59"/>
    <w:rsid w:val="6FE577B2"/>
    <w:rsid w:val="6FEF5477"/>
    <w:rsid w:val="6FEFDA74"/>
    <w:rsid w:val="6FFCB242"/>
    <w:rsid w:val="700D2F95"/>
    <w:rsid w:val="701E3F32"/>
    <w:rsid w:val="702357B1"/>
    <w:rsid w:val="703161B1"/>
    <w:rsid w:val="70447562"/>
    <w:rsid w:val="7053007F"/>
    <w:rsid w:val="706E7720"/>
    <w:rsid w:val="70860455"/>
    <w:rsid w:val="70950698"/>
    <w:rsid w:val="70F4421A"/>
    <w:rsid w:val="70FA674D"/>
    <w:rsid w:val="713F0604"/>
    <w:rsid w:val="71845F40"/>
    <w:rsid w:val="718671D9"/>
    <w:rsid w:val="719170B1"/>
    <w:rsid w:val="71A02719"/>
    <w:rsid w:val="71D945B4"/>
    <w:rsid w:val="71EF64AF"/>
    <w:rsid w:val="71F01AA6"/>
    <w:rsid w:val="71F413EE"/>
    <w:rsid w:val="71FA7412"/>
    <w:rsid w:val="723216D2"/>
    <w:rsid w:val="72AF5690"/>
    <w:rsid w:val="72CB65F3"/>
    <w:rsid w:val="72F53B13"/>
    <w:rsid w:val="73093F85"/>
    <w:rsid w:val="736B1B84"/>
    <w:rsid w:val="73815910"/>
    <w:rsid w:val="739B4A7E"/>
    <w:rsid w:val="73BF03B5"/>
    <w:rsid w:val="73BF2A3F"/>
    <w:rsid w:val="73E642BA"/>
    <w:rsid w:val="742C1313"/>
    <w:rsid w:val="74367A09"/>
    <w:rsid w:val="74706307"/>
    <w:rsid w:val="748317D6"/>
    <w:rsid w:val="74A621C9"/>
    <w:rsid w:val="74D06143"/>
    <w:rsid w:val="74D774D1"/>
    <w:rsid w:val="74D83194"/>
    <w:rsid w:val="74E854D9"/>
    <w:rsid w:val="74FD513F"/>
    <w:rsid w:val="750752D4"/>
    <w:rsid w:val="751014CE"/>
    <w:rsid w:val="75297D3B"/>
    <w:rsid w:val="753A2076"/>
    <w:rsid w:val="753AA248"/>
    <w:rsid w:val="758BEF9B"/>
    <w:rsid w:val="75AB4D14"/>
    <w:rsid w:val="75E31A68"/>
    <w:rsid w:val="75E33C54"/>
    <w:rsid w:val="75F30755"/>
    <w:rsid w:val="75FF97AE"/>
    <w:rsid w:val="75FFCCC3"/>
    <w:rsid w:val="765C7127"/>
    <w:rsid w:val="766A2A06"/>
    <w:rsid w:val="767B5B98"/>
    <w:rsid w:val="767DEBEB"/>
    <w:rsid w:val="768023AC"/>
    <w:rsid w:val="76973DCE"/>
    <w:rsid w:val="76A038F3"/>
    <w:rsid w:val="76BEB4D8"/>
    <w:rsid w:val="76EA6D84"/>
    <w:rsid w:val="76FA2396"/>
    <w:rsid w:val="76FCD65C"/>
    <w:rsid w:val="77220103"/>
    <w:rsid w:val="77640DC4"/>
    <w:rsid w:val="777C74F2"/>
    <w:rsid w:val="777EE6BD"/>
    <w:rsid w:val="779076BE"/>
    <w:rsid w:val="77B47451"/>
    <w:rsid w:val="77BE5BDB"/>
    <w:rsid w:val="77EF0616"/>
    <w:rsid w:val="77EF777F"/>
    <w:rsid w:val="77F60D85"/>
    <w:rsid w:val="77FC4944"/>
    <w:rsid w:val="77FD2BD3"/>
    <w:rsid w:val="781243CF"/>
    <w:rsid w:val="781850A5"/>
    <w:rsid w:val="782FBBAE"/>
    <w:rsid w:val="783D09F4"/>
    <w:rsid w:val="787775D6"/>
    <w:rsid w:val="78807FCC"/>
    <w:rsid w:val="788E22F0"/>
    <w:rsid w:val="788F1E71"/>
    <w:rsid w:val="78A43B6E"/>
    <w:rsid w:val="78A56917"/>
    <w:rsid w:val="78BA0A8B"/>
    <w:rsid w:val="78D930EC"/>
    <w:rsid w:val="78DD7C7D"/>
    <w:rsid w:val="79091C23"/>
    <w:rsid w:val="790F4F76"/>
    <w:rsid w:val="79351706"/>
    <w:rsid w:val="79392582"/>
    <w:rsid w:val="79902D6C"/>
    <w:rsid w:val="79E955B1"/>
    <w:rsid w:val="7A100D8F"/>
    <w:rsid w:val="7A142600"/>
    <w:rsid w:val="7A1572B2"/>
    <w:rsid w:val="7A4343F9"/>
    <w:rsid w:val="7A454EDD"/>
    <w:rsid w:val="7A4B3747"/>
    <w:rsid w:val="7AA5772A"/>
    <w:rsid w:val="7AB61937"/>
    <w:rsid w:val="7AB91427"/>
    <w:rsid w:val="7AC56F99"/>
    <w:rsid w:val="7AE249BC"/>
    <w:rsid w:val="7B194D72"/>
    <w:rsid w:val="7B1D3764"/>
    <w:rsid w:val="7B29B6AC"/>
    <w:rsid w:val="7B551150"/>
    <w:rsid w:val="7B576EF9"/>
    <w:rsid w:val="7B5F3590"/>
    <w:rsid w:val="7B7E2C44"/>
    <w:rsid w:val="7B8C7FD5"/>
    <w:rsid w:val="7BAD2EC7"/>
    <w:rsid w:val="7BBD0CCF"/>
    <w:rsid w:val="7BBF0F33"/>
    <w:rsid w:val="7BD3521E"/>
    <w:rsid w:val="7BFB94E8"/>
    <w:rsid w:val="7C120518"/>
    <w:rsid w:val="7C1E325F"/>
    <w:rsid w:val="7C5035AE"/>
    <w:rsid w:val="7C6E9031"/>
    <w:rsid w:val="7C827506"/>
    <w:rsid w:val="7CAF663E"/>
    <w:rsid w:val="7CE037D8"/>
    <w:rsid w:val="7CFFDD5E"/>
    <w:rsid w:val="7D015980"/>
    <w:rsid w:val="7D1671FB"/>
    <w:rsid w:val="7D4117E2"/>
    <w:rsid w:val="7D5152C0"/>
    <w:rsid w:val="7D593B51"/>
    <w:rsid w:val="7D8F683A"/>
    <w:rsid w:val="7DBFD0DF"/>
    <w:rsid w:val="7DCF444D"/>
    <w:rsid w:val="7DD51CD0"/>
    <w:rsid w:val="7DE844FD"/>
    <w:rsid w:val="7E0C73E6"/>
    <w:rsid w:val="7E0F4D86"/>
    <w:rsid w:val="7E1C28BA"/>
    <w:rsid w:val="7E352FA9"/>
    <w:rsid w:val="7E376F73"/>
    <w:rsid w:val="7E5F3D63"/>
    <w:rsid w:val="7E5F5D63"/>
    <w:rsid w:val="7E75675D"/>
    <w:rsid w:val="7E97201A"/>
    <w:rsid w:val="7EA11D7A"/>
    <w:rsid w:val="7EAF3433"/>
    <w:rsid w:val="7EBD67E2"/>
    <w:rsid w:val="7EBE2892"/>
    <w:rsid w:val="7EF33B1E"/>
    <w:rsid w:val="7EF667A6"/>
    <w:rsid w:val="7EFC18E2"/>
    <w:rsid w:val="7F5C786D"/>
    <w:rsid w:val="7F5DDBE4"/>
    <w:rsid w:val="7F676BF6"/>
    <w:rsid w:val="7F717623"/>
    <w:rsid w:val="7F7537E4"/>
    <w:rsid w:val="7F7D2A1B"/>
    <w:rsid w:val="7F7D2A23"/>
    <w:rsid w:val="7F7DE031"/>
    <w:rsid w:val="7F800CD8"/>
    <w:rsid w:val="7FB79864"/>
    <w:rsid w:val="7FBB9465"/>
    <w:rsid w:val="7FBC633A"/>
    <w:rsid w:val="7FBC652D"/>
    <w:rsid w:val="7FCB5B0E"/>
    <w:rsid w:val="7FD1268B"/>
    <w:rsid w:val="7FD62FCD"/>
    <w:rsid w:val="7FDDB174"/>
    <w:rsid w:val="7FDF57E0"/>
    <w:rsid w:val="7FE378DD"/>
    <w:rsid w:val="7FE9630A"/>
    <w:rsid w:val="7FED5366"/>
    <w:rsid w:val="7FEF33FA"/>
    <w:rsid w:val="7FEF568F"/>
    <w:rsid w:val="7FEF7ECC"/>
    <w:rsid w:val="7FF048F5"/>
    <w:rsid w:val="7FF7E9E1"/>
    <w:rsid w:val="7FFA1B25"/>
    <w:rsid w:val="7FFF787F"/>
    <w:rsid w:val="7FFFAB0B"/>
    <w:rsid w:val="7FFFF8DB"/>
    <w:rsid w:val="8A5B3B8C"/>
    <w:rsid w:val="8FD50072"/>
    <w:rsid w:val="91FD2895"/>
    <w:rsid w:val="99D7E4DA"/>
    <w:rsid w:val="9CDE47A3"/>
    <w:rsid w:val="9DEC8C51"/>
    <w:rsid w:val="9EF9FB6D"/>
    <w:rsid w:val="A5BFDC8C"/>
    <w:rsid w:val="AAA3E6A1"/>
    <w:rsid w:val="AAEB8349"/>
    <w:rsid w:val="ABDF2884"/>
    <w:rsid w:val="ABF8AA43"/>
    <w:rsid w:val="ADFF0C86"/>
    <w:rsid w:val="AED6C61B"/>
    <w:rsid w:val="AEFFB858"/>
    <w:rsid w:val="B0FF3772"/>
    <w:rsid w:val="B5FE5AA0"/>
    <w:rsid w:val="B67F0638"/>
    <w:rsid w:val="B77EA2DD"/>
    <w:rsid w:val="B7DE79B5"/>
    <w:rsid w:val="B7FFAE27"/>
    <w:rsid w:val="B8DEE2C9"/>
    <w:rsid w:val="BA7D12EC"/>
    <w:rsid w:val="BBD7E467"/>
    <w:rsid w:val="BBEFCF03"/>
    <w:rsid w:val="BBF76192"/>
    <w:rsid w:val="BD5FB725"/>
    <w:rsid w:val="BECDD586"/>
    <w:rsid w:val="BEF90079"/>
    <w:rsid w:val="BFDB23C3"/>
    <w:rsid w:val="BFF2C5DD"/>
    <w:rsid w:val="BFF4F206"/>
    <w:rsid w:val="BFFAE29A"/>
    <w:rsid w:val="BFFB646F"/>
    <w:rsid w:val="C3E320C5"/>
    <w:rsid w:val="CAF9FAF3"/>
    <w:rsid w:val="CCFA3A03"/>
    <w:rsid w:val="CDFE1094"/>
    <w:rsid w:val="CEB30E4E"/>
    <w:rsid w:val="CEEB1FCF"/>
    <w:rsid w:val="D0BFED7C"/>
    <w:rsid w:val="D1777E14"/>
    <w:rsid w:val="D3EFB52D"/>
    <w:rsid w:val="D3FC9A21"/>
    <w:rsid w:val="D673798C"/>
    <w:rsid w:val="DB978BB4"/>
    <w:rsid w:val="DD366B5D"/>
    <w:rsid w:val="DDBC0D4D"/>
    <w:rsid w:val="DDEFA224"/>
    <w:rsid w:val="DEDB951E"/>
    <w:rsid w:val="DF7D3441"/>
    <w:rsid w:val="DF9F218B"/>
    <w:rsid w:val="DFA9DEE7"/>
    <w:rsid w:val="DFDAEC18"/>
    <w:rsid w:val="DFEF0F80"/>
    <w:rsid w:val="DFFF1859"/>
    <w:rsid w:val="E1F3F669"/>
    <w:rsid w:val="E2E5BE1E"/>
    <w:rsid w:val="E3C13177"/>
    <w:rsid w:val="E7BE027B"/>
    <w:rsid w:val="E7DFF025"/>
    <w:rsid w:val="E7E94E89"/>
    <w:rsid w:val="E7FF8224"/>
    <w:rsid w:val="E9C8111E"/>
    <w:rsid w:val="EC7FA15C"/>
    <w:rsid w:val="ECDE8436"/>
    <w:rsid w:val="ECFEE7B8"/>
    <w:rsid w:val="EE7C42B4"/>
    <w:rsid w:val="EE86B781"/>
    <w:rsid w:val="EED7B17A"/>
    <w:rsid w:val="EEFF0999"/>
    <w:rsid w:val="EEFF70D7"/>
    <w:rsid w:val="EEFFACE4"/>
    <w:rsid w:val="EF1BB24A"/>
    <w:rsid w:val="EF2F24FA"/>
    <w:rsid w:val="EFE6F2D2"/>
    <w:rsid w:val="F27360B0"/>
    <w:rsid w:val="F3A598B0"/>
    <w:rsid w:val="F47B50ED"/>
    <w:rsid w:val="F55E8A43"/>
    <w:rsid w:val="F62B0060"/>
    <w:rsid w:val="F77F8A84"/>
    <w:rsid w:val="F7D788FC"/>
    <w:rsid w:val="F7F33188"/>
    <w:rsid w:val="F7FF8443"/>
    <w:rsid w:val="F8E6CF01"/>
    <w:rsid w:val="F9E51018"/>
    <w:rsid w:val="FA5DA45B"/>
    <w:rsid w:val="FA6FB364"/>
    <w:rsid w:val="FADF1C83"/>
    <w:rsid w:val="FB7A5809"/>
    <w:rsid w:val="FBEFD308"/>
    <w:rsid w:val="FBFFFA2B"/>
    <w:rsid w:val="FD2D36BA"/>
    <w:rsid w:val="FD464950"/>
    <w:rsid w:val="FDB7C89B"/>
    <w:rsid w:val="FDBF1334"/>
    <w:rsid w:val="FDBFA614"/>
    <w:rsid w:val="FDD92912"/>
    <w:rsid w:val="FDD9BF8E"/>
    <w:rsid w:val="FDE76302"/>
    <w:rsid w:val="FDF73A10"/>
    <w:rsid w:val="FDFF1B17"/>
    <w:rsid w:val="FDFF5912"/>
    <w:rsid w:val="FEAE5FE2"/>
    <w:rsid w:val="FEB3DB56"/>
    <w:rsid w:val="FEE73101"/>
    <w:rsid w:val="FEF352AF"/>
    <w:rsid w:val="FEF6709D"/>
    <w:rsid w:val="FEFF1BBF"/>
    <w:rsid w:val="FEFF2566"/>
    <w:rsid w:val="FEFF90E7"/>
    <w:rsid w:val="FF3E85A4"/>
    <w:rsid w:val="FF7F95B1"/>
    <w:rsid w:val="FFAD5BD8"/>
    <w:rsid w:val="FFB451B0"/>
    <w:rsid w:val="FFC9BCEC"/>
    <w:rsid w:val="FFDBAA83"/>
    <w:rsid w:val="FFDF5F7F"/>
    <w:rsid w:val="FFE93D61"/>
    <w:rsid w:val="FFF7DD80"/>
    <w:rsid w:val="FFFA5F02"/>
    <w:rsid w:val="FFFD3693"/>
    <w:rsid w:val="FFFD9B25"/>
    <w:rsid w:val="FFFE459A"/>
    <w:rsid w:val="FFFE74A7"/>
    <w:rsid w:val="FFFF345C"/>
    <w:rsid w:val="FFFF99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Document Map"/>
    <w:basedOn w:val="1"/>
    <w:link w:val="16"/>
    <w:qFormat/>
    <w:uiPriority w:val="0"/>
    <w:rPr>
      <w:rFonts w:ascii="宋体"/>
      <w:sz w:val="18"/>
      <w:szCs w:val="18"/>
    </w:rPr>
  </w:style>
  <w:style w:type="paragraph" w:styleId="4">
    <w:name w:val="annotation text"/>
    <w:basedOn w:val="1"/>
    <w:qFormat/>
    <w:uiPriority w:val="0"/>
    <w:pPr>
      <w:jc w:val="left"/>
    </w:pPr>
  </w:style>
  <w:style w:type="paragraph" w:styleId="5">
    <w:name w:val="toc 3"/>
    <w:basedOn w:val="1"/>
    <w:next w:val="1"/>
    <w:qFormat/>
    <w:uiPriority w:val="0"/>
    <w:pPr>
      <w:ind w:left="840" w:leftChars="400"/>
    </w:pPr>
  </w:style>
  <w:style w:type="paragraph" w:styleId="6">
    <w:name w:val="Balloon Text"/>
    <w:basedOn w:val="1"/>
    <w:link w:val="17"/>
    <w:qFormat/>
    <w:uiPriority w:val="0"/>
    <w:rPr>
      <w:sz w:val="18"/>
      <w:szCs w:val="20"/>
    </w:rPr>
  </w:style>
  <w:style w:type="paragraph" w:styleId="7">
    <w:name w:val="footer"/>
    <w:basedOn w:val="1"/>
    <w:link w:val="18"/>
    <w:qFormat/>
    <w:uiPriority w:val="0"/>
    <w:pPr>
      <w:tabs>
        <w:tab w:val="center" w:pos="4153"/>
        <w:tab w:val="right" w:pos="8306"/>
      </w:tabs>
      <w:snapToGrid w:val="0"/>
      <w:jc w:val="left"/>
    </w:pPr>
    <w:rPr>
      <w:kern w:val="0"/>
      <w:sz w:val="28"/>
      <w:szCs w:val="20"/>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0"/>
    <w:pPr>
      <w:widowControl/>
      <w:spacing w:before="100" w:beforeAutospacing="1" w:after="200" w:line="276" w:lineRule="auto"/>
      <w:ind w:firstLine="150" w:firstLineChars="150"/>
      <w:jc w:val="left"/>
    </w:pPr>
    <w:rPr>
      <w:b/>
      <w:bCs/>
      <w:caps/>
      <w:kern w:val="0"/>
      <w:sz w:val="20"/>
      <w:szCs w:val="20"/>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Hyperlink"/>
    <w:qFormat/>
    <w:uiPriority w:val="0"/>
    <w:rPr>
      <w:rFonts w:cs="Times New Roman"/>
      <w:color w:val="0000FF"/>
      <w:u w:val="single"/>
    </w:rPr>
  </w:style>
  <w:style w:type="character" w:styleId="15">
    <w:name w:val="annotation reference"/>
    <w:basedOn w:val="13"/>
    <w:qFormat/>
    <w:uiPriority w:val="0"/>
    <w:rPr>
      <w:sz w:val="21"/>
      <w:szCs w:val="21"/>
    </w:rPr>
  </w:style>
  <w:style w:type="character" w:customStyle="1" w:styleId="16">
    <w:name w:val="文档结构图 Char"/>
    <w:link w:val="3"/>
    <w:qFormat/>
    <w:uiPriority w:val="0"/>
    <w:rPr>
      <w:rFonts w:ascii="宋体" w:cs="Times New Roman"/>
      <w:kern w:val="2"/>
      <w:sz w:val="18"/>
      <w:szCs w:val="18"/>
    </w:rPr>
  </w:style>
  <w:style w:type="character" w:customStyle="1" w:styleId="17">
    <w:name w:val="批注框文本 Char"/>
    <w:link w:val="6"/>
    <w:qFormat/>
    <w:uiPriority w:val="0"/>
    <w:rPr>
      <w:kern w:val="2"/>
      <w:sz w:val="18"/>
    </w:rPr>
  </w:style>
  <w:style w:type="character" w:customStyle="1" w:styleId="18">
    <w:name w:val="页脚 Char"/>
    <w:link w:val="7"/>
    <w:qFormat/>
    <w:uiPriority w:val="0"/>
    <w:rPr>
      <w:rFonts w:eastAsia="宋体"/>
      <w:sz w:val="28"/>
    </w:rPr>
  </w:style>
  <w:style w:type="character" w:customStyle="1" w:styleId="19">
    <w:name w:val="页眉 Char"/>
    <w:link w:val="8"/>
    <w:qFormat/>
    <w:uiPriority w:val="0"/>
    <w:rPr>
      <w:sz w:val="18"/>
      <w:szCs w:val="18"/>
    </w:rPr>
  </w:style>
  <w:style w:type="character" w:customStyle="1" w:styleId="20">
    <w:name w:val="页脚 Char1"/>
    <w:qFormat/>
    <w:uiPriority w:val="0"/>
    <w:rPr>
      <w:sz w:val="18"/>
    </w:rPr>
  </w:style>
  <w:style w:type="character" w:customStyle="1" w:styleId="21">
    <w:name w:val="font51"/>
    <w:qFormat/>
    <w:uiPriority w:val="0"/>
    <w:rPr>
      <w:rFonts w:ascii="宋体" w:hAnsi="宋体" w:eastAsia="宋体" w:cs="宋体"/>
      <w:color w:val="000000"/>
      <w:sz w:val="20"/>
      <w:szCs w:val="20"/>
      <w:u w:val="none"/>
    </w:rPr>
  </w:style>
  <w:style w:type="character" w:customStyle="1" w:styleId="22">
    <w:name w:val="font61"/>
    <w:qFormat/>
    <w:uiPriority w:val="0"/>
    <w:rPr>
      <w:rFonts w:ascii="Times New Roman" w:hAnsi="Times New Roman" w:cs="Times New Roman"/>
      <w:color w:val="000000"/>
      <w:sz w:val="20"/>
      <w:szCs w:val="20"/>
      <w:u w:val="none"/>
    </w:rPr>
  </w:style>
  <w:style w:type="character" w:customStyle="1" w:styleId="23">
    <w:name w:val="文一 Char Char"/>
    <w:link w:val="24"/>
    <w:qFormat/>
    <w:uiPriority w:val="0"/>
    <w:rPr>
      <w:rFonts w:eastAsia="宋体"/>
      <w:snapToGrid w:val="0"/>
      <w:spacing w:val="4"/>
      <w:sz w:val="24"/>
    </w:rPr>
  </w:style>
  <w:style w:type="paragraph" w:customStyle="1" w:styleId="24">
    <w:name w:val="文一"/>
    <w:basedOn w:val="1"/>
    <w:link w:val="23"/>
    <w:qFormat/>
    <w:uiPriority w:val="0"/>
    <w:pPr>
      <w:widowControl/>
      <w:topLinePunct/>
      <w:adjustRightInd w:val="0"/>
      <w:snapToGrid w:val="0"/>
      <w:spacing w:before="100" w:beforeAutospacing="1" w:after="200"/>
      <w:ind w:firstLine="200" w:firstLineChars="200"/>
      <w:jc w:val="left"/>
    </w:pPr>
    <w:rPr>
      <w:snapToGrid w:val="0"/>
      <w:spacing w:val="4"/>
      <w:kern w:val="0"/>
      <w:sz w:val="24"/>
      <w:szCs w:val="20"/>
    </w:rPr>
  </w:style>
  <w:style w:type="character" w:customStyle="1" w:styleId="25">
    <w:name w:val="页脚 Char Char"/>
    <w:qFormat/>
    <w:uiPriority w:val="0"/>
    <w:rPr>
      <w:sz w:val="18"/>
      <w:szCs w:val="18"/>
    </w:rPr>
  </w:style>
  <w:style w:type="paragraph" w:customStyle="1" w:styleId="26">
    <w:name w:val="真正文"/>
    <w:basedOn w:val="1"/>
    <w:qFormat/>
    <w:uiPriority w:val="0"/>
    <w:pPr>
      <w:widowControl/>
      <w:spacing w:before="156" w:beforeLines="50" w:after="156" w:afterLines="50"/>
      <w:ind w:firstLine="899" w:firstLineChars="200"/>
      <w:jc w:val="left"/>
    </w:pPr>
    <w:rPr>
      <w:kern w:val="0"/>
      <w:sz w:val="24"/>
      <w:szCs w:val="20"/>
    </w:rPr>
  </w:style>
  <w:style w:type="paragraph" w:customStyle="1" w:styleId="27">
    <w:name w:val="三、"/>
    <w:basedOn w:val="24"/>
    <w:next w:val="24"/>
    <w:qFormat/>
    <w:uiPriority w:val="0"/>
    <w:pPr>
      <w:spacing w:before="156" w:beforeLines="50" w:beforeAutospacing="0" w:after="156" w:afterLines="50"/>
      <w:ind w:firstLine="0" w:firstLineChars="0"/>
      <w:outlineLvl w:val="2"/>
    </w:pPr>
    <w:rPr>
      <w:rFonts w:ascii="黑体" w:hAnsi="黑体" w:eastAsia="黑体"/>
      <w:b/>
    </w:rPr>
  </w:style>
  <w:style w:type="paragraph" w:customStyle="1" w:styleId="28">
    <w:name w:val="WPSOffice手动目录 2"/>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29">
    <w:name w:val="封二"/>
    <w:basedOn w:val="24"/>
    <w:next w:val="24"/>
    <w:qFormat/>
    <w:uiPriority w:val="0"/>
    <w:pPr>
      <w:ind w:firstLine="0" w:firstLineChars="0"/>
      <w:jc w:val="center"/>
    </w:pPr>
    <w:rPr>
      <w:rFonts w:eastAsia="黑体"/>
      <w:b/>
      <w:sz w:val="36"/>
      <w:szCs w:val="36"/>
    </w:rPr>
  </w:style>
  <w:style w:type="paragraph" w:customStyle="1" w:styleId="30">
    <w:name w:val="4、"/>
    <w:basedOn w:val="24"/>
    <w:next w:val="26"/>
    <w:qFormat/>
    <w:uiPriority w:val="0"/>
    <w:pPr>
      <w:spacing w:before="156" w:beforeLines="50" w:beforeAutospacing="0" w:after="156" w:afterLines="50"/>
      <w:outlineLvl w:val="3"/>
    </w:pPr>
  </w:style>
  <w:style w:type="paragraph" w:customStyle="1" w:styleId="31">
    <w:name w:val="（5）"/>
    <w:basedOn w:val="30"/>
    <w:next w:val="26"/>
    <w:qFormat/>
    <w:uiPriority w:val="0"/>
    <w:pPr>
      <w:outlineLvl w:val="4"/>
    </w:pPr>
  </w:style>
  <w:style w:type="paragraph" w:customStyle="1" w:styleId="32">
    <w:name w:val="章节三"/>
    <w:basedOn w:val="24"/>
    <w:next w:val="24"/>
    <w:qFormat/>
    <w:uiPriority w:val="0"/>
    <w:pPr>
      <w:spacing w:before="156" w:beforeLines="50" w:after="156" w:afterLines="50"/>
      <w:ind w:firstLine="0" w:firstLineChars="0"/>
      <w:outlineLvl w:val="2"/>
    </w:pPr>
    <w:rPr>
      <w:rFonts w:ascii="黑体" w:hAnsi="宋体" w:eastAsia="黑体"/>
      <w:b/>
    </w:rPr>
  </w:style>
  <w:style w:type="paragraph" w:customStyle="1" w:styleId="33">
    <w:name w:val="章节二"/>
    <w:basedOn w:val="24"/>
    <w:next w:val="24"/>
    <w:qFormat/>
    <w:uiPriority w:val="0"/>
    <w:pPr>
      <w:spacing w:before="156" w:beforeLines="50" w:beforeAutospacing="0" w:after="156" w:afterLines="50"/>
      <w:ind w:firstLine="0" w:firstLineChars="0"/>
      <w:jc w:val="center"/>
      <w:outlineLvl w:val="1"/>
    </w:pPr>
    <w:rPr>
      <w:rFonts w:eastAsia="黑体"/>
      <w:b/>
      <w:sz w:val="30"/>
      <w:szCs w:val="30"/>
    </w:rPr>
  </w:style>
  <w:style w:type="paragraph" w:customStyle="1" w:styleId="34">
    <w:name w:val="第二节"/>
    <w:basedOn w:val="24"/>
    <w:next w:val="24"/>
    <w:qFormat/>
    <w:uiPriority w:val="0"/>
    <w:pPr>
      <w:spacing w:before="156" w:beforeLines="50" w:after="156" w:afterLines="50"/>
      <w:ind w:firstLine="0" w:firstLineChars="0"/>
      <w:jc w:val="center"/>
      <w:outlineLvl w:val="1"/>
    </w:pPr>
    <w:rPr>
      <w:rFonts w:eastAsia="黑体"/>
      <w:b/>
      <w:sz w:val="30"/>
      <w:szCs w:val="30"/>
    </w:rPr>
  </w:style>
  <w:style w:type="paragraph" w:customStyle="1" w:styleId="35">
    <w:name w:val="WPSOffice手动目录 3"/>
    <w:qFormat/>
    <w:uiPriority w:val="0"/>
    <w:pPr>
      <w:spacing w:line="360" w:lineRule="auto"/>
      <w:ind w:left="400" w:leftChars="400"/>
    </w:pPr>
    <w:rPr>
      <w:rFonts w:ascii="Times New Roman" w:hAnsi="Times New Roman" w:eastAsia="宋体" w:cs="Times New Roman"/>
      <w:lang w:val="en-US" w:eastAsia="zh-CN" w:bidi="ar-SA"/>
    </w:rPr>
  </w:style>
  <w:style w:type="paragraph" w:customStyle="1" w:styleId="36">
    <w:name w:val="封四"/>
    <w:basedOn w:val="24"/>
    <w:next w:val="24"/>
    <w:qFormat/>
    <w:uiPriority w:val="0"/>
    <w:rPr>
      <w:sz w:val="30"/>
      <w:szCs w:val="30"/>
    </w:rPr>
  </w:style>
  <w:style w:type="paragraph" w:customStyle="1" w:styleId="37">
    <w:name w:val="WPSOffice手动目录 1"/>
    <w:qFormat/>
    <w:uiPriority w:val="0"/>
    <w:pPr>
      <w:spacing w:line="360" w:lineRule="auto"/>
    </w:pPr>
    <w:rPr>
      <w:rFonts w:ascii="Times New Roman" w:hAnsi="Times New Roman" w:eastAsia="宋体" w:cs="Times New Roman"/>
      <w:lang w:val="en-US" w:eastAsia="zh-CN" w:bidi="ar-SA"/>
    </w:rPr>
  </w:style>
  <w:style w:type="paragraph" w:customStyle="1" w:styleId="38">
    <w:name w:val="第一部分"/>
    <w:basedOn w:val="24"/>
    <w:next w:val="24"/>
    <w:qFormat/>
    <w:uiPriority w:val="0"/>
    <w:pPr>
      <w:spacing w:before="156" w:beforeLines="50" w:after="156" w:afterLines="50"/>
      <w:ind w:firstLine="0" w:firstLineChars="0"/>
      <w:jc w:val="center"/>
      <w:outlineLvl w:val="0"/>
    </w:pPr>
    <w:rPr>
      <w:rFonts w:eastAsia="黑体"/>
      <w:b/>
      <w:sz w:val="36"/>
      <w:szCs w:val="36"/>
    </w:rPr>
  </w:style>
  <w:style w:type="paragraph" w:customStyle="1" w:styleId="39">
    <w:name w:val="p0"/>
    <w:basedOn w:val="1"/>
    <w:qFormat/>
    <w:uiPriority w:val="0"/>
    <w:pPr>
      <w:widowControl/>
      <w:jc w:val="left"/>
    </w:pPr>
    <w:rPr>
      <w:kern w:val="0"/>
      <w:szCs w:val="21"/>
    </w:rPr>
  </w:style>
  <w:style w:type="paragraph" w:customStyle="1" w:styleId="40">
    <w:name w:val="封一"/>
    <w:basedOn w:val="24"/>
    <w:next w:val="24"/>
    <w:qFormat/>
    <w:uiPriority w:val="0"/>
    <w:pPr>
      <w:ind w:firstLine="0" w:firstLineChars="0"/>
      <w:jc w:val="center"/>
    </w:pPr>
    <w:rPr>
      <w:rFonts w:eastAsia="黑体"/>
      <w:b/>
      <w:sz w:val="84"/>
      <w:szCs w:val="84"/>
    </w:rPr>
  </w:style>
  <w:style w:type="paragraph" w:customStyle="1" w:styleId="41">
    <w:name w:val="Table Text"/>
    <w:basedOn w:val="1"/>
    <w:semiHidden/>
    <w:qFormat/>
    <w:uiPriority w:val="0"/>
    <w:rPr>
      <w:rFonts w:ascii="宋体" w:hAnsi="宋体" w:eastAsia="宋体" w:cs="宋体"/>
      <w:sz w:val="22"/>
      <w:szCs w:val="22"/>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广州市重点公共建设项目管理中心</Company>
  <Pages>37</Pages>
  <Words>15353</Words>
  <Characters>15777</Characters>
  <Lines>1</Lines>
  <Paragraphs>1</Paragraphs>
  <TotalTime>28</TotalTime>
  <ScaleCrop>false</ScaleCrop>
  <LinksUpToDate>false</LinksUpToDate>
  <CharactersWithSpaces>17000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2023-06-10T15:35:00Z</dcterms:created>
  <dc:creator>造价审核部</dc:creator>
  <dc:description>林旋耀核稿</dc:description>
  <cp:lastModifiedBy>A</cp:lastModifiedBy>
  <cp:lastPrinted>2020-09-05T10:45:00Z</cp:lastPrinted>
  <dcterms:modified xsi:type="dcterms:W3CDTF">2025-11-14T08:53:12Z</dcterms:modified>
  <dc:title>工程量清单计价补充说明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83BE51588AC84E0C9FC9F64AC30309EE_13</vt:lpwstr>
  </property>
  <property fmtid="{D5CDD505-2E9C-101B-9397-08002B2CF9AE}" pid="4" name="KSOTemplateDocerSaveRecord">
    <vt:lpwstr>eyJoZGlkIjoiMmFmNjNlY2Y0NzdiMTI3YWIwZjIwMDZhZjg0NmFmMjEiLCJ1c2VySWQiOiI0MTA1NDcwMTYifQ==</vt:lpwstr>
  </property>
</Properties>
</file>