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09FDD">
      <w:pPr>
        <w:spacing w:line="360" w:lineRule="auto"/>
        <w:jc w:val="center"/>
        <w:rPr>
          <w:rFonts w:ascii="仿宋_GB2312;仿宋" w:hAnsi="仿宋_GB2312;仿宋" w:eastAsia="仿宋_GB2312;仿宋"/>
          <w:color w:val="000000" w:themeColor="text1"/>
          <w:sz w:val="24"/>
          <w:highlight w:val="none"/>
          <w14:textFill>
            <w14:solidFill>
              <w14:schemeClr w14:val="tx1"/>
            </w14:solidFill>
          </w14:textFill>
        </w:rPr>
      </w:pPr>
    </w:p>
    <w:p w14:paraId="759C8EC0">
      <w:pPr>
        <w:spacing w:line="360" w:lineRule="auto"/>
        <w:jc w:val="center"/>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 xml:space="preserve">                                                 </w:t>
      </w:r>
    </w:p>
    <w:p w14:paraId="4D5C7B7D">
      <w:pPr>
        <w:spacing w:line="360" w:lineRule="auto"/>
        <w:jc w:val="center"/>
        <w:rPr>
          <w:rFonts w:ascii="楷体_GB2312;楷体" w:hAnsi="楷体_GB2312;楷体" w:eastAsia="楷体_GB2312;楷体"/>
          <w:color w:val="000000" w:themeColor="text1"/>
          <w:sz w:val="18"/>
          <w:highlight w:val="none"/>
          <w14:textFill>
            <w14:solidFill>
              <w14:schemeClr w14:val="tx1"/>
            </w14:solidFill>
          </w14:textFill>
        </w:rPr>
      </w:pPr>
      <w:bookmarkStart w:id="5" w:name="_GoBack"/>
      <w:bookmarkEnd w:id="5"/>
      <w:r>
        <w:rPr>
          <w:rFonts w:ascii="仿宋_GB2312;仿宋" w:hAnsi="仿宋_GB2312;仿宋" w:eastAsia="仿宋_GB2312;仿宋"/>
          <w:color w:val="000000" w:themeColor="text1"/>
          <w:sz w:val="24"/>
          <w:highlight w:val="none"/>
          <w14:textFill>
            <w14:solidFill>
              <w14:schemeClr w14:val="tx1"/>
            </w14:solidFill>
          </w14:textFill>
        </w:rPr>
        <w:t xml:space="preserve">                                                                              </w:t>
      </w:r>
      <w:r>
        <w:rPr>
          <w:rFonts w:ascii="楷体_GB2312;楷体" w:hAnsi="楷体_GB2312;楷体" w:eastAsia="楷体_GB2312;楷体"/>
          <w:color w:val="000000" w:themeColor="text1"/>
          <w:sz w:val="18"/>
          <w:highlight w:val="none"/>
          <w14:textFill>
            <w14:solidFill>
              <w14:schemeClr w14:val="tx1"/>
            </w14:solidFill>
          </w14:textFill>
        </w:rPr>
        <w:t xml:space="preserve">     </w:t>
      </w:r>
    </w:p>
    <w:p w14:paraId="0C516C8E">
      <w:pPr>
        <w:spacing w:line="360" w:lineRule="auto"/>
        <w:jc w:val="center"/>
        <w:rPr>
          <w:rFonts w:ascii="楷体_GB2312;楷体" w:hAnsi="楷体_GB2312;楷体" w:eastAsia="楷体_GB2312;楷体"/>
          <w:color w:val="000000" w:themeColor="text1"/>
          <w:sz w:val="36"/>
          <w:highlight w:val="none"/>
          <w14:textFill>
            <w14:solidFill>
              <w14:schemeClr w14:val="tx1"/>
            </w14:solidFill>
          </w14:textFill>
        </w:rPr>
      </w:pPr>
    </w:p>
    <w:p w14:paraId="3CEA1FE6">
      <w:pPr>
        <w:spacing w:line="360" w:lineRule="auto"/>
        <w:jc w:val="center"/>
        <w:rPr>
          <w:rFonts w:ascii="楷体_GB2312;楷体" w:hAnsi="楷体_GB2312;楷体" w:eastAsia="楷体_GB2312;楷体"/>
          <w:color w:val="000000" w:themeColor="text1"/>
          <w:sz w:val="36"/>
          <w:highlight w:val="none"/>
          <w14:textFill>
            <w14:solidFill>
              <w14:schemeClr w14:val="tx1"/>
            </w14:solidFill>
          </w14:textFill>
        </w:rPr>
      </w:pPr>
    </w:p>
    <w:p w14:paraId="0C477C1C">
      <w:pPr>
        <w:spacing w:line="360" w:lineRule="auto"/>
        <w:jc w:val="center"/>
        <w:rPr>
          <w:rFonts w:ascii="楷体_GB2312;楷体" w:hAnsi="楷体_GB2312;楷体" w:eastAsia="楷体_GB2312;楷体"/>
          <w:color w:val="000000" w:themeColor="text1"/>
          <w:sz w:val="36"/>
          <w:highlight w:val="none"/>
          <w14:textFill>
            <w14:solidFill>
              <w14:schemeClr w14:val="tx1"/>
            </w14:solidFill>
          </w14:textFill>
        </w:rPr>
      </w:pPr>
    </w:p>
    <w:p w14:paraId="1C7387DE">
      <w:pPr>
        <w:spacing w:line="360" w:lineRule="auto"/>
        <w:jc w:val="center"/>
        <w:rPr>
          <w:rFonts w:ascii="楷体_GB2312;楷体" w:hAnsi="楷体_GB2312;楷体" w:eastAsia="楷体_GB2312;楷体"/>
          <w:color w:val="000000" w:themeColor="text1"/>
          <w:sz w:val="36"/>
          <w:highlight w:val="none"/>
          <w14:textFill>
            <w14:solidFill>
              <w14:schemeClr w14:val="tx1"/>
            </w14:solidFill>
          </w14:textFill>
        </w:rPr>
      </w:pPr>
    </w:p>
    <w:p w14:paraId="7CD595D7">
      <w:pPr>
        <w:spacing w:line="360" w:lineRule="auto"/>
        <w:jc w:val="center"/>
        <w:rPr>
          <w:rFonts w:ascii="楷体_GB2312;楷体" w:hAnsi="楷体_GB2312;楷体" w:eastAsia="楷体_GB2312;楷体"/>
          <w:color w:val="000000" w:themeColor="text1"/>
          <w:sz w:val="36"/>
          <w:highlight w:val="none"/>
          <w14:textFill>
            <w14:solidFill>
              <w14:schemeClr w14:val="tx1"/>
            </w14:solidFill>
          </w14:textFill>
        </w:rPr>
      </w:pPr>
    </w:p>
    <w:p w14:paraId="658BFDFD">
      <w:pPr>
        <w:spacing w:line="360" w:lineRule="auto"/>
        <w:jc w:val="center"/>
        <w:rPr>
          <w:rFonts w:ascii="楷体_GB2312;楷体" w:hAnsi="楷体_GB2312;楷体" w:eastAsia="楷体_GB2312;楷体"/>
          <w:b/>
          <w:color w:val="000000" w:themeColor="text1"/>
          <w:sz w:val="44"/>
          <w:highlight w:val="none"/>
          <w14:textFill>
            <w14:solidFill>
              <w14:schemeClr w14:val="tx1"/>
            </w14:solidFill>
          </w14:textFill>
        </w:rPr>
      </w:pPr>
      <w:r>
        <w:rPr>
          <w:rFonts w:hint="eastAsia" w:ascii="楷体_GB2312;楷体" w:hAnsi="楷体_GB2312;楷体" w:eastAsia="楷体_GB2312;楷体"/>
          <w:b/>
          <w:color w:val="000000" w:themeColor="text1"/>
          <w:sz w:val="44"/>
          <w:highlight w:val="none"/>
          <w:lang w:val="en-US" w:eastAsia="zh-CN"/>
          <w14:textFill>
            <w14:solidFill>
              <w14:schemeClr w14:val="tx1"/>
            </w14:solidFill>
          </w14:textFill>
        </w:rPr>
        <w:t>长兴地块</w:t>
      </w:r>
      <w:r>
        <w:rPr>
          <w:rFonts w:hint="eastAsia" w:ascii="楷体_GB2312;楷体" w:hAnsi="楷体_GB2312;楷体" w:eastAsia="楷体_GB2312;楷体"/>
          <w:b/>
          <w:color w:val="000000" w:themeColor="text1"/>
          <w:sz w:val="44"/>
          <w:highlight w:val="none"/>
          <w14:textFill>
            <w14:solidFill>
              <w14:schemeClr w14:val="tx1"/>
            </w14:solidFill>
          </w14:textFill>
        </w:rPr>
        <w:t>项目</w:t>
      </w:r>
      <w:r>
        <w:rPr>
          <w:rFonts w:hint="eastAsia" w:ascii="楷体_GB2312;楷体" w:hAnsi="楷体_GB2312;楷体" w:eastAsia="楷体_GB2312;楷体"/>
          <w:b/>
          <w:color w:val="000000" w:themeColor="text1"/>
          <w:sz w:val="44"/>
          <w:highlight w:val="none"/>
          <w:lang w:val="en-US" w:eastAsia="zh-CN"/>
          <w14:textFill>
            <w14:solidFill>
              <w14:schemeClr w14:val="tx1"/>
            </w14:solidFill>
          </w14:textFill>
        </w:rPr>
        <w:t>售楼处会所、创意样板间及主题架空层等</w:t>
      </w:r>
      <w:r>
        <w:rPr>
          <w:rFonts w:ascii="楷体_GB2312;楷体" w:hAnsi="楷体_GB2312;楷体" w:eastAsia="楷体_GB2312;楷体"/>
          <w:b/>
          <w:color w:val="000000" w:themeColor="text1"/>
          <w:sz w:val="44"/>
          <w:highlight w:val="none"/>
          <w14:textFill>
            <w14:solidFill>
              <w14:schemeClr w14:val="tx1"/>
            </w14:solidFill>
          </w14:textFill>
        </w:rPr>
        <w:t>装修设计服务合同</w:t>
      </w:r>
    </w:p>
    <w:p w14:paraId="3DCB8B21">
      <w:pPr>
        <w:spacing w:line="360" w:lineRule="auto"/>
        <w:jc w:val="center"/>
        <w:rPr>
          <w:rFonts w:ascii="宋体;SimSun" w:hAnsi="宋体;SimSun" w:eastAsia="楷体_GB2312;楷体"/>
          <w:b/>
          <w:color w:val="000000" w:themeColor="text1"/>
          <w:sz w:val="36"/>
          <w:highlight w:val="none"/>
          <w14:textFill>
            <w14:solidFill>
              <w14:schemeClr w14:val="tx1"/>
            </w14:solidFill>
          </w14:textFill>
        </w:rPr>
      </w:pPr>
    </w:p>
    <w:p w14:paraId="3B12B66C">
      <w:pPr>
        <w:spacing w:line="360" w:lineRule="auto"/>
        <w:jc w:val="center"/>
        <w:rPr>
          <w:rFonts w:ascii="宋体;SimSun" w:hAnsi="宋体;SimSun" w:eastAsia="Noto Sans"/>
          <w:b/>
          <w:color w:val="000000" w:themeColor="text1"/>
          <w:sz w:val="36"/>
          <w:highlight w:val="none"/>
          <w14:textFill>
            <w14:solidFill>
              <w14:schemeClr w14:val="tx1"/>
            </w14:solidFill>
          </w14:textFill>
        </w:rPr>
      </w:pPr>
    </w:p>
    <w:p w14:paraId="529A0501">
      <w:pPr>
        <w:spacing w:line="360" w:lineRule="auto"/>
        <w:rPr>
          <w:rFonts w:ascii="宋体;SimSun" w:hAnsi="宋体;SimSun" w:eastAsia="Noto Sans"/>
          <w:b/>
          <w:color w:val="000000" w:themeColor="text1"/>
          <w:sz w:val="36"/>
          <w:highlight w:val="none"/>
          <w14:textFill>
            <w14:solidFill>
              <w14:schemeClr w14:val="tx1"/>
            </w14:solidFill>
          </w14:textFill>
        </w:rPr>
      </w:pPr>
    </w:p>
    <w:p w14:paraId="27DCA281">
      <w:pPr>
        <w:spacing w:line="360" w:lineRule="auto"/>
        <w:jc w:val="center"/>
        <w:rPr>
          <w:rFonts w:ascii="宋体;SimSun" w:hAnsi="宋体;SimSun" w:eastAsia="Noto Sans"/>
          <w:color w:val="000000" w:themeColor="text1"/>
          <w:sz w:val="28"/>
          <w:highlight w:val="none"/>
          <w14:textFill>
            <w14:solidFill>
              <w14:schemeClr w14:val="tx1"/>
            </w14:solidFill>
          </w14:textFill>
        </w:rPr>
      </w:pPr>
    </w:p>
    <w:p w14:paraId="7E6A063E">
      <w:pPr>
        <w:spacing w:line="360" w:lineRule="auto"/>
        <w:jc w:val="center"/>
        <w:rPr>
          <w:rFonts w:ascii="宋体;SimSun" w:hAnsi="宋体;SimSun" w:eastAsia="Noto Sans"/>
          <w:color w:val="000000" w:themeColor="text1"/>
          <w:sz w:val="28"/>
          <w:highlight w:val="none"/>
          <w14:textFill>
            <w14:solidFill>
              <w14:schemeClr w14:val="tx1"/>
            </w14:solidFill>
          </w14:textFill>
        </w:rPr>
      </w:pPr>
    </w:p>
    <w:p w14:paraId="6F048895">
      <w:pPr>
        <w:spacing w:line="360" w:lineRule="auto"/>
        <w:rPr>
          <w:rFonts w:ascii="宋体;SimSun" w:hAnsi="宋体;SimSun" w:eastAsia="Noto Sans"/>
          <w:color w:val="000000" w:themeColor="text1"/>
          <w:sz w:val="28"/>
          <w:highlight w:val="none"/>
          <w14:textFill>
            <w14:solidFill>
              <w14:schemeClr w14:val="tx1"/>
            </w14:solidFill>
          </w14:textFill>
        </w:rPr>
      </w:pPr>
    </w:p>
    <w:p w14:paraId="7AD53670">
      <w:pPr>
        <w:pStyle w:val="68"/>
        <w:spacing w:line="360" w:lineRule="auto"/>
        <w:ind w:left="2409"/>
        <w:rPr>
          <w:color w:val="000000" w:themeColor="text1"/>
          <w:highlight w:val="none"/>
          <w:u w:val="none"/>
          <w14:textFill>
            <w14:solidFill>
              <w14:schemeClr w14:val="tx1"/>
            </w14:solidFill>
          </w14:textFill>
        </w:rPr>
      </w:pPr>
      <w:r>
        <w:rPr>
          <w:rFonts w:ascii="仿宋_GB2312;仿宋" w:hAnsi="仿宋_GB2312;仿宋" w:eastAsia="仿宋_GB2312;仿宋"/>
          <w:color w:val="000000" w:themeColor="text1"/>
          <w:sz w:val="28"/>
          <w:highlight w:val="none"/>
          <w14:textFill>
            <w14:solidFill>
              <w14:schemeClr w14:val="tx1"/>
            </w14:solidFill>
          </w14:textFill>
        </w:rPr>
        <w:t>甲方：</w:t>
      </w:r>
      <w:r>
        <w:rPr>
          <w:rFonts w:hint="eastAsia" w:ascii="宋体" w:hAnsi="宋体" w:eastAsia="宋体" w:cs="宋体"/>
          <w:bCs/>
          <w:sz w:val="28"/>
          <w:szCs w:val="28"/>
          <w:highlight w:val="none"/>
          <w:u w:val="none"/>
          <w:lang w:val="en-US" w:eastAsia="zh-CN"/>
        </w:rPr>
        <w:t>广州市智鸿房地产开发有限公司</w:t>
      </w:r>
    </w:p>
    <w:p w14:paraId="0E036A1E">
      <w:pPr>
        <w:pStyle w:val="68"/>
        <w:spacing w:line="360" w:lineRule="auto"/>
        <w:ind w:left="2409"/>
        <w:rPr>
          <w:rFonts w:ascii="仿宋_GB2312;仿宋" w:hAnsi="仿宋_GB2312;仿宋" w:eastAsia="仿宋_GB2312;仿宋"/>
          <w:b/>
          <w:color w:val="000000" w:themeColor="text1"/>
          <w:sz w:val="28"/>
          <w:highlight w:val="none"/>
          <w14:textFill>
            <w14:solidFill>
              <w14:schemeClr w14:val="tx1"/>
            </w14:solidFill>
          </w14:textFill>
        </w:rPr>
      </w:pPr>
      <w:r>
        <w:rPr>
          <w:rFonts w:ascii="仿宋_GB2312;仿宋" w:hAnsi="仿宋_GB2312;仿宋" w:eastAsia="仿宋_GB2312;仿宋"/>
          <w:color w:val="000000" w:themeColor="text1"/>
          <w:sz w:val="28"/>
          <w:highlight w:val="none"/>
          <w14:textFill>
            <w14:solidFill>
              <w14:schemeClr w14:val="tx1"/>
            </w14:solidFill>
          </w14:textFill>
        </w:rPr>
        <w:t>乙方：</w:t>
      </w:r>
      <w:r>
        <w:rPr>
          <w:rFonts w:hint="eastAsia" w:ascii="仿宋_GB2312;仿宋" w:hAnsi="仿宋_GB2312;仿宋" w:eastAsia="仿宋_GB2312;仿宋"/>
          <w:color w:val="000000" w:themeColor="text1"/>
          <w:sz w:val="28"/>
          <w:highlight w:val="none"/>
          <w:lang w:val="en-US" w:eastAsia="zh-CN"/>
          <w14:textFill>
            <w14:solidFill>
              <w14:schemeClr w14:val="tx1"/>
            </w14:solidFill>
          </w14:textFill>
        </w:rPr>
        <w:t xml:space="preserve">                           </w:t>
      </w:r>
      <w:r>
        <w:rPr>
          <w:rFonts w:hint="eastAsia" w:ascii="宋体" w:hAnsi="宋体" w:eastAsia="宋体" w:cs="宋体"/>
          <w:bCs/>
          <w:sz w:val="28"/>
          <w:szCs w:val="28"/>
          <w:highlight w:val="none"/>
          <w:u w:val="single"/>
          <w:lang w:val="en-US" w:eastAsia="zh-CN"/>
        </w:rPr>
        <w:t xml:space="preserve">                               </w:t>
      </w:r>
      <w:r>
        <w:rPr>
          <w:rFonts w:hint="eastAsia" w:ascii="仿宋_GB2312;仿宋" w:hAnsi="仿宋_GB2312;仿宋" w:eastAsia="仿宋_GB2312;仿宋"/>
          <w:color w:val="000000" w:themeColor="text1"/>
          <w:sz w:val="28"/>
          <w:highlight w:val="none"/>
          <w:u w:val="none"/>
          <w:lang w:val="en-US" w:eastAsia="zh-CN"/>
          <w14:textFill>
            <w14:solidFill>
              <w14:schemeClr w14:val="tx1"/>
            </w14:solidFill>
          </w14:textFill>
        </w:rPr>
        <w:t xml:space="preserve">                           </w:t>
      </w:r>
      <w:r>
        <w:rPr>
          <w:rFonts w:hint="eastAsia" w:ascii="仿宋_GB2312;仿宋" w:hAnsi="仿宋_GB2312;仿宋" w:eastAsia="仿宋_GB2312;仿宋"/>
          <w:color w:val="000000" w:themeColor="text1"/>
          <w:sz w:val="28"/>
          <w:highlight w:val="none"/>
          <w:lang w:val="en-US" w:eastAsia="zh-CN"/>
          <w14:textFill>
            <w14:solidFill>
              <w14:schemeClr w14:val="tx1"/>
            </w14:solidFill>
          </w14:textFill>
        </w:rPr>
        <w:t xml:space="preserve"> </w:t>
      </w:r>
      <w:r>
        <w:rPr>
          <w:rFonts w:ascii="仿宋_GB2312;仿宋" w:hAnsi="仿宋_GB2312;仿宋" w:eastAsia="仿宋_GB2312;仿宋"/>
          <w:b/>
          <w:color w:val="000000" w:themeColor="text1"/>
          <w:sz w:val="28"/>
          <w:highlight w:val="none"/>
          <w14:textFill>
            <w14:solidFill>
              <w14:schemeClr w14:val="tx1"/>
            </w14:solidFill>
          </w14:textFill>
        </w:rPr>
        <w:t xml:space="preserve"> </w:t>
      </w:r>
    </w:p>
    <w:p w14:paraId="678BE646">
      <w:pPr>
        <w:pStyle w:val="68"/>
        <w:spacing w:line="360" w:lineRule="auto"/>
        <w:ind w:left="2409"/>
        <w:rPr>
          <w:rFonts w:hint="default" w:eastAsia="仿宋_GB2312;仿宋"/>
          <w:highlight w:val="none"/>
          <w:u w:val="single"/>
          <w:lang w:val="en-US" w:eastAsia="zh-CN"/>
        </w:rPr>
      </w:pPr>
      <w:r>
        <w:rPr>
          <w:rFonts w:hint="eastAsia" w:ascii="仿宋_GB2312;仿宋" w:hAnsi="仿宋_GB2312;仿宋" w:eastAsia="仿宋_GB2312;仿宋"/>
          <w:color w:val="000000" w:themeColor="text1"/>
          <w:sz w:val="28"/>
          <w:highlight w:val="none"/>
          <w:lang w:val="en-US" w:eastAsia="zh-CN"/>
          <w14:textFill>
            <w14:solidFill>
              <w14:schemeClr w14:val="tx1"/>
            </w14:solidFill>
          </w14:textFill>
        </w:rPr>
        <w:t>合同编号</w:t>
      </w:r>
      <w:r>
        <w:rPr>
          <w:rFonts w:ascii="仿宋_GB2312;仿宋" w:hAnsi="仿宋_GB2312;仿宋" w:eastAsia="仿宋_GB2312;仿宋"/>
          <w:color w:val="000000" w:themeColor="text1"/>
          <w:sz w:val="28"/>
          <w:highlight w:val="none"/>
          <w14:textFill>
            <w14:solidFill>
              <w14:schemeClr w14:val="tx1"/>
            </w14:solidFill>
          </w14:textFill>
        </w:rPr>
        <w:t>：</w:t>
      </w:r>
      <w:r>
        <w:rPr>
          <w:rFonts w:hint="eastAsia" w:ascii="仿宋_GB2312;仿宋" w:hAnsi="仿宋_GB2312;仿宋" w:eastAsia="仿宋_GB2312;仿宋"/>
          <w:b/>
          <w:color w:val="000000" w:themeColor="text1"/>
          <w:kern w:val="0"/>
          <w:sz w:val="28"/>
          <w:highlight w:val="none"/>
          <w:u w:val="single"/>
          <w:lang w:val="en-US" w:eastAsia="zh-CN"/>
          <w14:textFill>
            <w14:solidFill>
              <w14:schemeClr w14:val="tx1"/>
            </w14:solidFill>
          </w14:textFill>
        </w:rPr>
        <w:t xml:space="preserve">                   </w:t>
      </w:r>
    </w:p>
    <w:p w14:paraId="26321C29">
      <w:pPr>
        <w:pStyle w:val="68"/>
        <w:spacing w:line="360" w:lineRule="auto"/>
        <w:ind w:left="2409"/>
        <w:rPr>
          <w:color w:val="000000" w:themeColor="text1"/>
          <w:highlight w:val="none"/>
          <w14:textFill>
            <w14:solidFill>
              <w14:schemeClr w14:val="tx1"/>
            </w14:solidFill>
          </w14:textFill>
        </w:rPr>
      </w:pPr>
      <w:r>
        <w:rPr>
          <w:rFonts w:ascii="仿宋_GB2312;仿宋" w:hAnsi="仿宋_GB2312;仿宋" w:eastAsia="仿宋_GB2312;仿宋"/>
          <w:color w:val="000000" w:themeColor="text1"/>
          <w:sz w:val="28"/>
          <w:highlight w:val="none"/>
          <w14:textFill>
            <w14:solidFill>
              <w14:schemeClr w14:val="tx1"/>
            </w14:solidFill>
          </w14:textFill>
        </w:rPr>
        <w:t>签订日期：  年  月  日</w:t>
      </w:r>
    </w:p>
    <w:p w14:paraId="491A0198">
      <w:pPr>
        <w:pStyle w:val="68"/>
        <w:spacing w:line="360" w:lineRule="auto"/>
        <w:ind w:left="2409"/>
        <w:rPr>
          <w:rFonts w:ascii="仿宋_GB2312;仿宋" w:hAnsi="仿宋_GB2312;仿宋" w:eastAsia="仿宋_GB2312;仿宋"/>
          <w:color w:val="000000" w:themeColor="text1"/>
          <w:sz w:val="28"/>
          <w:highlight w:val="none"/>
          <w14:textFill>
            <w14:solidFill>
              <w14:schemeClr w14:val="tx1"/>
            </w14:solidFill>
          </w14:textFill>
        </w:rPr>
      </w:pPr>
      <w:r>
        <w:rPr>
          <w:rFonts w:ascii="仿宋_GB2312;仿宋" w:hAnsi="仿宋_GB2312;仿宋" w:eastAsia="仿宋_GB2312;仿宋"/>
          <w:color w:val="000000" w:themeColor="text1"/>
          <w:sz w:val="28"/>
          <w:highlight w:val="none"/>
          <w14:textFill>
            <w14:solidFill>
              <w14:schemeClr w14:val="tx1"/>
            </w14:solidFill>
          </w14:textFill>
        </w:rPr>
        <w:t>签订地点：</w:t>
      </w:r>
      <w:r>
        <w:rPr>
          <w:rFonts w:hint="eastAsia" w:ascii="仿宋_GB2312;仿宋" w:hAnsi="仿宋_GB2312;仿宋" w:eastAsia="仿宋_GB2312;仿宋"/>
          <w:color w:val="000000" w:themeColor="text1"/>
          <w:sz w:val="28"/>
          <w:highlight w:val="none"/>
          <w:lang w:val="en-US" w:eastAsia="zh-CN"/>
          <w14:textFill>
            <w14:solidFill>
              <w14:schemeClr w14:val="tx1"/>
            </w14:solidFill>
          </w14:textFill>
        </w:rPr>
        <w:t>广州市花都区</w:t>
      </w:r>
    </w:p>
    <w:p w14:paraId="0CA3CA3E">
      <w:pPr>
        <w:pStyle w:val="68"/>
        <w:spacing w:line="360" w:lineRule="auto"/>
        <w:ind w:left="2409"/>
        <w:rPr>
          <w:rFonts w:ascii="仿宋_GB2312;仿宋" w:hAnsi="仿宋_GB2312;仿宋" w:eastAsia="仿宋_GB2312;仿宋"/>
          <w:color w:val="000000" w:themeColor="text1"/>
          <w:sz w:val="28"/>
          <w:highlight w:val="none"/>
          <w14:textFill>
            <w14:solidFill>
              <w14:schemeClr w14:val="tx1"/>
            </w14:solidFill>
          </w14:textFill>
        </w:rPr>
      </w:pPr>
      <w:r>
        <w:rPr>
          <w:rFonts w:ascii="仿宋_GB2312;仿宋" w:hAnsi="仿宋_GB2312;仿宋" w:eastAsia="仿宋_GB2312;仿宋"/>
          <w:color w:val="000000" w:themeColor="text1"/>
          <w:sz w:val="28"/>
          <w:highlight w:val="none"/>
          <w14:textFill>
            <w14:solidFill>
              <w14:schemeClr w14:val="tx1"/>
            </w14:solidFill>
          </w14:textFill>
        </w:rPr>
        <w:t xml:space="preserve">  </w:t>
      </w:r>
    </w:p>
    <w:p w14:paraId="13EB0A02">
      <w:pPr>
        <w:spacing w:line="360" w:lineRule="auto"/>
        <w:ind w:firstLine="140"/>
        <w:rPr>
          <w:rFonts w:ascii="仿宋_GB2312;仿宋" w:hAnsi="仿宋_GB2312;仿宋" w:eastAsia="仿宋_GB2312;仿宋"/>
          <w:color w:val="000000" w:themeColor="text1"/>
          <w:sz w:val="28"/>
          <w:highlight w:val="none"/>
          <w:u w:val="single"/>
          <w14:textFill>
            <w14:solidFill>
              <w14:schemeClr w14:val="tx1"/>
            </w14:solidFill>
          </w14:textFill>
        </w:rPr>
      </w:pPr>
    </w:p>
    <w:p w14:paraId="27CAB67D">
      <w:pPr>
        <w:tabs>
          <w:tab w:val="left" w:pos="200"/>
        </w:tabs>
        <w:spacing w:line="360" w:lineRule="auto"/>
        <w:jc w:val="center"/>
        <w:rPr>
          <w:rFonts w:hint="eastAsia" w:ascii="仿宋_GB2312;仿宋" w:hAnsi="仿宋_GB2312;仿宋" w:eastAsia="仿宋_GB2312;仿宋"/>
          <w:b/>
          <w:color w:val="000000" w:themeColor="text1"/>
          <w:sz w:val="24"/>
          <w:highlight w:val="none"/>
          <w14:textFill>
            <w14:solidFill>
              <w14:schemeClr w14:val="tx1"/>
            </w14:solidFill>
          </w14:textFill>
        </w:rPr>
      </w:pPr>
    </w:p>
    <w:p w14:paraId="174F85E8">
      <w:pPr>
        <w:tabs>
          <w:tab w:val="left" w:pos="200"/>
        </w:tabs>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委托人（甲方）：</w:t>
      </w:r>
      <w:r>
        <w:rPr>
          <w:rFonts w:hint="eastAsia" w:ascii="仿宋_GB2312;仿宋" w:hAnsi="仿宋_GB2312;仿宋" w:eastAsia="仿宋_GB2312;仿宋"/>
          <w:b/>
          <w:color w:val="000000" w:themeColor="text1"/>
          <w:sz w:val="24"/>
          <w:highlight w:val="none"/>
          <w14:textFill>
            <w14:solidFill>
              <w14:schemeClr w14:val="tx1"/>
            </w14:solidFill>
          </w14:textFill>
        </w:rPr>
        <w:t>广州市智鸿房地产开发有限公司</w:t>
      </w:r>
    </w:p>
    <w:p w14:paraId="4A14EA11">
      <w:pPr>
        <w:tabs>
          <w:tab w:val="left" w:pos="200"/>
        </w:tabs>
        <w:spacing w:line="360" w:lineRule="auto"/>
        <w:rPr>
          <w:rFonts w:ascii="仿宋_GB2312;仿宋" w:hAnsi="仿宋_GB2312;仿宋" w:eastAsia="仿宋_GB2312;仿宋"/>
          <w:b/>
          <w:color w:val="000000" w:themeColor="text1"/>
          <w:sz w:val="24"/>
          <w:highlight w:val="none"/>
          <w:u w:val="singl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设计人（乙方）：</w:t>
      </w:r>
    </w:p>
    <w:p w14:paraId="5CBA3CC0">
      <w:pPr>
        <w:pStyle w:val="10"/>
        <w:spacing w:before="0" w:line="360" w:lineRule="auto"/>
        <w:ind w:firstLine="0"/>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根据《中华人民共和国民法典》及其他法律法规，甲乙双方就乙方承接</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售楼处会所、创意样板间及主题架空层等</w:t>
      </w:r>
      <w:r>
        <w:rPr>
          <w:rFonts w:hint="eastAsia" w:ascii="仿宋_GB2312;仿宋" w:hAnsi="仿宋_GB2312;仿宋" w:eastAsia="仿宋_GB2312;仿宋"/>
          <w:color w:val="000000" w:themeColor="text1"/>
          <w:sz w:val="24"/>
          <w:highlight w:val="none"/>
          <w14:textFill>
            <w14:solidFill>
              <w14:schemeClr w14:val="tx1"/>
            </w14:solidFill>
          </w14:textFill>
        </w:rPr>
        <w:t>装修设计</w:t>
      </w:r>
      <w:r>
        <w:rPr>
          <w:rFonts w:ascii="仿宋_GB2312;仿宋" w:hAnsi="仿宋_GB2312;仿宋" w:eastAsia="仿宋_GB2312;仿宋"/>
          <w:color w:val="000000" w:themeColor="text1"/>
          <w:sz w:val="24"/>
          <w:highlight w:val="none"/>
          <w14:textFill>
            <w14:solidFill>
              <w14:schemeClr w14:val="tx1"/>
            </w14:solidFill>
          </w14:textFill>
        </w:rPr>
        <w:t>服务事宜，签订本合同如下。</w:t>
      </w:r>
    </w:p>
    <w:p w14:paraId="73F6144B">
      <w:pPr>
        <w:pStyle w:val="89"/>
        <w:spacing w:before="120" w:line="360" w:lineRule="auto"/>
        <w:ind w:firstLine="482"/>
        <w:jc w:val="both"/>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第一条 工程概况</w:t>
      </w:r>
    </w:p>
    <w:p w14:paraId="6C006F37">
      <w:pPr>
        <w:spacing w:line="360" w:lineRule="auto"/>
        <w:rPr>
          <w:rFonts w:ascii="仿宋_GB2312;仿宋" w:hAnsi="仿宋_GB2312;仿宋" w:eastAsia="仿宋_GB2312;仿宋" w:cs="Times New Roman"/>
          <w:color w:val="000000" w:themeColor="text1"/>
          <w:kern w:val="2"/>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1.1</w:t>
      </w:r>
      <w:r>
        <w:rPr>
          <w:rFonts w:ascii="仿宋_GB2312;仿宋" w:hAnsi="仿宋_GB2312;仿宋" w:eastAsia="仿宋_GB2312;仿宋"/>
          <w:color w:val="000000" w:themeColor="text1"/>
          <w:sz w:val="24"/>
          <w:highlight w:val="none"/>
          <w14:textFill>
            <w14:solidFill>
              <w14:schemeClr w14:val="tx1"/>
            </w14:solidFill>
          </w14:textFill>
        </w:rPr>
        <w:t xml:space="preserve"> 工程名称：</w:t>
      </w:r>
      <w:r>
        <w:rPr>
          <w:color w:val="000000" w:themeColor="text1"/>
          <w:highlight w:val="none"/>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val="en-US" w:eastAsia="zh-CN"/>
          <w14:textFill>
            <w14:solidFill>
              <w14:schemeClr w14:val="tx1"/>
            </w14:solidFill>
          </w14:textFill>
        </w:rPr>
        <w:t>售楼处会所、创意样板间及主题架空层等</w:t>
      </w:r>
      <w:r>
        <w:rPr>
          <w:rFonts w:hint="default" w:ascii="仿宋_GB2312;仿宋" w:hAnsi="仿宋_GB2312;仿宋" w:eastAsia="仿宋_GB2312;仿宋" w:cs="Times New Roman"/>
          <w:color w:val="000000" w:themeColor="text1"/>
          <w:sz w:val="24"/>
          <w:highlight w:val="none"/>
          <w14:textFill>
            <w14:solidFill>
              <w14:schemeClr w14:val="tx1"/>
            </w14:solidFill>
          </w14:textFill>
        </w:rPr>
        <w:t>装修设计</w:t>
      </w:r>
    </w:p>
    <w:p w14:paraId="295A0C25">
      <w:pPr>
        <w:spacing w:line="360" w:lineRule="auto"/>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1.2 工程地点：详见附件2</w:t>
      </w:r>
    </w:p>
    <w:p w14:paraId="04FB3ECD">
      <w:pPr>
        <w:spacing w:line="360" w:lineRule="auto"/>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1.3工程概况：详见附件2</w:t>
      </w:r>
    </w:p>
    <w:p w14:paraId="3E3FA3DB">
      <w:pPr>
        <w:spacing w:line="360" w:lineRule="auto"/>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1.4 设计依据：室内设计顾问任务必须满足中国国家、广东省和广州地区建设工程相关的法规及标准，包括但不限于以下行业技术标准和规范：</w:t>
      </w:r>
    </w:p>
    <w:p w14:paraId="40B0F308">
      <w:pPr>
        <w:pStyle w:val="76"/>
        <w:numPr>
          <w:ilvl w:val="0"/>
          <w:numId w:val="0"/>
        </w:numPr>
        <w:spacing w:line="360" w:lineRule="auto"/>
        <w:ind w:left="570"/>
        <w:jc w:val="left"/>
        <w:rPr>
          <w:rFonts w:ascii="仿宋" w:hAnsi="仿宋" w:eastAsia="仿宋"/>
          <w:b w:val="0"/>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（一）《建筑设计防火规范》、《建筑内部装修设计防火规范》、《广州市消防规定》</w:t>
      </w:r>
    </w:p>
    <w:p w14:paraId="74511B1F">
      <w:pPr>
        <w:pStyle w:val="76"/>
        <w:numPr>
          <w:ilvl w:val="0"/>
          <w:numId w:val="0"/>
        </w:numPr>
        <w:spacing w:line="360" w:lineRule="auto"/>
        <w:ind w:left="855" w:hanging="285"/>
        <w:jc w:val="left"/>
        <w:rPr>
          <w:rFonts w:ascii="仿宋" w:hAnsi="仿宋" w:eastAsia="仿宋"/>
          <w:b w:val="0"/>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（二）《建筑照明设计标准》</w:t>
      </w:r>
    </w:p>
    <w:p w14:paraId="2BC6DC1E">
      <w:pPr>
        <w:pStyle w:val="76"/>
        <w:numPr>
          <w:ilvl w:val="0"/>
          <w:numId w:val="0"/>
        </w:numPr>
        <w:spacing w:line="360" w:lineRule="auto"/>
        <w:ind w:left="855" w:hanging="285"/>
        <w:jc w:val="left"/>
        <w:rPr>
          <w:rFonts w:ascii="仿宋" w:hAnsi="仿宋" w:eastAsia="仿宋"/>
          <w:b w:val="0"/>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（三）《建筑工程设计文件编制深度规定》</w:t>
      </w:r>
    </w:p>
    <w:p w14:paraId="53444C57">
      <w:pPr>
        <w:pStyle w:val="76"/>
        <w:numPr>
          <w:ilvl w:val="0"/>
          <w:numId w:val="0"/>
        </w:numPr>
        <w:spacing w:line="360" w:lineRule="auto"/>
        <w:ind w:left="855" w:hanging="285"/>
        <w:jc w:val="left"/>
        <w:rPr>
          <w:rFonts w:ascii="仿宋" w:hAnsi="仿宋" w:eastAsia="仿宋"/>
          <w:b w:val="0"/>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（四）《火灾自动报警系统设计规范》</w:t>
      </w:r>
    </w:p>
    <w:p w14:paraId="5DE232D6">
      <w:pPr>
        <w:pStyle w:val="76"/>
        <w:numPr>
          <w:ilvl w:val="0"/>
          <w:numId w:val="0"/>
        </w:numPr>
        <w:spacing w:line="360" w:lineRule="auto"/>
        <w:ind w:left="855" w:hanging="285"/>
        <w:jc w:val="left"/>
        <w:rPr>
          <w:rFonts w:ascii="仿宋" w:hAnsi="仿宋" w:eastAsia="仿宋"/>
          <w:b w:val="0"/>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（五）《智能建筑设计标准》</w:t>
      </w:r>
    </w:p>
    <w:p w14:paraId="2A813C8B">
      <w:pPr>
        <w:pStyle w:val="76"/>
        <w:numPr>
          <w:ilvl w:val="0"/>
          <w:numId w:val="0"/>
        </w:numPr>
        <w:spacing w:line="360" w:lineRule="auto"/>
        <w:ind w:left="855" w:hanging="285"/>
        <w:jc w:val="left"/>
        <w:rPr>
          <w:color w:val="000000" w:themeColor="text1"/>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（六）《绿色建筑评价标准》GB/T50378-2019</w:t>
      </w:r>
    </w:p>
    <w:p w14:paraId="10D2B8DB">
      <w:pPr>
        <w:pStyle w:val="76"/>
        <w:numPr>
          <w:ilvl w:val="0"/>
          <w:numId w:val="0"/>
        </w:numPr>
        <w:spacing w:line="360" w:lineRule="auto"/>
        <w:ind w:left="855" w:hanging="285"/>
        <w:jc w:val="left"/>
        <w:rPr>
          <w:color w:val="000000" w:themeColor="text1"/>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（七）《房屋建筑制图统一标准》、《建筑制图标准》</w:t>
      </w:r>
    </w:p>
    <w:p w14:paraId="5EA3E584">
      <w:pPr>
        <w:pStyle w:val="76"/>
        <w:numPr>
          <w:ilvl w:val="0"/>
          <w:numId w:val="0"/>
        </w:numPr>
        <w:spacing w:line="360" w:lineRule="auto"/>
        <w:ind w:left="855" w:hanging="285"/>
        <w:jc w:val="left"/>
        <w:rPr>
          <w:color w:val="000000" w:themeColor="text1"/>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（八）《民用建筑工程室内环境污染控制规范》</w:t>
      </w:r>
    </w:p>
    <w:p w14:paraId="739C7AAA">
      <w:pPr>
        <w:pStyle w:val="76"/>
        <w:numPr>
          <w:ilvl w:val="0"/>
          <w:numId w:val="0"/>
        </w:numPr>
        <w:spacing w:line="360" w:lineRule="auto"/>
        <w:ind w:left="855" w:hanging="285"/>
        <w:rPr>
          <w:rFonts w:ascii="仿宋" w:hAnsi="仿宋" w:eastAsia="仿宋"/>
          <w:b w:val="0"/>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（九）《建筑防烟排烟系统技术标准》GB51251-2017</w:t>
      </w:r>
    </w:p>
    <w:p w14:paraId="612923E7">
      <w:pPr>
        <w:pStyle w:val="76"/>
        <w:numPr>
          <w:ilvl w:val="0"/>
          <w:numId w:val="0"/>
        </w:numPr>
        <w:spacing w:line="360" w:lineRule="auto"/>
        <w:ind w:left="855" w:hanging="285"/>
        <w:jc w:val="left"/>
        <w:rPr>
          <w:color w:val="000000" w:themeColor="text1"/>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（十）相关政府主管部门对本项目的批复文件、给定的技术条件和意见要求</w:t>
      </w:r>
    </w:p>
    <w:p w14:paraId="700C5D2B">
      <w:pPr>
        <w:pStyle w:val="76"/>
        <w:numPr>
          <w:ilvl w:val="0"/>
          <w:numId w:val="0"/>
        </w:numPr>
        <w:spacing w:line="360" w:lineRule="auto"/>
        <w:ind w:left="855" w:hanging="285"/>
        <w:jc w:val="left"/>
        <w:rPr>
          <w:color w:val="000000" w:themeColor="text1"/>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（十一）项目设计过程中甲方（或甲方指定委托人）提出的条件、意见和要求。</w:t>
      </w:r>
    </w:p>
    <w:p w14:paraId="58D6243E">
      <w:pPr>
        <w:spacing w:line="360" w:lineRule="auto"/>
        <w:rPr>
          <w:rFonts w:ascii="仿宋" w:hAnsi="仿宋" w:eastAsia="仿宋"/>
          <w:b/>
          <w:color w:val="000000" w:themeColor="text1"/>
          <w:sz w:val="24"/>
          <w:highlight w:val="none"/>
          <w14:textFill>
            <w14:solidFill>
              <w14:schemeClr w14:val="tx1"/>
            </w14:solidFill>
          </w14:textFill>
        </w:rPr>
      </w:pPr>
    </w:p>
    <w:p w14:paraId="69CBFC68">
      <w:pPr>
        <w:numPr>
          <w:ilvl w:val="0"/>
          <w:numId w:val="3"/>
        </w:numPr>
        <w:tabs>
          <w:tab w:val="left" w:pos="1200"/>
        </w:tabs>
        <w:spacing w:before="100" w:after="100" w:line="360" w:lineRule="auto"/>
        <w:jc w:val="left"/>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 xml:space="preserve">  设计内容</w:t>
      </w:r>
    </w:p>
    <w:p w14:paraId="2384A8D5">
      <w:pPr>
        <w:spacing w:line="360" w:lineRule="auto"/>
        <w:ind w:firstLine="480"/>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设计内容见附件2</w:t>
      </w:r>
    </w:p>
    <w:p w14:paraId="12719CAA">
      <w:pPr>
        <w:spacing w:line="360" w:lineRule="auto"/>
        <w:ind w:firstLine="480"/>
        <w:rPr>
          <w:rFonts w:hint="eastAsia" w:ascii="仿宋_GB2312;仿宋" w:hAnsi="仿宋_GB2312;仿宋" w:eastAsia="仿宋_GB2312;仿宋"/>
          <w:color w:val="000000" w:themeColor="text1"/>
          <w:sz w:val="24"/>
          <w:highlight w:val="none"/>
          <w:lang w:eastAsia="zh-CN"/>
          <w14:textFill>
            <w14:solidFill>
              <w14:schemeClr w14:val="tx1"/>
            </w14:solidFill>
          </w14:textFill>
        </w:rPr>
      </w:pPr>
    </w:p>
    <w:p w14:paraId="0DE77518">
      <w:pPr>
        <w:numPr>
          <w:ilvl w:val="0"/>
          <w:numId w:val="3"/>
        </w:numPr>
        <w:tabs>
          <w:tab w:val="left" w:pos="1200"/>
        </w:tabs>
        <w:spacing w:line="360" w:lineRule="auto"/>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 xml:space="preserve"> 设计成果</w:t>
      </w:r>
    </w:p>
    <w:p w14:paraId="285BE84E">
      <w:pPr>
        <w:spacing w:line="360" w:lineRule="auto"/>
        <w:ind w:firstLine="480"/>
        <w:rPr>
          <w:rFonts w:hint="eastAsia" w:ascii="仿宋_GB2312;仿宋" w:hAnsi="仿宋_GB2312;仿宋" w:eastAsia="仿宋_GB2312;仿宋"/>
          <w:b/>
          <w:color w:val="000000" w:themeColor="text1"/>
          <w:sz w:val="24"/>
          <w:highlight w:val="none"/>
          <w:lang w:eastAsia="zh-CN"/>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设计成果要求见附件2</w:t>
      </w:r>
    </w:p>
    <w:p w14:paraId="62120D21">
      <w:pPr>
        <w:spacing w:line="360" w:lineRule="auto"/>
        <w:ind w:left="480"/>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第四条 乙方服务范围</w:t>
      </w:r>
    </w:p>
    <w:p w14:paraId="063775AE">
      <w:pPr>
        <w:spacing w:line="360" w:lineRule="auto"/>
        <w:ind w:left="42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4.1常规服务：</w:t>
      </w:r>
    </w:p>
    <w:p w14:paraId="7BF08335">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4.1.1 乙方须以积极及有效之态度履行有关职责，有关设计工作成果需符合现有国家及广东省、</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广州</w:t>
      </w:r>
      <w:r>
        <w:rPr>
          <w:rFonts w:ascii="仿宋_GB2312;仿宋" w:hAnsi="仿宋_GB2312;仿宋" w:eastAsia="仿宋_GB2312;仿宋"/>
          <w:color w:val="000000" w:themeColor="text1"/>
          <w:sz w:val="24"/>
          <w:highlight w:val="none"/>
          <w14:textFill>
            <w14:solidFill>
              <w14:schemeClr w14:val="tx1"/>
            </w14:solidFill>
          </w14:textFill>
        </w:rPr>
        <w:t>市</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花都区</w:t>
      </w:r>
      <w:r>
        <w:rPr>
          <w:rFonts w:ascii="仿宋_GB2312;仿宋" w:hAnsi="仿宋_GB2312;仿宋" w:eastAsia="仿宋_GB2312;仿宋"/>
          <w:color w:val="000000" w:themeColor="text1"/>
          <w:sz w:val="24"/>
          <w:highlight w:val="none"/>
          <w14:textFill>
            <w14:solidFill>
              <w14:schemeClr w14:val="tx1"/>
            </w14:solidFill>
          </w14:textFill>
        </w:rPr>
        <w:t>规划要求及有关强制性技术标准、规范及满足甲方的技术指标和要求，如国家、地方有关强制性技术标准、规范、规程和本合同约定不同时，按其中较严格者规定执行。</w:t>
      </w:r>
    </w:p>
    <w:p w14:paraId="21E4DB89">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4.1.2乙方在每一设计阶段应明确取得甲方书面指示后方可进行该阶段的具体工作，上一阶段的设计工作成果经甲方确认并通过审批后方可进入下一阶段的工作；否则，甲方有权拒绝支付相应的设计服务费用</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且不构成违约</w:t>
      </w:r>
      <w:r>
        <w:rPr>
          <w:rFonts w:ascii="仿宋_GB2312;仿宋" w:hAnsi="仿宋_GB2312;仿宋" w:eastAsia="仿宋_GB2312;仿宋"/>
          <w:color w:val="000000" w:themeColor="text1"/>
          <w:sz w:val="24"/>
          <w:highlight w:val="none"/>
          <w14:textFill>
            <w14:solidFill>
              <w14:schemeClr w14:val="tx1"/>
            </w14:solidFill>
          </w14:textFill>
        </w:rPr>
        <w:t>。</w:t>
      </w:r>
    </w:p>
    <w:p w14:paraId="235FABA1">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4.1.3对已经甲方批准的设计，乙方只有在获得甲方书面同意后才可修改。</w:t>
      </w:r>
    </w:p>
    <w:p w14:paraId="168DDB7F">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4.1.4与甲方紧密配合，按与甲方商定的时间表完成各阶段之设计工作。</w:t>
      </w:r>
    </w:p>
    <w:p w14:paraId="261CD3E9">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4.1.5乙方设计的选材必须考虑甲方的限额设计指标，并尽量选用中国内地通用材料。在选定材料前，应预先提供有关材料说明给甲方，如甲方认为乙方提出的材料影响整体造价的，乙方应提出满足造价要求和设计效果的替代材料，但甲方应在此情形发生后提供相应的造价要求给乙方。甲方有权对建材作最终确定。</w:t>
      </w:r>
    </w:p>
    <w:p w14:paraId="23427846">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4.1.6对应每个设计阶段（概念设计、方案设计、施工图设计），乙方完成对应阶段设计并向甲方提供成果文件时，须同时提供对应阶段设计成果文件的经济性文件（估算、概算），该经济性文件应控制在对应阶段的设计限额指标内，数量及营造做法与对应阶段图纸相一致，附主要材料设备价格清单及对应品牌参数要求，关键材料应提供对应设计样板。若对应阶段确需超设计限额的，则应进行必要性分析说明。</w:t>
      </w:r>
    </w:p>
    <w:p w14:paraId="13B2FA5D">
      <w:pPr>
        <w:spacing w:line="360" w:lineRule="auto"/>
        <w:ind w:left="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4.2施工图设计阶段：</w:t>
      </w:r>
    </w:p>
    <w:p w14:paraId="4754601A">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4.2.1依据附件2要求开展设计工作，各专业施工图设计阶段的图纸除须满足设计规范、技术规范等要求外，还应达到甲方的要求，确保向主管部门报审后通过批准，并提供施工过程中设计跟踪服务等。</w:t>
      </w:r>
    </w:p>
    <w:p w14:paraId="7596AB70">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4.2.2 根据甲方成本估算及概算成果进行方案调整，以满足成本控制的要求。</w:t>
      </w:r>
    </w:p>
    <w:p w14:paraId="08ECCEDD">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 xml:space="preserve">4.2.3 及时解决各专业之间存在的技术冲突。 </w:t>
      </w:r>
    </w:p>
    <w:p w14:paraId="18D4A4E2">
      <w:pPr>
        <w:spacing w:line="360" w:lineRule="auto"/>
        <w:ind w:left="1129" w:hanging="602"/>
        <w:rPr>
          <w:rFonts w:ascii="仿宋_GB2312;仿宋" w:hAnsi="仿宋_GB2312;仿宋" w:eastAsia="仿宋_GB2312;仿宋"/>
          <w:b/>
          <w:color w:val="000000" w:themeColor="text1"/>
          <w:sz w:val="24"/>
          <w:highlight w:val="none"/>
          <w14:textFill>
            <w14:solidFill>
              <w14:schemeClr w14:val="tx1"/>
            </w14:solidFill>
          </w14:textFill>
        </w:rPr>
      </w:pPr>
      <w:r>
        <w:rPr>
          <w:rFonts w:eastAsia="仿宋_GB2312;仿宋"/>
          <w:b/>
          <w:color w:val="000000" w:themeColor="text1"/>
          <w:sz w:val="24"/>
          <w:highlight w:val="none"/>
          <w14:textFill>
            <w14:solidFill>
              <w14:schemeClr w14:val="tx1"/>
            </w14:solidFill>
          </w14:textFill>
        </w:rPr>
        <w:t>4.3其他相关服务：</w:t>
      </w:r>
    </w:p>
    <w:p w14:paraId="0C7CF619">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4.3.1乙方在方案设计阶段应向甲方提出拟采用的主要表面主材及特殊施工工艺。</w:t>
      </w:r>
    </w:p>
    <w:p w14:paraId="61043416">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4.3.2 施工图设计文件完成后，</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乙方应配合甲方进行报审报建</w:t>
      </w:r>
      <w:r>
        <w:rPr>
          <w:rFonts w:ascii="仿宋_GB2312;仿宋" w:hAnsi="仿宋_GB2312;仿宋" w:eastAsia="仿宋_GB2312;仿宋"/>
          <w:color w:val="000000" w:themeColor="text1"/>
          <w:sz w:val="24"/>
          <w:highlight w:val="none"/>
          <w14:textFill>
            <w14:solidFill>
              <w14:schemeClr w14:val="tx1"/>
            </w14:solidFill>
          </w14:textFill>
        </w:rPr>
        <w:t>。而且依据审图部门的要求对施工图设计进行的修改和完善，均不属于甲方提出的设计变更，乙方必须严格按照上述部门的意见对施工图设计作进一步的修改和完善并最终取得施工图审查合格证书。</w:t>
      </w:r>
    </w:p>
    <w:p w14:paraId="20E54474">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4.3.3乙方应对本工程的设计图纸的编制负总体责任，按照双方约定的计划时间、服务内容与标准及时提供各阶段（含采购阶段）图纸、经济性文件、设计样板等。对应设计各阶段，乙方应做好成果文件的汇报、修改、交底、答疑等工作。</w:t>
      </w:r>
    </w:p>
    <w:p w14:paraId="533FB07B">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4.3.4乙方应提供相应的</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售楼处会所、创意样板间及主题架空层等</w:t>
      </w:r>
      <w:r>
        <w:rPr>
          <w:rFonts w:ascii="仿宋_GB2312;仿宋" w:hAnsi="仿宋_GB2312;仿宋" w:eastAsia="仿宋_GB2312;仿宋"/>
          <w:color w:val="000000" w:themeColor="text1"/>
          <w:sz w:val="24"/>
          <w:highlight w:val="none"/>
          <w14:textFill>
            <w14:solidFill>
              <w14:schemeClr w14:val="tx1"/>
            </w14:solidFill>
          </w14:textFill>
        </w:rPr>
        <w:t>装修施工工程采购文件的技术规格书和主要材料及设备清单。</w:t>
      </w:r>
    </w:p>
    <w:p w14:paraId="4B3DD625">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4.3.4乙方应根据甲方要求提供相应的</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长兴</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地块</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项目</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售楼处会所、创意样板间及主题架空层等</w:t>
      </w:r>
      <w:r>
        <w:rPr>
          <w:rFonts w:ascii="仿宋_GB2312;仿宋" w:hAnsi="仿宋_GB2312;仿宋" w:eastAsia="仿宋_GB2312;仿宋"/>
          <w:color w:val="000000" w:themeColor="text1"/>
          <w:sz w:val="24"/>
          <w:highlight w:val="none"/>
          <w14:textFill>
            <w14:solidFill>
              <w14:schemeClr w14:val="tx1"/>
            </w14:solidFill>
          </w14:textFill>
        </w:rPr>
        <w:t>装修施工工程采购技术规范名称。</w:t>
      </w:r>
    </w:p>
    <w:p w14:paraId="1C775745">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4.3.5 乙方应参与</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售楼处会所、创意样板间及主题架空层等</w:t>
      </w:r>
      <w:r>
        <w:rPr>
          <w:rFonts w:ascii="仿宋_GB2312;仿宋" w:hAnsi="仿宋_GB2312;仿宋" w:eastAsia="仿宋_GB2312;仿宋"/>
          <w:color w:val="000000" w:themeColor="text1"/>
          <w:sz w:val="24"/>
          <w:highlight w:val="none"/>
          <w14:textFill>
            <w14:solidFill>
              <w14:schemeClr w14:val="tx1"/>
            </w14:solidFill>
          </w14:textFill>
        </w:rPr>
        <w:t>装修施工工程采购答疑及评审和技术咨询（因该工作引起的相关通讯、交通、住宿等差旅费用及工作报酬已包含在本合同设计费用中）。</w:t>
      </w:r>
    </w:p>
    <w:p w14:paraId="1584326D">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4.3.6乙方在施工图阶段应选择确定并提供一个中国境内品牌或厂家的样板。</w:t>
      </w:r>
    </w:p>
    <w:p w14:paraId="7B1F2A04">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color w:val="000000" w:themeColor="text1"/>
          <w:sz w:val="24"/>
          <w:highlight w:val="none"/>
          <w14:textFill>
            <w14:solidFill>
              <w14:schemeClr w14:val="tx1"/>
            </w14:solidFill>
          </w14:textFill>
        </w:rPr>
        <w:t>4</w:t>
      </w:r>
      <w:r>
        <w:rPr>
          <w:rFonts w:ascii="仿宋_GB2312;仿宋" w:hAnsi="仿宋_GB2312;仿宋" w:eastAsia="仿宋_GB2312;仿宋"/>
          <w:color w:val="000000" w:themeColor="text1"/>
          <w:sz w:val="24"/>
          <w:highlight w:val="none"/>
          <w14:textFill>
            <w14:solidFill>
              <w14:schemeClr w14:val="tx1"/>
            </w14:solidFill>
          </w14:textFill>
        </w:rPr>
        <w:t>.3.7 施工图纸深度需明确构造大样、内部结构大样及材料规格。</w:t>
      </w:r>
    </w:p>
    <w:p w14:paraId="0DFAFDC9">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4.3.8 施工图设计前期配合，乙方需固定设计人员，根据方案、初步设计，提出对施工图设计建议意见。</w:t>
      </w:r>
    </w:p>
    <w:p w14:paraId="2906327C">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4.3.9施工图前期配合建筑初步设计。需在装修初步设计完成前，建筑初步设计开始后（具体时间以甲方下发的通知为准），提供：</w:t>
      </w:r>
    </w:p>
    <w:p w14:paraId="321C71EB">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w:t>
      </w:r>
      <w:r>
        <w:rPr>
          <w:rFonts w:hint="eastAsia" w:ascii="仿宋_GB2312;仿宋" w:hAnsi="仿宋_GB2312;仿宋" w:eastAsia="仿宋_GB2312;仿宋"/>
          <w:color w:val="000000" w:themeColor="text1"/>
          <w:sz w:val="24"/>
          <w:highlight w:val="none"/>
          <w14:textFill>
            <w14:solidFill>
              <w14:schemeClr w14:val="tx1"/>
            </w14:solidFill>
          </w14:textFill>
        </w:rPr>
        <w:t>复核机电消防等专业设备对装修的影响，并在综合天花图中反馈调整内容</w:t>
      </w:r>
      <w:r>
        <w:rPr>
          <w:rFonts w:ascii="仿宋_GB2312;仿宋" w:hAnsi="仿宋_GB2312;仿宋" w:eastAsia="仿宋_GB2312;仿宋"/>
          <w:color w:val="000000" w:themeColor="text1"/>
          <w:sz w:val="24"/>
          <w:highlight w:val="none"/>
          <w14:textFill>
            <w14:solidFill>
              <w14:schemeClr w14:val="tx1"/>
            </w14:solidFill>
          </w14:textFill>
        </w:rPr>
        <w:t>。</w:t>
      </w:r>
    </w:p>
    <w:p w14:paraId="7FF54B1A">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2</w:t>
      </w:r>
      <w:r>
        <w:rPr>
          <w:rFonts w:ascii="仿宋_GB2312;仿宋" w:hAnsi="仿宋_GB2312;仿宋" w:eastAsia="仿宋_GB2312;仿宋"/>
          <w:color w:val="000000" w:themeColor="text1"/>
          <w:sz w:val="24"/>
          <w:highlight w:val="none"/>
          <w14:textFill>
            <w14:solidFill>
              <w14:schemeClr w14:val="tx1"/>
            </w14:solidFill>
          </w14:textFill>
        </w:rPr>
        <w:t>）乙方应按照附件2中的要求提供其他相关配合工作。</w:t>
      </w:r>
    </w:p>
    <w:p w14:paraId="539E3151">
      <w:pPr>
        <w:spacing w:line="360" w:lineRule="auto"/>
        <w:ind w:firstLine="482"/>
        <w:rPr>
          <w:rFonts w:ascii="仿宋_GB2312;仿宋" w:hAnsi="仿宋_GB2312;仿宋" w:eastAsia="仿宋_GB2312;仿宋"/>
          <w:b/>
          <w:color w:val="000000" w:themeColor="text1"/>
          <w:sz w:val="24"/>
          <w:highlight w:val="none"/>
          <w14:textFill>
            <w14:solidFill>
              <w14:schemeClr w14:val="tx1"/>
            </w14:solidFill>
          </w14:textFill>
        </w:rPr>
      </w:pPr>
      <w:r>
        <w:rPr>
          <w:rFonts w:eastAsia="仿宋_GB2312;仿宋"/>
          <w:b/>
          <w:color w:val="000000" w:themeColor="text1"/>
          <w:sz w:val="24"/>
          <w:highlight w:val="none"/>
          <w14:textFill>
            <w14:solidFill>
              <w14:schemeClr w14:val="tx1"/>
            </w14:solidFill>
          </w14:textFill>
        </w:rPr>
        <w:t>4.4 现场施工配合内容及工作，包括但不限于：</w:t>
      </w:r>
    </w:p>
    <w:p w14:paraId="521C091C">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4.4.1 乙方应负责向甲方选择的施工单位解释设计意图及施工内容，并负责进行技术交底。</w:t>
      </w:r>
    </w:p>
    <w:p w14:paraId="5AE03F34">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4.4.2 乙方应按甲方或监理单位的要求，参加重要节点的工程验收；由于乙方原因需要对原设计做出修改时，乙方应无偿并及时完成相应的设计修改及时出图。</w:t>
      </w:r>
    </w:p>
    <w:p w14:paraId="68D3F4E6">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4.4.3 在装修工程实施期间，乙方在收到甲方书面提出的设计问题后，一般应在24小时内给予书面答复，最迟不应超过48小时（重大设计变更除外）。</w:t>
      </w:r>
    </w:p>
    <w:p w14:paraId="1F8AE309">
      <w:pPr>
        <w:spacing w:line="360" w:lineRule="auto"/>
        <w:ind w:firstLine="480"/>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4.4.4 乙方提供施工现场服务，对施工单位提出的设计疑问进行设计复核，并于48小时内提供解决方案。</w:t>
      </w:r>
    </w:p>
    <w:p w14:paraId="78DF22DE">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4.4.5 根据甲方按设计进度提出的合理要求，乙方在一般情况下保证在收到甲方通知后72小时内派合格技术人员到现场提供服务，若乙方不能72小时内派出合适的人员，甲方有权扣除1000元/人/次作为违约金。</w:t>
      </w:r>
    </w:p>
    <w:p w14:paraId="0626DA7A">
      <w:pPr>
        <w:spacing w:line="360" w:lineRule="auto"/>
        <w:ind w:firstLine="480"/>
        <w:rPr>
          <w:rFonts w:hint="eastAsia" w:ascii="仿宋_GB2312;仿宋" w:hAnsi="仿宋_GB2312;仿宋" w:eastAsia="仿宋_GB2312;仿宋"/>
          <w:color w:val="000000" w:themeColor="text1"/>
          <w:sz w:val="24"/>
          <w:highlight w:val="none"/>
          <w14:textFill>
            <w14:solidFill>
              <w14:schemeClr w14:val="tx1"/>
            </w14:solidFill>
          </w14:textFill>
        </w:rPr>
      </w:pPr>
      <w:r>
        <w:rPr>
          <w:rFonts w:hint="default" w:ascii="仿宋_GB2312;仿宋" w:hAnsi="仿宋_GB2312;仿宋" w:eastAsia="仿宋_GB2312;仿宋"/>
          <w:color w:val="000000" w:themeColor="text1"/>
          <w:sz w:val="24"/>
          <w:highlight w:val="none"/>
          <w14:textFill>
            <w14:solidFill>
              <w14:schemeClr w14:val="tx1"/>
            </w14:solidFill>
          </w14:textFill>
        </w:rPr>
        <w:t>4.4.6</w:t>
      </w:r>
      <w:r>
        <w:rPr>
          <w:rFonts w:hint="default" w:ascii="仿宋_GB2312;仿宋" w:hAnsi="仿宋_GB2312;仿宋" w:eastAsia="仿宋_GB2312;仿宋" w:cs="Times New Roman"/>
          <w:color w:val="000000" w:themeColor="text1"/>
          <w:sz w:val="24"/>
          <w:highlight w:val="none"/>
          <w14:textFill>
            <w14:solidFill>
              <w14:schemeClr w14:val="tx1"/>
            </w14:solidFill>
          </w14:textFill>
        </w:rPr>
        <w:t>乙方在服务期内提供</w:t>
      </w:r>
      <w:r>
        <w:rPr>
          <w:rFonts w:hint="eastAsia" w:ascii="仿宋_GB2312;仿宋" w:hAnsi="仿宋_GB2312;仿宋" w:eastAsia="宋体"/>
          <w:color w:val="000000" w:themeColor="text1"/>
          <w:sz w:val="24"/>
          <w:highlight w:val="none"/>
          <w:lang w:val="en-US" w:eastAsia="zh-CN"/>
          <w14:textFill>
            <w14:solidFill>
              <w14:schemeClr w14:val="tx1"/>
            </w14:solidFill>
          </w14:textFill>
        </w:rPr>
        <w:t>32</w:t>
      </w:r>
      <w:r>
        <w:rPr>
          <w:rFonts w:hint="default" w:ascii="仿宋_GB2312;仿宋" w:hAnsi="仿宋_GB2312;仿宋" w:eastAsia="仿宋_GB2312;仿宋" w:cs="Times New Roman"/>
          <w:color w:val="000000" w:themeColor="text1"/>
          <w:sz w:val="24"/>
          <w:highlight w:val="none"/>
          <w14:textFill>
            <w14:solidFill>
              <w14:schemeClr w14:val="tx1"/>
            </w14:solidFill>
          </w14:textFill>
        </w:rPr>
        <w:t>次的现场服务，包含设计成果汇报及交底服务、施工期间配合服务（未能解决问题除外），在现场服务总次数不变的前提下，甲方有权自行调配各阶段的现场服务次数</w:t>
      </w:r>
      <w:r>
        <w:rPr>
          <w:rFonts w:hint="eastAsia" w:ascii="仿宋_GB2312;仿宋" w:hAnsi="仿宋_GB2312;仿宋" w:eastAsia="仿宋_GB2312;仿宋" w:cs="Times New Roman"/>
          <w:color w:val="000000" w:themeColor="text1"/>
          <w:sz w:val="24"/>
          <w:highlight w:val="none"/>
          <w:lang w:eastAsia="zh-CN"/>
          <w14:textFill>
            <w14:solidFill>
              <w14:schemeClr w14:val="tx1"/>
            </w14:solidFill>
          </w14:textFill>
        </w:rPr>
        <w:t>，</w:t>
      </w:r>
      <w:r>
        <w:rPr>
          <w:rFonts w:hint="default" w:ascii="仿宋_GB2312;仿宋" w:hAnsi="仿宋_GB2312;仿宋" w:eastAsia="仿宋_GB2312;仿宋" w:cs="Times New Roman"/>
          <w:color w:val="000000" w:themeColor="text1"/>
          <w:sz w:val="24"/>
          <w:highlight w:val="none"/>
          <w14:textFill>
            <w14:solidFill>
              <w14:schemeClr w14:val="tx1"/>
            </w14:solidFill>
          </w14:textFill>
        </w:rPr>
        <w:t>如因乙方图纸错误等原因造成的必要现场配合不计入约定次数范畴。</w:t>
      </w:r>
    </w:p>
    <w:p w14:paraId="12BED358">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4.4.7 在装修工程竣工后，如果在使用过程中发现了质量问题，乙方应积极参与质量事故分析。若经</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第三方</w:t>
      </w:r>
      <w:r>
        <w:rPr>
          <w:rFonts w:ascii="仿宋_GB2312;仿宋" w:hAnsi="仿宋_GB2312;仿宋" w:eastAsia="仿宋_GB2312;仿宋"/>
          <w:color w:val="000000" w:themeColor="text1"/>
          <w:sz w:val="24"/>
          <w:highlight w:val="none"/>
          <w14:textFill>
            <w14:solidFill>
              <w14:schemeClr w14:val="tx1"/>
            </w14:solidFill>
          </w14:textFill>
        </w:rPr>
        <w:t>机构分析证实是设计缺陷所致，则乙方应完善设计方案及建议补救措施，并赔偿甲方因此造成的全部直接和间接损失。</w:t>
      </w:r>
    </w:p>
    <w:p w14:paraId="26B9DAB8">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4.5 乙方应按照附件2</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售楼处会所、创意样板间及主题架空层等</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概念至施工图装修设计任务书》</w:t>
      </w:r>
      <w:r>
        <w:rPr>
          <w:rFonts w:ascii="仿宋_GB2312;仿宋" w:hAnsi="仿宋_GB2312;仿宋" w:eastAsia="仿宋_GB2312;仿宋"/>
          <w:color w:val="000000" w:themeColor="text1"/>
          <w:sz w:val="24"/>
          <w:highlight w:val="none"/>
          <w14:textFill>
            <w14:solidFill>
              <w14:schemeClr w14:val="tx1"/>
            </w14:solidFill>
          </w14:textFill>
        </w:rPr>
        <w:t>中的要求提供其他的现场施工配合服务。</w:t>
      </w:r>
    </w:p>
    <w:p w14:paraId="6E5B0045">
      <w:pPr>
        <w:spacing w:line="360" w:lineRule="auto"/>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第五条　设计费用</w:t>
      </w:r>
    </w:p>
    <w:p w14:paraId="57248D13">
      <w:pPr>
        <w:spacing w:line="360" w:lineRule="auto"/>
        <w:ind w:firstLine="480"/>
        <w:outlineLvl w:val="1"/>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5.1本合同设计费用采用综合单价包干的方式计算，含税暂定合同总价为</w:t>
      </w:r>
      <w:r>
        <w:rPr>
          <w:rFonts w:ascii="仿宋_GB2312;仿宋" w:hAnsi="仿宋_GB2312;仿宋" w:eastAsia="仿宋_GB2312;仿宋"/>
          <w:color w:val="000000" w:themeColor="text1"/>
          <w:sz w:val="24"/>
          <w:highlight w:val="none"/>
          <w:u w:val="single"/>
          <w14:textFill>
            <w14:solidFill>
              <w14:schemeClr w14:val="tx1"/>
            </w14:solidFill>
          </w14:textFill>
        </w:rPr>
        <w:t>¥</w:t>
      </w:r>
      <w:r>
        <w:rPr>
          <w:rFonts w:hint="eastAsia" w:ascii="仿宋_GB2312;仿宋" w:hAnsi="仿宋_GB2312;仿宋" w:eastAsia="仿宋_GB2312;仿宋"/>
          <w:color w:val="000000" w:themeColor="text1"/>
          <w:sz w:val="24"/>
          <w:highlight w:val="none"/>
          <w:u w:val="single"/>
          <w:lang w:val="en-US" w:eastAsia="zh-CN"/>
          <w14:textFill>
            <w14:solidFill>
              <w14:schemeClr w14:val="tx1"/>
            </w14:solidFill>
          </w14:textFill>
        </w:rPr>
        <w:t xml:space="preserve">        </w:t>
      </w:r>
      <w:r>
        <w:rPr>
          <w:rFonts w:ascii="仿宋_GB2312;仿宋" w:hAnsi="仿宋_GB2312;仿宋" w:eastAsia="仿宋_GB2312;仿宋"/>
          <w:color w:val="000000" w:themeColor="text1"/>
          <w:sz w:val="24"/>
          <w:highlight w:val="none"/>
          <w14:textFill>
            <w14:solidFill>
              <w14:schemeClr w14:val="tx1"/>
            </w14:solidFill>
          </w14:textFill>
        </w:rPr>
        <w:t>元（大写：</w:t>
      </w:r>
      <w:r>
        <w:rPr>
          <w:rFonts w:hint="eastAsia" w:ascii="仿宋_GB2312;仿宋" w:hAnsi="仿宋_GB2312;仿宋" w:eastAsia="仿宋_GB2312;仿宋"/>
          <w:color w:val="000000" w:themeColor="text1"/>
          <w:sz w:val="24"/>
          <w:highlight w:val="none"/>
          <w:u w:val="single"/>
          <w:lang w:val="en-US" w:eastAsia="zh-CN"/>
          <w14:textFill>
            <w14:solidFill>
              <w14:schemeClr w14:val="tx1"/>
            </w14:solidFill>
          </w14:textFill>
        </w:rPr>
        <w:t xml:space="preserve">              </w:t>
      </w:r>
      <w:r>
        <w:rPr>
          <w:rFonts w:hint="default" w:ascii="仿宋_GB2312;仿宋" w:hAnsi="仿宋_GB2312;仿宋" w:eastAsia="仿宋_GB2312;仿宋"/>
          <w:color w:val="000000" w:themeColor="text1"/>
          <w:sz w:val="24"/>
          <w:highlight w:val="none"/>
          <w:u w:val="single"/>
          <w:lang w:val="en-US" w:eastAsia="zh-CN"/>
          <w14:textFill>
            <w14:solidFill>
              <w14:schemeClr w14:val="tx1"/>
            </w14:solidFill>
          </w14:textFill>
        </w:rPr>
        <w:t xml:space="preserve"> </w:t>
      </w:r>
      <w:r>
        <w:rPr>
          <w:rFonts w:ascii="仿宋_GB2312;仿宋" w:hAnsi="仿宋_GB2312;仿宋" w:eastAsia="仿宋_GB2312;仿宋"/>
          <w:color w:val="000000" w:themeColor="text1"/>
          <w:sz w:val="24"/>
          <w:highlight w:val="none"/>
          <w14:textFill>
            <w14:solidFill>
              <w14:schemeClr w14:val="tx1"/>
            </w14:solidFill>
          </w14:textFill>
        </w:rPr>
        <w:t>），不含税暂定合同总价为</w:t>
      </w:r>
      <w:r>
        <w:rPr>
          <w:rFonts w:ascii="仿宋_GB2312;仿宋" w:hAnsi="仿宋_GB2312;仿宋" w:eastAsia="仿宋_GB2312;仿宋"/>
          <w:color w:val="000000" w:themeColor="text1"/>
          <w:sz w:val="24"/>
          <w:highlight w:val="none"/>
          <w:u w:val="single"/>
          <w14:textFill>
            <w14:solidFill>
              <w14:schemeClr w14:val="tx1"/>
            </w14:solidFill>
          </w14:textFill>
        </w:rPr>
        <w:t>¥</w:t>
      </w:r>
      <w:r>
        <w:rPr>
          <w:rFonts w:hint="eastAsia" w:ascii="仿宋_GB2312;仿宋" w:hAnsi="仿宋_GB2312;仿宋" w:eastAsia="仿宋_GB2312;仿宋"/>
          <w:color w:val="000000" w:themeColor="text1"/>
          <w:sz w:val="24"/>
          <w:highlight w:val="none"/>
          <w:u w:val="single"/>
          <w:lang w:val="en-US" w:eastAsia="zh-CN"/>
          <w14:textFill>
            <w14:solidFill>
              <w14:schemeClr w14:val="tx1"/>
            </w14:solidFill>
          </w14:textFill>
        </w:rPr>
        <w:t xml:space="preserve">          </w:t>
      </w:r>
      <w:r>
        <w:rPr>
          <w:rFonts w:ascii="仿宋_GB2312;仿宋" w:hAnsi="仿宋_GB2312;仿宋" w:eastAsia="仿宋_GB2312;仿宋"/>
          <w:color w:val="000000" w:themeColor="text1"/>
          <w:sz w:val="24"/>
          <w:highlight w:val="none"/>
          <w14:textFill>
            <w14:solidFill>
              <w14:schemeClr w14:val="tx1"/>
            </w14:solidFill>
          </w14:textFill>
        </w:rPr>
        <w:t>元，税率为6%，增值税金额为</w:t>
      </w:r>
      <w:r>
        <w:rPr>
          <w:rFonts w:ascii="仿宋_GB2312;仿宋" w:hAnsi="仿宋_GB2312;仿宋" w:eastAsia="仿宋_GB2312;仿宋"/>
          <w:color w:val="000000" w:themeColor="text1"/>
          <w:sz w:val="24"/>
          <w:highlight w:val="none"/>
          <w:u w:val="single"/>
          <w14:textFill>
            <w14:solidFill>
              <w14:schemeClr w14:val="tx1"/>
            </w14:solidFill>
          </w14:textFill>
        </w:rPr>
        <w:t>¥</w:t>
      </w:r>
      <w:r>
        <w:rPr>
          <w:rFonts w:hint="eastAsia" w:ascii="仿宋_GB2312;仿宋" w:hAnsi="仿宋_GB2312;仿宋" w:eastAsia="仿宋_GB2312;仿宋"/>
          <w:color w:val="000000" w:themeColor="text1"/>
          <w:sz w:val="24"/>
          <w:highlight w:val="none"/>
          <w:u w:val="single"/>
          <w:lang w:val="en-US" w:eastAsia="zh-CN"/>
          <w14:textFill>
            <w14:solidFill>
              <w14:schemeClr w14:val="tx1"/>
            </w14:solidFill>
          </w14:textFill>
        </w:rPr>
        <w:t xml:space="preserve">            </w:t>
      </w:r>
      <w:r>
        <w:rPr>
          <w:rFonts w:ascii="仿宋_GB2312;仿宋" w:hAnsi="仿宋_GB2312;仿宋" w:eastAsia="仿宋_GB2312;仿宋"/>
          <w:color w:val="000000" w:themeColor="text1"/>
          <w:sz w:val="24"/>
          <w:highlight w:val="none"/>
          <w:u w:val="single"/>
          <w14:textFill>
            <w14:solidFill>
              <w14:schemeClr w14:val="tx1"/>
            </w14:solidFill>
          </w14:textFill>
        </w:rPr>
        <w:t>元</w:t>
      </w:r>
      <w:r>
        <w:rPr>
          <w:rFonts w:ascii="仿宋_GB2312;仿宋" w:hAnsi="仿宋_GB2312;仿宋" w:eastAsia="仿宋_GB2312;仿宋"/>
          <w:color w:val="000000" w:themeColor="text1"/>
          <w:sz w:val="24"/>
          <w:highlight w:val="none"/>
          <w14:textFill>
            <w14:solidFill>
              <w14:schemeClr w14:val="tx1"/>
            </w14:solidFill>
          </w14:textFill>
        </w:rPr>
        <w:t>具体内容组成如下：</w:t>
      </w:r>
    </w:p>
    <w:p w14:paraId="4CBBAF1C">
      <w:pPr>
        <w:spacing w:line="360" w:lineRule="auto"/>
        <w:ind w:firstLine="480"/>
        <w:outlineLvl w:val="2"/>
        <w:rPr>
          <w:rFonts w:ascii="仿宋_GB2312;仿宋" w:hAnsi="仿宋_GB2312;仿宋" w:eastAsia="仿宋_GB2312;仿宋"/>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表1：组成合同价格清单</w:t>
      </w:r>
    </w:p>
    <w:tbl>
      <w:tblPr>
        <w:tblStyle w:val="19"/>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979"/>
        <w:gridCol w:w="1080"/>
        <w:gridCol w:w="1784"/>
        <w:gridCol w:w="983"/>
        <w:gridCol w:w="1417"/>
        <w:gridCol w:w="1233"/>
        <w:gridCol w:w="1975"/>
      </w:tblGrid>
      <w:tr w14:paraId="4A9C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5" w:hRule="atLeast"/>
          <w:jc w:val="center"/>
        </w:trPr>
        <w:tc>
          <w:tcPr>
            <w:tcW w:w="3843" w:type="dxa"/>
            <w:gridSpan w:val="3"/>
            <w:vAlign w:val="center"/>
          </w:tcPr>
          <w:p w14:paraId="44E59212">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项目</w:t>
            </w:r>
          </w:p>
        </w:tc>
        <w:tc>
          <w:tcPr>
            <w:tcW w:w="983" w:type="dxa"/>
            <w:vAlign w:val="center"/>
          </w:tcPr>
          <w:p w14:paraId="3AA76FB9">
            <w:pPr>
              <w:jc w:val="center"/>
              <w:rPr>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设计面积</w:t>
            </w:r>
          </w:p>
          <w:p w14:paraId="6B87050A">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w:t>
            </w:r>
            <w:r>
              <w:rPr>
                <w:rFonts w:hint="eastAsia" w:ascii="仿宋" w:hAnsi="仿宋" w:eastAsia="仿宋"/>
                <w:color w:val="000000" w:themeColor="text1"/>
                <w:highlight w:val="none"/>
                <w14:textFill>
                  <w14:solidFill>
                    <w14:schemeClr w14:val="tx1"/>
                  </w14:solidFill>
                </w14:textFill>
              </w:rPr>
              <w:t>㎡</w:t>
            </w:r>
            <w:r>
              <w:rPr>
                <w:rFonts w:ascii="仿宋" w:hAnsi="仿宋" w:eastAsia="仿宋"/>
                <w:color w:val="000000" w:themeColor="text1"/>
                <w:highlight w:val="none"/>
                <w14:textFill>
                  <w14:solidFill>
                    <w14:schemeClr w14:val="tx1"/>
                  </w14:solidFill>
                </w14:textFill>
              </w:rPr>
              <w:t>)</w:t>
            </w:r>
          </w:p>
        </w:tc>
        <w:tc>
          <w:tcPr>
            <w:tcW w:w="1417" w:type="dxa"/>
            <w:vAlign w:val="center"/>
          </w:tcPr>
          <w:p w14:paraId="65DD7119">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sz w:val="22"/>
                <w:highlight w:val="none"/>
                <w14:textFill>
                  <w14:solidFill>
                    <w14:schemeClr w14:val="tx1"/>
                  </w14:solidFill>
                </w14:textFill>
              </w:rPr>
              <w:t>含增值税综合单价（元/m</w:t>
            </w:r>
            <w:r>
              <w:rPr>
                <w:rFonts w:ascii="仿宋" w:hAnsi="仿宋" w:eastAsia="仿宋"/>
                <w:color w:val="000000" w:themeColor="text1"/>
                <w:sz w:val="22"/>
                <w:highlight w:val="none"/>
                <w:vertAlign w:val="superscript"/>
                <w14:textFill>
                  <w14:solidFill>
                    <w14:schemeClr w14:val="tx1"/>
                  </w14:solidFill>
                </w14:textFill>
              </w:rPr>
              <w:t>2</w:t>
            </w:r>
            <w:r>
              <w:rPr>
                <w:rFonts w:ascii="仿宋" w:hAnsi="仿宋" w:eastAsia="仿宋"/>
                <w:color w:val="000000" w:themeColor="text1"/>
                <w:sz w:val="22"/>
                <w:highlight w:val="none"/>
                <w14:textFill>
                  <w14:solidFill>
                    <w14:schemeClr w14:val="tx1"/>
                  </w14:solidFill>
                </w14:textFill>
              </w:rPr>
              <w:t>）</w:t>
            </w:r>
          </w:p>
        </w:tc>
        <w:tc>
          <w:tcPr>
            <w:tcW w:w="1233" w:type="dxa"/>
            <w:vAlign w:val="center"/>
          </w:tcPr>
          <w:p w14:paraId="489098F3">
            <w:pPr>
              <w:jc w:val="center"/>
              <w:rPr>
                <w:rFonts w:ascii="仿宋" w:hAnsi="仿宋" w:eastAsia="仿宋"/>
                <w:color w:val="000000" w:themeColor="text1"/>
                <w:sz w:val="22"/>
                <w:highlight w:val="none"/>
                <w14:textFill>
                  <w14:solidFill>
                    <w14:schemeClr w14:val="tx1"/>
                  </w14:solidFill>
                </w14:textFill>
              </w:rPr>
            </w:pPr>
            <w:r>
              <w:rPr>
                <w:rFonts w:ascii="仿宋" w:hAnsi="仿宋" w:eastAsia="仿宋"/>
                <w:color w:val="000000" w:themeColor="text1"/>
                <w:sz w:val="22"/>
                <w:highlight w:val="none"/>
                <w14:textFill>
                  <w14:solidFill>
                    <w14:schemeClr w14:val="tx1"/>
                  </w14:solidFill>
                </w14:textFill>
              </w:rPr>
              <w:t>含增值税合价（元）</w:t>
            </w:r>
          </w:p>
        </w:tc>
        <w:tc>
          <w:tcPr>
            <w:tcW w:w="1975" w:type="dxa"/>
            <w:vAlign w:val="center"/>
          </w:tcPr>
          <w:p w14:paraId="10160AB1">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备注</w:t>
            </w:r>
          </w:p>
        </w:tc>
      </w:tr>
      <w:tr w14:paraId="2413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restart"/>
            <w:shd w:val="clear" w:color="auto" w:fill="FFFFFF"/>
            <w:vAlign w:val="center"/>
          </w:tcPr>
          <w:p w14:paraId="501549A9">
            <w:pPr>
              <w:jc w:val="center"/>
              <w:rPr>
                <w:rFonts w:ascii="仿宋" w:hAnsi="仿宋" w:eastAsia="仿宋"/>
                <w:color w:val="000000" w:themeColor="text1"/>
                <w:highlight w:val="none"/>
                <w14:textFill>
                  <w14:solidFill>
                    <w14:schemeClr w14:val="tx1"/>
                  </w14:solidFill>
                </w14:textFill>
              </w:rPr>
            </w:pPr>
            <w:bookmarkStart w:id="0" w:name="OLE_LINK2" w:colFirst="2" w:colLast="2"/>
          </w:p>
        </w:tc>
        <w:tc>
          <w:tcPr>
            <w:tcW w:w="2864" w:type="dxa"/>
            <w:gridSpan w:val="2"/>
            <w:vMerge w:val="restart"/>
            <w:vAlign w:val="center"/>
          </w:tcPr>
          <w:p w14:paraId="0A596842">
            <w:pPr>
              <w:jc w:val="center"/>
              <w:rPr>
                <w:rFonts w:ascii="仿宋" w:hAnsi="仿宋" w:eastAsia="仿宋"/>
                <w:color w:val="000000" w:themeColor="text1"/>
                <w:highlight w:val="none"/>
                <w14:textFill>
                  <w14:solidFill>
                    <w14:schemeClr w14:val="tx1"/>
                  </w14:solidFill>
                </w14:textFill>
              </w:rPr>
            </w:pPr>
          </w:p>
        </w:tc>
        <w:tc>
          <w:tcPr>
            <w:tcW w:w="983" w:type="dxa"/>
            <w:vAlign w:val="center"/>
          </w:tcPr>
          <w:p w14:paraId="21455BB8">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16F20526">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5ADC9807">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restart"/>
            <w:vAlign w:val="center"/>
          </w:tcPr>
          <w:p w14:paraId="7AB8FE32">
            <w:pPr>
              <w:jc w:val="left"/>
              <w:rPr>
                <w:rFonts w:ascii="仿宋" w:hAnsi="仿宋" w:eastAsia="仿宋"/>
                <w:color w:val="000000" w:themeColor="text1"/>
                <w:highlight w:val="none"/>
                <w14:textFill>
                  <w14:solidFill>
                    <w14:schemeClr w14:val="tx1"/>
                  </w14:solidFill>
                </w14:textFill>
              </w:rPr>
            </w:pPr>
          </w:p>
        </w:tc>
      </w:tr>
      <w:tr w14:paraId="4F2C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continue"/>
            <w:shd w:val="clear" w:color="auto" w:fill="FFFFFF"/>
            <w:vAlign w:val="center"/>
          </w:tcPr>
          <w:p w14:paraId="1280F262">
            <w:pPr>
              <w:jc w:val="center"/>
              <w:rPr>
                <w:color w:val="000000" w:themeColor="text1"/>
                <w:highlight w:val="none"/>
                <w14:textFill>
                  <w14:solidFill>
                    <w14:schemeClr w14:val="tx1"/>
                  </w14:solidFill>
                </w14:textFill>
              </w:rPr>
            </w:pPr>
          </w:p>
        </w:tc>
        <w:tc>
          <w:tcPr>
            <w:tcW w:w="2864" w:type="dxa"/>
            <w:gridSpan w:val="2"/>
            <w:vMerge w:val="continue"/>
            <w:vAlign w:val="center"/>
          </w:tcPr>
          <w:p w14:paraId="75E67F1E">
            <w:pPr>
              <w:jc w:val="center"/>
              <w:rPr>
                <w:color w:val="000000" w:themeColor="text1"/>
                <w:highlight w:val="none"/>
                <w14:textFill>
                  <w14:solidFill>
                    <w14:schemeClr w14:val="tx1"/>
                  </w14:solidFill>
                </w14:textFill>
              </w:rPr>
            </w:pPr>
          </w:p>
        </w:tc>
        <w:tc>
          <w:tcPr>
            <w:tcW w:w="983" w:type="dxa"/>
            <w:vAlign w:val="center"/>
          </w:tcPr>
          <w:p w14:paraId="2F8D2E90">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51F5766E">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167A755C">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1B275F9A">
            <w:pPr>
              <w:jc w:val="left"/>
              <w:rPr>
                <w:color w:val="000000" w:themeColor="text1"/>
                <w:highlight w:val="none"/>
                <w14:textFill>
                  <w14:solidFill>
                    <w14:schemeClr w14:val="tx1"/>
                  </w14:solidFill>
                </w14:textFill>
              </w:rPr>
            </w:pPr>
          </w:p>
        </w:tc>
      </w:tr>
      <w:tr w14:paraId="11F7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continue"/>
            <w:shd w:val="clear" w:color="auto" w:fill="FFFFFF"/>
            <w:vAlign w:val="center"/>
          </w:tcPr>
          <w:p w14:paraId="44230C62">
            <w:pPr>
              <w:jc w:val="center"/>
              <w:rPr>
                <w:color w:val="000000" w:themeColor="text1"/>
                <w:highlight w:val="none"/>
                <w14:textFill>
                  <w14:solidFill>
                    <w14:schemeClr w14:val="tx1"/>
                  </w14:solidFill>
                </w14:textFill>
              </w:rPr>
            </w:pPr>
          </w:p>
        </w:tc>
        <w:tc>
          <w:tcPr>
            <w:tcW w:w="2864" w:type="dxa"/>
            <w:gridSpan w:val="2"/>
            <w:vAlign w:val="center"/>
          </w:tcPr>
          <w:p w14:paraId="44CFB644">
            <w:pPr>
              <w:jc w:val="center"/>
              <w:rPr>
                <w:rFonts w:hint="default" w:eastAsia="宋体"/>
                <w:color w:val="000000" w:themeColor="text1"/>
                <w:highlight w:val="none"/>
                <w:lang w:val="en-US" w:eastAsia="zh-CN"/>
                <w14:textFill>
                  <w14:solidFill>
                    <w14:schemeClr w14:val="tx1"/>
                  </w14:solidFill>
                </w14:textFill>
              </w:rPr>
            </w:pPr>
          </w:p>
        </w:tc>
        <w:tc>
          <w:tcPr>
            <w:tcW w:w="983" w:type="dxa"/>
            <w:vAlign w:val="center"/>
          </w:tcPr>
          <w:p w14:paraId="51FEAB58">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089BDDB3">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1A061B1E">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33253DE5">
            <w:pPr>
              <w:jc w:val="left"/>
              <w:rPr>
                <w:color w:val="000000" w:themeColor="text1"/>
                <w:highlight w:val="none"/>
                <w14:textFill>
                  <w14:solidFill>
                    <w14:schemeClr w14:val="tx1"/>
                  </w14:solidFill>
                </w14:textFill>
              </w:rPr>
            </w:pPr>
          </w:p>
        </w:tc>
      </w:tr>
      <w:tr w14:paraId="4BF6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continue"/>
            <w:shd w:val="clear" w:color="auto" w:fill="FFFFFF"/>
            <w:vAlign w:val="center"/>
          </w:tcPr>
          <w:p w14:paraId="656CF078">
            <w:pPr>
              <w:jc w:val="center"/>
              <w:rPr>
                <w:color w:val="000000" w:themeColor="text1"/>
                <w:highlight w:val="none"/>
                <w14:textFill>
                  <w14:solidFill>
                    <w14:schemeClr w14:val="tx1"/>
                  </w14:solidFill>
                </w14:textFill>
              </w:rPr>
            </w:pPr>
          </w:p>
        </w:tc>
        <w:tc>
          <w:tcPr>
            <w:tcW w:w="2864" w:type="dxa"/>
            <w:gridSpan w:val="2"/>
            <w:vAlign w:val="center"/>
          </w:tcPr>
          <w:p w14:paraId="1F48FF41">
            <w:pPr>
              <w:jc w:val="center"/>
              <w:rPr>
                <w:color w:val="000000" w:themeColor="text1"/>
                <w:highlight w:val="none"/>
                <w14:textFill>
                  <w14:solidFill>
                    <w14:schemeClr w14:val="tx1"/>
                  </w14:solidFill>
                </w14:textFill>
              </w:rPr>
            </w:pPr>
          </w:p>
        </w:tc>
        <w:tc>
          <w:tcPr>
            <w:tcW w:w="983" w:type="dxa"/>
            <w:vAlign w:val="center"/>
          </w:tcPr>
          <w:p w14:paraId="3184A2F8">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518FE9C9">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603F91A7">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578BECA1">
            <w:pPr>
              <w:jc w:val="left"/>
              <w:rPr>
                <w:color w:val="000000" w:themeColor="text1"/>
                <w:highlight w:val="none"/>
                <w14:textFill>
                  <w14:solidFill>
                    <w14:schemeClr w14:val="tx1"/>
                  </w14:solidFill>
                </w14:textFill>
              </w:rPr>
            </w:pPr>
          </w:p>
        </w:tc>
      </w:tr>
      <w:tr w14:paraId="7D61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restart"/>
            <w:shd w:val="clear" w:color="auto" w:fill="FFFFFF"/>
            <w:vAlign w:val="center"/>
          </w:tcPr>
          <w:p w14:paraId="5CA67CC9">
            <w:pPr>
              <w:jc w:val="center"/>
              <w:rPr>
                <w:rFonts w:ascii="仿宋" w:hAnsi="仿宋" w:eastAsia="仿宋"/>
                <w:color w:val="000000" w:themeColor="text1"/>
                <w:highlight w:val="none"/>
                <w14:textFill>
                  <w14:solidFill>
                    <w14:schemeClr w14:val="tx1"/>
                  </w14:solidFill>
                </w14:textFill>
              </w:rPr>
            </w:pPr>
          </w:p>
        </w:tc>
        <w:tc>
          <w:tcPr>
            <w:tcW w:w="1080" w:type="dxa"/>
            <w:vMerge w:val="restart"/>
            <w:shd w:val="clear" w:color="auto" w:fill="FFFFFF"/>
            <w:vAlign w:val="center"/>
          </w:tcPr>
          <w:p w14:paraId="34A8FF3E">
            <w:pPr>
              <w:jc w:val="center"/>
              <w:rPr>
                <w:rFonts w:ascii="仿宋" w:hAnsi="仿宋" w:eastAsia="仿宋"/>
                <w:color w:val="000000" w:themeColor="text1"/>
                <w:highlight w:val="none"/>
                <w14:textFill>
                  <w14:solidFill>
                    <w14:schemeClr w14:val="tx1"/>
                  </w14:solidFill>
                </w14:textFill>
              </w:rPr>
            </w:pPr>
          </w:p>
        </w:tc>
        <w:tc>
          <w:tcPr>
            <w:tcW w:w="1784" w:type="dxa"/>
            <w:shd w:val="clear" w:color="auto" w:fill="FFFFFF"/>
            <w:vAlign w:val="center"/>
          </w:tcPr>
          <w:p w14:paraId="27701765">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983" w:type="dxa"/>
            <w:shd w:val="clear" w:color="auto" w:fill="FFFFFF"/>
            <w:vAlign w:val="center"/>
          </w:tcPr>
          <w:p w14:paraId="1BAE265A">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2BEF43DD">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016558FB">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26427B08">
            <w:pPr>
              <w:jc w:val="left"/>
              <w:rPr>
                <w:color w:val="000000" w:themeColor="text1"/>
                <w:highlight w:val="none"/>
                <w14:textFill>
                  <w14:solidFill>
                    <w14:schemeClr w14:val="tx1"/>
                  </w14:solidFill>
                </w14:textFill>
              </w:rPr>
            </w:pPr>
          </w:p>
        </w:tc>
      </w:tr>
      <w:tr w14:paraId="45FF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continue"/>
            <w:shd w:val="clear" w:color="auto" w:fill="FFFFFF"/>
            <w:vAlign w:val="center"/>
          </w:tcPr>
          <w:p w14:paraId="115DC683">
            <w:pPr>
              <w:jc w:val="center"/>
              <w:rPr>
                <w:color w:val="000000" w:themeColor="text1"/>
                <w:highlight w:val="none"/>
                <w14:textFill>
                  <w14:solidFill>
                    <w14:schemeClr w14:val="tx1"/>
                  </w14:solidFill>
                </w14:textFill>
              </w:rPr>
            </w:pPr>
          </w:p>
        </w:tc>
        <w:tc>
          <w:tcPr>
            <w:tcW w:w="1080" w:type="dxa"/>
            <w:vMerge w:val="continue"/>
            <w:shd w:val="clear" w:color="auto" w:fill="FFFFFF"/>
            <w:vAlign w:val="center"/>
          </w:tcPr>
          <w:p w14:paraId="7777A6E2">
            <w:pPr>
              <w:jc w:val="center"/>
              <w:rPr>
                <w:color w:val="000000" w:themeColor="text1"/>
                <w:highlight w:val="none"/>
                <w14:textFill>
                  <w14:solidFill>
                    <w14:schemeClr w14:val="tx1"/>
                  </w14:solidFill>
                </w14:textFill>
              </w:rPr>
            </w:pPr>
          </w:p>
        </w:tc>
        <w:tc>
          <w:tcPr>
            <w:tcW w:w="1784" w:type="dxa"/>
            <w:shd w:val="clear" w:color="auto" w:fill="FFFFFF"/>
            <w:vAlign w:val="center"/>
          </w:tcPr>
          <w:p w14:paraId="45407BBC">
            <w:pPr>
              <w:jc w:val="center"/>
              <w:rPr>
                <w:rFonts w:ascii="仿宋" w:hAnsi="仿宋" w:eastAsia="仿宋"/>
                <w:color w:val="000000" w:themeColor="text1"/>
                <w:highlight w:val="none"/>
                <w14:textFill>
                  <w14:solidFill>
                    <w14:schemeClr w14:val="tx1"/>
                  </w14:solidFill>
                </w14:textFill>
              </w:rPr>
            </w:pPr>
          </w:p>
        </w:tc>
        <w:tc>
          <w:tcPr>
            <w:tcW w:w="983" w:type="dxa"/>
            <w:shd w:val="clear" w:color="auto" w:fill="FFFFFF"/>
            <w:vAlign w:val="center"/>
          </w:tcPr>
          <w:p w14:paraId="6EF4EE76">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14E0F23B">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78EF4CFB">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05E2C942">
            <w:pPr>
              <w:jc w:val="left"/>
              <w:rPr>
                <w:color w:val="000000" w:themeColor="text1"/>
                <w:highlight w:val="none"/>
                <w14:textFill>
                  <w14:solidFill>
                    <w14:schemeClr w14:val="tx1"/>
                  </w14:solidFill>
                </w14:textFill>
              </w:rPr>
            </w:pPr>
          </w:p>
        </w:tc>
      </w:tr>
      <w:tr w14:paraId="01A5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continue"/>
            <w:shd w:val="clear" w:color="auto" w:fill="FFFFFF"/>
            <w:vAlign w:val="center"/>
          </w:tcPr>
          <w:p w14:paraId="1AC11CE5">
            <w:pPr>
              <w:jc w:val="center"/>
              <w:rPr>
                <w:color w:val="000000" w:themeColor="text1"/>
                <w:highlight w:val="none"/>
                <w14:textFill>
                  <w14:solidFill>
                    <w14:schemeClr w14:val="tx1"/>
                  </w14:solidFill>
                </w14:textFill>
              </w:rPr>
            </w:pPr>
          </w:p>
        </w:tc>
        <w:tc>
          <w:tcPr>
            <w:tcW w:w="1080" w:type="dxa"/>
            <w:vMerge w:val="continue"/>
            <w:shd w:val="clear" w:color="auto" w:fill="FFFFFF"/>
            <w:vAlign w:val="center"/>
          </w:tcPr>
          <w:p w14:paraId="2046ECCB">
            <w:pPr>
              <w:jc w:val="center"/>
              <w:rPr>
                <w:color w:val="000000" w:themeColor="text1"/>
                <w:highlight w:val="none"/>
                <w14:textFill>
                  <w14:solidFill>
                    <w14:schemeClr w14:val="tx1"/>
                  </w14:solidFill>
                </w14:textFill>
              </w:rPr>
            </w:pPr>
          </w:p>
        </w:tc>
        <w:tc>
          <w:tcPr>
            <w:tcW w:w="1784" w:type="dxa"/>
            <w:shd w:val="clear" w:color="auto" w:fill="FFFFFF"/>
            <w:vAlign w:val="center"/>
          </w:tcPr>
          <w:p w14:paraId="445C0E0F">
            <w:pPr>
              <w:jc w:val="center"/>
              <w:rPr>
                <w:rFonts w:hint="default" w:eastAsia="仿宋"/>
                <w:color w:val="000000" w:themeColor="text1"/>
                <w:highlight w:val="none"/>
                <w:lang w:val="en-US" w:eastAsia="zh-CN"/>
                <w14:textFill>
                  <w14:solidFill>
                    <w14:schemeClr w14:val="tx1"/>
                  </w14:solidFill>
                </w14:textFill>
              </w:rPr>
            </w:pPr>
          </w:p>
        </w:tc>
        <w:tc>
          <w:tcPr>
            <w:tcW w:w="983" w:type="dxa"/>
            <w:shd w:val="clear" w:color="auto" w:fill="FFFFFF"/>
            <w:vAlign w:val="center"/>
          </w:tcPr>
          <w:p w14:paraId="54EB0ECD">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72F43799">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6432B38A">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3D24768C">
            <w:pPr>
              <w:jc w:val="left"/>
              <w:rPr>
                <w:color w:val="000000" w:themeColor="text1"/>
                <w:highlight w:val="none"/>
                <w14:textFill>
                  <w14:solidFill>
                    <w14:schemeClr w14:val="tx1"/>
                  </w14:solidFill>
                </w14:textFill>
              </w:rPr>
            </w:pPr>
          </w:p>
        </w:tc>
      </w:tr>
      <w:tr w14:paraId="706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restart"/>
            <w:shd w:val="clear" w:color="auto" w:fill="FFFFFF"/>
            <w:vAlign w:val="center"/>
          </w:tcPr>
          <w:p w14:paraId="40F1C4CE">
            <w:pPr>
              <w:jc w:val="center"/>
              <w:rPr>
                <w:rFonts w:ascii="仿宋" w:hAnsi="仿宋" w:eastAsia="仿宋"/>
                <w:color w:val="000000" w:themeColor="text1"/>
                <w:highlight w:val="none"/>
                <w14:textFill>
                  <w14:solidFill>
                    <w14:schemeClr w14:val="tx1"/>
                  </w14:solidFill>
                </w14:textFill>
              </w:rPr>
            </w:pPr>
          </w:p>
        </w:tc>
        <w:tc>
          <w:tcPr>
            <w:tcW w:w="2864" w:type="dxa"/>
            <w:gridSpan w:val="2"/>
            <w:shd w:val="clear" w:color="auto" w:fill="FFFFFF"/>
            <w:vAlign w:val="center"/>
          </w:tcPr>
          <w:p w14:paraId="6845727B">
            <w:pPr>
              <w:jc w:val="center"/>
              <w:rPr>
                <w:rFonts w:ascii="仿宋" w:hAnsi="仿宋" w:eastAsia="仿宋"/>
                <w:color w:val="000000" w:themeColor="text1"/>
                <w:highlight w:val="none"/>
                <w14:textFill>
                  <w14:solidFill>
                    <w14:schemeClr w14:val="tx1"/>
                  </w14:solidFill>
                </w14:textFill>
              </w:rPr>
            </w:pPr>
          </w:p>
        </w:tc>
        <w:tc>
          <w:tcPr>
            <w:tcW w:w="983" w:type="dxa"/>
            <w:shd w:val="clear" w:color="auto" w:fill="FFFFFF"/>
            <w:vAlign w:val="center"/>
          </w:tcPr>
          <w:p w14:paraId="0631F989">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4F014393">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49BBB61D">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1CB1E485">
            <w:pPr>
              <w:jc w:val="left"/>
              <w:rPr>
                <w:color w:val="000000" w:themeColor="text1"/>
                <w:highlight w:val="none"/>
                <w14:textFill>
                  <w14:solidFill>
                    <w14:schemeClr w14:val="tx1"/>
                  </w14:solidFill>
                </w14:textFill>
              </w:rPr>
            </w:pPr>
          </w:p>
        </w:tc>
      </w:tr>
      <w:tr w14:paraId="292C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continue"/>
            <w:shd w:val="clear" w:color="auto" w:fill="FFFFFF"/>
            <w:vAlign w:val="center"/>
          </w:tcPr>
          <w:p w14:paraId="7D692407">
            <w:pPr>
              <w:jc w:val="center"/>
              <w:rPr>
                <w:color w:val="000000" w:themeColor="text1"/>
                <w:highlight w:val="none"/>
                <w14:textFill>
                  <w14:solidFill>
                    <w14:schemeClr w14:val="tx1"/>
                  </w14:solidFill>
                </w14:textFill>
              </w:rPr>
            </w:pPr>
          </w:p>
        </w:tc>
        <w:tc>
          <w:tcPr>
            <w:tcW w:w="2864" w:type="dxa"/>
            <w:gridSpan w:val="2"/>
            <w:shd w:val="clear" w:color="auto" w:fill="FFFFFF"/>
            <w:vAlign w:val="center"/>
          </w:tcPr>
          <w:p w14:paraId="27777E1D">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983" w:type="dxa"/>
            <w:shd w:val="clear" w:color="auto" w:fill="FFFFFF"/>
            <w:vAlign w:val="center"/>
          </w:tcPr>
          <w:p w14:paraId="1C1EFDCE">
            <w:pPr>
              <w:jc w:val="center"/>
              <w:rPr>
                <w:rFonts w:hint="default" w:ascii="仿宋" w:hAnsi="仿宋" w:eastAsia="仿宋"/>
                <w:color w:val="000000" w:themeColor="text1"/>
                <w:highlight w:val="none"/>
                <w:lang w:val="en-US" w:eastAsia="zh-CN"/>
                <w14:textFill>
                  <w14:solidFill>
                    <w14:schemeClr w14:val="tx1"/>
                  </w14:solidFill>
                </w14:textFill>
              </w:rPr>
            </w:pPr>
          </w:p>
        </w:tc>
        <w:tc>
          <w:tcPr>
            <w:tcW w:w="1417" w:type="dxa"/>
            <w:vAlign w:val="center"/>
          </w:tcPr>
          <w:p w14:paraId="03128E57">
            <w:pPr>
              <w:jc w:val="center"/>
              <w:rPr>
                <w:rFonts w:hint="eastAsia" w:ascii="仿宋" w:hAnsi="仿宋" w:eastAsia="仿宋"/>
                <w:color w:val="000000" w:themeColor="text1"/>
                <w:highlight w:val="none"/>
                <w14:textFill>
                  <w14:solidFill>
                    <w14:schemeClr w14:val="tx1"/>
                  </w14:solidFill>
                </w14:textFill>
              </w:rPr>
            </w:pPr>
          </w:p>
        </w:tc>
        <w:tc>
          <w:tcPr>
            <w:tcW w:w="1233" w:type="dxa"/>
            <w:vAlign w:val="center"/>
          </w:tcPr>
          <w:p w14:paraId="0AB325DB">
            <w:pPr>
              <w:jc w:val="center"/>
              <w:rPr>
                <w:rFonts w:hint="eastAsia" w:ascii="仿宋" w:hAnsi="仿宋" w:eastAsia="仿宋" w:cs="Times New Roman"/>
                <w:i w:val="0"/>
                <w:iCs w:val="0"/>
                <w:color w:val="000000" w:themeColor="text1"/>
                <w:kern w:val="2"/>
                <w:sz w:val="21"/>
                <w:szCs w:val="20"/>
                <w:highlight w:val="none"/>
                <w:u w:val="none"/>
                <w:lang w:val="en-US" w:eastAsia="zh-CN" w:bidi="ar"/>
                <w14:textFill>
                  <w14:solidFill>
                    <w14:schemeClr w14:val="tx1"/>
                  </w14:solidFill>
                </w14:textFill>
              </w:rPr>
            </w:pPr>
          </w:p>
        </w:tc>
        <w:tc>
          <w:tcPr>
            <w:tcW w:w="1975" w:type="dxa"/>
            <w:vMerge w:val="continue"/>
            <w:vAlign w:val="center"/>
          </w:tcPr>
          <w:p w14:paraId="4FCCDE8F">
            <w:pPr>
              <w:jc w:val="left"/>
              <w:rPr>
                <w:color w:val="000000" w:themeColor="text1"/>
                <w:highlight w:val="none"/>
                <w14:textFill>
                  <w14:solidFill>
                    <w14:schemeClr w14:val="tx1"/>
                  </w14:solidFill>
                </w14:textFill>
              </w:rPr>
            </w:pPr>
          </w:p>
        </w:tc>
      </w:tr>
      <w:bookmarkEnd w:id="0"/>
      <w:tr w14:paraId="35D4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979" w:type="dxa"/>
            <w:vMerge w:val="continue"/>
            <w:shd w:val="clear" w:color="auto" w:fill="FFFFFF"/>
            <w:vAlign w:val="center"/>
          </w:tcPr>
          <w:p w14:paraId="79080F5D">
            <w:pPr>
              <w:jc w:val="center"/>
              <w:rPr>
                <w:color w:val="000000" w:themeColor="text1"/>
                <w:highlight w:val="none"/>
                <w14:textFill>
                  <w14:solidFill>
                    <w14:schemeClr w14:val="tx1"/>
                  </w14:solidFill>
                </w14:textFill>
              </w:rPr>
            </w:pPr>
          </w:p>
        </w:tc>
        <w:tc>
          <w:tcPr>
            <w:tcW w:w="2864" w:type="dxa"/>
            <w:gridSpan w:val="2"/>
            <w:shd w:val="clear" w:color="auto" w:fill="FFFFFF"/>
            <w:vAlign w:val="center"/>
          </w:tcPr>
          <w:p w14:paraId="2F2886C7">
            <w:pPr>
              <w:jc w:val="center"/>
              <w:rPr>
                <w:rFonts w:ascii="仿宋" w:hAnsi="仿宋" w:eastAsia="仿宋"/>
                <w:color w:val="000000" w:themeColor="text1"/>
                <w:highlight w:val="none"/>
                <w14:textFill>
                  <w14:solidFill>
                    <w14:schemeClr w14:val="tx1"/>
                  </w14:solidFill>
                </w14:textFill>
              </w:rPr>
            </w:pPr>
          </w:p>
        </w:tc>
        <w:tc>
          <w:tcPr>
            <w:tcW w:w="983" w:type="dxa"/>
            <w:shd w:val="clear" w:color="auto" w:fill="FFFFFF"/>
            <w:vAlign w:val="center"/>
          </w:tcPr>
          <w:p w14:paraId="467A5C21">
            <w:pPr>
              <w:jc w:val="center"/>
              <w:rPr>
                <w:rFonts w:ascii="仿宋" w:hAnsi="仿宋" w:eastAsia="仿宋"/>
                <w:color w:val="000000" w:themeColor="text1"/>
                <w:highlight w:val="none"/>
                <w14:textFill>
                  <w14:solidFill>
                    <w14:schemeClr w14:val="tx1"/>
                  </w14:solidFill>
                </w14:textFill>
              </w:rPr>
            </w:pPr>
          </w:p>
        </w:tc>
        <w:tc>
          <w:tcPr>
            <w:tcW w:w="1417" w:type="dxa"/>
            <w:vAlign w:val="center"/>
          </w:tcPr>
          <w:p w14:paraId="668E0202">
            <w:pPr>
              <w:jc w:val="center"/>
              <w:rPr>
                <w:rFonts w:hint="eastAsia" w:ascii="仿宋" w:hAnsi="仿宋" w:eastAsia="仿宋"/>
                <w:color w:val="000000" w:themeColor="text1"/>
                <w:highlight w:val="none"/>
                <w:u w:val="none"/>
                <w:lang w:bidi="ar"/>
                <w14:textFill>
                  <w14:solidFill>
                    <w14:schemeClr w14:val="tx1"/>
                  </w14:solidFill>
                </w14:textFill>
              </w:rPr>
            </w:pPr>
          </w:p>
        </w:tc>
        <w:tc>
          <w:tcPr>
            <w:tcW w:w="1233" w:type="dxa"/>
            <w:vAlign w:val="center"/>
          </w:tcPr>
          <w:p w14:paraId="42844475">
            <w:pPr>
              <w:jc w:val="center"/>
              <w:rPr>
                <w:rFonts w:hint="eastAsia" w:ascii="仿宋" w:hAnsi="仿宋" w:eastAsia="仿宋"/>
                <w:color w:val="000000" w:themeColor="text1"/>
                <w:highlight w:val="none"/>
                <w:u w:val="none"/>
                <w:lang w:bidi="ar"/>
                <w14:textFill>
                  <w14:solidFill>
                    <w14:schemeClr w14:val="tx1"/>
                  </w14:solidFill>
                </w14:textFill>
              </w:rPr>
            </w:pPr>
          </w:p>
        </w:tc>
        <w:tc>
          <w:tcPr>
            <w:tcW w:w="1975" w:type="dxa"/>
            <w:vMerge w:val="continue"/>
            <w:vAlign w:val="center"/>
          </w:tcPr>
          <w:p w14:paraId="7F1CE1C4">
            <w:pPr>
              <w:jc w:val="left"/>
              <w:rPr>
                <w:color w:val="000000" w:themeColor="text1"/>
                <w:highlight w:val="none"/>
                <w14:textFill>
                  <w14:solidFill>
                    <w14:schemeClr w14:val="tx1"/>
                  </w14:solidFill>
                </w14:textFill>
              </w:rPr>
            </w:pPr>
          </w:p>
        </w:tc>
      </w:tr>
      <w:tr w14:paraId="3C0C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3843" w:type="dxa"/>
            <w:gridSpan w:val="3"/>
            <w:shd w:val="clear" w:color="auto" w:fill="FFFFFF"/>
            <w:vAlign w:val="center"/>
          </w:tcPr>
          <w:p w14:paraId="25F13E98">
            <w:pPr>
              <w:jc w:val="center"/>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合计</w:t>
            </w:r>
          </w:p>
        </w:tc>
        <w:tc>
          <w:tcPr>
            <w:tcW w:w="983" w:type="dxa"/>
            <w:shd w:val="clear" w:color="auto" w:fill="FFFFFF"/>
            <w:vAlign w:val="center"/>
          </w:tcPr>
          <w:p w14:paraId="1B3EE672">
            <w:pPr>
              <w:jc w:val="center"/>
              <w:rPr>
                <w:rFonts w:ascii="仿宋" w:hAnsi="仿宋" w:eastAsia="仿宋"/>
                <w:color w:val="000000" w:themeColor="text1"/>
                <w:highlight w:val="none"/>
                <w14:textFill>
                  <w14:solidFill>
                    <w14:schemeClr w14:val="tx1"/>
                  </w14:solidFill>
                </w14:textFill>
              </w:rPr>
            </w:pPr>
          </w:p>
        </w:tc>
        <w:tc>
          <w:tcPr>
            <w:tcW w:w="1417" w:type="dxa"/>
            <w:vAlign w:val="center"/>
          </w:tcPr>
          <w:p w14:paraId="27077363">
            <w:pPr>
              <w:jc w:val="center"/>
              <w:rPr>
                <w:rFonts w:hint="eastAsia" w:ascii="仿宋" w:hAnsi="仿宋" w:eastAsia="仿宋"/>
                <w:color w:val="000000" w:themeColor="text1"/>
                <w:highlight w:val="none"/>
                <w:u w:val="none"/>
                <w:lang w:bidi="ar"/>
                <w14:textFill>
                  <w14:solidFill>
                    <w14:schemeClr w14:val="tx1"/>
                  </w14:solidFill>
                </w14:textFill>
              </w:rPr>
            </w:pPr>
          </w:p>
        </w:tc>
        <w:tc>
          <w:tcPr>
            <w:tcW w:w="1233" w:type="dxa"/>
            <w:vAlign w:val="center"/>
          </w:tcPr>
          <w:p w14:paraId="5AB36CCB">
            <w:pPr>
              <w:jc w:val="center"/>
              <w:rPr>
                <w:rFonts w:hint="eastAsia" w:ascii="仿宋" w:hAnsi="仿宋" w:eastAsia="仿宋"/>
                <w:color w:val="000000" w:themeColor="text1"/>
                <w:highlight w:val="none"/>
                <w:u w:val="none"/>
                <w:lang w:bidi="ar"/>
                <w14:textFill>
                  <w14:solidFill>
                    <w14:schemeClr w14:val="tx1"/>
                  </w14:solidFill>
                </w14:textFill>
              </w:rPr>
            </w:pPr>
          </w:p>
        </w:tc>
        <w:tc>
          <w:tcPr>
            <w:tcW w:w="1975" w:type="dxa"/>
            <w:vAlign w:val="center"/>
          </w:tcPr>
          <w:p w14:paraId="64EA86F7">
            <w:pPr>
              <w:jc w:val="left"/>
              <w:rPr>
                <w:color w:val="000000" w:themeColor="text1"/>
                <w:highlight w:val="none"/>
                <w14:textFill>
                  <w14:solidFill>
                    <w14:schemeClr w14:val="tx1"/>
                  </w14:solidFill>
                </w14:textFill>
              </w:rPr>
            </w:pPr>
          </w:p>
        </w:tc>
      </w:tr>
    </w:tbl>
    <w:p w14:paraId="0D758434">
      <w:pPr>
        <w:spacing w:line="360" w:lineRule="auto"/>
        <w:ind w:firstLine="0"/>
        <w:rPr>
          <w:rFonts w:ascii="仿宋_GB2312;仿宋" w:hAnsi="仿宋_GB2312;仿宋" w:eastAsia="仿宋_GB2312;仿宋"/>
          <w:color w:val="000000" w:themeColor="text1"/>
          <w:sz w:val="24"/>
          <w:highlight w:val="none"/>
          <w14:textFill>
            <w14:solidFill>
              <w14:schemeClr w14:val="tx1"/>
            </w14:solidFill>
          </w14:textFill>
        </w:rPr>
      </w:pPr>
    </w:p>
    <w:p w14:paraId="42A763B8">
      <w:pPr>
        <w:spacing w:line="360" w:lineRule="auto"/>
        <w:rPr>
          <w:rFonts w:ascii="仿宋_GB2312;仿宋" w:hAnsi="仿宋_GB2312;仿宋" w:eastAsia="仿宋_GB2312;仿宋"/>
          <w:color w:val="000000" w:themeColor="text1"/>
          <w:sz w:val="22"/>
          <w:highlight w:val="none"/>
          <w14:textFill>
            <w14:solidFill>
              <w14:schemeClr w14:val="tx1"/>
            </w14:solidFill>
          </w14:textFill>
        </w:rPr>
      </w:pPr>
      <w:r>
        <w:rPr>
          <w:rFonts w:ascii="仿宋_GB2312;仿宋" w:hAnsi="仿宋_GB2312;仿宋" w:eastAsia="仿宋_GB2312;仿宋"/>
          <w:color w:val="000000" w:themeColor="text1"/>
          <w:sz w:val="22"/>
          <w:highlight w:val="none"/>
          <w14:textFill>
            <w14:solidFill>
              <w14:schemeClr w14:val="tx1"/>
            </w14:solidFill>
          </w14:textFill>
        </w:rPr>
        <w:t>备注：1、方案合同和大区施工图设计合同分开；</w:t>
      </w:r>
    </w:p>
    <w:p w14:paraId="19E252C6">
      <w:pPr>
        <w:spacing w:line="360" w:lineRule="auto"/>
        <w:ind w:firstLine="660" w:firstLineChars="300"/>
        <w:rPr>
          <w:rFonts w:ascii="仿宋_GB2312;仿宋" w:hAnsi="仿宋_GB2312;仿宋" w:eastAsia="仿宋_GB2312;仿宋"/>
          <w:color w:val="000000" w:themeColor="text1"/>
          <w:sz w:val="22"/>
          <w:highlight w:val="none"/>
          <w14:textFill>
            <w14:solidFill>
              <w14:schemeClr w14:val="tx1"/>
            </w14:solidFill>
          </w14:textFill>
        </w:rPr>
      </w:pPr>
      <w:r>
        <w:rPr>
          <w:rFonts w:ascii="仿宋_GB2312;仿宋" w:hAnsi="仿宋_GB2312;仿宋" w:eastAsia="仿宋_GB2312;仿宋"/>
          <w:color w:val="000000" w:themeColor="text1"/>
          <w:sz w:val="22"/>
          <w:highlight w:val="none"/>
          <w14:textFill>
            <w14:solidFill>
              <w14:schemeClr w14:val="tx1"/>
            </w14:solidFill>
          </w14:textFill>
        </w:rPr>
        <w:t>2、实际设计面积以经甲方确认的设计范围为准。</w:t>
      </w:r>
    </w:p>
    <w:p w14:paraId="1D10721C">
      <w:pPr>
        <w:spacing w:line="360" w:lineRule="auto"/>
        <w:ind w:firstLine="660" w:firstLineChars="300"/>
        <w:rPr>
          <w:rFonts w:ascii="仿宋_GB2312;仿宋" w:hAnsi="仿宋_GB2312;仿宋" w:eastAsia="仿宋_GB2312;仿宋"/>
          <w:color w:val="000000" w:themeColor="text1"/>
          <w:sz w:val="22"/>
          <w:highlight w:val="none"/>
          <w14:textFill>
            <w14:solidFill>
              <w14:schemeClr w14:val="tx1"/>
            </w14:solidFill>
          </w14:textFill>
        </w:rPr>
      </w:pPr>
      <w:r>
        <w:rPr>
          <w:rFonts w:ascii="仿宋_GB2312;仿宋" w:hAnsi="仿宋_GB2312;仿宋" w:eastAsia="仿宋_GB2312;仿宋"/>
          <w:color w:val="000000" w:themeColor="text1"/>
          <w:sz w:val="22"/>
          <w:highlight w:val="none"/>
          <w14:textFill>
            <w14:solidFill>
              <w14:schemeClr w14:val="tx1"/>
            </w14:solidFill>
          </w14:textFill>
        </w:rPr>
        <w:t>3</w:t>
      </w:r>
      <w:r>
        <w:rPr>
          <w:rFonts w:hint="default" w:ascii="仿宋_GB2312;仿宋" w:hAnsi="仿宋_GB2312;仿宋" w:eastAsia="仿宋_GB2312;仿宋" w:cs="Times New Roman"/>
          <w:color w:val="000000" w:themeColor="text1"/>
          <w:sz w:val="22"/>
          <w:highlight w:val="none"/>
          <w14:textFill>
            <w14:solidFill>
              <w14:schemeClr w14:val="tx1"/>
            </w14:solidFill>
          </w14:textFill>
        </w:rPr>
        <w:t>、设计面积按套内面积计算，即户型外框墙体</w:t>
      </w:r>
      <w:r>
        <w:rPr>
          <w:rFonts w:hint="eastAsia" w:ascii="仿宋_GB2312;仿宋" w:hAnsi="仿宋_GB2312;仿宋" w:eastAsia="仿宋_GB2312;仿宋" w:cs="Times New Roman"/>
          <w:color w:val="000000" w:themeColor="text1"/>
          <w:sz w:val="22"/>
          <w:highlight w:val="none"/>
          <w:lang w:val="en-US" w:eastAsia="zh-CN"/>
          <w14:textFill>
            <w14:solidFill>
              <w14:schemeClr w14:val="tx1"/>
            </w14:solidFill>
          </w14:textFill>
        </w:rPr>
        <w:t>墙中线</w:t>
      </w:r>
      <w:r>
        <w:rPr>
          <w:rFonts w:hint="default" w:ascii="仿宋_GB2312;仿宋" w:hAnsi="仿宋_GB2312;仿宋" w:eastAsia="仿宋_GB2312;仿宋" w:cs="Times New Roman"/>
          <w:color w:val="000000" w:themeColor="text1"/>
          <w:sz w:val="22"/>
          <w:highlight w:val="none"/>
          <w14:textFill>
            <w14:solidFill>
              <w14:schemeClr w14:val="tx1"/>
            </w14:solidFill>
          </w14:textFill>
        </w:rPr>
        <w:t>框算，阳台按</w:t>
      </w:r>
      <w:r>
        <w:rPr>
          <w:rFonts w:ascii="仿宋_GB2312;仿宋" w:hAnsi="仿宋_GB2312;仿宋" w:eastAsia="仿宋_GB2312;仿宋"/>
          <w:color w:val="000000" w:themeColor="text1"/>
          <w:sz w:val="22"/>
          <w:highlight w:val="none"/>
          <w14:textFill>
            <w14:solidFill>
              <w14:schemeClr w14:val="tx1"/>
            </w14:solidFill>
          </w14:textFill>
        </w:rPr>
        <w:t>1/2</w:t>
      </w:r>
      <w:r>
        <w:rPr>
          <w:rFonts w:hint="default" w:ascii="仿宋_GB2312;仿宋" w:hAnsi="仿宋_GB2312;仿宋" w:eastAsia="仿宋_GB2312;仿宋" w:cs="Times New Roman"/>
          <w:color w:val="000000" w:themeColor="text1"/>
          <w:sz w:val="22"/>
          <w:highlight w:val="none"/>
          <w14:textFill>
            <w14:solidFill>
              <w14:schemeClr w14:val="tx1"/>
            </w14:solidFill>
          </w14:textFill>
        </w:rPr>
        <w:t>计算，其他如飘窗、阳改房、入户阳台、飘窗台改橱柜等按实际面积计算，不需扣除内部间隔墙。</w:t>
      </w:r>
    </w:p>
    <w:p w14:paraId="4B15862B">
      <w:pPr>
        <w:spacing w:line="360" w:lineRule="auto"/>
        <w:ind w:firstLine="660" w:firstLineChars="300"/>
        <w:rPr>
          <w:rFonts w:ascii="仿宋_GB2312;仿宋" w:hAnsi="仿宋_GB2312;仿宋" w:eastAsia="仿宋_GB2312;仿宋"/>
          <w:color w:val="000000" w:themeColor="text1"/>
          <w:sz w:val="22"/>
          <w:highlight w:val="none"/>
          <w14:textFill>
            <w14:solidFill>
              <w14:schemeClr w14:val="tx1"/>
            </w14:solidFill>
          </w14:textFill>
        </w:rPr>
      </w:pPr>
      <w:r>
        <w:rPr>
          <w:rFonts w:ascii="仿宋_GB2312;仿宋" w:hAnsi="仿宋_GB2312;仿宋" w:eastAsia="仿宋_GB2312;仿宋"/>
          <w:color w:val="000000" w:themeColor="text1"/>
          <w:sz w:val="22"/>
          <w:highlight w:val="none"/>
          <w14:textFill>
            <w14:solidFill>
              <w14:schemeClr w14:val="tx1"/>
            </w14:solidFill>
          </w14:textFill>
        </w:rPr>
        <w:t>4</w:t>
      </w:r>
      <w:r>
        <w:rPr>
          <w:rFonts w:hint="default" w:ascii="仿宋_GB2312;仿宋" w:hAnsi="仿宋_GB2312;仿宋" w:eastAsia="仿宋_GB2312;仿宋" w:cs="Times New Roman"/>
          <w:color w:val="000000" w:themeColor="text1"/>
          <w:sz w:val="22"/>
          <w:highlight w:val="none"/>
          <w14:textFill>
            <w14:solidFill>
              <w14:schemeClr w14:val="tx1"/>
            </w14:solidFill>
          </w14:textFill>
        </w:rPr>
        <w:t>、户型套图，镜像户型、局部变异等另列单价。</w:t>
      </w:r>
    </w:p>
    <w:p w14:paraId="05889688">
      <w:pPr>
        <w:spacing w:line="360" w:lineRule="auto"/>
        <w:ind w:firstLine="660" w:firstLineChars="300"/>
        <w:rPr>
          <w:rFonts w:ascii="仿宋_GB2312;仿宋" w:hAnsi="仿宋_GB2312;仿宋" w:eastAsia="仿宋_GB2312;仿宋"/>
          <w:color w:val="000000" w:themeColor="text1"/>
          <w:sz w:val="22"/>
          <w:highlight w:val="none"/>
          <w14:textFill>
            <w14:solidFill>
              <w14:schemeClr w14:val="tx1"/>
            </w14:solidFill>
          </w14:textFill>
        </w:rPr>
      </w:pPr>
      <w:r>
        <w:rPr>
          <w:rFonts w:ascii="仿宋_GB2312;仿宋" w:hAnsi="仿宋_GB2312;仿宋" w:eastAsia="仿宋_GB2312;仿宋"/>
          <w:color w:val="000000" w:themeColor="text1"/>
          <w:sz w:val="22"/>
          <w:highlight w:val="none"/>
          <w14:textFill>
            <w14:solidFill>
              <w14:schemeClr w14:val="tx1"/>
            </w14:solidFill>
          </w14:textFill>
        </w:rPr>
        <w:t>5</w:t>
      </w:r>
      <w:r>
        <w:rPr>
          <w:rFonts w:hint="default" w:ascii="仿宋_GB2312;仿宋" w:hAnsi="仿宋_GB2312;仿宋" w:eastAsia="仿宋_GB2312;仿宋" w:cs="Times New Roman"/>
          <w:color w:val="000000" w:themeColor="text1"/>
          <w:sz w:val="22"/>
          <w:highlight w:val="none"/>
          <w14:textFill>
            <w14:solidFill>
              <w14:schemeClr w14:val="tx1"/>
            </w14:solidFill>
          </w14:textFill>
        </w:rPr>
        <w:t>、需包括报建版及效果提升版共两个版本的施工图。</w:t>
      </w:r>
    </w:p>
    <w:p w14:paraId="0EE5B54C">
      <w:pPr>
        <w:spacing w:line="360" w:lineRule="auto"/>
        <w:ind w:firstLine="525"/>
        <w:outlineLvl w:val="2"/>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表2：设计各阶段占比</w:t>
      </w:r>
    </w:p>
    <w:tbl>
      <w:tblPr>
        <w:tblStyle w:val="19"/>
        <w:tblW w:w="4965" w:type="pct"/>
        <w:tblInd w:w="0" w:type="dxa"/>
        <w:tblLayout w:type="fixed"/>
        <w:tblCellMar>
          <w:top w:w="0" w:type="dxa"/>
          <w:left w:w="10" w:type="dxa"/>
          <w:bottom w:w="0" w:type="dxa"/>
          <w:right w:w="10" w:type="dxa"/>
        </w:tblCellMar>
      </w:tblPr>
      <w:tblGrid>
        <w:gridCol w:w="1178"/>
        <w:gridCol w:w="3638"/>
        <w:gridCol w:w="4662"/>
      </w:tblGrid>
      <w:tr w14:paraId="1AA01560">
        <w:tblPrEx>
          <w:tblCellMar>
            <w:top w:w="0" w:type="dxa"/>
            <w:left w:w="10" w:type="dxa"/>
            <w:bottom w:w="0" w:type="dxa"/>
            <w:right w:w="10" w:type="dxa"/>
          </w:tblCellMar>
        </w:tblPrEx>
        <w:trPr>
          <w:trHeight w:val="496" w:hRule="atLeast"/>
        </w:trPr>
        <w:tc>
          <w:tcPr>
            <w:tcW w:w="1178" w:type="dxa"/>
            <w:tcBorders>
              <w:top w:val="single" w:color="000000" w:sz="4" w:space="0"/>
              <w:left w:val="single" w:color="000000" w:sz="4" w:space="0"/>
              <w:bottom w:val="single" w:color="000000" w:sz="4" w:space="0"/>
              <w:right w:val="single" w:color="000000" w:sz="4" w:space="0"/>
            </w:tcBorders>
            <w:vAlign w:val="center"/>
          </w:tcPr>
          <w:p w14:paraId="112E98FF">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序号</w:t>
            </w:r>
          </w:p>
        </w:tc>
        <w:tc>
          <w:tcPr>
            <w:tcW w:w="3638" w:type="dxa"/>
            <w:tcBorders>
              <w:top w:val="single" w:color="000000" w:sz="4" w:space="0"/>
              <w:left w:val="single" w:color="000000" w:sz="4" w:space="0"/>
              <w:bottom w:val="single" w:color="000000" w:sz="4" w:space="0"/>
              <w:right w:val="single" w:color="000000" w:sz="4" w:space="0"/>
            </w:tcBorders>
            <w:vAlign w:val="center"/>
          </w:tcPr>
          <w:p w14:paraId="3BFD6999">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服务阶段</w:t>
            </w:r>
          </w:p>
        </w:tc>
        <w:tc>
          <w:tcPr>
            <w:tcW w:w="4662" w:type="dxa"/>
            <w:tcBorders>
              <w:top w:val="single" w:color="000000" w:sz="4" w:space="0"/>
              <w:left w:val="single" w:color="000000" w:sz="4" w:space="0"/>
              <w:bottom w:val="single" w:color="000000" w:sz="4" w:space="0"/>
              <w:right w:val="single" w:color="000000" w:sz="4" w:space="0"/>
            </w:tcBorders>
            <w:vAlign w:val="center"/>
          </w:tcPr>
          <w:p w14:paraId="17A645A0">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占比</w:t>
            </w:r>
          </w:p>
        </w:tc>
      </w:tr>
      <w:tr w14:paraId="45E33522">
        <w:tblPrEx>
          <w:tblCellMar>
            <w:top w:w="0" w:type="dxa"/>
            <w:left w:w="10" w:type="dxa"/>
            <w:bottom w:w="0" w:type="dxa"/>
            <w:right w:w="10" w:type="dxa"/>
          </w:tblCellMar>
        </w:tblPrEx>
        <w:trPr>
          <w:trHeight w:val="496" w:hRule="atLeast"/>
        </w:trPr>
        <w:tc>
          <w:tcPr>
            <w:tcW w:w="1178" w:type="dxa"/>
            <w:tcBorders>
              <w:top w:val="single" w:color="000000" w:sz="4" w:space="0"/>
              <w:left w:val="single" w:color="000000" w:sz="4" w:space="0"/>
              <w:bottom w:val="single" w:color="000000" w:sz="4" w:space="0"/>
              <w:right w:val="single" w:color="000000" w:sz="4" w:space="0"/>
            </w:tcBorders>
            <w:vAlign w:val="center"/>
          </w:tcPr>
          <w:p w14:paraId="2E657BF8">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1</w:t>
            </w:r>
          </w:p>
        </w:tc>
        <w:tc>
          <w:tcPr>
            <w:tcW w:w="3638" w:type="dxa"/>
            <w:tcBorders>
              <w:top w:val="single" w:color="000000" w:sz="4" w:space="0"/>
              <w:left w:val="single" w:color="000000" w:sz="4" w:space="0"/>
              <w:bottom w:val="single" w:color="000000" w:sz="4" w:space="0"/>
              <w:right w:val="single" w:color="000000" w:sz="4" w:space="0"/>
            </w:tcBorders>
            <w:vAlign w:val="center"/>
          </w:tcPr>
          <w:p w14:paraId="5501EF16">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预付款</w:t>
            </w:r>
          </w:p>
        </w:tc>
        <w:tc>
          <w:tcPr>
            <w:tcW w:w="4662" w:type="dxa"/>
            <w:tcBorders>
              <w:top w:val="single" w:color="000000" w:sz="4" w:space="0"/>
              <w:left w:val="single" w:color="000000" w:sz="4" w:space="0"/>
              <w:bottom w:val="single" w:color="000000" w:sz="4" w:space="0"/>
              <w:right w:val="single" w:color="000000" w:sz="4" w:space="0"/>
            </w:tcBorders>
            <w:vAlign w:val="center"/>
          </w:tcPr>
          <w:p w14:paraId="6012BA89">
            <w:pPr>
              <w:spacing w:line="360" w:lineRule="auto"/>
              <w:jc w:val="center"/>
              <w:rPr>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2</w:t>
            </w:r>
            <w:r>
              <w:rPr>
                <w:rFonts w:ascii="仿宋" w:hAnsi="仿宋" w:eastAsia="仿宋"/>
                <w:color w:val="000000" w:themeColor="text1"/>
                <w:sz w:val="24"/>
                <w:szCs w:val="24"/>
                <w:highlight w:val="none"/>
                <w14:textFill>
                  <w14:solidFill>
                    <w14:schemeClr w14:val="tx1"/>
                  </w14:solidFill>
                </w14:textFill>
              </w:rPr>
              <w:t>0%</w:t>
            </w:r>
          </w:p>
        </w:tc>
      </w:tr>
      <w:tr w14:paraId="6EFBBD69">
        <w:tblPrEx>
          <w:tblCellMar>
            <w:top w:w="0" w:type="dxa"/>
            <w:left w:w="10" w:type="dxa"/>
            <w:bottom w:w="0" w:type="dxa"/>
            <w:right w:w="10" w:type="dxa"/>
          </w:tblCellMar>
        </w:tblPrEx>
        <w:trPr>
          <w:trHeight w:val="496" w:hRule="atLeast"/>
        </w:trPr>
        <w:tc>
          <w:tcPr>
            <w:tcW w:w="1178" w:type="dxa"/>
            <w:tcBorders>
              <w:top w:val="single" w:color="000000" w:sz="4" w:space="0"/>
              <w:left w:val="single" w:color="000000" w:sz="4" w:space="0"/>
              <w:bottom w:val="single" w:color="000000" w:sz="4" w:space="0"/>
              <w:right w:val="single" w:color="000000" w:sz="4" w:space="0"/>
            </w:tcBorders>
            <w:vAlign w:val="center"/>
          </w:tcPr>
          <w:p w14:paraId="1F2039FC">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2</w:t>
            </w:r>
          </w:p>
        </w:tc>
        <w:tc>
          <w:tcPr>
            <w:tcW w:w="3638" w:type="dxa"/>
            <w:tcBorders>
              <w:top w:val="single" w:color="000000" w:sz="4" w:space="0"/>
              <w:left w:val="single" w:color="000000" w:sz="4" w:space="0"/>
              <w:bottom w:val="single" w:color="000000" w:sz="4" w:space="0"/>
              <w:right w:val="single" w:color="000000" w:sz="4" w:space="0"/>
            </w:tcBorders>
            <w:vAlign w:val="center"/>
          </w:tcPr>
          <w:p w14:paraId="2FA2A608">
            <w:pPr>
              <w:spacing w:line="360" w:lineRule="auto"/>
              <w:jc w:val="center"/>
              <w:rPr>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概念设计阶段</w:t>
            </w:r>
          </w:p>
        </w:tc>
        <w:tc>
          <w:tcPr>
            <w:tcW w:w="4662" w:type="dxa"/>
            <w:tcBorders>
              <w:top w:val="single" w:color="000000" w:sz="4" w:space="0"/>
              <w:left w:val="single" w:color="000000" w:sz="4" w:space="0"/>
              <w:bottom w:val="single" w:color="000000" w:sz="4" w:space="0"/>
              <w:right w:val="single" w:color="000000" w:sz="4" w:space="0"/>
            </w:tcBorders>
            <w:vAlign w:val="center"/>
          </w:tcPr>
          <w:p w14:paraId="6E0E7CD2">
            <w:pPr>
              <w:spacing w:line="360" w:lineRule="auto"/>
              <w:jc w:val="center"/>
              <w:rPr>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2</w:t>
            </w:r>
            <w:r>
              <w:rPr>
                <w:rFonts w:ascii="仿宋" w:hAnsi="仿宋" w:eastAsia="仿宋"/>
                <w:color w:val="000000" w:themeColor="text1"/>
                <w:sz w:val="24"/>
                <w:szCs w:val="24"/>
                <w:highlight w:val="none"/>
                <w14:textFill>
                  <w14:solidFill>
                    <w14:schemeClr w14:val="tx1"/>
                  </w14:solidFill>
                </w14:textFill>
              </w:rPr>
              <w:t>0%</w:t>
            </w:r>
          </w:p>
        </w:tc>
      </w:tr>
      <w:tr w14:paraId="3EAA6567">
        <w:tblPrEx>
          <w:tblCellMar>
            <w:top w:w="0" w:type="dxa"/>
            <w:left w:w="10" w:type="dxa"/>
            <w:bottom w:w="0" w:type="dxa"/>
            <w:right w:w="10" w:type="dxa"/>
          </w:tblCellMar>
        </w:tblPrEx>
        <w:trPr>
          <w:trHeight w:val="496" w:hRule="atLeast"/>
        </w:trPr>
        <w:tc>
          <w:tcPr>
            <w:tcW w:w="1178" w:type="dxa"/>
            <w:tcBorders>
              <w:top w:val="single" w:color="000000" w:sz="4" w:space="0"/>
              <w:left w:val="single" w:color="000000" w:sz="4" w:space="0"/>
              <w:bottom w:val="single" w:color="000000" w:sz="4" w:space="0"/>
              <w:right w:val="single" w:color="000000" w:sz="4" w:space="0"/>
            </w:tcBorders>
            <w:vAlign w:val="center"/>
          </w:tcPr>
          <w:p w14:paraId="1F3F9866">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3</w:t>
            </w:r>
          </w:p>
        </w:tc>
        <w:tc>
          <w:tcPr>
            <w:tcW w:w="3638" w:type="dxa"/>
            <w:tcBorders>
              <w:top w:val="single" w:color="000000" w:sz="4" w:space="0"/>
              <w:left w:val="single" w:color="000000" w:sz="4" w:space="0"/>
              <w:bottom w:val="single" w:color="000000" w:sz="4" w:space="0"/>
              <w:right w:val="single" w:color="000000" w:sz="4" w:space="0"/>
            </w:tcBorders>
            <w:vAlign w:val="center"/>
          </w:tcPr>
          <w:p w14:paraId="4A58DC80">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深化方案设计阶段</w:t>
            </w:r>
          </w:p>
        </w:tc>
        <w:tc>
          <w:tcPr>
            <w:tcW w:w="4662" w:type="dxa"/>
            <w:tcBorders>
              <w:top w:val="single" w:color="000000" w:sz="4" w:space="0"/>
              <w:left w:val="single" w:color="000000" w:sz="4" w:space="0"/>
              <w:bottom w:val="single" w:color="000000" w:sz="4" w:space="0"/>
              <w:right w:val="single" w:color="000000" w:sz="4" w:space="0"/>
            </w:tcBorders>
            <w:vAlign w:val="center"/>
          </w:tcPr>
          <w:p w14:paraId="11D91BBF">
            <w:pPr>
              <w:spacing w:line="360" w:lineRule="auto"/>
              <w:jc w:val="center"/>
              <w:rPr>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2</w:t>
            </w:r>
            <w:r>
              <w:rPr>
                <w:rFonts w:ascii="仿宋" w:hAnsi="仿宋" w:eastAsia="仿宋"/>
                <w:color w:val="000000" w:themeColor="text1"/>
                <w:sz w:val="24"/>
                <w:szCs w:val="24"/>
                <w:highlight w:val="none"/>
                <w14:textFill>
                  <w14:solidFill>
                    <w14:schemeClr w14:val="tx1"/>
                  </w14:solidFill>
                </w14:textFill>
              </w:rPr>
              <w:t>0%</w:t>
            </w:r>
          </w:p>
        </w:tc>
      </w:tr>
      <w:tr w14:paraId="6BFB3CFB">
        <w:tblPrEx>
          <w:tblCellMar>
            <w:top w:w="0" w:type="dxa"/>
            <w:left w:w="10" w:type="dxa"/>
            <w:bottom w:w="0" w:type="dxa"/>
            <w:right w:w="10" w:type="dxa"/>
          </w:tblCellMar>
        </w:tblPrEx>
        <w:trPr>
          <w:trHeight w:val="506" w:hRule="atLeast"/>
        </w:trPr>
        <w:tc>
          <w:tcPr>
            <w:tcW w:w="1178" w:type="dxa"/>
            <w:tcBorders>
              <w:top w:val="single" w:color="000000" w:sz="4" w:space="0"/>
              <w:left w:val="single" w:color="000000" w:sz="4" w:space="0"/>
              <w:bottom w:val="single" w:color="000000" w:sz="4" w:space="0"/>
              <w:right w:val="single" w:color="000000" w:sz="4" w:space="0"/>
            </w:tcBorders>
            <w:vAlign w:val="center"/>
          </w:tcPr>
          <w:p w14:paraId="5E4D51C7">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eastAsia="仿宋"/>
                <w:color w:val="000000" w:themeColor="text1"/>
                <w:sz w:val="24"/>
                <w:szCs w:val="24"/>
                <w:highlight w:val="none"/>
                <w14:textFill>
                  <w14:solidFill>
                    <w14:schemeClr w14:val="tx1"/>
                  </w14:solidFill>
                </w14:textFill>
              </w:rPr>
              <w:t>4</w:t>
            </w:r>
          </w:p>
        </w:tc>
        <w:tc>
          <w:tcPr>
            <w:tcW w:w="3638" w:type="dxa"/>
            <w:tcBorders>
              <w:top w:val="single" w:color="000000" w:sz="4" w:space="0"/>
              <w:left w:val="single" w:color="000000" w:sz="4" w:space="0"/>
              <w:bottom w:val="single" w:color="000000" w:sz="4" w:space="0"/>
              <w:right w:val="single" w:color="000000" w:sz="4" w:space="0"/>
            </w:tcBorders>
            <w:vAlign w:val="center"/>
          </w:tcPr>
          <w:p w14:paraId="39008842">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施工图设计阶段</w:t>
            </w:r>
          </w:p>
        </w:tc>
        <w:tc>
          <w:tcPr>
            <w:tcW w:w="4662" w:type="dxa"/>
            <w:tcBorders>
              <w:top w:val="single" w:color="000000" w:sz="4" w:space="0"/>
              <w:left w:val="single" w:color="000000" w:sz="4" w:space="0"/>
              <w:bottom w:val="single" w:color="000000" w:sz="4" w:space="0"/>
              <w:right w:val="single" w:color="000000" w:sz="4" w:space="0"/>
            </w:tcBorders>
            <w:vAlign w:val="center"/>
          </w:tcPr>
          <w:p w14:paraId="01D129F1">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3</w:t>
            </w:r>
            <w:r>
              <w:rPr>
                <w:rFonts w:ascii="仿宋" w:hAnsi="仿宋" w:eastAsia="仿宋"/>
                <w:color w:val="000000" w:themeColor="text1"/>
                <w:sz w:val="24"/>
                <w:szCs w:val="24"/>
                <w:highlight w:val="none"/>
                <w14:textFill>
                  <w14:solidFill>
                    <w14:schemeClr w14:val="tx1"/>
                  </w14:solidFill>
                </w14:textFill>
              </w:rPr>
              <w:t>0%</w:t>
            </w:r>
          </w:p>
        </w:tc>
      </w:tr>
      <w:tr w14:paraId="47CFBFF0">
        <w:tblPrEx>
          <w:tblCellMar>
            <w:top w:w="0" w:type="dxa"/>
            <w:left w:w="10" w:type="dxa"/>
            <w:bottom w:w="0" w:type="dxa"/>
            <w:right w:w="10" w:type="dxa"/>
          </w:tblCellMar>
        </w:tblPrEx>
        <w:trPr>
          <w:trHeight w:val="506" w:hRule="atLeast"/>
        </w:trPr>
        <w:tc>
          <w:tcPr>
            <w:tcW w:w="1178" w:type="dxa"/>
            <w:tcBorders>
              <w:top w:val="single" w:color="000000" w:sz="4" w:space="0"/>
              <w:left w:val="single" w:color="000000" w:sz="4" w:space="0"/>
              <w:bottom w:val="single" w:color="000000" w:sz="4" w:space="0"/>
              <w:right w:val="single" w:color="000000" w:sz="4" w:space="0"/>
            </w:tcBorders>
            <w:vAlign w:val="center"/>
          </w:tcPr>
          <w:p w14:paraId="5ECB08F8">
            <w:pPr>
              <w:spacing w:line="360" w:lineRule="auto"/>
              <w:jc w:val="center"/>
              <w:rPr>
                <w:rFonts w:hint="eastAsia" w:ascii="仿宋" w:eastAsia="仿宋"/>
                <w:color w:val="000000" w:themeColor="text1"/>
                <w:sz w:val="24"/>
                <w:szCs w:val="24"/>
                <w:highlight w:val="none"/>
                <w:lang w:val="en-US" w:eastAsia="zh-CN"/>
                <w14:textFill>
                  <w14:solidFill>
                    <w14:schemeClr w14:val="tx1"/>
                  </w14:solidFill>
                </w14:textFill>
              </w:rPr>
            </w:pPr>
            <w:r>
              <w:rPr>
                <w:rFonts w:hint="eastAsia" w:ascii="仿宋" w:eastAsia="仿宋"/>
                <w:color w:val="000000" w:themeColor="text1"/>
                <w:sz w:val="24"/>
                <w:szCs w:val="24"/>
                <w:highlight w:val="none"/>
                <w:lang w:val="en-US" w:eastAsia="zh-CN"/>
                <w14:textFill>
                  <w14:solidFill>
                    <w14:schemeClr w14:val="tx1"/>
                  </w14:solidFill>
                </w14:textFill>
              </w:rPr>
              <w:t>5</w:t>
            </w:r>
          </w:p>
        </w:tc>
        <w:tc>
          <w:tcPr>
            <w:tcW w:w="3638" w:type="dxa"/>
            <w:tcBorders>
              <w:top w:val="single" w:color="000000" w:sz="4" w:space="0"/>
              <w:left w:val="single" w:color="000000" w:sz="4" w:space="0"/>
              <w:bottom w:val="single" w:color="000000" w:sz="4" w:space="0"/>
              <w:right w:val="single" w:color="000000" w:sz="4" w:space="0"/>
            </w:tcBorders>
            <w:vAlign w:val="center"/>
          </w:tcPr>
          <w:p w14:paraId="19D1DB05">
            <w:pPr>
              <w:spacing w:line="360" w:lineRule="auto"/>
              <w:jc w:val="center"/>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施工阶段配合服务</w:t>
            </w:r>
          </w:p>
        </w:tc>
        <w:tc>
          <w:tcPr>
            <w:tcW w:w="4662" w:type="dxa"/>
            <w:tcBorders>
              <w:top w:val="single" w:color="000000" w:sz="4" w:space="0"/>
              <w:left w:val="single" w:color="000000" w:sz="4" w:space="0"/>
              <w:bottom w:val="single" w:color="000000" w:sz="4" w:space="0"/>
              <w:right w:val="single" w:color="000000" w:sz="4" w:space="0"/>
            </w:tcBorders>
            <w:vAlign w:val="center"/>
          </w:tcPr>
          <w:p w14:paraId="0A4D1AE3">
            <w:pPr>
              <w:spacing w:line="360" w:lineRule="auto"/>
              <w:jc w:val="center"/>
              <w:rPr>
                <w:rFonts w:ascii="仿宋" w:eastAsia="仿宋"/>
                <w:color w:val="000000" w:themeColor="text1"/>
                <w:sz w:val="24"/>
                <w:szCs w:val="24"/>
                <w:highlight w:val="none"/>
                <w14:textFill>
                  <w14:solidFill>
                    <w14:schemeClr w14:val="tx1"/>
                  </w14:solidFill>
                </w14:textFill>
              </w:rPr>
            </w:pPr>
            <w:r>
              <w:rPr>
                <w:rFonts w:hint="eastAsia" w:ascii="仿宋" w:eastAsia="仿宋"/>
                <w:color w:val="000000" w:themeColor="text1"/>
                <w:sz w:val="24"/>
                <w:szCs w:val="24"/>
                <w:highlight w:val="none"/>
                <w:lang w:val="en-US" w:eastAsia="zh-CN"/>
                <w14:textFill>
                  <w14:solidFill>
                    <w14:schemeClr w14:val="tx1"/>
                  </w14:solidFill>
                </w14:textFill>
              </w:rPr>
              <w:t>1</w:t>
            </w:r>
            <w:r>
              <w:rPr>
                <w:rFonts w:ascii="仿宋" w:eastAsia="仿宋"/>
                <w:color w:val="000000" w:themeColor="text1"/>
                <w:sz w:val="24"/>
                <w:szCs w:val="24"/>
                <w:highlight w:val="none"/>
                <w14:textFill>
                  <w14:solidFill>
                    <w14:schemeClr w14:val="tx1"/>
                  </w14:solidFill>
                </w14:textFill>
              </w:rPr>
              <w:t>0%</w:t>
            </w:r>
          </w:p>
        </w:tc>
      </w:tr>
    </w:tbl>
    <w:p w14:paraId="38A86ECE">
      <w:pPr>
        <w:spacing w:line="360" w:lineRule="auto"/>
        <w:ind w:firstLine="480"/>
        <w:rPr>
          <w:rFonts w:ascii="仿宋_GB2312;仿宋" w:hAnsi="仿宋_GB2312;仿宋" w:eastAsiaTheme="minorEastAsia"/>
          <w:color w:val="000000" w:themeColor="text1"/>
          <w:highlight w:val="none"/>
          <w14:textFill>
            <w14:solidFill>
              <w14:schemeClr w14:val="tx1"/>
            </w14:solidFill>
          </w14:textFill>
        </w:rPr>
      </w:pPr>
    </w:p>
    <w:p w14:paraId="7CEA886A">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上述单价为全费用含增值税综合单价，已经包括乙方提供本合同范围内所有设计服务全部费用，包括但不限于设计费、咨询顾问费、制作费、知识产权费、人工费、材料费、材料样板费、材料样板海运费、其他设备使用和办公费、管理费、规费、利润、税金、保险费用、图纸和文件的印刷费用、文件快递费用、应向相关管理部门缴纳费用、合同约定次数内的现场服务费、项目配合服务费、翻译费（如有），乙方设计人员及工作人员的工资、酬金、加班费、合同约定次数内的差旅费（乙方人员往返本工程所在地交通费用、住宿及出差目标地的城市交通费用）及各项补贴等完成本合同项下所有工作的全部费用。不含税综合单价在合同期限内不作任何调整，增值税税率根据国家税务政策执行政策性调整。</w:t>
      </w:r>
    </w:p>
    <w:p w14:paraId="718AD8DE">
      <w:pPr>
        <w:spacing w:line="360" w:lineRule="auto"/>
        <w:ind w:firstLine="480"/>
        <w:outlineLvl w:val="1"/>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5.2对于设计费用的调整，按以下执行：</w:t>
      </w:r>
    </w:p>
    <w:p w14:paraId="4271AF34">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5.2.1各项目工程量为暂定，合同总设计费为暂定，结算时合同总设计费=双方确认的实际工程量×含税综合单价。</w:t>
      </w:r>
    </w:p>
    <w:p w14:paraId="3A0E6DCF">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5.2.2除合同有另外约定外，含增值税综合单价均不得进行调整。</w:t>
      </w:r>
    </w:p>
    <w:p w14:paraId="456D9F71">
      <w:pPr>
        <w:spacing w:line="360" w:lineRule="auto"/>
        <w:ind w:firstLine="480"/>
        <w:rPr>
          <w:rFonts w:hint="default" w:ascii="仿宋_GB2312;仿宋" w:hAnsi="仿宋_GB2312;仿宋" w:eastAsia="仿宋_GB2312;仿宋"/>
          <w:b/>
          <w:color w:val="000000" w:themeColor="text1"/>
          <w:sz w:val="24"/>
          <w:highlight w:val="none"/>
          <w:lang w:val="en-US" w:eastAsia="zh-CN"/>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5.2.3因乙方提供的各阶段成果文件未达规范要求、未满足甲方设计任务书要求、未能通过主管部门审查、超甲方设计限额指标的，甲方有权要求乙方修改成果文件，乙方应按时修改直至通过甲方审核为止，并向甲方按本合同约定提供打印成册的甲方评审通过的成果文件。该等修改、制作等费用已包含在本合同价款内，乙方不应因此向甲方提出另行支付修改费用的诉求。</w:t>
      </w:r>
    </w:p>
    <w:p w14:paraId="7EFEA945">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5.2.4若乙方完成的成果文件经甲方审核并书面确定后，甲方又提出功能性、系统性等重大设计调整（经甲方核定并书面确认：乙方为满足甲方提出的设计调整而发生的修改及出图的工作量超出对应各阶段已完成甲方确认成果工作量的30%时，方可认定属于重大设计调整）。修改工作量以修改范围的投影面积计算，并结合本合同5.1表2设计各阶段占比进行计算。重大设计调整而导致增加的设计服务费按如下方式计取：</w:t>
      </w:r>
    </w:p>
    <w:p w14:paraId="782D00B6">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暂定增加设计服务费=Σ各阶段暂定工程量（结算时以实际结算工程量计算）×对应固定含增值税综合单价×表2中各阶段比例×（甲方书面确认的为完成重大设计调整而增加的工作量占对应阶段已完成甲方确认成果工作量的百分比-30%）</w:t>
      </w:r>
    </w:p>
    <w:p w14:paraId="311B1D93">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5.2.5本合同设计服务费据实结算。</w:t>
      </w:r>
    </w:p>
    <w:p w14:paraId="26E9075F">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若遇政策性调整增值税税率的，设计费结算金额根据乙方提供的发票税率进行相应调整，具体调整方式如下：</w:t>
      </w:r>
    </w:p>
    <w:p w14:paraId="065FB9C2">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A= C +（B- C）/（1+d1）*（1+d2）。</w:t>
      </w:r>
    </w:p>
    <w:p w14:paraId="62C73FCB">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式中：A－调整后的设计费结算金额；</w:t>
      </w:r>
    </w:p>
    <w:p w14:paraId="42BAB092">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 xml:space="preserve">      C—未调整增值税税率的已开具发票累计金额；</w:t>
      </w:r>
    </w:p>
    <w:p w14:paraId="159C7FD0">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 xml:space="preserve">      B—未调整增值税率前设计费结算金额；</w:t>
      </w:r>
    </w:p>
    <w:p w14:paraId="03B37A21">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tab/>
      </w:r>
      <w:r>
        <w:rPr>
          <w:rFonts w:ascii="仿宋_GB2312;仿宋" w:hAnsi="仿宋_GB2312;仿宋" w:eastAsia="仿宋_GB2312;仿宋"/>
          <w:color w:val="000000" w:themeColor="text1"/>
          <w:sz w:val="24"/>
          <w:highlight w:val="none"/>
          <w14:textFill>
            <w14:solidFill>
              <w14:schemeClr w14:val="tx1"/>
            </w14:solidFill>
          </w14:textFill>
        </w:rPr>
        <w:t xml:space="preserve">   d1—合同内约定的增值税税率；</w:t>
      </w:r>
    </w:p>
    <w:p w14:paraId="09592433">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 xml:space="preserve">      d2—政策调整后的增值税税率；</w:t>
      </w:r>
    </w:p>
    <w:p w14:paraId="13A7F075">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若乙方为完成本合同约定的设计工作而聘请专业顾问咨询公司的，所聘请的顾问咨询公司必须事先报甲方书面同意，乙方聘请专业顾问咨询公司的费用视作已含于本合同设计费中，甲方不再另行支付。</w:t>
      </w:r>
    </w:p>
    <w:p w14:paraId="27250B48">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p>
    <w:p w14:paraId="36F8BFE5">
      <w:pPr>
        <w:spacing w:line="360" w:lineRule="auto"/>
        <w:ind w:left="1083" w:hanging="602"/>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第六条　支付方式</w:t>
      </w:r>
    </w:p>
    <w:p w14:paraId="06D77F5A">
      <w:pPr>
        <w:spacing w:line="360" w:lineRule="auto"/>
        <w:ind w:left="1081" w:hanging="60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6.1各项目设计费的支付如下：</w:t>
      </w:r>
    </w:p>
    <w:p w14:paraId="1173BFE8">
      <w:pPr>
        <w:spacing w:line="360" w:lineRule="auto"/>
        <w:ind w:left="1081" w:hanging="600"/>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pP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1）合同签订后15个工作日内支付设计费的20%。</w:t>
      </w:r>
    </w:p>
    <w:p w14:paraId="0AE0E01A">
      <w:pPr>
        <w:tabs>
          <w:tab w:val="left" w:pos="0"/>
        </w:tabs>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）概念方案确认后</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个工作日内支付设计费的</w:t>
      </w:r>
      <w:r>
        <w:rPr>
          <w:rFonts w:hint="eastAsia" w:ascii="仿宋" w:hAnsi="仿宋" w:eastAsia="仿宋"/>
          <w:color w:val="000000" w:themeColor="text1"/>
          <w:sz w:val="24"/>
          <w:highlight w:val="none"/>
          <w:lang w:val="en-US" w:eastAsia="zh-CN"/>
          <w14:textFill>
            <w14:solidFill>
              <w14:schemeClr w14:val="tx1"/>
            </w14:solidFill>
          </w14:textFill>
        </w:rPr>
        <w:t>20</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w:t>
      </w:r>
    </w:p>
    <w:p w14:paraId="5EF880BA">
      <w:pPr>
        <w:tabs>
          <w:tab w:val="left" w:pos="0"/>
        </w:tabs>
        <w:spacing w:line="360" w:lineRule="auto"/>
        <w:ind w:firstLine="56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）设计方案确认后</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个工作日内支付设计费的</w:t>
      </w:r>
      <w:r>
        <w:rPr>
          <w:rFonts w:hint="eastAsia" w:ascii="仿宋" w:hAnsi="仿宋" w:eastAsia="仿宋"/>
          <w:color w:val="000000" w:themeColor="text1"/>
          <w:sz w:val="24"/>
          <w:highlight w:val="none"/>
          <w:lang w:val="en-US" w:eastAsia="zh-CN"/>
          <w14:textFill>
            <w14:solidFill>
              <w14:schemeClr w14:val="tx1"/>
            </w14:solidFill>
          </w14:textFill>
        </w:rPr>
        <w:t>20</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w:t>
      </w:r>
    </w:p>
    <w:p w14:paraId="4C342148">
      <w:pPr>
        <w:tabs>
          <w:tab w:val="left" w:pos="0"/>
        </w:tabs>
        <w:spacing w:line="360" w:lineRule="auto"/>
        <w:ind w:firstLine="56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）施工图设计确认及完成施工图审查合格（如有）后</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个工作日内支付设计费的</w:t>
      </w:r>
      <w:r>
        <w:rPr>
          <w:rFonts w:hint="eastAsia" w:ascii="仿宋" w:hAnsi="仿宋" w:eastAsia="仿宋"/>
          <w:color w:val="000000" w:themeColor="text1"/>
          <w:sz w:val="24"/>
          <w:highlight w:val="none"/>
          <w:lang w:val="en-US" w:eastAsia="zh-CN"/>
          <w14:textFill>
            <w14:solidFill>
              <w14:schemeClr w14:val="tx1"/>
            </w14:solidFill>
          </w14:textFill>
        </w:rPr>
        <w:t>30</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w:t>
      </w:r>
    </w:p>
    <w:p w14:paraId="74DAF76E">
      <w:pPr>
        <w:tabs>
          <w:tab w:val="left" w:pos="0"/>
        </w:tabs>
        <w:spacing w:line="360" w:lineRule="auto"/>
        <w:ind w:firstLine="56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5</w:t>
      </w:r>
      <w:r>
        <w:rPr>
          <w:rFonts w:hint="eastAsia" w:ascii="仿宋" w:hAnsi="仿宋" w:eastAsia="仿宋"/>
          <w:color w:val="000000" w:themeColor="text1"/>
          <w:sz w:val="24"/>
          <w:highlight w:val="none"/>
          <w14:textFill>
            <w14:solidFill>
              <w14:schemeClr w14:val="tx1"/>
            </w14:solidFill>
          </w14:textFill>
        </w:rPr>
        <w:t>）施工配合服务且完成本合同全部工作，配合甲方完成竣工验收，并办理结算后，支付剩余费用。</w:t>
      </w:r>
    </w:p>
    <w:p w14:paraId="3E989FE7">
      <w:pPr>
        <w:tabs>
          <w:tab w:val="left" w:pos="0"/>
        </w:tabs>
        <w:spacing w:line="360" w:lineRule="auto"/>
        <w:ind w:firstLine="566"/>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6.2甲方每次付款前，乙方应提出书面申请并先向甲方提供甲方认可的足额合法增值税专用发票（增值税税率【6】%）；</w:t>
      </w:r>
      <w:bookmarkStart w:id="1" w:name="_Hlk148709198"/>
      <w:r>
        <w:rPr>
          <w:rFonts w:ascii="仿宋" w:hAnsi="仿宋" w:eastAsia="仿宋"/>
          <w:color w:val="000000" w:themeColor="text1"/>
          <w:sz w:val="24"/>
          <w:highlight w:val="none"/>
          <w14:textFill>
            <w14:solidFill>
              <w14:schemeClr w14:val="tx1"/>
            </w14:solidFill>
          </w14:textFill>
        </w:rPr>
        <w:t>若乙方未提供书面付款申请或提供非正规（不合格）增值税专用发票的，甲方</w:t>
      </w:r>
      <w:r>
        <w:rPr>
          <w:rFonts w:hint="eastAsia" w:ascii="仿宋" w:hAnsi="仿宋" w:eastAsia="仿宋"/>
          <w:color w:val="000000" w:themeColor="text1"/>
          <w:sz w:val="24"/>
          <w:highlight w:val="none"/>
          <w:lang w:val="en-US" w:eastAsia="zh-CN"/>
          <w14:textFill>
            <w14:solidFill>
              <w14:schemeClr w14:val="tx1"/>
            </w14:solidFill>
          </w14:textFill>
        </w:rPr>
        <w:t>有权延期支付款项且</w:t>
      </w:r>
      <w:r>
        <w:rPr>
          <w:rFonts w:ascii="仿宋" w:hAnsi="仿宋" w:eastAsia="仿宋"/>
          <w:color w:val="000000" w:themeColor="text1"/>
          <w:sz w:val="24"/>
          <w:highlight w:val="none"/>
          <w14:textFill>
            <w14:solidFill>
              <w14:schemeClr w14:val="tx1"/>
            </w14:solidFill>
          </w14:textFill>
        </w:rPr>
        <w:t>不承担迟延付款的违约法律责任。</w:t>
      </w:r>
    </w:p>
    <w:bookmarkEnd w:id="1"/>
    <w:p w14:paraId="62DAB96D">
      <w:pPr>
        <w:tabs>
          <w:tab w:val="left" w:pos="0"/>
        </w:tabs>
        <w:spacing w:line="360" w:lineRule="auto"/>
        <w:ind w:firstLine="566"/>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6.3乙方开具的增值税专用发票（发票联及抵扣联）在送达甲方前如发生丢失、灭失或被盗等情况，导致相应票据未顺利送达甲方，或送达并经甲方签收后，发生丢失、灭失或被盗等情况的，乙方应向甲方提供丢失发票的记账联复印件（加盖发票专用章）等税收法规规定及主管税务机关要求提供的相关资料，并确保甲方顺利抵扣该等增值税专用发票，否则，甲方因此遭受的</w:t>
      </w:r>
      <w:r>
        <w:rPr>
          <w:rFonts w:hint="eastAsia" w:ascii="仿宋" w:hAnsi="仿宋" w:eastAsia="仿宋"/>
          <w:color w:val="000000" w:themeColor="text1"/>
          <w:sz w:val="24"/>
          <w:highlight w:val="none"/>
          <w:lang w:val="en-US" w:eastAsia="zh-CN"/>
          <w14:textFill>
            <w14:solidFill>
              <w14:schemeClr w14:val="tx1"/>
            </w14:solidFill>
          </w14:textFill>
        </w:rPr>
        <w:t>全部</w:t>
      </w:r>
      <w:r>
        <w:rPr>
          <w:rFonts w:ascii="仿宋" w:hAnsi="仿宋" w:eastAsia="仿宋"/>
          <w:color w:val="000000" w:themeColor="text1"/>
          <w:sz w:val="24"/>
          <w:highlight w:val="none"/>
          <w14:textFill>
            <w14:solidFill>
              <w14:schemeClr w14:val="tx1"/>
            </w14:solidFill>
          </w14:textFill>
        </w:rPr>
        <w:t>损失由乙方负责赔偿。为保证取得的发票可以及时并成功获得抵扣，乙方开具的增值税专用发票送达并经甲方签收后，若发生丢失，乙方应积极协助甲方，按照相关税收法规和规定及主管税务机关的要求提供相应资料。</w:t>
      </w:r>
      <w:r>
        <w:rPr>
          <w:rFonts w:ascii="仿宋_GB2312;仿宋" w:hAnsi="仿宋_GB2312;仿宋" w:eastAsia="仿宋_GB2312;仿宋"/>
          <w:color w:val="000000" w:themeColor="text1"/>
          <w:sz w:val="24"/>
          <w:highlight w:val="none"/>
          <w14:textFill>
            <w14:solidFill>
              <w14:schemeClr w14:val="tx1"/>
            </w14:solidFill>
          </w14:textFill>
        </w:rPr>
        <w:t xml:space="preserve">当设计费用支付至结算价的95%时，乙方需提供至双方确认的结算价款100%的增值税专用发票。若乙方未提供书面付款申请或提供非正规（不合格）增值税专用发票的，甲方有权不予支付任何款项且无须承担逾期付款的违约责任。 </w:t>
      </w:r>
    </w:p>
    <w:p w14:paraId="1E0B4FBF">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6.4 若遇政策性调整增值税税率的，乙方提供增值税专用发票的增值税税率按政策性调整后的税率执行；甲方按增值税税率调整前当次应付金额对应的不含税价款及调整后的增值税税率计算的税费进行支付。</w:t>
      </w:r>
    </w:p>
    <w:p w14:paraId="6C93D858">
      <w:pPr>
        <w:tabs>
          <w:tab w:val="left" w:pos="120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6.5 因乙方违约需要向甲方承担违约金或赔偿责任的,甲方有权直接从应支付给乙方的设计顾问服务费中扣除相应的违约金或赔偿金。</w:t>
      </w:r>
    </w:p>
    <w:p w14:paraId="0960A6A6">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6.6 本合同仅约定乙方非分包工作阶段付款，如乙方存在分包情况，须与甲方另行签订三方协议，约定分包付款条款，分包价格也将从合同暂定总价中作相应扣减，本合同则按照扣减后金额分工作阶段付款。</w:t>
      </w:r>
    </w:p>
    <w:p w14:paraId="1B9AB581">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 xml:space="preserve">6.7 </w:t>
      </w:r>
      <w:bookmarkStart w:id="2" w:name="_Hlk148709259"/>
      <w:r>
        <w:rPr>
          <w:rFonts w:ascii="仿宋_GB2312;仿宋" w:hAnsi="仿宋_GB2312;仿宋" w:eastAsia="仿宋_GB2312;仿宋"/>
          <w:color w:val="000000" w:themeColor="text1"/>
          <w:sz w:val="24"/>
          <w:highlight w:val="none"/>
          <w14:textFill>
            <w14:solidFill>
              <w14:schemeClr w14:val="tx1"/>
            </w14:solidFill>
          </w14:textFill>
        </w:rPr>
        <w:t>甲方可根据项目实际开发计划，就完成的各分区阶段成果进行分段支付及分段结算。</w:t>
      </w:r>
      <w:bookmarkEnd w:id="2"/>
      <w:r>
        <w:rPr>
          <w:rFonts w:ascii="仿宋_GB2312;仿宋" w:hAnsi="仿宋_GB2312;仿宋" w:eastAsia="仿宋_GB2312;仿宋"/>
          <w:color w:val="000000" w:themeColor="text1"/>
          <w:sz w:val="24"/>
          <w:highlight w:val="none"/>
          <w14:textFill>
            <w14:solidFill>
              <w14:schemeClr w14:val="tx1"/>
            </w14:solidFill>
          </w14:textFill>
        </w:rPr>
        <w:t>由</w:t>
      </w:r>
      <w:r>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t>甲方</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指定授权的</w:t>
      </w:r>
      <w:r>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t>设计</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人员</w:t>
      </w:r>
      <w:r>
        <w:rPr>
          <w:rFonts w:ascii="仿宋_GB2312;仿宋" w:hAnsi="仿宋_GB2312;仿宋" w:eastAsia="仿宋_GB2312;仿宋"/>
          <w:color w:val="000000" w:themeColor="text1"/>
          <w:sz w:val="24"/>
          <w:highlight w:val="none"/>
          <w14:textFill>
            <w14:solidFill>
              <w14:schemeClr w14:val="tx1"/>
            </w14:solidFill>
          </w14:textFill>
        </w:rPr>
        <w:t>确认阶段性成果。</w:t>
      </w:r>
    </w:p>
    <w:p w14:paraId="59099CAD">
      <w:pPr>
        <w:tabs>
          <w:tab w:val="left" w:pos="1200"/>
        </w:tabs>
        <w:spacing w:line="360" w:lineRule="auto"/>
        <w:ind w:firstLine="480"/>
        <w:jc w:val="left"/>
        <w:rPr>
          <w:rFonts w:hint="eastAsia" w:ascii="仿宋_GB2312;仿宋" w:hAnsi="仿宋_GB2312;仿宋" w:eastAsia="仿宋_GB2312;仿宋"/>
          <w:b w:val="0"/>
          <w:bCs/>
          <w:color w:val="000000" w:themeColor="text1"/>
          <w:sz w:val="24"/>
          <w:highlight w:val="none"/>
          <w:lang w:val="en-US" w:eastAsia="zh-CN"/>
          <w14:textFill>
            <w14:solidFill>
              <w14:schemeClr w14:val="tx1"/>
            </w14:solidFill>
          </w14:textFill>
        </w:rPr>
      </w:pPr>
      <w:r>
        <w:rPr>
          <w:rFonts w:hint="eastAsia" w:ascii="仿宋_GB2312;仿宋" w:hAnsi="仿宋_GB2312;仿宋" w:eastAsia="仿宋_GB2312;仿宋"/>
          <w:b w:val="0"/>
          <w:bCs/>
          <w:color w:val="000000" w:themeColor="text1"/>
          <w:sz w:val="24"/>
          <w:highlight w:val="none"/>
          <w:lang w:val="en-US" w:eastAsia="zh-CN"/>
          <w14:textFill>
            <w14:solidFill>
              <w14:schemeClr w14:val="tx1"/>
            </w14:solidFill>
          </w14:textFill>
        </w:rPr>
        <w:t>6.8乙方应对本合同签署页中乙方提供的账户信息准确性负责，如该账户信息变更，乙方须立即书面通知甲方并提供变更后的账户信息，任何因账户信息有误或账户信息变更而未及时通知甲方所造成的损失（无论是甲方的损失或乙方自己的损失）均由乙方承担全部责任。</w:t>
      </w:r>
    </w:p>
    <w:p w14:paraId="0A0DBC75">
      <w:pPr>
        <w:tabs>
          <w:tab w:val="left" w:pos="1200"/>
        </w:tabs>
        <w:spacing w:line="360" w:lineRule="auto"/>
        <w:ind w:firstLine="480"/>
        <w:jc w:val="left"/>
        <w:rPr>
          <w:rFonts w:hint="default" w:ascii="仿宋_GB2312;仿宋" w:hAnsi="仿宋_GB2312;仿宋" w:eastAsia="仿宋_GB2312;仿宋"/>
          <w:b w:val="0"/>
          <w:bCs/>
          <w:color w:val="000000" w:themeColor="text1"/>
          <w:sz w:val="24"/>
          <w:highlight w:val="none"/>
          <w:lang w:val="en-US" w:eastAsia="zh-CN"/>
          <w14:textFill>
            <w14:solidFill>
              <w14:schemeClr w14:val="tx1"/>
            </w14:solidFill>
          </w14:textFill>
        </w:rPr>
      </w:pPr>
      <w:r>
        <w:rPr>
          <w:rFonts w:hint="eastAsia" w:ascii="仿宋_GB2312;仿宋" w:hAnsi="仿宋_GB2312;仿宋" w:eastAsia="仿宋_GB2312;仿宋"/>
          <w:b w:val="0"/>
          <w:bCs/>
          <w:color w:val="000000" w:themeColor="text1"/>
          <w:sz w:val="24"/>
          <w:highlight w:val="none"/>
          <w:lang w:val="en-US" w:eastAsia="zh-CN"/>
          <w14:textFill>
            <w14:solidFill>
              <w14:schemeClr w14:val="tx1"/>
            </w14:solidFill>
          </w14:textFill>
        </w:rPr>
        <w:t>6.9甲方按照合同约定时间提交付款审批程序即视为甲方已履行付款义务，因审批流程时间过长导致实际款项到账时间或有延迟的，不视为未履行付款义务。在合同履行过程中，因乙方账户原因（包括但不限于账号被注销、被冻结等）导致乙方无法收取款项的，由乙方承担相应后果。</w:t>
      </w:r>
    </w:p>
    <w:p w14:paraId="27999309">
      <w:pPr>
        <w:spacing w:line="360" w:lineRule="auto"/>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第七条　双方责任</w:t>
      </w:r>
    </w:p>
    <w:p w14:paraId="03DAAAA3">
      <w:pPr>
        <w:tabs>
          <w:tab w:val="left" w:pos="0"/>
        </w:tabs>
        <w:spacing w:line="360" w:lineRule="auto"/>
        <w:ind w:firstLine="480"/>
        <w:jc w:val="left"/>
        <w:outlineLvl w:val="1"/>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  甲方权利义务</w:t>
      </w:r>
    </w:p>
    <w:p w14:paraId="0D724C31">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7.1.1甲方应在规定的时间内提交乙方设计所必需的基础资料及文件，并对其完整性、正确性负责。</w:t>
      </w:r>
    </w:p>
    <w:p w14:paraId="3E3553AD">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7.1.2 甲方有权参与或聘请技术专家参与乙方的技术方案优化评选，在听取各方意见后确定技术方案。</w:t>
      </w:r>
    </w:p>
    <w:p w14:paraId="15DFFBA6">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7.1.3甲方有权督促检查设计进度、设计深度、参与各设计阶段的设计管理。</w:t>
      </w:r>
    </w:p>
    <w:p w14:paraId="413E681A">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7.1.4乙方施工现场的服务人员，甲方</w:t>
      </w:r>
      <w:r>
        <w:rPr>
          <w:rFonts w:hint="eastAsia" w:ascii="仿宋" w:hAnsi="仿宋" w:eastAsia="仿宋"/>
          <w:color w:val="000000" w:themeColor="text1"/>
          <w:sz w:val="24"/>
          <w:highlight w:val="none"/>
          <w:lang w:val="en-US" w:eastAsia="zh-CN"/>
          <w14:textFill>
            <w14:solidFill>
              <w14:schemeClr w14:val="tx1"/>
            </w14:solidFill>
          </w14:textFill>
        </w:rPr>
        <w:t>仅</w:t>
      </w:r>
      <w:r>
        <w:rPr>
          <w:rFonts w:ascii="仿宋" w:hAnsi="仿宋" w:eastAsia="仿宋"/>
          <w:color w:val="000000" w:themeColor="text1"/>
          <w:sz w:val="24"/>
          <w:highlight w:val="none"/>
          <w14:textFill>
            <w14:solidFill>
              <w14:schemeClr w14:val="tx1"/>
            </w14:solidFill>
          </w14:textFill>
        </w:rPr>
        <w:t>负责为其提供办公室和座机工作电话，其余事项及费用（包括手机费、交通费、伙食费、工资、奖金、工地服务费等）均由乙方承担。</w:t>
      </w:r>
    </w:p>
    <w:p w14:paraId="47763B92">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7.1.5甲方负责对各阶段设计成果和重大设计变更进行确认。成果确认以</w:t>
      </w:r>
      <w:r>
        <w:rPr>
          <w:rFonts w:hint="eastAsia" w:ascii="仿宋" w:hAnsi="仿宋" w:eastAsia="仿宋"/>
          <w:color w:val="000000" w:themeColor="text1"/>
          <w:sz w:val="24"/>
          <w:highlight w:val="none"/>
          <w:lang w:val="en-US" w:eastAsia="zh-CN"/>
          <w14:textFill>
            <w14:solidFill>
              <w14:schemeClr w14:val="tx1"/>
            </w14:solidFill>
          </w14:textFill>
        </w:rPr>
        <w:t>甲方设计</w:t>
      </w:r>
      <w:r>
        <w:rPr>
          <w:rFonts w:ascii="仿宋" w:hAnsi="仿宋" w:eastAsia="仿宋"/>
          <w:color w:val="000000" w:themeColor="text1"/>
          <w:sz w:val="24"/>
          <w:highlight w:val="none"/>
          <w14:textFill>
            <w14:solidFill>
              <w14:schemeClr w14:val="tx1"/>
            </w14:solidFill>
          </w14:textFill>
        </w:rPr>
        <w:t>确认为准。</w:t>
      </w:r>
    </w:p>
    <w:p w14:paraId="4B11EC23">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7.1.6甲方需按合同约定按时支付设计费。</w:t>
      </w:r>
    </w:p>
    <w:p w14:paraId="5B04E498">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7.1.7甲方对乙方设计成果的确认或者其他形式认可，均不免除乙方按本合同和法律法规及行业惯例对设计成果本身存在的缺陷或瑕疵而应承担的责任。</w:t>
      </w:r>
    </w:p>
    <w:p w14:paraId="66AE92BE">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7.1.8乙方向甲方提交的同一份设计图纸经过</w:t>
      </w:r>
      <w:r>
        <w:rPr>
          <w:rFonts w:hint="eastAsia" w:ascii="仿宋" w:hAnsi="仿宋" w:eastAsia="仿宋"/>
          <w:color w:val="000000" w:themeColor="text1"/>
          <w:sz w:val="24"/>
          <w:highlight w:val="none"/>
          <w:lang w:val="en-US" w:eastAsia="zh-CN"/>
          <w14:textFill>
            <w14:solidFill>
              <w14:schemeClr w14:val="tx1"/>
            </w14:solidFill>
          </w14:textFill>
        </w:rPr>
        <w:t>两</w:t>
      </w:r>
      <w:r>
        <w:rPr>
          <w:rFonts w:ascii="仿宋" w:hAnsi="仿宋" w:eastAsia="仿宋"/>
          <w:color w:val="000000" w:themeColor="text1"/>
          <w:sz w:val="24"/>
          <w:highlight w:val="none"/>
          <w14:textFill>
            <w14:solidFill>
              <w14:schemeClr w14:val="tx1"/>
            </w14:solidFill>
          </w14:textFill>
        </w:rPr>
        <w:t>次修改仍未能获得甲方书面认可的，甲方有权单方解除本合同，</w:t>
      </w:r>
      <w:r>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t>乙方</w:t>
      </w:r>
      <w:r>
        <w:rPr>
          <w:rFonts w:hint="default" w:ascii="仿宋_GB2312;仿宋" w:hAnsi="仿宋_GB2312;仿宋" w:eastAsia="仿宋_GB2312;仿宋"/>
          <w:color w:val="000000" w:themeColor="text1"/>
          <w:sz w:val="24"/>
          <w:highlight w:val="none"/>
          <w14:textFill>
            <w14:solidFill>
              <w14:schemeClr w14:val="tx1"/>
            </w14:solidFill>
          </w14:textFill>
        </w:rPr>
        <w:t>应按</w:t>
      </w:r>
      <w:r>
        <w:rPr>
          <w:rFonts w:ascii="仿宋_GB2312;仿宋" w:hAnsi="仿宋_GB2312;仿宋" w:eastAsia="仿宋_GB2312;仿宋"/>
          <w:color w:val="000000" w:themeColor="text1"/>
          <w:sz w:val="24"/>
          <w:highlight w:val="none"/>
          <w14:textFill>
            <w14:solidFill>
              <w14:schemeClr w14:val="tx1"/>
            </w14:solidFill>
          </w14:textFill>
        </w:rPr>
        <w:t>暂定</w:t>
      </w:r>
      <w:r>
        <w:rPr>
          <w:rFonts w:hint="default" w:ascii="仿宋_GB2312;仿宋" w:hAnsi="仿宋_GB2312;仿宋" w:eastAsia="仿宋_GB2312;仿宋"/>
          <w:color w:val="000000" w:themeColor="text1"/>
          <w:sz w:val="24"/>
          <w:highlight w:val="none"/>
          <w14:textFill>
            <w14:solidFill>
              <w14:schemeClr w14:val="tx1"/>
            </w14:solidFill>
          </w14:textFill>
        </w:rPr>
        <w:t>设计费总额的</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2</w:t>
      </w:r>
      <w:r>
        <w:rPr>
          <w:rFonts w:hint="default" w:ascii="仿宋_GB2312;仿宋" w:hAnsi="仿宋_GB2312;仿宋" w:eastAsia="仿宋_GB2312;仿宋"/>
          <w:color w:val="000000" w:themeColor="text1"/>
          <w:sz w:val="24"/>
          <w:highlight w:val="none"/>
          <w14:textFill>
            <w14:solidFill>
              <w14:schemeClr w14:val="tx1"/>
            </w14:solidFill>
          </w14:textFill>
        </w:rPr>
        <w:t>0%向甲方支付违约金</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若</w:t>
      </w:r>
      <w:r>
        <w:rPr>
          <w:rFonts w:hint="eastAsia" w:ascii="仿宋_GB2312;仿宋" w:hAnsi="仿宋_GB2312;仿宋" w:eastAsia="仿宋_GB2312;仿宋"/>
          <w:color w:val="000000" w:themeColor="text1"/>
          <w:sz w:val="24"/>
          <w:highlight w:val="none"/>
          <w14:textFill>
            <w14:solidFill>
              <w14:schemeClr w14:val="tx1"/>
            </w14:solidFill>
          </w14:textFill>
        </w:rPr>
        <w:t>给甲方造成的损失不能被违约金完全覆盖的，乙方还应承担赔偿责任</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合同解除后，双方根据甲方认可且愿意接受的设计成果结算费用；如甲方不解除合同的，</w:t>
      </w:r>
      <w:r>
        <w:rPr>
          <w:rFonts w:hint="eastAsia" w:ascii="仿宋" w:hAnsi="仿宋" w:eastAsia="仿宋"/>
          <w:color w:val="000000" w:themeColor="text1"/>
          <w:sz w:val="24"/>
          <w:highlight w:val="none"/>
          <w:lang w:val="en-US" w:eastAsia="zh-CN"/>
          <w14:textFill>
            <w14:solidFill>
              <w14:schemeClr w14:val="tx1"/>
            </w14:solidFill>
          </w14:textFill>
        </w:rPr>
        <w:t>甲方有权更换设计团队，</w:t>
      </w:r>
      <w:r>
        <w:rPr>
          <w:rFonts w:ascii="仿宋" w:hAnsi="仿宋" w:eastAsia="仿宋"/>
          <w:color w:val="000000" w:themeColor="text1"/>
          <w:sz w:val="24"/>
          <w:highlight w:val="none"/>
          <w14:textFill>
            <w14:solidFill>
              <w14:schemeClr w14:val="tx1"/>
            </w14:solidFill>
          </w14:textFill>
        </w:rPr>
        <w:t>则乙方应继续按合同及甲方要求修改，由此导致逾期提交成果的，乙方应承担相应责任。</w:t>
      </w:r>
    </w:p>
    <w:p w14:paraId="3E0A27FF">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7.1.9本合同履行期间，甲方有权根据自身需要在提前3天书面通知乙方的情况下单方解除本合同，合同解除后，甲方对乙方已完成并经甲方认可的工作量按照本合同约定标准据实结算费用，除此之外，甲方无须向乙方支付任何费用及承担任何责任。</w:t>
      </w:r>
    </w:p>
    <w:p w14:paraId="24C732E5">
      <w:pPr>
        <w:tabs>
          <w:tab w:val="left" w:pos="0"/>
        </w:tabs>
        <w:spacing w:line="360" w:lineRule="auto"/>
        <w:ind w:firstLine="480"/>
        <w:jc w:val="left"/>
        <w:outlineLvl w:val="1"/>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  乙方权利义务</w:t>
      </w:r>
    </w:p>
    <w:p w14:paraId="083DC543">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7.2.1乙方须对设计成果的合法性、完整性、正确性全面负责。</w:t>
      </w:r>
    </w:p>
    <w:p w14:paraId="116FD8F9">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7.2.2 所有的设计图纸必须符合国家和地方颁发的有关规范、规定，保证设计质量。若由于乙方原因导致设计没有满足有关规范、规定的，乙方应无偿修改，直至满足相应规范、规定，由此导致逾期提交成果的，乙方应承担相应违约责任。</w:t>
      </w:r>
    </w:p>
    <w:p w14:paraId="3DE3494F">
      <w:pPr>
        <w:tabs>
          <w:tab w:val="left" w:pos="0"/>
        </w:tabs>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7.2.3因甲方提出的设计修改（包括政府部门审批要求修改的图纸），对于一般性问题，乙方应在2天内完成；对于复杂性的问题，乙方应在5天内完成，同时应对可能引起的其他问题书面告知甲方。对于乙方不能在合同约定时间或甲乙双方约定的时间内完成的设计修改，乙方应按第九条的标准向甲方承担违约责任。</w:t>
      </w:r>
    </w:p>
    <w:p w14:paraId="7AA92BDE">
      <w:pPr>
        <w:spacing w:line="360" w:lineRule="auto"/>
        <w:ind w:firstLine="480"/>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7.2.4因甲方提出的设计变更或施工引起的设计修改，无论设计成果是否已经过甲方的书面确认，属一般设计修改的乙方应按甲方要求免费修改，不追加设计修改费用；属重大设计修改的（</w:t>
      </w:r>
      <w:r>
        <w:rPr>
          <w:rFonts w:hint="eastAsia" w:ascii="仿宋" w:hAnsi="仿宋" w:eastAsia="仿宋"/>
          <w:color w:val="000000" w:themeColor="text1"/>
          <w:sz w:val="24"/>
          <w:highlight w:val="none"/>
          <w14:textFill>
            <w14:solidFill>
              <w14:schemeClr w14:val="tx1"/>
            </w14:solidFill>
          </w14:textFill>
        </w:rPr>
        <w:t>经甲方核定并书面确认：乙方为满足甲方提出的设计调整而发生的修改及出图的工作量超出对应各阶段已完成甲方确认成果</w:t>
      </w:r>
      <w:r>
        <w:rPr>
          <w:rFonts w:hint="eastAsia" w:ascii="仿宋" w:hAnsi="仿宋" w:eastAsia="仿宋"/>
          <w:color w:val="000000" w:themeColor="text1"/>
          <w:sz w:val="24"/>
          <w:highlight w:val="none"/>
          <w:lang w:val="en-US" w:eastAsia="zh-CN"/>
          <w14:textFill>
            <w14:solidFill>
              <w14:schemeClr w14:val="tx1"/>
            </w14:solidFill>
          </w14:textFill>
        </w:rPr>
        <w:t>的</w:t>
      </w:r>
      <w:r>
        <w:rPr>
          <w:rFonts w:hint="eastAsia" w:ascii="仿宋" w:hAnsi="仿宋" w:eastAsia="仿宋"/>
          <w:color w:val="000000" w:themeColor="text1"/>
          <w:sz w:val="24"/>
          <w:highlight w:val="none"/>
          <w14:textFill>
            <w14:solidFill>
              <w14:schemeClr w14:val="tx1"/>
            </w14:solidFill>
          </w14:textFill>
        </w:rPr>
        <w:t>工作量的30%时，方可认定属于重大设计调整</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修改工作量以修改范围的投影面积计算，并结合本合同5.1表2设计各阶段占比进行计算</w:t>
      </w:r>
      <w:r>
        <w:rPr>
          <w:rFonts w:ascii="仿宋" w:hAnsi="仿宋" w:eastAsia="仿宋"/>
          <w:color w:val="000000" w:themeColor="text1"/>
          <w:sz w:val="24"/>
          <w:highlight w:val="none"/>
          <w14:textFill>
            <w14:solidFill>
              <w14:schemeClr w14:val="tx1"/>
            </w14:solidFill>
          </w14:textFill>
        </w:rPr>
        <w:t xml:space="preserve">），对超出的部分，甲方应该补偿乙方该部分的设计费，并按合同描述在结算阶段按实结算。 </w:t>
      </w:r>
    </w:p>
    <w:p w14:paraId="72D2B8D4">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w:t>
      </w:r>
      <w:r>
        <w:rPr>
          <w:rFonts w:hint="eastAsia" w:ascii="仿宋" w:hAnsi="仿宋" w:eastAsia="仿宋"/>
          <w:color w:val="000000" w:themeColor="text1"/>
          <w:sz w:val="24"/>
          <w:highlight w:val="none"/>
          <w:lang w:val="en-US" w:eastAsia="zh-CN"/>
          <w14:textFill>
            <w14:solidFill>
              <w14:schemeClr w14:val="tx1"/>
            </w14:solidFill>
          </w14:textFill>
        </w:rPr>
        <w:t>5</w:t>
      </w:r>
      <w:r>
        <w:rPr>
          <w:rFonts w:hint="eastAsia" w:ascii="仿宋" w:hAnsi="仿宋" w:eastAsia="仿宋"/>
          <w:color w:val="000000" w:themeColor="text1"/>
          <w:sz w:val="24"/>
          <w:highlight w:val="none"/>
          <w14:textFill>
            <w14:solidFill>
              <w14:schemeClr w14:val="tx1"/>
            </w14:solidFill>
          </w14:textFill>
        </w:rPr>
        <w:t>对新增设计内容建议增加如下处理方式：</w:t>
      </w:r>
    </w:p>
    <w:p w14:paraId="4EEAB824">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（1）对于新增工作项，则需按甲方公司制度签署补充协议或另订合同。</w:t>
      </w:r>
      <w:r>
        <w:rPr>
          <w:rFonts w:hint="eastAsia" w:ascii="仿宋" w:hAnsi="仿宋" w:eastAsia="仿宋"/>
          <w:color w:val="000000" w:themeColor="text1"/>
          <w:sz w:val="24"/>
          <w:highlight w:val="none"/>
          <w14:textFill>
            <w14:solidFill>
              <w14:schemeClr w14:val="tx1"/>
            </w14:solidFill>
          </w14:textFill>
        </w:rPr>
        <w:t>（例：以装修为例，后增加样板房则适用此条款；以园林为例后增加红线外或架空层设计则适用此条款）</w:t>
      </w:r>
    </w:p>
    <w:p w14:paraId="240FA663">
      <w:pPr>
        <w:spacing w:line="360" w:lineRule="auto"/>
        <w:ind w:firstLine="480"/>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（2）对于原合同工作项，设计面积因项目实际情况调整，</w:t>
      </w:r>
      <w:r>
        <w:rPr>
          <w:rFonts w:hint="eastAsia" w:ascii="仿宋" w:hAnsi="仿宋" w:eastAsia="仿宋"/>
          <w:color w:val="000000" w:themeColor="text1"/>
          <w:sz w:val="24"/>
          <w:highlight w:val="none"/>
          <w14:textFill>
            <w14:solidFill>
              <w14:schemeClr w14:val="tx1"/>
            </w14:solidFill>
          </w14:textFill>
        </w:rPr>
        <w:t>按单项面积的10%作为基准，</w:t>
      </w:r>
      <w:r>
        <w:rPr>
          <w:rFonts w:ascii="仿宋" w:hAnsi="仿宋" w:eastAsia="仿宋"/>
          <w:color w:val="000000" w:themeColor="text1"/>
          <w:sz w:val="24"/>
          <w:highlight w:val="none"/>
          <w14:textFill>
            <w14:solidFill>
              <w14:schemeClr w14:val="tx1"/>
            </w14:solidFill>
          </w14:textFill>
        </w:rPr>
        <w:t>如增减不超过10%不予增减费用，超出10%的则按超出部分计算。</w:t>
      </w:r>
    </w:p>
    <w:p w14:paraId="66625F38">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（3）合同内的面积或价格差异等计算错误在5%以内的，结算时可按实结算，不需另外补充协议。</w:t>
      </w:r>
    </w:p>
    <w:p w14:paraId="291961DE">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w:t>
      </w:r>
      <w:r>
        <w:rPr>
          <w:rFonts w:hint="eastAsia" w:ascii="仿宋" w:hAnsi="仿宋" w:eastAsia="仿宋"/>
          <w:color w:val="000000" w:themeColor="text1"/>
          <w:sz w:val="24"/>
          <w:highlight w:val="none"/>
          <w:lang w:val="en-US" w:eastAsia="zh-CN"/>
          <w14:textFill>
            <w14:solidFill>
              <w14:schemeClr w14:val="tx1"/>
            </w14:solidFill>
          </w14:textFill>
        </w:rPr>
        <w:t>6</w:t>
      </w:r>
      <w:r>
        <w:rPr>
          <w:rFonts w:ascii="仿宋" w:hAnsi="仿宋" w:eastAsia="仿宋"/>
          <w:color w:val="000000" w:themeColor="text1"/>
          <w:sz w:val="24"/>
          <w:highlight w:val="none"/>
          <w14:textFill>
            <w14:solidFill>
              <w14:schemeClr w14:val="tx1"/>
            </w14:solidFill>
          </w14:textFill>
        </w:rPr>
        <w:t>乙方应参与本工程竣工验收，并</w:t>
      </w:r>
      <w:r>
        <w:rPr>
          <w:rFonts w:hint="eastAsia" w:ascii="仿宋" w:hAnsi="仿宋" w:eastAsia="仿宋"/>
          <w:color w:val="000000" w:themeColor="text1"/>
          <w:sz w:val="24"/>
          <w:highlight w:val="none"/>
          <w:lang w:val="en-US" w:eastAsia="zh-CN"/>
          <w14:textFill>
            <w14:solidFill>
              <w14:schemeClr w14:val="tx1"/>
            </w14:solidFill>
          </w14:textFill>
        </w:rPr>
        <w:t>参与</w:t>
      </w:r>
      <w:r>
        <w:rPr>
          <w:rFonts w:ascii="仿宋" w:hAnsi="仿宋" w:eastAsia="仿宋"/>
          <w:color w:val="000000" w:themeColor="text1"/>
          <w:sz w:val="24"/>
          <w:highlight w:val="none"/>
          <w14:textFill>
            <w14:solidFill>
              <w14:schemeClr w14:val="tx1"/>
            </w14:solidFill>
          </w14:textFill>
        </w:rPr>
        <w:t>审核用于竣工报审及竣工结算的图纸。</w:t>
      </w:r>
    </w:p>
    <w:p w14:paraId="2556CAA9">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w:t>
      </w:r>
      <w:r>
        <w:rPr>
          <w:rFonts w:hint="eastAsia" w:ascii="仿宋" w:hAnsi="仿宋" w:eastAsia="仿宋"/>
          <w:color w:val="000000" w:themeColor="text1"/>
          <w:sz w:val="24"/>
          <w:highlight w:val="none"/>
          <w:lang w:val="en-US" w:eastAsia="zh-CN"/>
          <w14:textFill>
            <w14:solidFill>
              <w14:schemeClr w14:val="tx1"/>
            </w14:solidFill>
          </w14:textFill>
        </w:rPr>
        <w:t>7</w:t>
      </w:r>
      <w:r>
        <w:rPr>
          <w:rFonts w:ascii="仿宋" w:hAnsi="仿宋" w:eastAsia="仿宋"/>
          <w:color w:val="000000" w:themeColor="text1"/>
          <w:sz w:val="24"/>
          <w:highlight w:val="none"/>
          <w14:textFill>
            <w14:solidFill>
              <w14:schemeClr w14:val="tx1"/>
            </w14:solidFill>
          </w14:textFill>
        </w:rPr>
        <w:t>乙方需保证本项目设计创意、概念、方案、构思及主要材料的选择由</w:t>
      </w:r>
      <w:r>
        <w:rPr>
          <w:rFonts w:ascii="仿宋" w:hAnsi="仿宋" w:eastAsia="仿宋"/>
          <w:b/>
          <w:color w:val="000000" w:themeColor="text1"/>
          <w:sz w:val="24"/>
          <w:highlight w:val="none"/>
          <w14:textFill>
            <w14:solidFill>
              <w14:schemeClr w14:val="tx1"/>
            </w14:solidFill>
          </w14:textFill>
        </w:rPr>
        <w:t>【</w:t>
      </w:r>
      <w:r>
        <w:rPr>
          <w:rFonts w:hint="eastAsia" w:ascii="仿宋" w:hAnsi="仿宋" w:eastAsia="仿宋" w:cs="Times New Roman"/>
          <w:b/>
          <w:bCs w:val="0"/>
          <w:color w:val="000000" w:themeColor="text1"/>
          <w:sz w:val="24"/>
          <w:szCs w:val="20"/>
          <w:highlight w:val="none"/>
          <w:u w:val="none"/>
          <w:lang w:val="en-US" w:eastAsia="zh-CN"/>
          <w14:textFill>
            <w14:solidFill>
              <w14:schemeClr w14:val="tx1"/>
            </w14:solidFill>
          </w14:textFill>
        </w:rPr>
        <w:t xml:space="preserve">    </w:t>
      </w:r>
      <w:r>
        <w:rPr>
          <w:rFonts w:ascii="仿宋" w:hAnsi="仿宋" w:eastAsia="仿宋"/>
          <w:b/>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亲自创作和选择，并由</w:t>
      </w:r>
      <w:r>
        <w:rPr>
          <w:rFonts w:ascii="仿宋" w:hAnsi="仿宋" w:eastAsia="仿宋"/>
          <w:b/>
          <w:color w:val="000000" w:themeColor="text1"/>
          <w:sz w:val="24"/>
          <w:highlight w:val="none"/>
          <w14:textFill>
            <w14:solidFill>
              <w14:schemeClr w14:val="tx1"/>
            </w14:solidFill>
          </w14:textFill>
        </w:rPr>
        <w:t>【</w:t>
      </w:r>
      <w:r>
        <w:rPr>
          <w:rFonts w:hint="eastAsia" w:ascii="仿宋" w:hAnsi="仿宋" w:eastAsia="仿宋" w:cs="Times New Roman"/>
          <w:b/>
          <w:bCs w:val="0"/>
          <w:color w:val="000000" w:themeColor="text1"/>
          <w:sz w:val="24"/>
          <w:szCs w:val="20"/>
          <w:highlight w:val="none"/>
          <w:u w:val="none"/>
          <w:lang w:val="en-US" w:eastAsia="zh-CN"/>
          <w14:textFill>
            <w14:solidFill>
              <w14:schemeClr w14:val="tx1"/>
            </w14:solidFill>
          </w14:textFill>
        </w:rPr>
        <w:t xml:space="preserve">    </w:t>
      </w:r>
      <w:r>
        <w:rPr>
          <w:rFonts w:ascii="仿宋" w:hAnsi="仿宋" w:eastAsia="仿宋"/>
          <w:b/>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对图纸质量、设计变更、设计效果、施工效果、家私摆饰亲自把关，达到预期效果。前述</w:t>
      </w:r>
      <w:r>
        <w:rPr>
          <w:rFonts w:ascii="仿宋" w:hAnsi="仿宋" w:eastAsia="仿宋"/>
          <w:b/>
          <w:color w:val="000000" w:themeColor="text1"/>
          <w:sz w:val="24"/>
          <w:highlight w:val="none"/>
          <w14:textFill>
            <w14:solidFill>
              <w14:schemeClr w14:val="tx1"/>
            </w14:solidFill>
          </w14:textFill>
        </w:rPr>
        <w:t>【</w:t>
      </w:r>
      <w:r>
        <w:rPr>
          <w:rFonts w:hint="eastAsia" w:ascii="仿宋" w:hAnsi="仿宋" w:eastAsia="仿宋" w:cs="Times New Roman"/>
          <w:b/>
          <w:bCs w:val="0"/>
          <w:color w:val="000000" w:themeColor="text1"/>
          <w:sz w:val="24"/>
          <w:szCs w:val="20"/>
          <w:highlight w:val="none"/>
          <w:u w:val="none"/>
          <w:lang w:val="en-US" w:eastAsia="zh-CN"/>
          <w14:textFill>
            <w14:solidFill>
              <w14:schemeClr w14:val="tx1"/>
            </w14:solidFill>
          </w14:textFill>
        </w:rPr>
        <w:t xml:space="preserve">    </w:t>
      </w:r>
      <w:r>
        <w:rPr>
          <w:rFonts w:ascii="仿宋" w:hAnsi="仿宋" w:eastAsia="仿宋"/>
          <w:b/>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为本项目主设计人。</w:t>
      </w:r>
    </w:p>
    <w:p w14:paraId="7385AEAD">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w:t>
      </w:r>
      <w:r>
        <w:rPr>
          <w:rFonts w:hint="eastAsia" w:ascii="仿宋" w:hAnsi="仿宋" w:eastAsia="仿宋"/>
          <w:color w:val="000000" w:themeColor="text1"/>
          <w:sz w:val="24"/>
          <w:highlight w:val="none"/>
          <w:lang w:val="en-US" w:eastAsia="zh-CN"/>
          <w14:textFill>
            <w14:solidFill>
              <w14:schemeClr w14:val="tx1"/>
            </w14:solidFill>
          </w14:textFill>
        </w:rPr>
        <w:t>8</w:t>
      </w:r>
      <w:r>
        <w:rPr>
          <w:rFonts w:ascii="仿宋" w:hAnsi="仿宋" w:eastAsia="仿宋"/>
          <w:color w:val="000000" w:themeColor="text1"/>
          <w:sz w:val="24"/>
          <w:highlight w:val="none"/>
          <w14:textFill>
            <w14:solidFill>
              <w14:schemeClr w14:val="tx1"/>
            </w14:solidFill>
          </w14:textFill>
        </w:rPr>
        <w:t>乙方在服务期内提供</w:t>
      </w:r>
      <w:r>
        <w:rPr>
          <w:rFonts w:hint="eastAsia" w:ascii="仿宋" w:hAnsi="仿宋" w:eastAsia="仿宋"/>
          <w:color w:val="000000" w:themeColor="text1"/>
          <w:sz w:val="24"/>
          <w:highlight w:val="none"/>
          <w:lang w:val="en-US" w:eastAsia="zh-CN"/>
          <w14:textFill>
            <w14:solidFill>
              <w14:schemeClr w14:val="tx1"/>
            </w14:solidFill>
          </w14:textFill>
        </w:rPr>
        <w:t>32</w:t>
      </w:r>
      <w:r>
        <w:rPr>
          <w:rFonts w:ascii="仿宋" w:hAnsi="仿宋" w:eastAsia="仿宋"/>
          <w:color w:val="000000" w:themeColor="text1"/>
          <w:sz w:val="24"/>
          <w:highlight w:val="none"/>
          <w14:textFill>
            <w14:solidFill>
              <w14:schemeClr w14:val="tx1"/>
            </w14:solidFill>
          </w14:textFill>
        </w:rPr>
        <w:t>次的现场服务，其中包含设计成果汇报服务</w:t>
      </w:r>
      <w:r>
        <w:rPr>
          <w:rFonts w:hint="eastAsia" w:ascii="仿宋" w:hAnsi="仿宋" w:eastAsia="仿宋"/>
          <w:color w:val="000000" w:themeColor="text1"/>
          <w:sz w:val="24"/>
          <w:highlight w:val="none"/>
          <w:lang w:val="en-US" w:eastAsia="zh-CN"/>
          <w14:textFill>
            <w14:solidFill>
              <w14:schemeClr w14:val="tx1"/>
            </w14:solidFill>
          </w14:textFill>
        </w:rPr>
        <w:t>13</w:t>
      </w:r>
      <w:r>
        <w:rPr>
          <w:rFonts w:ascii="仿宋" w:hAnsi="仿宋" w:eastAsia="仿宋"/>
          <w:color w:val="000000" w:themeColor="text1"/>
          <w:sz w:val="24"/>
          <w:highlight w:val="none"/>
          <w14:textFill>
            <w14:solidFill>
              <w14:schemeClr w14:val="tx1"/>
            </w14:solidFill>
          </w14:textFill>
        </w:rPr>
        <w:t>次及施工期间现场服务</w:t>
      </w:r>
      <w:r>
        <w:rPr>
          <w:rFonts w:hint="eastAsia" w:ascii="仿宋" w:hAnsi="仿宋" w:eastAsia="仿宋"/>
          <w:color w:val="000000" w:themeColor="text1"/>
          <w:sz w:val="24"/>
          <w:highlight w:val="none"/>
          <w:lang w:val="en-US" w:eastAsia="zh-CN"/>
          <w14:textFill>
            <w14:solidFill>
              <w14:schemeClr w14:val="tx1"/>
            </w14:solidFill>
          </w14:textFill>
        </w:rPr>
        <w:t>19</w:t>
      </w:r>
      <w:r>
        <w:rPr>
          <w:rFonts w:ascii="仿宋" w:hAnsi="仿宋" w:eastAsia="仿宋"/>
          <w:color w:val="000000" w:themeColor="text1"/>
          <w:sz w:val="24"/>
          <w:highlight w:val="none"/>
          <w14:textFill>
            <w14:solidFill>
              <w14:schemeClr w14:val="tx1"/>
            </w14:solidFill>
          </w14:textFill>
        </w:rPr>
        <w:t>次（未能解决问题的现场服务不计入服务次数），在现场服务总次数不变的前提下，甲方有权自行调配各阶段的现场服务次数</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如因乙方图纸错误等原因造成的必要现场配合不计入约定次数范畴</w:t>
      </w:r>
      <w:r>
        <w:rPr>
          <w:rFonts w:ascii="仿宋" w:hAnsi="仿宋" w:eastAsia="仿宋"/>
          <w:color w:val="000000" w:themeColor="text1"/>
          <w:sz w:val="24"/>
          <w:highlight w:val="none"/>
          <w14:textFill>
            <w14:solidFill>
              <w14:schemeClr w14:val="tx1"/>
            </w14:solidFill>
          </w14:textFill>
        </w:rPr>
        <w:t>。超过上述约定服务次数，则甲方按3000/次支付出差补偿（每次据甲方需要安排不少于2人出差），该费用已含来回差旅费、食宿费、保险费用等，甲方不再另外支付其他费用。</w:t>
      </w:r>
    </w:p>
    <w:p w14:paraId="6CB5B8D0">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建议统一如下：</w:t>
      </w:r>
    </w:p>
    <w:p w14:paraId="02ECDEF4">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一、设计阶段，共13次：</w:t>
      </w:r>
    </w:p>
    <w:p w14:paraId="08FC6E87">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（1）项目组织，1次；</w:t>
      </w:r>
    </w:p>
    <w:p w14:paraId="1333B967">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（2）概念设计，2次；</w:t>
      </w:r>
    </w:p>
    <w:p w14:paraId="5C208D11">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（3）深化设计，3次；</w:t>
      </w:r>
    </w:p>
    <w:p w14:paraId="07923823">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（4）材料样板，招标文件阶段，4次；</w:t>
      </w:r>
    </w:p>
    <w:p w14:paraId="57069998">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（5）施工图设计阶段，3次；</w:t>
      </w:r>
    </w:p>
    <w:p w14:paraId="1A2F900C">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二、施工阶段按工作周期及设计工作区分：</w:t>
      </w:r>
    </w:p>
    <w:p w14:paraId="1C297804">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（1）样板房</w:t>
      </w:r>
      <w:r>
        <w:rPr>
          <w:rFonts w:hint="eastAsia" w:ascii="仿宋" w:hAnsi="仿宋" w:eastAsia="仿宋"/>
          <w:color w:val="000000" w:themeColor="text1"/>
          <w:sz w:val="24"/>
          <w:highlight w:val="none"/>
          <w:lang w:val="en-US" w:eastAsia="zh-CN"/>
          <w14:textFill>
            <w14:solidFill>
              <w14:schemeClr w14:val="tx1"/>
            </w14:solidFill>
          </w14:textFill>
        </w:rPr>
        <w:t>及公区</w:t>
      </w:r>
      <w:r>
        <w:rPr>
          <w:rFonts w:ascii="仿宋" w:hAnsi="仿宋" w:eastAsia="仿宋"/>
          <w:color w:val="000000" w:themeColor="text1"/>
          <w:sz w:val="24"/>
          <w:highlight w:val="none"/>
          <w14:textFill>
            <w14:solidFill>
              <w14:schemeClr w14:val="tx1"/>
            </w14:solidFill>
          </w14:textFill>
        </w:rPr>
        <w:t>施工期间配合次数，按项目计划周期，一般每周一次，如按3个月工期，则为12次；外加</w:t>
      </w:r>
      <w:r>
        <w:rPr>
          <w:rFonts w:hint="eastAsia" w:ascii="仿宋" w:hAnsi="仿宋" w:eastAsia="仿宋"/>
          <w:color w:val="000000" w:themeColor="text1"/>
          <w:sz w:val="24"/>
          <w:highlight w:val="none"/>
          <w:lang w:val="en-US" w:eastAsia="zh-CN"/>
          <w14:textFill>
            <w14:solidFill>
              <w14:schemeClr w14:val="tx1"/>
            </w14:solidFill>
          </w14:textFill>
        </w:rPr>
        <w:t>7</w:t>
      </w:r>
      <w:r>
        <w:rPr>
          <w:rFonts w:ascii="仿宋" w:hAnsi="仿宋" w:eastAsia="仿宋"/>
          <w:color w:val="000000" w:themeColor="text1"/>
          <w:sz w:val="24"/>
          <w:highlight w:val="none"/>
          <w14:textFill>
            <w14:solidFill>
              <w14:schemeClr w14:val="tx1"/>
            </w14:solidFill>
          </w14:textFill>
        </w:rPr>
        <w:t>次施工样板外出选材；共1</w:t>
      </w:r>
      <w:r>
        <w:rPr>
          <w:rFonts w:hint="eastAsia" w:ascii="仿宋" w:hAnsi="仿宋" w:eastAsia="仿宋"/>
          <w:color w:val="000000" w:themeColor="text1"/>
          <w:sz w:val="24"/>
          <w:highlight w:val="none"/>
          <w:lang w:val="en-US" w:eastAsia="zh-CN"/>
          <w14:textFill>
            <w14:solidFill>
              <w14:schemeClr w14:val="tx1"/>
            </w14:solidFill>
          </w14:textFill>
        </w:rPr>
        <w:t>9</w:t>
      </w:r>
      <w:r>
        <w:rPr>
          <w:rFonts w:ascii="仿宋" w:hAnsi="仿宋" w:eastAsia="仿宋"/>
          <w:color w:val="000000" w:themeColor="text1"/>
          <w:sz w:val="24"/>
          <w:highlight w:val="none"/>
          <w14:textFill>
            <w14:solidFill>
              <w14:schemeClr w14:val="tx1"/>
            </w14:solidFill>
          </w14:textFill>
        </w:rPr>
        <w:t>次；</w:t>
      </w:r>
    </w:p>
    <w:p w14:paraId="73523B69">
      <w:pPr>
        <w:spacing w:line="360" w:lineRule="auto"/>
        <w:ind w:firstLine="480"/>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三、另外约定如超出次数每次按3000元补偿；</w:t>
      </w:r>
    </w:p>
    <w:p w14:paraId="5EA4E70F">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四、上述现场服务可根据项目实际需求，各阶段次数自行调配，只要不超总次数即可。</w:t>
      </w:r>
    </w:p>
    <w:p w14:paraId="1C2891C6">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7.2.8乙方有义务协助甲方保证施工能自始至终按甲方的</w:t>
      </w:r>
      <w:r>
        <w:rPr>
          <w:rFonts w:ascii="仿宋" w:hAnsi="仿宋" w:eastAsia="仿宋"/>
          <w:b/>
          <w:color w:val="000000" w:themeColor="text1"/>
          <w:sz w:val="24"/>
          <w:highlight w:val="none"/>
          <w14:textFill>
            <w14:solidFill>
              <w14:schemeClr w14:val="tx1"/>
            </w14:solidFill>
          </w14:textFill>
        </w:rPr>
        <w:t>【 设计任务书 】</w:t>
      </w:r>
      <w:r>
        <w:rPr>
          <w:rFonts w:ascii="仿宋" w:hAnsi="仿宋" w:eastAsia="仿宋"/>
          <w:color w:val="000000" w:themeColor="text1"/>
          <w:sz w:val="24"/>
          <w:highlight w:val="none"/>
          <w14:textFill>
            <w14:solidFill>
              <w14:schemeClr w14:val="tx1"/>
            </w14:solidFill>
          </w14:textFill>
        </w:rPr>
        <w:t>设计意图进行。</w:t>
      </w:r>
    </w:p>
    <w:p w14:paraId="53CA1194">
      <w:pPr>
        <w:spacing w:line="360" w:lineRule="auto"/>
        <w:ind w:firstLine="504"/>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7.2.9乙方负责向甲方解释图纸和协助解决技术上的疑难问题，如急需乙方现场解决，必须及时到达进行处理，不能影响施工进度。</w:t>
      </w:r>
    </w:p>
    <w:p w14:paraId="0DD3AF1D">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7.2.10乙方须负责设计答疑、设计交底和局部设计修改，参加装修图纸会审、中间隐蔽验收、阶段性验收及竣工验收。</w:t>
      </w:r>
    </w:p>
    <w:p w14:paraId="61D65436">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7.2.11乙方不能对已经甲方书面认可的设计成果擅自作任何增减或修改，必须修改时，乙方应获得甲方书面确认。</w:t>
      </w:r>
    </w:p>
    <w:p w14:paraId="672F611D">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7.2.12乙方对所有细节做法，均要求单独出大样图及节点图。</w:t>
      </w:r>
    </w:p>
    <w:p w14:paraId="3D8D7298">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7.2.13甲方在对本室内装饰工程承包商或供应商进行招标时，与本合同约定范围内施工图设计文件有关的问题乙方必须给予解答，乙方的解答应及时有效，满足甲方的招标进度计划要求。</w:t>
      </w:r>
    </w:p>
    <w:p w14:paraId="7EB8A3FC">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7.2.14协助甲方进行室内环境布置，其中包括：根据设计效果的要求及甲方的成本预算，由乙方提供活动家具饰品配置方案（家具提供图样，饰品提供项目意向方案）及估价清单，供甲方参考，并接受以下安排：</w:t>
      </w:r>
    </w:p>
    <w:p w14:paraId="0956C4B2">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（1）经甲方确认后，若甲方委托乙方负责采购，需另行签订家具、饰品采购配置合同，由乙方专业人员安排家具厂定做及负责饰品采购。</w:t>
      </w:r>
    </w:p>
    <w:p w14:paraId="3F39AFCF">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（2）若由甲方按乙方提供的方案自行定做及购买（含向乙方购买,具体价格另议），乙方应负责对定做家具及配饰的厂家进行技术性的指导及审核等工作。</w:t>
      </w:r>
    </w:p>
    <w:p w14:paraId="0DEA5CD6">
      <w:pPr>
        <w:tabs>
          <w:tab w:val="left" w:pos="0"/>
        </w:tabs>
        <w:spacing w:line="360" w:lineRule="auto"/>
        <w:ind w:firstLine="480"/>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（3）若甲方要求乙方相关人员陪同购买及提供技术指导，乙方应无偿配合，由双方提前一周协商时间，如需到异地采购，甲方除了支付乙方人员的来往交通费及食宿费外，</w:t>
      </w:r>
      <w:r>
        <w:rPr>
          <w:rFonts w:hint="eastAsia" w:ascii="仿宋" w:hAnsi="仿宋" w:eastAsia="仿宋"/>
          <w:color w:val="000000" w:themeColor="text1"/>
          <w:sz w:val="24"/>
          <w:highlight w:val="none"/>
          <w:lang w:val="en-US" w:eastAsia="zh-CN"/>
          <w14:textFill>
            <w14:solidFill>
              <w14:schemeClr w14:val="tx1"/>
            </w14:solidFill>
          </w14:textFill>
        </w:rPr>
        <w:t>须</w:t>
      </w:r>
      <w:r>
        <w:rPr>
          <w:rFonts w:ascii="仿宋" w:hAnsi="仿宋" w:eastAsia="仿宋"/>
          <w:color w:val="000000" w:themeColor="text1"/>
          <w:sz w:val="24"/>
          <w:highlight w:val="none"/>
          <w14:textFill>
            <w14:solidFill>
              <w14:schemeClr w14:val="tx1"/>
            </w14:solidFill>
          </w14:textFill>
        </w:rPr>
        <w:t>按</w:t>
      </w:r>
      <w:r>
        <w:rPr>
          <w:rFonts w:hint="eastAsia" w:ascii="仿宋" w:hAnsi="仿宋" w:eastAsia="仿宋"/>
          <w:color w:val="000000" w:themeColor="text1"/>
          <w:sz w:val="24"/>
          <w:highlight w:val="none"/>
          <w14:textFill>
            <w14:solidFill>
              <w14:schemeClr w14:val="tx1"/>
            </w14:solidFill>
          </w14:textFill>
        </w:rPr>
        <w:t>设计总监：￥8000/人/天；设计师：￥5000/人/天</w:t>
      </w:r>
      <w:r>
        <w:rPr>
          <w:rFonts w:hint="eastAsia" w:ascii="仿宋" w:hAnsi="仿宋" w:eastAsia="仿宋"/>
          <w:color w:val="000000" w:themeColor="text1"/>
          <w:sz w:val="24"/>
          <w:highlight w:val="none"/>
          <w:lang w:val="en-US" w:eastAsia="zh-CN"/>
          <w14:textFill>
            <w14:solidFill>
              <w14:schemeClr w14:val="tx1"/>
            </w14:solidFill>
          </w14:textFill>
        </w:rPr>
        <w:t>另计费用</w:t>
      </w:r>
    </w:p>
    <w:p w14:paraId="540E5D77">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7.2.15乙方保证所提供的《</w:t>
      </w:r>
      <w:r>
        <w:rPr>
          <w:rFonts w:hint="eastAsia" w:ascii="仿宋" w:hAnsi="仿宋" w:eastAsia="仿宋"/>
          <w:color w:val="000000" w:themeColor="text1"/>
          <w:sz w:val="24"/>
          <w:highlight w:val="none"/>
          <w14:textFill>
            <w14:solidFill>
              <w14:schemeClr w14:val="tx1"/>
            </w14:solidFill>
          </w14:textFill>
        </w:rPr>
        <w:t>乙方投入本项目人员情况表</w:t>
      </w:r>
      <w:r>
        <w:rPr>
          <w:rFonts w:ascii="仿宋" w:hAnsi="仿宋" w:eastAsia="仿宋"/>
          <w:color w:val="000000" w:themeColor="text1"/>
          <w:sz w:val="24"/>
          <w:highlight w:val="none"/>
          <w14:textFill>
            <w14:solidFill>
              <w14:schemeClr w14:val="tx1"/>
            </w14:solidFill>
          </w14:textFill>
        </w:rPr>
        <w:t>》（附件</w:t>
      </w:r>
      <w:r>
        <w:rPr>
          <w:rFonts w:hint="eastAsia" w:ascii="仿宋" w:hAnsi="仿宋" w:eastAsia="仿宋"/>
          <w:color w:val="000000" w:themeColor="text1"/>
          <w:sz w:val="24"/>
          <w:highlight w:val="none"/>
          <w:lang w:val="en-US" w:eastAsia="zh-CN"/>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在整个设计和施工配合过程中不作调整，以保证设计质量和设计工期。如甲方认为乙方设计人员不符合甲方要求时，甲方有权通知乙方更换，乙方不得拒绝。乙方中途需更换设计人员的，应事先征得甲方书面同意。</w:t>
      </w:r>
    </w:p>
    <w:p w14:paraId="2C08229B">
      <w:pPr>
        <w:tabs>
          <w:tab w:val="left" w:pos="0"/>
        </w:tabs>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7.2.16乙方未经甲方同意，不得将本合同的权利和义务转让给第三方。</w:t>
      </w:r>
    </w:p>
    <w:p w14:paraId="216DFC14">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7.2.17乙方设计的主要材料、设备、家具必须提供备选品牌给予甲方以备选择，否则甲方可视乙方设计不符合要求。</w:t>
      </w:r>
    </w:p>
    <w:p w14:paraId="3EFD6ED8">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7.2.18乙方负责配合挑选家私选购/设计及灯具/主要软装潢配置等工作；乙方设计人员在施工阶段应全程配合饰品的采购。</w:t>
      </w:r>
    </w:p>
    <w:p w14:paraId="207017D7">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7.2.19乙方确保其设计人员充分理解并落实甲方的限额设计指标要求，按甲方造价限额标准进行设计，确保设计成果满足甲方限额要求，保证施工图完成后造价不突破设计概算书范围。出现超出造价限额的情况，乙方应在合同约定时间内无条件进行修改至满足造价限额的要求，否则按合同约定承担违约责任。</w:t>
      </w:r>
    </w:p>
    <w:p w14:paraId="23CCCBD9">
      <w:pPr>
        <w:spacing w:line="360" w:lineRule="auto"/>
        <w:ind w:firstLine="480" w:firstLineChars="20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7.2.2</w:t>
      </w:r>
      <w:r>
        <w:rPr>
          <w:rFonts w:hint="eastAsia" w:ascii="仿宋" w:hAnsi="仿宋" w:eastAsia="仿宋"/>
          <w:color w:val="000000" w:themeColor="text1"/>
          <w:sz w:val="24"/>
          <w:highlight w:val="none"/>
          <w:lang w:val="en-US" w:eastAsia="zh-CN"/>
          <w14:textFill>
            <w14:solidFill>
              <w14:schemeClr w14:val="tx1"/>
            </w14:solidFill>
          </w14:textFill>
        </w:rPr>
        <w:t>0</w:t>
      </w:r>
      <w:r>
        <w:rPr>
          <w:rFonts w:ascii="仿宋" w:hAnsi="仿宋" w:eastAsia="仿宋"/>
          <w:color w:val="000000" w:themeColor="text1"/>
          <w:sz w:val="24"/>
          <w:highlight w:val="none"/>
          <w14:textFill>
            <w14:solidFill>
              <w14:schemeClr w14:val="tx1"/>
            </w14:solidFill>
          </w14:textFill>
        </w:rPr>
        <w:t>乙方了解并确认在与甲方接洽和履行本合同过程中，乙方所知悉或取得甲方的资料为甲方的商业秘密。乙方承诺严守其保密性，不得向第三方扩散、转让甲方提交的产品图纸等技术经济资料。乙方承诺甲方之商业秘密仅用作本合同约定之目的，不得用作他用。如乙方违反本条规定，每发生一次，应按设计费总额的10%向甲方支付违约金。如违约金不足以补偿甲方损失的，甲方有权继续向乙方追偿。</w:t>
      </w:r>
    </w:p>
    <w:p w14:paraId="1FB1CFAE">
      <w:pPr>
        <w:tabs>
          <w:tab w:val="left" w:pos="0"/>
        </w:tabs>
        <w:spacing w:line="360" w:lineRule="auto"/>
        <w:jc w:val="left"/>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第八条 限额设计标准</w:t>
      </w:r>
    </w:p>
    <w:p w14:paraId="52F1CC5D">
      <w:pPr>
        <w:tabs>
          <w:tab w:val="left" w:pos="0"/>
        </w:tabs>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本项目装修单方设计限额如下：</w:t>
      </w:r>
    </w:p>
    <w:p w14:paraId="23C014D8">
      <w:pPr>
        <w:tabs>
          <w:tab w:val="left" w:pos="0"/>
        </w:tabs>
        <w:spacing w:line="360" w:lineRule="auto"/>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会所</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元/平方米；</w:t>
      </w:r>
    </w:p>
    <w:p w14:paraId="4F1408B0">
      <w:pPr>
        <w:tabs>
          <w:tab w:val="left" w:pos="0"/>
        </w:tabs>
        <w:spacing w:line="360" w:lineRule="auto"/>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样板房</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元/平方米；</w:t>
      </w:r>
    </w:p>
    <w:p w14:paraId="2D4FDFEB">
      <w:pPr>
        <w:tabs>
          <w:tab w:val="left" w:pos="0"/>
        </w:tabs>
        <w:spacing w:line="360" w:lineRule="auto"/>
        <w:ind w:firstLine="480"/>
        <w:rPr>
          <w:rFonts w:hint="default"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主题架空层</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ascii="仿宋" w:hAnsi="仿宋" w:eastAsia="仿宋"/>
          <w:color w:val="000000" w:themeColor="text1"/>
          <w:sz w:val="24"/>
          <w:highlight w:val="none"/>
          <w14:textFill>
            <w14:solidFill>
              <w14:schemeClr w14:val="tx1"/>
            </w14:solidFill>
          </w14:textFill>
        </w:rPr>
        <w:t>元/平方米；</w:t>
      </w:r>
    </w:p>
    <w:p w14:paraId="71D7E28B">
      <w:pPr>
        <w:tabs>
          <w:tab w:val="left" w:pos="0"/>
        </w:tabs>
        <w:spacing w:line="360" w:lineRule="auto"/>
        <w:ind w:firstLine="480"/>
        <w:rPr>
          <w:rFonts w:hint="default"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以上设计限额以甲方最终确认为准。</w:t>
      </w:r>
    </w:p>
    <w:p w14:paraId="442FAC88">
      <w:pPr>
        <w:spacing w:line="360" w:lineRule="auto"/>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第九条  违约责任</w:t>
      </w:r>
    </w:p>
    <w:p w14:paraId="74E849E5">
      <w:pPr>
        <w:spacing w:line="360" w:lineRule="auto"/>
        <w:ind w:left="473"/>
        <w:outlineLvl w:val="1"/>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9.1甲方的违约责任</w:t>
      </w:r>
    </w:p>
    <w:p w14:paraId="6BA7C92F">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9.1.1甲方应按本合同规定的金额和时间向乙方支付设计费，经乙方书面催告后30日内仍未支付的，每逾期一天，应承担应付尚未支付金额万分之二的逾期违约金</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逾期违约金总额不超过</w:t>
      </w:r>
      <w:r>
        <w:rPr>
          <w:rFonts w:ascii="仿宋_GB2312;仿宋" w:hAnsi="仿宋_GB2312;仿宋" w:eastAsia="仿宋_GB2312;仿宋"/>
          <w:color w:val="000000" w:themeColor="text1"/>
          <w:sz w:val="24"/>
          <w:highlight w:val="none"/>
          <w14:textFill>
            <w14:solidFill>
              <w14:schemeClr w14:val="tx1"/>
            </w14:solidFill>
          </w14:textFill>
        </w:rPr>
        <w:t>暂定</w:t>
      </w:r>
      <w:r>
        <w:rPr>
          <w:rFonts w:hint="default" w:ascii="仿宋_GB2312;仿宋" w:hAnsi="仿宋_GB2312;仿宋" w:eastAsia="仿宋_GB2312;仿宋"/>
          <w:color w:val="000000" w:themeColor="text1"/>
          <w:sz w:val="24"/>
          <w:highlight w:val="none"/>
          <w14:textFill>
            <w14:solidFill>
              <w14:schemeClr w14:val="tx1"/>
            </w14:solidFill>
          </w14:textFill>
        </w:rPr>
        <w:t>设计费总额</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的10%</w:t>
      </w:r>
      <w:r>
        <w:rPr>
          <w:rFonts w:ascii="仿宋_GB2312;仿宋" w:hAnsi="仿宋_GB2312;仿宋" w:eastAsia="仿宋_GB2312;仿宋"/>
          <w:color w:val="000000" w:themeColor="text1"/>
          <w:sz w:val="24"/>
          <w:highlight w:val="none"/>
          <w14:textFill>
            <w14:solidFill>
              <w14:schemeClr w14:val="tx1"/>
            </w14:solidFill>
          </w14:textFill>
        </w:rPr>
        <w:t>。逾期超过90天时，乙方有权暂停履行下阶段工作，并书面通知甲方。在甲方支付了相应的设计费或甲乙双方就延期付款达成协议后的二个工作日内（以早到者为准），乙方应恢复设计工作。</w:t>
      </w:r>
    </w:p>
    <w:p w14:paraId="5AA61DF4">
      <w:pPr>
        <w:spacing w:line="360" w:lineRule="auto"/>
        <w:ind w:left="473"/>
        <w:outlineLvl w:val="1"/>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 乙方的违约责任</w:t>
      </w:r>
    </w:p>
    <w:p w14:paraId="72327BFD">
      <w:pPr>
        <w:spacing w:line="360" w:lineRule="auto"/>
        <w:ind w:firstLine="54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9.2.1乙方对设计资料及文件出现的遗漏或错误以及甲方审批意见指出的对设计资料、文件的问题负责免费修改或补充，设计工期不顺延，乙方仍需按合同约定的时间完成设计工作，逾期交付设计成果的，应承担相应的违约责任。由于乙方错误造成工程质量事故损失，乙方除负责采取补救措施外，应免收直接受损失部分的设计费，并根据损失程度及乙方责任大小，赔偿因此给甲方及第三方造成的直接和间接的损失。</w:t>
      </w:r>
    </w:p>
    <w:p w14:paraId="60D8C052">
      <w:pPr>
        <w:spacing w:line="360" w:lineRule="auto"/>
        <w:ind w:firstLine="54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9.2.2由于乙方自身原因,延误了按本合同及附件规定的设计资料及设计文件的交付时间,每延误一天,应减收本合同项下设计费的千分之二。逾期超过30天，甲方有权终止合同</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ascii="仿宋_GB2312;仿宋" w:hAnsi="仿宋_GB2312;仿宋" w:eastAsia="仿宋_GB2312;仿宋"/>
          <w:color w:val="000000" w:themeColor="text1"/>
          <w:sz w:val="24"/>
          <w:highlight w:val="none"/>
          <w14:textFill>
            <w14:solidFill>
              <w14:schemeClr w14:val="tx1"/>
            </w14:solidFill>
          </w14:textFill>
        </w:rPr>
        <w:t>另行委托</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第三方</w:t>
      </w:r>
      <w:r>
        <w:rPr>
          <w:rFonts w:ascii="仿宋_GB2312;仿宋" w:hAnsi="仿宋_GB2312;仿宋" w:eastAsia="仿宋_GB2312;仿宋"/>
          <w:color w:val="000000" w:themeColor="text1"/>
          <w:sz w:val="24"/>
          <w:highlight w:val="none"/>
          <w14:textFill>
            <w14:solidFill>
              <w14:schemeClr w14:val="tx1"/>
            </w14:solidFill>
          </w14:textFill>
        </w:rPr>
        <w:t>完成余下的设计任务工作</w:t>
      </w:r>
      <w:r>
        <w:rPr>
          <w:rFonts w:ascii="仿宋_GB2312;仿宋" w:hAnsi="仿宋_GB2312;仿宋"/>
          <w:color w:val="000000" w:themeColor="text1"/>
          <w:sz w:val="24"/>
          <w:highlight w:val="none"/>
          <w14:textFill>
            <w14:solidFill>
              <w14:schemeClr w14:val="tx1"/>
            </w14:solidFill>
          </w14:textFill>
        </w:rPr>
        <w:t>，</w:t>
      </w:r>
      <w:r>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t>乙方</w:t>
      </w:r>
      <w:r>
        <w:rPr>
          <w:rFonts w:hint="default" w:ascii="仿宋_GB2312;仿宋" w:hAnsi="仿宋_GB2312;仿宋" w:eastAsia="仿宋_GB2312;仿宋"/>
          <w:color w:val="000000" w:themeColor="text1"/>
          <w:sz w:val="24"/>
          <w:highlight w:val="none"/>
          <w14:textFill>
            <w14:solidFill>
              <w14:schemeClr w14:val="tx1"/>
            </w14:solidFill>
          </w14:textFill>
        </w:rPr>
        <w:t>应按</w:t>
      </w:r>
      <w:r>
        <w:rPr>
          <w:rFonts w:ascii="仿宋_GB2312;仿宋" w:hAnsi="仿宋_GB2312;仿宋" w:eastAsia="仿宋_GB2312;仿宋"/>
          <w:color w:val="000000" w:themeColor="text1"/>
          <w:sz w:val="24"/>
          <w:highlight w:val="none"/>
          <w14:textFill>
            <w14:solidFill>
              <w14:schemeClr w14:val="tx1"/>
            </w14:solidFill>
          </w14:textFill>
        </w:rPr>
        <w:t>暂定</w:t>
      </w:r>
      <w:r>
        <w:rPr>
          <w:rFonts w:hint="default" w:ascii="仿宋_GB2312;仿宋" w:hAnsi="仿宋_GB2312;仿宋" w:eastAsia="仿宋_GB2312;仿宋"/>
          <w:color w:val="000000" w:themeColor="text1"/>
          <w:sz w:val="24"/>
          <w:highlight w:val="none"/>
          <w14:textFill>
            <w14:solidFill>
              <w14:schemeClr w14:val="tx1"/>
            </w14:solidFill>
          </w14:textFill>
        </w:rPr>
        <w:t>设计费总额的</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2</w:t>
      </w:r>
      <w:r>
        <w:rPr>
          <w:rFonts w:hint="default" w:ascii="仿宋_GB2312;仿宋" w:hAnsi="仿宋_GB2312;仿宋" w:eastAsia="仿宋_GB2312;仿宋"/>
          <w:color w:val="000000" w:themeColor="text1"/>
          <w:sz w:val="24"/>
          <w:highlight w:val="none"/>
          <w14:textFill>
            <w14:solidFill>
              <w14:schemeClr w14:val="tx1"/>
            </w14:solidFill>
          </w14:textFill>
        </w:rPr>
        <w:t>0%向甲方支付违约金</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并退还已收取的未完成阶段设计任务的设计费</w:t>
      </w:r>
      <w:r>
        <w:rPr>
          <w:rFonts w:ascii="仿宋_GB2312;仿宋" w:hAnsi="仿宋_GB2312;仿宋" w:eastAsia="仿宋_GB2312;仿宋"/>
          <w:color w:val="000000" w:themeColor="text1"/>
          <w:sz w:val="24"/>
          <w:highlight w:val="none"/>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若</w:t>
      </w:r>
      <w:r>
        <w:rPr>
          <w:rFonts w:hint="eastAsia" w:ascii="仿宋_GB2312;仿宋" w:hAnsi="仿宋_GB2312;仿宋" w:eastAsia="仿宋_GB2312;仿宋"/>
          <w:color w:val="000000" w:themeColor="text1"/>
          <w:sz w:val="24"/>
          <w:highlight w:val="none"/>
          <w14:textFill>
            <w14:solidFill>
              <w14:schemeClr w14:val="tx1"/>
            </w14:solidFill>
          </w14:textFill>
        </w:rPr>
        <w:t>给甲方造成的损失不能被违约金完全覆盖的，乙方还应承担赔偿责任</w:t>
      </w:r>
      <w:r>
        <w:rPr>
          <w:rFonts w:ascii="仿宋_GB2312;仿宋" w:hAnsi="仿宋_GB2312;仿宋" w:eastAsia="仿宋_GB2312;仿宋"/>
          <w:color w:val="000000" w:themeColor="text1"/>
          <w:sz w:val="24"/>
          <w:highlight w:val="none"/>
          <w14:textFill>
            <w14:solidFill>
              <w14:schemeClr w14:val="tx1"/>
            </w14:solidFill>
          </w14:textFill>
        </w:rPr>
        <w:t>。</w:t>
      </w:r>
    </w:p>
    <w:p w14:paraId="618C9C1D">
      <w:pPr>
        <w:spacing w:line="360" w:lineRule="auto"/>
        <w:ind w:firstLine="60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9.2.3乙方擅自更换设计项目负责人或专业负责人的，乙方须向甲方支付违约赔偿金每人次人民币50000元。乙方应在收到甲方关于此违约的书面通知后三个工作日内支付该等违约赔偿金，或直接从应付给乙方的款项中扣除。合同期内乙方擅自更换或减少设计成员累计发生超过三人次（含三人次）的，甲方有权解除合同</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t>乙方</w:t>
      </w:r>
      <w:r>
        <w:rPr>
          <w:rFonts w:hint="default" w:ascii="仿宋_GB2312;仿宋" w:hAnsi="仿宋_GB2312;仿宋" w:eastAsia="仿宋_GB2312;仿宋"/>
          <w:color w:val="000000" w:themeColor="text1"/>
          <w:sz w:val="24"/>
          <w:highlight w:val="none"/>
          <w14:textFill>
            <w14:solidFill>
              <w14:schemeClr w14:val="tx1"/>
            </w14:solidFill>
          </w14:textFill>
        </w:rPr>
        <w:t>应按</w:t>
      </w:r>
      <w:r>
        <w:rPr>
          <w:rFonts w:ascii="仿宋_GB2312;仿宋" w:hAnsi="仿宋_GB2312;仿宋" w:eastAsia="仿宋_GB2312;仿宋"/>
          <w:color w:val="000000" w:themeColor="text1"/>
          <w:sz w:val="24"/>
          <w:highlight w:val="none"/>
          <w14:textFill>
            <w14:solidFill>
              <w14:schemeClr w14:val="tx1"/>
            </w14:solidFill>
          </w14:textFill>
        </w:rPr>
        <w:t>暂定</w:t>
      </w:r>
      <w:r>
        <w:rPr>
          <w:rFonts w:hint="default" w:ascii="仿宋_GB2312;仿宋" w:hAnsi="仿宋_GB2312;仿宋" w:eastAsia="仿宋_GB2312;仿宋"/>
          <w:color w:val="000000" w:themeColor="text1"/>
          <w:sz w:val="24"/>
          <w:highlight w:val="none"/>
          <w14:textFill>
            <w14:solidFill>
              <w14:schemeClr w14:val="tx1"/>
            </w14:solidFill>
          </w14:textFill>
        </w:rPr>
        <w:t>设计费总额的</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2</w:t>
      </w:r>
      <w:r>
        <w:rPr>
          <w:rFonts w:hint="default" w:ascii="仿宋_GB2312;仿宋" w:hAnsi="仿宋_GB2312;仿宋" w:eastAsia="仿宋_GB2312;仿宋"/>
          <w:color w:val="000000" w:themeColor="text1"/>
          <w:sz w:val="24"/>
          <w:highlight w:val="none"/>
          <w14:textFill>
            <w14:solidFill>
              <w14:schemeClr w14:val="tx1"/>
            </w14:solidFill>
          </w14:textFill>
        </w:rPr>
        <w:t>0%向甲方支付违约金</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若</w:t>
      </w:r>
      <w:r>
        <w:rPr>
          <w:rFonts w:hint="eastAsia" w:ascii="仿宋_GB2312;仿宋" w:hAnsi="仿宋_GB2312;仿宋" w:eastAsia="仿宋_GB2312;仿宋"/>
          <w:color w:val="000000" w:themeColor="text1"/>
          <w:sz w:val="24"/>
          <w:highlight w:val="none"/>
          <w14:textFill>
            <w14:solidFill>
              <w14:schemeClr w14:val="tx1"/>
            </w14:solidFill>
          </w14:textFill>
        </w:rPr>
        <w:t>给甲方造成的损失不能被违约金完全覆盖的，乙方还应承担赔偿责任</w:t>
      </w:r>
      <w:r>
        <w:rPr>
          <w:rFonts w:ascii="仿宋_GB2312;仿宋" w:hAnsi="仿宋_GB2312;仿宋" w:eastAsia="仿宋_GB2312;仿宋"/>
          <w:color w:val="000000" w:themeColor="text1"/>
          <w:sz w:val="24"/>
          <w:highlight w:val="none"/>
          <w14:textFill>
            <w14:solidFill>
              <w14:schemeClr w14:val="tx1"/>
            </w14:solidFill>
          </w14:textFill>
        </w:rPr>
        <w:t>。</w:t>
      </w:r>
    </w:p>
    <w:p w14:paraId="25C8AA06">
      <w:pPr>
        <w:spacing w:line="360" w:lineRule="auto"/>
        <w:ind w:firstLine="54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9.2.4乙方有下列情形之一的，视作乙方根本性违约；甲方有权即时解除合同，乙方不得收取该阶段的设计费，</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并退还已收取的未完成阶段设计任务的设计费且</w:t>
      </w:r>
      <w:r>
        <w:rPr>
          <w:rFonts w:hint="default" w:ascii="仿宋_GB2312;仿宋" w:hAnsi="仿宋_GB2312;仿宋" w:eastAsia="仿宋_GB2312;仿宋"/>
          <w:color w:val="000000" w:themeColor="text1"/>
          <w:sz w:val="24"/>
          <w:highlight w:val="none"/>
          <w14:textFill>
            <w14:solidFill>
              <w14:schemeClr w14:val="tx1"/>
            </w14:solidFill>
          </w14:textFill>
        </w:rPr>
        <w:t>应按</w:t>
      </w:r>
      <w:r>
        <w:rPr>
          <w:rFonts w:ascii="仿宋_GB2312;仿宋" w:hAnsi="仿宋_GB2312;仿宋" w:eastAsia="仿宋_GB2312;仿宋"/>
          <w:color w:val="000000" w:themeColor="text1"/>
          <w:sz w:val="24"/>
          <w:highlight w:val="none"/>
          <w14:textFill>
            <w14:solidFill>
              <w14:schemeClr w14:val="tx1"/>
            </w14:solidFill>
          </w14:textFill>
        </w:rPr>
        <w:t>暂定</w:t>
      </w:r>
      <w:r>
        <w:rPr>
          <w:rFonts w:hint="default" w:ascii="仿宋_GB2312;仿宋" w:hAnsi="仿宋_GB2312;仿宋" w:eastAsia="仿宋_GB2312;仿宋"/>
          <w:color w:val="000000" w:themeColor="text1"/>
          <w:sz w:val="24"/>
          <w:highlight w:val="none"/>
          <w14:textFill>
            <w14:solidFill>
              <w14:schemeClr w14:val="tx1"/>
            </w14:solidFill>
          </w14:textFill>
        </w:rPr>
        <w:t>设计费总额的</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2</w:t>
      </w:r>
      <w:r>
        <w:rPr>
          <w:rFonts w:hint="default" w:ascii="仿宋_GB2312;仿宋" w:hAnsi="仿宋_GB2312;仿宋" w:eastAsia="仿宋_GB2312;仿宋"/>
          <w:color w:val="000000" w:themeColor="text1"/>
          <w:sz w:val="24"/>
          <w:highlight w:val="none"/>
          <w14:textFill>
            <w14:solidFill>
              <w14:schemeClr w14:val="tx1"/>
            </w14:solidFill>
          </w14:textFill>
        </w:rPr>
        <w:t>0%向甲方支付违约金</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若</w:t>
      </w:r>
      <w:r>
        <w:rPr>
          <w:rFonts w:hint="eastAsia" w:ascii="仿宋_GB2312;仿宋" w:hAnsi="仿宋_GB2312;仿宋" w:eastAsia="仿宋_GB2312;仿宋"/>
          <w:color w:val="000000" w:themeColor="text1"/>
          <w:sz w:val="24"/>
          <w:highlight w:val="none"/>
          <w14:textFill>
            <w14:solidFill>
              <w14:schemeClr w14:val="tx1"/>
            </w14:solidFill>
          </w14:textFill>
        </w:rPr>
        <w:t>给甲方造成的损失不能被违约金完全覆盖的，乙方还应承担赔偿责任</w:t>
      </w:r>
      <w:r>
        <w:rPr>
          <w:rFonts w:ascii="仿宋_GB2312;仿宋" w:hAnsi="仿宋_GB2312;仿宋" w:eastAsia="仿宋_GB2312;仿宋"/>
          <w:color w:val="000000" w:themeColor="text1"/>
          <w:sz w:val="24"/>
          <w:highlight w:val="none"/>
          <w14:textFill>
            <w14:solidFill>
              <w14:schemeClr w14:val="tx1"/>
            </w14:solidFill>
          </w14:textFill>
        </w:rPr>
        <w:t>。</w:t>
      </w:r>
      <w:r>
        <w:rPr>
          <w:rFonts w:hint="eastAsia" w:ascii="仿宋_GB2312;仿宋" w:hAnsi="仿宋_GB2312;仿宋" w:eastAsia="仿宋_GB2312;仿宋"/>
          <w:color w:val="000000" w:themeColor="text1"/>
          <w:sz w:val="24"/>
          <w:highlight w:val="none"/>
          <w14:textFill>
            <w14:solidFill>
              <w14:schemeClr w14:val="tx1"/>
            </w14:solidFill>
          </w14:textFill>
        </w:rPr>
        <w:t>因乙方设计人员出现离职、生育、死亡、重病等特殊情况的，如乙方及时书面告知甲方，并根据甲方要求更换对应设计人员，未造成项目逾期或甲方其他损失的，甲方不予追究本项的违约责任。</w:t>
      </w:r>
    </w:p>
    <w:p w14:paraId="592AD1E1">
      <w:pPr>
        <w:spacing w:line="360" w:lineRule="auto"/>
        <w:ind w:firstLine="54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9.2.4.1乙方延期交付各阶段设计资料及文件超过30个日历天的；</w:t>
      </w:r>
    </w:p>
    <w:p w14:paraId="0B4275D7">
      <w:pPr>
        <w:spacing w:line="360" w:lineRule="auto"/>
        <w:ind w:firstLine="54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9.2.4.2合同生效后,乙方单方面要求终止或解除合同的；</w:t>
      </w:r>
    </w:p>
    <w:p w14:paraId="3CF24F71">
      <w:pPr>
        <w:spacing w:line="360" w:lineRule="auto"/>
        <w:ind w:firstLine="54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9.2.4.3乙方未经甲方同意而将设计任务转包给任何第三人的；</w:t>
      </w:r>
    </w:p>
    <w:p w14:paraId="56A3E594">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9.2.4.4乙方擅自更换</w:t>
      </w:r>
      <w:r>
        <w:rPr>
          <w:rFonts w:hint="eastAsia" w:ascii="仿宋_GB2312;仿宋" w:hAnsi="仿宋_GB2312;仿宋" w:eastAsia="仿宋_GB2312;仿宋"/>
          <w:color w:val="000000" w:themeColor="text1"/>
          <w:sz w:val="24"/>
          <w:highlight w:val="none"/>
          <w14:textFill>
            <w14:solidFill>
              <w14:schemeClr w14:val="tx1"/>
            </w14:solidFill>
          </w14:textFill>
        </w:rPr>
        <w:t>或减少设计成员累计发生超过三人次（含三人次）的</w:t>
      </w:r>
      <w:r>
        <w:rPr>
          <w:rFonts w:ascii="仿宋_GB2312;仿宋" w:hAnsi="仿宋_GB2312;仿宋" w:eastAsia="仿宋_GB2312;仿宋"/>
          <w:color w:val="000000" w:themeColor="text1"/>
          <w:sz w:val="24"/>
          <w:highlight w:val="none"/>
          <w14:textFill>
            <w14:solidFill>
              <w14:schemeClr w14:val="tx1"/>
            </w14:solidFill>
          </w14:textFill>
        </w:rPr>
        <w:t>；</w:t>
      </w:r>
    </w:p>
    <w:p w14:paraId="663A4BA1">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9.2.4.5乙方设计资料及文件经甲方提出审批意见修改两次后仍不能达到甲方要求的。</w:t>
      </w:r>
    </w:p>
    <w:p w14:paraId="493E9C90">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9.2.5 设计文件如需政府有关部门审查或批准的，乙方</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配合甲方</w:t>
      </w:r>
      <w:r>
        <w:rPr>
          <w:rFonts w:ascii="仿宋_GB2312;仿宋" w:hAnsi="仿宋_GB2312;仿宋" w:eastAsia="仿宋_GB2312;仿宋"/>
          <w:color w:val="000000" w:themeColor="text1"/>
          <w:sz w:val="24"/>
          <w:highlight w:val="none"/>
          <w14:textFill>
            <w14:solidFill>
              <w14:schemeClr w14:val="tx1"/>
            </w14:solidFill>
          </w14:textFill>
        </w:rPr>
        <w:t>报送政府相关部门的审批资料，由于乙方原因需要修改的，乙方应无偿进行修改，设计工期不顺延；如因乙方原因发生方案性错误或重大过失并给甲方造成经济、工期损失的，乙方除应按要求采取补偿措施外，</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还</w:t>
      </w:r>
      <w:r>
        <w:rPr>
          <w:rFonts w:hint="default" w:ascii="仿宋_GB2312;仿宋" w:hAnsi="仿宋_GB2312;仿宋" w:eastAsia="仿宋_GB2312;仿宋"/>
          <w:color w:val="000000" w:themeColor="text1"/>
          <w:sz w:val="24"/>
          <w:highlight w:val="none"/>
          <w14:textFill>
            <w14:solidFill>
              <w14:schemeClr w14:val="tx1"/>
            </w14:solidFill>
          </w14:textFill>
        </w:rPr>
        <w:t>应按</w:t>
      </w:r>
      <w:r>
        <w:rPr>
          <w:rFonts w:ascii="仿宋_GB2312;仿宋" w:hAnsi="仿宋_GB2312;仿宋" w:eastAsia="仿宋_GB2312;仿宋"/>
          <w:color w:val="000000" w:themeColor="text1"/>
          <w:sz w:val="24"/>
          <w:highlight w:val="none"/>
          <w14:textFill>
            <w14:solidFill>
              <w14:schemeClr w14:val="tx1"/>
            </w14:solidFill>
          </w14:textFill>
        </w:rPr>
        <w:t>暂定</w:t>
      </w:r>
      <w:r>
        <w:rPr>
          <w:rFonts w:hint="default" w:ascii="仿宋_GB2312;仿宋" w:hAnsi="仿宋_GB2312;仿宋" w:eastAsia="仿宋_GB2312;仿宋"/>
          <w:color w:val="000000" w:themeColor="text1"/>
          <w:sz w:val="24"/>
          <w:highlight w:val="none"/>
          <w14:textFill>
            <w14:solidFill>
              <w14:schemeClr w14:val="tx1"/>
            </w14:solidFill>
          </w14:textFill>
        </w:rPr>
        <w:t>设计费总额的</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2</w:t>
      </w:r>
      <w:r>
        <w:rPr>
          <w:rFonts w:hint="default" w:ascii="仿宋_GB2312;仿宋" w:hAnsi="仿宋_GB2312;仿宋" w:eastAsia="仿宋_GB2312;仿宋"/>
          <w:color w:val="000000" w:themeColor="text1"/>
          <w:sz w:val="24"/>
          <w:highlight w:val="none"/>
          <w14:textFill>
            <w14:solidFill>
              <w14:schemeClr w14:val="tx1"/>
            </w14:solidFill>
          </w14:textFill>
        </w:rPr>
        <w:t>0%向甲方支付违约金</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若</w:t>
      </w:r>
      <w:r>
        <w:rPr>
          <w:rFonts w:hint="eastAsia" w:ascii="仿宋_GB2312;仿宋" w:hAnsi="仿宋_GB2312;仿宋" w:eastAsia="仿宋_GB2312;仿宋"/>
          <w:color w:val="000000" w:themeColor="text1"/>
          <w:sz w:val="24"/>
          <w:highlight w:val="none"/>
          <w14:textFill>
            <w14:solidFill>
              <w14:schemeClr w14:val="tx1"/>
            </w14:solidFill>
          </w14:textFill>
        </w:rPr>
        <w:t>给甲方造成的损失不能被违约金完全覆盖的，乙方还应承担赔偿责任</w:t>
      </w:r>
      <w:r>
        <w:rPr>
          <w:rFonts w:ascii="仿宋_GB2312;仿宋" w:hAnsi="仿宋_GB2312;仿宋" w:eastAsia="仿宋_GB2312;仿宋"/>
          <w:color w:val="000000" w:themeColor="text1"/>
          <w:sz w:val="24"/>
          <w:highlight w:val="none"/>
          <w14:textFill>
            <w14:solidFill>
              <w14:schemeClr w14:val="tx1"/>
            </w14:solidFill>
          </w14:textFill>
        </w:rPr>
        <w:t>。</w:t>
      </w:r>
    </w:p>
    <w:p w14:paraId="615FAA01">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9.2.6 乙方未能按本合同的约定履行设计及施工工作的配合、设计交底及工作交接义务，乙方应按暂定设计费总额20%赔偿甲方违约金；由此给甲方造成经济、工期损失的，乙方除应继续履行配合和交接义务外，还应赔偿因此给甲方造成的一切损失。但发生如应甲方需求，乙方在得到甲方确认的情况下减少服务次数等诸类情形，乙方不承担任何违约责任。</w:t>
      </w:r>
    </w:p>
    <w:p w14:paraId="70D51294">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9.2.7 因乙方违反本合同约定，致使影响甲方的工程进度、交付日期，或者致使甲方在履行其他</w:t>
      </w:r>
      <w:r>
        <w:rPr>
          <w:rFonts w:hint="default" w:ascii="仿宋_GB2312;仿宋" w:hAnsi="仿宋_GB2312;仿宋" w:eastAsia="仿宋_GB2312;仿宋"/>
          <w:color w:val="000000" w:themeColor="text1"/>
          <w:sz w:val="24"/>
          <w:highlight w:val="none"/>
          <w14:textFill>
            <w14:solidFill>
              <w14:schemeClr w14:val="tx1"/>
            </w14:solidFill>
          </w14:textFill>
        </w:rPr>
        <w:t>合同</w:t>
      </w:r>
      <w:r>
        <w:rPr>
          <w:rFonts w:ascii="仿宋_GB2312;仿宋" w:hAnsi="仿宋_GB2312;仿宋" w:eastAsia="仿宋_GB2312;仿宋"/>
          <w:color w:val="000000" w:themeColor="text1"/>
          <w:sz w:val="24"/>
          <w:highlight w:val="none"/>
          <w14:textFill>
            <w14:solidFill>
              <w14:schemeClr w14:val="tx1"/>
            </w14:solidFill>
          </w14:textFill>
        </w:rPr>
        <w:t>义务时形成违约，导致甲方因此对第三人承担相应责任的，乙方应当对因此给甲方造成的损失承担全部赔偿责任。</w:t>
      </w:r>
    </w:p>
    <w:p w14:paraId="414FCD3C">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9.2.8除本合同另有约定外，因乙方违约导致本合同解除的，乙方应按暂定设计费总额20%赔偿甲方违约金；</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因乙方违约引发纠纷，</w:t>
      </w:r>
      <w:r>
        <w:rPr>
          <w:rFonts w:ascii="仿宋_GB2312;仿宋" w:hAnsi="仿宋_GB2312;仿宋" w:eastAsia="仿宋_GB2312;仿宋"/>
          <w:color w:val="000000" w:themeColor="text1"/>
          <w:sz w:val="24"/>
          <w:highlight w:val="none"/>
          <w14:textFill>
            <w14:solidFill>
              <w14:schemeClr w14:val="tx1"/>
            </w14:solidFill>
          </w14:textFill>
        </w:rPr>
        <w:t>如违约金不足以赔偿甲方损失（包括但不限于甲方的经济损失、甲方为维护权利而产生的律师费、诉讼费</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14:textFill>
            <w14:solidFill>
              <w14:schemeClr w14:val="tx1"/>
            </w14:solidFill>
          </w14:textFill>
        </w:rPr>
        <w:t>保全费、保函担保费、律师差旅费</w:t>
      </w:r>
      <w:r>
        <w:rPr>
          <w:rFonts w:ascii="仿宋_GB2312;仿宋" w:hAnsi="仿宋_GB2312;仿宋" w:eastAsia="仿宋_GB2312;仿宋"/>
          <w:color w:val="000000" w:themeColor="text1"/>
          <w:sz w:val="24"/>
          <w:highlight w:val="none"/>
          <w14:textFill>
            <w14:solidFill>
              <w14:schemeClr w14:val="tx1"/>
            </w14:solidFill>
          </w14:textFill>
        </w:rPr>
        <w:t>等）的，甲方有权继续向乙方追偿。</w:t>
      </w:r>
    </w:p>
    <w:p w14:paraId="1073EA7E">
      <w:pPr>
        <w:spacing w:line="360" w:lineRule="auto"/>
        <w:ind w:left="420"/>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第十条  保密与知识产权</w:t>
      </w:r>
    </w:p>
    <w:p w14:paraId="545B1633">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10.1在合同履行中使用的甲方向乙方提交的全部资料及乙方在设计服务中形成的设计成果（设计文件、图纸和说明书等）的著作权、所有权均归甲方所有（乙方的署名权除外）。在未事先征得甲方书面同意的情况下，乙方雇员及乙方关联人员不得发表、引用或向第三者提供或泄露与建设工程、设计服务、合同或甲方的业务活动有关的资料或信息以及双方为履行合同而形成的设计成果和意见。即使乙方并非为了营利目的，也必须经甲方事先书面同意。但乙方为宣传自身形象所需发表的上述内容，一经甲方书面同意后，相同内容的发表无须再经甲方事先同意。甲方可以将设计图纸和文件等成果用于本项目广告、出版物、促销及营业的需要、维护及修理等活动。甲方除本合同第5条规定的向乙方支付的设计费外，无须因任何形式使用、复制、展示、实施该等设计文件向任何人支付任何费用。</w:t>
      </w:r>
    </w:p>
    <w:p w14:paraId="67E938D0">
      <w:pPr>
        <w:spacing w:line="360" w:lineRule="auto"/>
        <w:ind w:firstLine="480"/>
        <w:jc w:val="left"/>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10.2乙方保证所交付的设计文件为乙方自行创作，没有任何抄袭他人作品的行为，本项目设计文件的知识产权归甲方所有，但乙方在设计文件上拥有署名权利。乙方并应保证为本项目所提交的全部设计文件未侵犯第三方的知识产权。若乙方所提供的设计文件涉嫌侵犯第三方知识产权或其他权利的，乙方必须自费负责妥善解决，使甲方免遭任何损失，免于承担任何责任；若甲方被牵连诉讼或仲裁，法院或仲裁机构裁判甲方败诉，或任何调解、和解协议规定甲方需要向第三方支付赔偿或费用及/或承担其他法律责任的，应由乙方全额赔偿及/或承担其他法律责任；乙方须在法院或仲裁机构生效法律文书或该等协议书指定的支付期限到期前，按该等文件指定的款项先行赔付给甲方。</w:t>
      </w:r>
    </w:p>
    <w:p w14:paraId="310A4A8F">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10.3 甲方可为本工程及日后销售、经营本项目的目的在自己宣传的印刷品或其他商业出版物上转载设计文件。</w:t>
      </w:r>
    </w:p>
    <w:p w14:paraId="55946C3C">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10.4乙方也可在自己宣传的印刷品或其他商业出版物上发表有关项目的报告。报告内的照片、图纸及报道内容须事先通知甲方</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并经甲方书面同意</w:t>
      </w:r>
      <w:r>
        <w:rPr>
          <w:rFonts w:ascii="仿宋_GB2312;仿宋" w:hAnsi="仿宋_GB2312;仿宋" w:eastAsia="仿宋_GB2312;仿宋"/>
          <w:color w:val="000000" w:themeColor="text1"/>
          <w:sz w:val="24"/>
          <w:highlight w:val="none"/>
          <w14:textFill>
            <w14:solidFill>
              <w14:schemeClr w14:val="tx1"/>
            </w14:solidFill>
          </w14:textFill>
        </w:rPr>
        <w:t>，以协调适当的出版时期和相关内容。</w:t>
      </w:r>
    </w:p>
    <w:p w14:paraId="2B9203EA">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10.5对甲方提交的本项目的图纸、文件等经济技术资料，乙方不得向任何第三人泄露或转让，不得用于本项目以外的任何工程。</w:t>
      </w:r>
    </w:p>
    <w:p w14:paraId="14D8FE13">
      <w:pPr>
        <w:spacing w:line="360" w:lineRule="auto"/>
        <w:ind w:firstLine="602"/>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 xml:space="preserve">第十一条　争议解决 </w:t>
      </w:r>
    </w:p>
    <w:p w14:paraId="5BD14F8E">
      <w:pPr>
        <w:spacing w:line="360" w:lineRule="auto"/>
        <w:ind w:firstLine="360"/>
        <w:rPr>
          <w:rFonts w:ascii="仿宋_GB2312;仿宋" w:hAnsi="仿宋_GB2312;仿宋" w:eastAsia="仿宋_GB2312;仿宋"/>
          <w:color w:val="000000" w:themeColor="text1"/>
          <w:sz w:val="24"/>
          <w:highlight w:val="none"/>
          <w14:textFill>
            <w14:solidFill>
              <w14:schemeClr w14:val="tx1"/>
            </w14:solidFill>
          </w14:textFill>
        </w:rPr>
      </w:pP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11.1</w:t>
      </w:r>
      <w:r>
        <w:rPr>
          <w:rFonts w:ascii="仿宋_GB2312;仿宋" w:hAnsi="仿宋_GB2312;仿宋" w:eastAsia="仿宋_GB2312;仿宋"/>
          <w:color w:val="000000" w:themeColor="text1"/>
          <w:sz w:val="24"/>
          <w:highlight w:val="none"/>
          <w14:textFill>
            <w14:solidFill>
              <w14:schemeClr w14:val="tx1"/>
            </w14:solidFill>
          </w14:textFill>
        </w:rPr>
        <w:t>无论是在本合同执行期间或在本合同完成或被解除之后，甲方和乙方对合同的解释或与其合同有关的任何问题，若有任何争议或歧见，则应友好协商解决。若双方不能协商解决，任何一方向甲方所在地有管辖权的人民法院提起诉讼。</w:t>
      </w:r>
    </w:p>
    <w:p w14:paraId="7526A578">
      <w:pPr>
        <w:spacing w:line="360" w:lineRule="auto"/>
        <w:ind w:firstLine="360"/>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pP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11.2双方共同确认：本合同签署页的送达方式也适用于合同往来期间的各个司法阶段，包括但不限于一审、二审、再审、执行以及督促程序。一方发生变更应于3日内通知另一方，未通知的，另一方的通知及文书自交邮之次日起7日后视为送达。同时双方保证送达地址准确、有效，如果提供的地址不确切，或者不及时告知变更后的地址，使法律文书无法送达或未及时送达，自行承担由此可能产生的法律后果。</w:t>
      </w:r>
    </w:p>
    <w:p w14:paraId="32872713">
      <w:pPr>
        <w:spacing w:line="360" w:lineRule="auto"/>
        <w:ind w:firstLine="360"/>
        <w:rPr>
          <w:rFonts w:hint="eastAsia" w:ascii="仿宋_GB2312;仿宋" w:hAnsi="仿宋_GB2312;仿宋" w:eastAsia="仿宋_GB2312;仿宋"/>
          <w:sz w:val="24"/>
          <w:highlight w:val="none"/>
          <w:lang w:val="en-US" w:eastAsia="zh-CN"/>
        </w:rPr>
      </w:pPr>
      <w:r>
        <w:rPr>
          <w:rFonts w:hint="eastAsia" w:ascii="仿宋_GB2312;仿宋" w:hAnsi="仿宋_GB2312;仿宋" w:eastAsia="仿宋_GB2312;仿宋"/>
          <w:sz w:val="24"/>
          <w:highlight w:val="none"/>
          <w:lang w:val="en-US" w:eastAsia="zh-CN"/>
        </w:rPr>
        <w:t>11.3</w:t>
      </w:r>
      <w:r>
        <w:rPr>
          <w:rFonts w:hint="eastAsia" w:ascii="仿宋_GB2312;仿宋" w:hAnsi="仿宋_GB2312;仿宋" w:eastAsia="仿宋_GB2312;仿宋"/>
          <w:sz w:val="24"/>
          <w:highlight w:val="none"/>
          <w:lang w:val="en-US" w:eastAsia="zh-CN"/>
        </w:rPr>
        <w:t>甲方指派：（</w:t>
      </w:r>
      <w:r>
        <w:rPr>
          <w:rFonts w:hint="eastAsia" w:ascii="仿宋_GB2312;仿宋" w:hAnsi="仿宋_GB2312;仿宋" w:eastAsia="仿宋_GB2312;仿宋"/>
          <w:sz w:val="24"/>
          <w:highlight w:val="none"/>
          <w:u w:val="single"/>
          <w:lang w:val="en-US" w:eastAsia="zh-CN"/>
        </w:rPr>
        <w:t xml:space="preserve">吴江涛 </w:t>
      </w:r>
      <w:r>
        <w:rPr>
          <w:rFonts w:hint="eastAsia" w:ascii="仿宋_GB2312;仿宋" w:hAnsi="仿宋_GB2312;仿宋" w:eastAsia="仿宋_GB2312;仿宋"/>
          <w:sz w:val="24"/>
          <w:highlight w:val="none"/>
          <w:u w:val="single"/>
        </w:rPr>
        <w:t>联系电话：13760749547</w:t>
      </w:r>
      <w:r>
        <w:rPr>
          <w:rFonts w:hint="eastAsia" w:ascii="仿宋_GB2312;仿宋" w:hAnsi="仿宋_GB2312;仿宋" w:eastAsia="仿宋_GB2312;仿宋"/>
          <w:sz w:val="24"/>
          <w:highlight w:val="none"/>
          <w:u w:val="single"/>
          <w:lang w:eastAsia="zh-CN"/>
        </w:rPr>
        <w:t>，</w:t>
      </w:r>
      <w:r>
        <w:rPr>
          <w:rFonts w:hint="eastAsia" w:ascii="仿宋_GB2312;仿宋" w:hAnsi="仿宋_GB2312;仿宋" w:eastAsia="仿宋_GB2312;仿宋"/>
          <w:sz w:val="24"/>
          <w:highlight w:val="none"/>
          <w:u w:val="single"/>
        </w:rPr>
        <w:t>邮箱：</w:t>
      </w:r>
      <w:r>
        <w:rPr>
          <w:rFonts w:hint="eastAsia" w:ascii="仿宋_GB2312;仿宋" w:hAnsi="仿宋_GB2312;仿宋" w:eastAsia="仿宋_GB2312;仿宋"/>
          <w:sz w:val="24"/>
          <w:highlight w:val="none"/>
          <w:u w:val="single"/>
          <w:lang w:val="en-US" w:eastAsia="zh-CN"/>
        </w:rPr>
        <w:t xml:space="preserve">   /  </w:t>
      </w:r>
      <w:r>
        <w:rPr>
          <w:rFonts w:hint="eastAsia" w:ascii="仿宋_GB2312;仿宋" w:hAnsi="仿宋_GB2312;仿宋" w:eastAsia="仿宋_GB2312;仿宋"/>
          <w:sz w:val="24"/>
          <w:highlight w:val="none"/>
        </w:rPr>
        <w:t>）为项目负责人，代表甲方履行本合同的各项规定。</w:t>
      </w:r>
      <w:r>
        <w:rPr>
          <w:rFonts w:hint="eastAsia" w:ascii="仿宋_GB2312;仿宋" w:hAnsi="仿宋_GB2312;仿宋" w:eastAsia="仿宋_GB2312;仿宋"/>
          <w:sz w:val="24"/>
          <w:highlight w:val="none"/>
          <w:u w:val="single"/>
        </w:rPr>
        <w:t>资料接收详细地址：广州市花都区新华街迎宾大道 163 号高晟广场3期2幢1503</w:t>
      </w:r>
      <w:r>
        <w:rPr>
          <w:rFonts w:hint="eastAsia" w:ascii="仿宋_GB2312;仿宋" w:hAnsi="仿宋_GB2312;仿宋" w:eastAsia="宋体"/>
          <w:sz w:val="24"/>
          <w:highlight w:val="none"/>
          <w:u w:val="single"/>
          <w:lang w:eastAsia="zh-CN"/>
        </w:rPr>
        <w:t>，</w:t>
      </w:r>
      <w:r>
        <w:rPr>
          <w:rFonts w:hint="eastAsia" w:ascii="仿宋_GB2312;仿宋" w:hAnsi="仿宋_GB2312;仿宋" w:eastAsia="仿宋_GB2312;仿宋"/>
          <w:sz w:val="24"/>
          <w:highlight w:val="none"/>
          <w:u w:val="single"/>
        </w:rPr>
        <w:t xml:space="preserve"> 邮政编码：</w:t>
      </w:r>
      <w:r>
        <w:rPr>
          <w:rFonts w:hint="eastAsia" w:ascii="仿宋_GB2312;仿宋" w:hAnsi="仿宋_GB2312;仿宋" w:eastAsia="宋体"/>
          <w:sz w:val="24"/>
          <w:highlight w:val="none"/>
          <w:u w:val="single"/>
          <w:lang w:val="en-US" w:eastAsia="zh-CN"/>
        </w:rPr>
        <w:t>510000</w:t>
      </w:r>
      <w:r>
        <w:rPr>
          <w:rFonts w:hint="eastAsia" w:ascii="仿宋_GB2312;仿宋" w:hAnsi="仿宋_GB2312;仿宋" w:eastAsia="仿宋_GB2312;仿宋"/>
          <w:sz w:val="24"/>
          <w:highlight w:val="none"/>
          <w:u w:val="single"/>
        </w:rPr>
        <w:t>；如有变更应在变更后5日内书面通知乙方。</w:t>
      </w:r>
    </w:p>
    <w:p w14:paraId="4AFD0F7B">
      <w:pPr>
        <w:spacing w:line="360" w:lineRule="auto"/>
        <w:ind w:firstLine="890" w:firstLineChars="371"/>
        <w:rPr>
          <w:rFonts w:hint="default" w:ascii="仿宋_GB2312;仿宋" w:hAnsi="仿宋_GB2312;仿宋" w:eastAsia="仿宋_GB2312;仿宋"/>
          <w:sz w:val="24"/>
          <w:highlight w:val="none"/>
          <w:lang w:val="en-US" w:eastAsia="zh-CN"/>
        </w:rPr>
      </w:pPr>
      <w:r>
        <w:rPr>
          <w:rFonts w:hint="eastAsia" w:ascii="仿宋_GB2312;仿宋" w:hAnsi="仿宋_GB2312;仿宋" w:eastAsia="仿宋_GB2312;仿宋"/>
          <w:sz w:val="24"/>
          <w:highlight w:val="none"/>
          <w:lang w:val="en-US" w:eastAsia="zh-CN"/>
        </w:rPr>
        <w:t>乙方指派（</w:t>
      </w:r>
      <w:r>
        <w:rPr>
          <w:rFonts w:hint="eastAsia" w:ascii="仿宋_GB2312;仿宋" w:hAnsi="仿宋_GB2312;仿宋" w:eastAsia="仿宋_GB2312;仿宋" w:cs="Times New Roman"/>
          <w:bCs w:val="0"/>
          <w:sz w:val="24"/>
          <w:szCs w:val="20"/>
          <w:highlight w:val="none"/>
          <w:u w:val="single"/>
          <w:lang w:val="en-US" w:eastAsia="zh-CN"/>
        </w:rPr>
        <w:t xml:space="preserve">      </w:t>
      </w:r>
      <w:r>
        <w:rPr>
          <w:rFonts w:hint="eastAsia" w:ascii="仿宋_GB2312;仿宋" w:hAnsi="仿宋_GB2312;仿宋" w:eastAsia="仿宋_GB2312;仿宋"/>
          <w:sz w:val="24"/>
          <w:highlight w:val="none"/>
          <w:u w:val="single"/>
          <w:lang w:val="en-US" w:eastAsia="zh-CN"/>
        </w:rPr>
        <w:t>联系电话：</w:t>
      </w:r>
      <w:r>
        <w:rPr>
          <w:rFonts w:hint="eastAsia" w:ascii="仿宋_GB2312;仿宋" w:hAnsi="仿宋_GB2312;仿宋" w:eastAsia="仿宋_GB2312;仿宋" w:cs="Times New Roman"/>
          <w:bCs w:val="0"/>
          <w:sz w:val="24"/>
          <w:szCs w:val="20"/>
          <w:highlight w:val="none"/>
          <w:u w:val="single"/>
          <w:lang w:val="en-US" w:eastAsia="zh-CN"/>
        </w:rPr>
        <w:t xml:space="preserve">           </w:t>
      </w:r>
      <w:r>
        <w:rPr>
          <w:rFonts w:hint="eastAsia" w:ascii="仿宋_GB2312;仿宋" w:hAnsi="仿宋_GB2312;仿宋" w:eastAsia="仿宋_GB2312;仿宋"/>
          <w:sz w:val="24"/>
          <w:highlight w:val="none"/>
          <w:u w:val="single"/>
          <w:lang w:val="en-US" w:eastAsia="zh-CN"/>
        </w:rPr>
        <w:t xml:space="preserve">，邮箱：                </w:t>
      </w:r>
      <w:r>
        <w:rPr>
          <w:rFonts w:hint="eastAsia" w:ascii="仿宋_GB2312;仿宋" w:hAnsi="仿宋_GB2312;仿宋" w:eastAsia="仿宋_GB2312;仿宋"/>
          <w:sz w:val="24"/>
          <w:highlight w:val="none"/>
          <w:lang w:val="en-US" w:eastAsia="zh-CN"/>
        </w:rPr>
        <w:t>）为设计负责人，代表乙方履行本合同的各项规定。资料接收详细地址：</w:t>
      </w:r>
      <w:r>
        <w:rPr>
          <w:rFonts w:hint="eastAsia" w:ascii="仿宋_GB2312;仿宋" w:hAnsi="仿宋_GB2312;仿宋" w:eastAsia="仿宋_GB2312;仿宋" w:cs="Times New Roman"/>
          <w:bCs w:val="0"/>
          <w:kern w:val="2"/>
          <w:sz w:val="24"/>
          <w:szCs w:val="20"/>
          <w:highlight w:val="none"/>
          <w:u w:val="none"/>
          <w:lang w:val="en-US" w:eastAsia="zh-CN" w:bidi="ar-SA"/>
        </w:rPr>
        <w:t xml:space="preserve">                                     </w:t>
      </w:r>
      <w:r>
        <w:rPr>
          <w:rFonts w:hint="eastAsia" w:ascii="仿宋_GB2312;仿宋" w:hAnsi="仿宋_GB2312;仿宋" w:eastAsia="仿宋_GB2312;仿宋" w:cs="Times New Roman"/>
          <w:sz w:val="24"/>
          <w:highlight w:val="none"/>
          <w:lang w:val="en-US" w:eastAsia="zh-CN"/>
        </w:rPr>
        <w:t>，</w:t>
      </w:r>
      <w:r>
        <w:rPr>
          <w:rFonts w:hint="eastAsia" w:ascii="仿宋_GB2312;仿宋" w:hAnsi="仿宋_GB2312;仿宋" w:eastAsia="仿宋_GB2312;仿宋"/>
          <w:sz w:val="24"/>
          <w:highlight w:val="none"/>
          <w:lang w:val="en-US" w:eastAsia="zh-CN"/>
        </w:rPr>
        <w:t>邮政编码：         ；如有变更应在变更后5日内书面通知甲方。</w:t>
      </w:r>
    </w:p>
    <w:p w14:paraId="639CBD2B">
      <w:pPr>
        <w:spacing w:line="360" w:lineRule="auto"/>
        <w:ind w:firstLine="360"/>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pPr>
    </w:p>
    <w:p w14:paraId="7141E0F4">
      <w:pPr>
        <w:spacing w:line="360" w:lineRule="auto"/>
        <w:ind w:left="473" w:firstLine="108"/>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第十二条　不可抗力</w:t>
      </w:r>
    </w:p>
    <w:p w14:paraId="321607F8">
      <w:pPr>
        <w:spacing w:line="360" w:lineRule="auto"/>
        <w:ind w:left="0" w:firstLine="480"/>
        <w:rPr>
          <w:rFonts w:ascii="仿宋_GB2312;仿宋" w:hAnsi="仿宋_GB2312;仿宋" w:eastAsia="仿宋_GB2312;仿宋"/>
          <w:b w:val="0"/>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12.1由于不可抗力因素致使协议无法履行时，合同任何一方均可解除本合同并应协商解决解除合同后的相关事宜。</w:t>
      </w:r>
    </w:p>
    <w:p w14:paraId="55888BDC">
      <w:pPr>
        <w:spacing w:line="360" w:lineRule="auto"/>
        <w:ind w:left="0" w:firstLine="480"/>
        <w:rPr>
          <w:rFonts w:ascii="仿宋_GB2312;仿宋" w:hAnsi="仿宋_GB2312;仿宋" w:eastAsia="仿宋_GB2312;仿宋"/>
          <w:b w:val="0"/>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12.2甲、乙双方均无须承担因不可抗力而无法执行工作所导致的对方的经济损失。</w:t>
      </w:r>
    </w:p>
    <w:p w14:paraId="41D4FD68">
      <w:pPr>
        <w:spacing w:line="360" w:lineRule="auto"/>
        <w:ind w:firstLine="482"/>
        <w:outlineLvl w:val="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b/>
          <w:color w:val="000000" w:themeColor="text1"/>
          <w:sz w:val="24"/>
          <w:highlight w:val="none"/>
          <w14:textFill>
            <w14:solidFill>
              <w14:schemeClr w14:val="tx1"/>
            </w14:solidFill>
          </w14:textFill>
        </w:rPr>
        <w:t>第十三条 其他</w:t>
      </w:r>
    </w:p>
    <w:p w14:paraId="0327AA58">
      <w:pPr>
        <w:spacing w:line="360" w:lineRule="auto"/>
        <w:ind w:firstLine="48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13.1双方一致同意，如因客观情况导致本合同无法履行的，自甲方发出解除通知之日起本合同自动解除，甲方无须向乙方承担任何违约责任。</w:t>
      </w:r>
    </w:p>
    <w:p w14:paraId="153C6CB0">
      <w:pPr>
        <w:spacing w:line="360" w:lineRule="auto"/>
        <w:ind w:firstLine="36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13.2因施工需要，甲方要求乙方派人到施工现场进行配合与解决有关问题时，乙方必须及时到场提供相关服务</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如超过合同内约定的差旅次数，则须另行协商相关增补费用</w:t>
      </w:r>
      <w:r>
        <w:rPr>
          <w:rFonts w:ascii="仿宋_GB2312;仿宋" w:hAnsi="仿宋_GB2312;仿宋" w:eastAsia="仿宋_GB2312;仿宋"/>
          <w:color w:val="000000" w:themeColor="text1"/>
          <w:sz w:val="24"/>
          <w:highlight w:val="none"/>
          <w14:textFill>
            <w14:solidFill>
              <w14:schemeClr w14:val="tx1"/>
            </w14:solidFill>
          </w14:textFill>
        </w:rPr>
        <w:t>。乙方在工程施工过程中的重要环节应主动到施工现场实地察看，检查是否符合设计要求及设计是否完善，发现问题应及时修改或采取弥补措施或指导委托人、施工单位补救。其费用已包含在合同总价内。</w:t>
      </w:r>
    </w:p>
    <w:p w14:paraId="45D3EF5E">
      <w:pPr>
        <w:spacing w:line="360" w:lineRule="auto"/>
        <w:ind w:left="959" w:hanging="60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13.3甲方委托乙方承担本合同内容以外的工作服务，另行签订协议并支付费用。</w:t>
      </w:r>
    </w:p>
    <w:p w14:paraId="6F54D7F3">
      <w:pPr>
        <w:spacing w:line="360" w:lineRule="auto"/>
        <w:ind w:left="959" w:hanging="60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13.4由于不可抗力因素致使合同无法履行时，双方应及时协商解决。</w:t>
      </w:r>
    </w:p>
    <w:p w14:paraId="4C7F690F">
      <w:pPr>
        <w:spacing w:line="360" w:lineRule="auto"/>
        <w:ind w:left="959" w:hanging="60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13.5本合同中的“天”、“日”，除有特别说明外，均指日历天及日历日。</w:t>
      </w:r>
    </w:p>
    <w:p w14:paraId="78DFD025">
      <w:pPr>
        <w:spacing w:line="360" w:lineRule="auto"/>
        <w:ind w:left="959" w:hanging="60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13.6 本合同一式</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伍</w:t>
      </w:r>
      <w:r>
        <w:rPr>
          <w:rFonts w:ascii="仿宋_GB2312;仿宋" w:hAnsi="仿宋_GB2312;仿宋" w:eastAsia="仿宋_GB2312;仿宋"/>
          <w:color w:val="000000" w:themeColor="text1"/>
          <w:sz w:val="24"/>
          <w:highlight w:val="none"/>
          <w14:textFill>
            <w14:solidFill>
              <w14:schemeClr w14:val="tx1"/>
            </w14:solidFill>
          </w14:textFill>
        </w:rPr>
        <w:t>份，甲方执</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叁</w:t>
      </w:r>
      <w:r>
        <w:rPr>
          <w:rFonts w:ascii="仿宋_GB2312;仿宋" w:hAnsi="仿宋_GB2312;仿宋" w:eastAsia="仿宋_GB2312;仿宋"/>
          <w:color w:val="000000" w:themeColor="text1"/>
          <w:sz w:val="24"/>
          <w:highlight w:val="none"/>
          <w14:textFill>
            <w14:solidFill>
              <w14:schemeClr w14:val="tx1"/>
            </w14:solidFill>
          </w14:textFill>
        </w:rPr>
        <w:t>份，乙方执</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贰</w:t>
      </w:r>
      <w:r>
        <w:rPr>
          <w:rFonts w:ascii="仿宋_GB2312;仿宋" w:hAnsi="仿宋_GB2312;仿宋" w:eastAsia="仿宋_GB2312;仿宋"/>
          <w:color w:val="000000" w:themeColor="text1"/>
          <w:sz w:val="24"/>
          <w:highlight w:val="none"/>
          <w14:textFill>
            <w14:solidFill>
              <w14:schemeClr w14:val="tx1"/>
            </w14:solidFill>
          </w14:textFill>
        </w:rPr>
        <w:t>份；自双方法定代表人或授权代表签字并加盖公章或合同专用章后生效。</w:t>
      </w:r>
    </w:p>
    <w:p w14:paraId="1E3CF708">
      <w:pPr>
        <w:spacing w:line="360" w:lineRule="auto"/>
        <w:ind w:left="959" w:hanging="600"/>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13.7未尽事宜，经双方协商一致，签订补充协议</w:t>
      </w:r>
      <w:r>
        <w:rPr>
          <w:rFonts w:hint="eastAsia" w:ascii="仿宋_GB2312;仿宋" w:hAnsi="仿宋_GB2312;仿宋" w:eastAsia="仿宋_GB2312;仿宋"/>
          <w:color w:val="000000" w:themeColor="text1"/>
          <w:sz w:val="24"/>
          <w:highlight w:val="none"/>
          <w:lang w:eastAsia="zh-CN"/>
          <w14:textFill>
            <w14:solidFill>
              <w14:schemeClr w14:val="tx1"/>
            </w14:solidFill>
          </w14:textFill>
        </w:rPr>
        <w:t>，</w:t>
      </w:r>
      <w:r>
        <w:rPr>
          <w:rFonts w:hint="eastAsia" w:ascii="仿宋_GB2312;仿宋" w:hAnsi="仿宋_GB2312;仿宋" w:eastAsia="仿宋_GB2312;仿宋"/>
          <w:color w:val="000000" w:themeColor="text1"/>
          <w:sz w:val="24"/>
          <w:highlight w:val="none"/>
          <w14:textFill>
            <w14:solidFill>
              <w14:schemeClr w14:val="tx1"/>
            </w14:solidFill>
          </w14:textFill>
        </w:rPr>
        <w:t>补充协议与本</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合同</w:t>
      </w:r>
      <w:r>
        <w:rPr>
          <w:rFonts w:hint="eastAsia" w:ascii="仿宋_GB2312;仿宋" w:hAnsi="仿宋_GB2312;仿宋" w:eastAsia="仿宋_GB2312;仿宋"/>
          <w:color w:val="000000" w:themeColor="text1"/>
          <w:sz w:val="24"/>
          <w:highlight w:val="none"/>
          <w14:textFill>
            <w14:solidFill>
              <w14:schemeClr w14:val="tx1"/>
            </w14:solidFill>
          </w14:textFill>
        </w:rPr>
        <w:t>具有同等法律效力</w:t>
      </w:r>
      <w:r>
        <w:rPr>
          <w:rFonts w:ascii="仿宋_GB2312;仿宋" w:hAnsi="仿宋_GB2312;仿宋" w:eastAsia="仿宋_GB2312;仿宋"/>
          <w:color w:val="000000" w:themeColor="text1"/>
          <w:sz w:val="24"/>
          <w:highlight w:val="none"/>
          <w14:textFill>
            <w14:solidFill>
              <w14:schemeClr w14:val="tx1"/>
            </w14:solidFill>
          </w14:textFill>
        </w:rPr>
        <w:t>。</w:t>
      </w:r>
    </w:p>
    <w:p w14:paraId="31085DBF">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p>
    <w:p w14:paraId="061E99D8">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p>
    <w:p w14:paraId="660C6052">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p>
    <w:p w14:paraId="473E64F3">
      <w:pPr>
        <w:spacing w:line="360" w:lineRule="auto"/>
        <w:rPr>
          <w:rFonts w:ascii="仿宋_GB2312;仿宋" w:hAnsi="仿宋_GB2312;仿宋" w:eastAsia="仿宋_GB2312;仿宋"/>
          <w:color w:val="000000" w:themeColor="text1"/>
          <w:sz w:val="24"/>
          <w:highlight w:val="none"/>
          <w14:textFill>
            <w14:solidFill>
              <w14:schemeClr w14:val="tx1"/>
            </w14:solidFill>
          </w14:textFill>
        </w:rPr>
      </w:pPr>
    </w:p>
    <w:p w14:paraId="44F9F8FE">
      <w:pPr>
        <w:spacing w:line="360" w:lineRule="auto"/>
        <w:rPr>
          <w:rFonts w:ascii="仿宋_GB2312;仿宋" w:hAnsi="仿宋_GB2312;仿宋" w:eastAsia="仿宋_GB2312;仿宋"/>
          <w:color w:val="000000" w:themeColor="text1"/>
          <w:sz w:val="24"/>
          <w:highlight w:val="none"/>
          <w14:textFill>
            <w14:solidFill>
              <w14:schemeClr w14:val="tx1"/>
            </w14:solidFill>
          </w14:textFill>
        </w:rPr>
      </w:pPr>
    </w:p>
    <w:p w14:paraId="02483195">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附件：</w:t>
      </w:r>
    </w:p>
    <w:p w14:paraId="4D978592">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bookmarkStart w:id="3" w:name="_Hlk148712070"/>
      <w:r>
        <w:rPr>
          <w:rFonts w:ascii="仿宋_GB2312;仿宋" w:hAnsi="仿宋_GB2312;仿宋" w:eastAsia="仿宋_GB2312;仿宋"/>
          <w:color w:val="000000" w:themeColor="text1"/>
          <w:sz w:val="24"/>
          <w:highlight w:val="none"/>
          <w14:textFill>
            <w14:solidFill>
              <w14:schemeClr w14:val="tx1"/>
            </w14:solidFill>
          </w14:textFill>
        </w:rPr>
        <w:t>1、</w:t>
      </w:r>
      <w:r>
        <w:rPr>
          <w:rFonts w:hint="default" w:ascii="仿宋_GB2312;仿宋" w:hAnsi="仿宋_GB2312;仿宋" w:eastAsia="仿宋_GB2312;仿宋"/>
          <w:color w:val="000000" w:themeColor="text1"/>
          <w:sz w:val="24"/>
          <w:highlight w:val="none"/>
          <w:lang w:val="en-US" w:eastAsia="zh-CN"/>
          <w14:textFill>
            <w14:solidFill>
              <w14:schemeClr w14:val="tx1"/>
            </w14:solidFill>
          </w14:textFill>
        </w:rPr>
        <w:t>工程</w:t>
      </w:r>
      <w:r>
        <w:rPr>
          <w:rFonts w:ascii="仿宋_GB2312;仿宋" w:hAnsi="仿宋_GB2312;仿宋" w:eastAsia="仿宋_GB2312;仿宋"/>
          <w:color w:val="000000" w:themeColor="text1"/>
          <w:sz w:val="24"/>
          <w:highlight w:val="none"/>
          <w14:textFill>
            <w14:solidFill>
              <w14:schemeClr w14:val="tx1"/>
            </w14:solidFill>
          </w14:textFill>
        </w:rPr>
        <w:t>建设项目廉政责任书</w:t>
      </w:r>
    </w:p>
    <w:p w14:paraId="7BF1752E">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2、</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售楼处会所、创意样板间及主题架空层等</w:t>
      </w:r>
      <w:r>
        <w:rPr>
          <w:rFonts w:hint="default" w:ascii="仿宋_GB2312;仿宋" w:hAnsi="仿宋_GB2312;仿宋" w:eastAsia="仿宋_GB2312;仿宋"/>
          <w:color w:val="000000" w:themeColor="text1"/>
          <w:sz w:val="24"/>
          <w:highlight w:val="none"/>
          <w14:textFill>
            <w14:solidFill>
              <w14:schemeClr w14:val="tx1"/>
            </w14:solidFill>
          </w14:textFill>
        </w:rPr>
        <w:t>概念</w:t>
      </w:r>
      <w:r>
        <w:rPr>
          <w:rFonts w:hint="eastAsia" w:ascii="仿宋_GB2312;仿宋" w:hAnsi="仿宋_GB2312;仿宋" w:eastAsia="仿宋_GB2312;仿宋"/>
          <w:color w:val="000000" w:themeColor="text1"/>
          <w:sz w:val="24"/>
          <w:highlight w:val="none"/>
          <w:lang w:val="en-US" w:eastAsia="zh-CN"/>
          <w14:textFill>
            <w14:solidFill>
              <w14:schemeClr w14:val="tx1"/>
            </w14:solidFill>
          </w14:textFill>
        </w:rPr>
        <w:t>方案</w:t>
      </w:r>
      <w:r>
        <w:rPr>
          <w:rFonts w:hint="default" w:ascii="仿宋_GB2312;仿宋" w:hAnsi="仿宋_GB2312;仿宋" w:eastAsia="仿宋_GB2312;仿宋"/>
          <w:color w:val="000000" w:themeColor="text1"/>
          <w:sz w:val="24"/>
          <w:highlight w:val="none"/>
          <w14:textFill>
            <w14:solidFill>
              <w14:schemeClr w14:val="tx1"/>
            </w14:solidFill>
          </w14:textFill>
        </w:rPr>
        <w:t>至施工图装修设计任务书</w:t>
      </w:r>
      <w:r>
        <w:rPr>
          <w:rFonts w:ascii="仿宋_GB2312;仿宋" w:hAnsi="仿宋_GB2312;仿宋" w:eastAsia="仿宋_GB2312;仿宋"/>
          <w:color w:val="000000" w:themeColor="text1"/>
          <w:sz w:val="24"/>
          <w:highlight w:val="none"/>
          <w14:textFill>
            <w14:solidFill>
              <w14:schemeClr w14:val="tx1"/>
            </w14:solidFill>
          </w14:textFill>
        </w:rPr>
        <w:t>(含设计文件深度和设计错误的分类及惩罚措施)</w:t>
      </w:r>
    </w:p>
    <w:p w14:paraId="4219A088">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3、乙方投入本项目人员情况表</w:t>
      </w:r>
    </w:p>
    <w:p w14:paraId="6E582E50">
      <w:pPr>
        <w:spacing w:line="360" w:lineRule="auto"/>
        <w:rPr>
          <w:rFonts w:ascii="仿宋_GB2312;仿宋" w:hAnsi="仿宋_GB2312;仿宋" w:eastAsia="仿宋_GB2312;仿宋"/>
          <w:b/>
          <w:color w:val="000000" w:themeColor="text1"/>
          <w:sz w:val="24"/>
          <w:highlight w:val="none"/>
          <w14:textFill>
            <w14:solidFill>
              <w14:schemeClr w14:val="tx1"/>
            </w14:solidFill>
          </w14:textFill>
        </w:rPr>
      </w:pPr>
      <w:r>
        <w:rPr>
          <w:rFonts w:ascii="仿宋_GB2312;仿宋" w:hAnsi="仿宋_GB2312;仿宋" w:eastAsia="仿宋_GB2312;仿宋"/>
          <w:color w:val="000000" w:themeColor="text1"/>
          <w:sz w:val="24"/>
          <w:highlight w:val="none"/>
          <w14:textFill>
            <w14:solidFill>
              <w14:schemeClr w14:val="tx1"/>
            </w14:solidFill>
          </w14:textFill>
        </w:rPr>
        <w:t>4、</w:t>
      </w:r>
      <w:bookmarkStart w:id="4" w:name="OLE_LINK1"/>
      <w:r>
        <w:rPr>
          <w:rFonts w:ascii="仿宋_GB2312;仿宋" w:hAnsi="仿宋_GB2312;仿宋" w:eastAsia="仿宋_GB2312;仿宋"/>
          <w:color w:val="000000" w:themeColor="text1"/>
          <w:sz w:val="24"/>
          <w:highlight w:val="none"/>
          <w14:textFill>
            <w14:solidFill>
              <w14:schemeClr w14:val="tx1"/>
            </w14:solidFill>
          </w14:textFill>
        </w:rPr>
        <w:t>稳定项目组织机构承诺书</w:t>
      </w:r>
      <w:bookmarkEnd w:id="4"/>
    </w:p>
    <w:p w14:paraId="59AB6754">
      <w:pPr>
        <w:spacing w:line="360" w:lineRule="auto"/>
        <w:rPr>
          <w:rFonts w:ascii="仿宋_GB2312;仿宋" w:hAnsi="仿宋_GB2312;仿宋" w:eastAsia="仿宋_GB2312;仿宋"/>
          <w:color w:val="000000" w:themeColor="text1"/>
          <w:sz w:val="24"/>
          <w:highlight w:val="none"/>
          <w14:textFill>
            <w14:solidFill>
              <w14:schemeClr w14:val="tx1"/>
            </w14:solidFill>
          </w14:textFill>
        </w:rPr>
      </w:pPr>
    </w:p>
    <w:p w14:paraId="70383A88">
      <w:pPr>
        <w:pStyle w:val="98"/>
        <w:tabs>
          <w:tab w:val="left" w:pos="0"/>
          <w:tab w:val="left" w:pos="1134"/>
        </w:tabs>
        <w:spacing w:line="360" w:lineRule="auto"/>
        <w:ind w:leftChars="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甲方：广州市智鸿房地产开发有限公司   乙方：</w:t>
      </w:r>
    </w:p>
    <w:p w14:paraId="44B30436">
      <w:pPr>
        <w:pStyle w:val="98"/>
        <w:tabs>
          <w:tab w:val="left" w:pos="0"/>
          <w:tab w:val="left" w:pos="1134"/>
        </w:tabs>
        <w:spacing w:line="360" w:lineRule="auto"/>
        <w:ind w:leftChars="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（印章）                            （印章）   </w:t>
      </w:r>
    </w:p>
    <w:p w14:paraId="3E3CBB6C">
      <w:pPr>
        <w:pStyle w:val="98"/>
        <w:tabs>
          <w:tab w:val="left" w:pos="0"/>
          <w:tab w:val="left" w:pos="1134"/>
        </w:tabs>
        <w:spacing w:line="360" w:lineRule="auto"/>
        <w:ind w:leftChars="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法定代表人或其委托代理人：     </w:t>
      </w:r>
      <w:r>
        <w:rPr>
          <w:rFonts w:hint="default"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法定代表人或其委托代理人：</w:t>
      </w:r>
    </w:p>
    <w:p w14:paraId="740332BD">
      <w:pPr>
        <w:pStyle w:val="98"/>
        <w:tabs>
          <w:tab w:val="left" w:pos="0"/>
          <w:tab w:val="left" w:pos="1134"/>
        </w:tabs>
        <w:spacing w:line="360" w:lineRule="auto"/>
        <w:ind w:leftChars="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（签字）                            （签字）</w:t>
      </w:r>
    </w:p>
    <w:p w14:paraId="33FEAB03">
      <w:pPr>
        <w:pStyle w:val="98"/>
        <w:tabs>
          <w:tab w:val="left" w:pos="0"/>
          <w:tab w:val="left" w:pos="1134"/>
        </w:tabs>
        <w:spacing w:line="360" w:lineRule="auto"/>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统一社会信用代码：91440114MAEM6CM323 统一社会信用代码：</w:t>
      </w:r>
      <w:r>
        <w:rPr>
          <w:rFonts w:hint="default" w:ascii="仿宋_GB2312;仿宋" w:hAnsi="仿宋_GB2312;仿宋" w:eastAsia="仿宋_GB2312;仿宋" w:cs="Times New Roman"/>
          <w:color w:val="000000" w:themeColor="text1"/>
          <w:sz w:val="24"/>
          <w:highlight w:val="none"/>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          </w:t>
      </w:r>
    </w:p>
    <w:p w14:paraId="1D5D7B3A">
      <w:pPr>
        <w:pStyle w:val="98"/>
        <w:tabs>
          <w:tab w:val="left" w:pos="0"/>
          <w:tab w:val="left" w:pos="1134"/>
        </w:tabs>
        <w:spacing w:line="360" w:lineRule="auto"/>
        <w:ind w:left="0" w:leftChars="0" w:firstLine="480" w:firstLineChars="20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地址：广州市花都区雅源中路18号</w:t>
      </w:r>
      <w:r>
        <w:rPr>
          <w:rFonts w:hint="eastAsia"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地址：</w:t>
      </w:r>
    </w:p>
    <w:p w14:paraId="20695DE6">
      <w:pPr>
        <w:pStyle w:val="98"/>
        <w:tabs>
          <w:tab w:val="left" w:pos="0"/>
          <w:tab w:val="left" w:pos="1134"/>
        </w:tabs>
        <w:spacing w:line="360" w:lineRule="auto"/>
        <w:ind w:left="0" w:leftChars="0" w:firstLine="480" w:firstLineChars="20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3楼321号   </w:t>
      </w:r>
      <w:r>
        <w:rPr>
          <w:rFonts w:hint="eastAsia"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                                                    </w:t>
      </w:r>
    </w:p>
    <w:p w14:paraId="4A55469F">
      <w:pPr>
        <w:pStyle w:val="98"/>
        <w:tabs>
          <w:tab w:val="left" w:pos="0"/>
          <w:tab w:val="left" w:pos="1134"/>
        </w:tabs>
        <w:spacing w:line="360" w:lineRule="auto"/>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邮政编码： </w:t>
      </w:r>
      <w:r>
        <w:rPr>
          <w:rFonts w:hint="default" w:ascii="仿宋_GB2312;仿宋" w:hAnsi="仿宋_GB2312;仿宋" w:eastAsia="仿宋_GB2312;仿宋"/>
          <w:color w:val="000000" w:themeColor="text1"/>
          <w:sz w:val="24"/>
          <w:highlight w:val="none"/>
          <w14:textFill>
            <w14:solidFill>
              <w14:schemeClr w14:val="tx1"/>
            </w14:solidFill>
          </w14:textFill>
        </w:rPr>
        <w:t>/</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                         邮政编码：            </w:t>
      </w:r>
    </w:p>
    <w:p w14:paraId="73F54EDF">
      <w:pPr>
        <w:widowControl/>
        <w:ind w:firstLine="480" w:firstLineChars="20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电话：020-61280700                   电话：                     </w:t>
      </w:r>
    </w:p>
    <w:p w14:paraId="65F9E2FA">
      <w:pPr>
        <w:pStyle w:val="98"/>
        <w:tabs>
          <w:tab w:val="left" w:pos="0"/>
          <w:tab w:val="left" w:pos="1134"/>
        </w:tabs>
        <w:spacing w:line="360" w:lineRule="auto"/>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传真： </w:t>
      </w:r>
      <w:r>
        <w:rPr>
          <w:rFonts w:hint="default" w:ascii="仿宋_GB2312;仿宋" w:hAnsi="仿宋_GB2312;仿宋" w:eastAsia="仿宋_GB2312;仿宋"/>
          <w:color w:val="000000" w:themeColor="text1"/>
          <w:sz w:val="24"/>
          <w:highlight w:val="none"/>
          <w14:textFill>
            <w14:solidFill>
              <w14:schemeClr w14:val="tx1"/>
            </w14:solidFill>
          </w14:textFill>
        </w:rPr>
        <w:t>/</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                             传真：</w:t>
      </w:r>
      <w:r>
        <w:rPr>
          <w:rFonts w:hint="default" w:ascii="仿宋_GB2312;仿宋" w:hAnsi="仿宋_GB2312;仿宋" w:eastAsia="仿宋_GB2312;仿宋" w:cs="Times New Roman"/>
          <w:color w:val="000000" w:themeColor="text1"/>
          <w:sz w:val="24"/>
          <w:highlight w:val="none"/>
          <w:lang w:val="en-US" w:eastAsia="zh-CN"/>
          <w14:textFill>
            <w14:solidFill>
              <w14:schemeClr w14:val="tx1"/>
            </w14:solidFill>
          </w14:textFill>
        </w:rPr>
        <w:t>/</w:t>
      </w:r>
    </w:p>
    <w:p w14:paraId="20853863">
      <w:pPr>
        <w:pStyle w:val="98"/>
        <w:tabs>
          <w:tab w:val="left" w:pos="0"/>
          <w:tab w:val="left" w:pos="1134"/>
        </w:tabs>
        <w:spacing w:line="360" w:lineRule="auto"/>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电子邮箱：</w:t>
      </w:r>
      <w:r>
        <w:rPr>
          <w:rFonts w:hint="default" w:ascii="仿宋_GB2312;仿宋" w:hAnsi="仿宋_GB2312;仿宋" w:eastAsia="仿宋_GB2312;仿宋" w:cs="Times New Roman"/>
          <w:color w:val="000000" w:themeColor="text1"/>
          <w:sz w:val="24"/>
          <w:highlight w:val="none"/>
          <w:lang w:val="en-US" w:eastAsia="zh-CN"/>
          <w14:textFill>
            <w14:solidFill>
              <w14:schemeClr w14:val="tx1"/>
            </w14:solidFill>
          </w14:textFill>
        </w:rPr>
        <w:t>/</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电子邮箱：</w:t>
      </w:r>
      <w:r>
        <w:rPr>
          <w:rFonts w:hint="default" w:ascii="仿宋_GB2312;仿宋" w:hAnsi="仿宋_GB2312;仿宋" w:eastAsia="仿宋_GB2312;仿宋" w:cs="Times New Roman"/>
          <w:color w:val="000000" w:themeColor="text1"/>
          <w:sz w:val="24"/>
          <w:highlight w:val="none"/>
          <w14:textFill>
            <w14:solidFill>
              <w14:schemeClr w14:val="tx1"/>
            </w14:solidFill>
          </w14:textFill>
        </w:rPr>
        <w:t xml:space="preserve"> </w:t>
      </w:r>
    </w:p>
    <w:p w14:paraId="60569033">
      <w:pPr>
        <w:pStyle w:val="98"/>
        <w:tabs>
          <w:tab w:val="left" w:pos="0"/>
          <w:tab w:val="left" w:pos="1134"/>
        </w:tabs>
        <w:spacing w:line="360" w:lineRule="auto"/>
        <w:ind w:left="6660" w:hanging="6240" w:hangingChars="260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开户银行：华夏银行股份有限公司广州  </w:t>
      </w:r>
      <w:r>
        <w:rPr>
          <w:rFonts w:hint="eastAsia"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开户银行：</w:t>
      </w:r>
    </w:p>
    <w:p w14:paraId="65CB7F5A">
      <w:pPr>
        <w:pStyle w:val="98"/>
        <w:tabs>
          <w:tab w:val="left" w:pos="0"/>
          <w:tab w:val="left" w:pos="1134"/>
        </w:tabs>
        <w:spacing w:line="360" w:lineRule="auto"/>
        <w:ind w:left="6660" w:hanging="6240" w:hangingChars="2600"/>
        <w:rPr>
          <w:rFonts w:hint="default" w:ascii="仿宋_GB2312;仿宋" w:hAnsi="仿宋_GB2312;仿宋" w:eastAsia="仿宋_GB2312;仿宋" w:cs="Times New Roman"/>
          <w:color w:val="000000" w:themeColor="text1"/>
          <w:sz w:val="24"/>
          <w:highlight w:val="none"/>
          <w:lang w:val="en-US"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花都支行 </w:t>
      </w:r>
      <w:r>
        <w:rPr>
          <w:rFonts w:hint="eastAsia"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p>
    <w:p w14:paraId="3F95F0B9">
      <w:pPr>
        <w:pStyle w:val="98"/>
        <w:tabs>
          <w:tab w:val="left" w:pos="0"/>
          <w:tab w:val="left" w:pos="1134"/>
        </w:tabs>
        <w:snapToGrid w:val="0"/>
        <w:spacing w:line="360" w:lineRule="auto"/>
        <w:ind w:left="0" w:leftChars="0" w:firstLine="480" w:firstLineChars="200"/>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pP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 xml:space="preserve">账号：10948000000629987           </w:t>
      </w:r>
      <w:r>
        <w:rPr>
          <w:rFonts w:hint="eastAsia" w:ascii="仿宋_GB2312;仿宋" w:hAnsi="仿宋_GB2312;仿宋" w:eastAsia="仿宋_GB2312;仿宋" w:cs="Times New Roman"/>
          <w:color w:val="000000" w:themeColor="text1"/>
          <w:sz w:val="24"/>
          <w:highlight w:val="none"/>
          <w:lang w:val="en-US" w:eastAsia="zh-CN"/>
          <w14:textFill>
            <w14:solidFill>
              <w14:schemeClr w14:val="tx1"/>
            </w14:solidFill>
          </w14:textFill>
        </w:rPr>
        <w:t xml:space="preserve">   </w:t>
      </w:r>
      <w:r>
        <w:rPr>
          <w:rFonts w:hint="default" w:ascii="仿宋_GB2312;仿宋" w:hAnsi="仿宋_GB2312;仿宋" w:eastAsia="仿宋_GB2312;仿宋" w:cs="Times New Roman"/>
          <w:color w:val="000000" w:themeColor="text1"/>
          <w:sz w:val="24"/>
          <w:highlight w:val="none"/>
          <w:lang w:eastAsia="zh-CN"/>
          <w14:textFill>
            <w14:solidFill>
              <w14:schemeClr w14:val="tx1"/>
            </w14:solidFill>
          </w14:textFill>
        </w:rPr>
        <w:t>账号：</w:t>
      </w:r>
    </w:p>
    <w:bookmarkEnd w:id="3"/>
    <w:p w14:paraId="72305371">
      <w:pPr>
        <w:spacing w:line="360" w:lineRule="auto"/>
        <w:jc w:val="left"/>
        <w:rPr>
          <w:rFonts w:hint="eastAsia" w:ascii="仿宋_GB2312;仿宋" w:hAnsi="仿宋_GB2312;仿宋" w:eastAsiaTheme="minorEastAsia"/>
          <w:b/>
          <w:color w:val="000000" w:themeColor="text1"/>
          <w:sz w:val="24"/>
          <w:highlight w:val="none"/>
          <w14:textFill>
            <w14:solidFill>
              <w14:schemeClr w14:val="tx1"/>
            </w14:solidFill>
          </w14:textFill>
        </w:rPr>
      </w:pPr>
    </w:p>
    <w:p w14:paraId="115FCBA1">
      <w:pPr>
        <w:spacing w:line="240" w:lineRule="auto"/>
        <w:jc w:val="left"/>
        <w:rPr>
          <w:rFonts w:hint="eastAsia" w:ascii="仿宋_GB2312;仿宋" w:hAnsi="仿宋_GB2312;仿宋" w:eastAsiaTheme="minorEastAsia"/>
          <w:b/>
          <w:color w:val="000000" w:themeColor="text1"/>
          <w:sz w:val="24"/>
          <w:highlight w:val="none"/>
          <w14:textFill>
            <w14:solidFill>
              <w14:schemeClr w14:val="tx1"/>
            </w14:solidFill>
          </w14:textFill>
        </w:rPr>
      </w:pPr>
      <w:r>
        <w:rPr>
          <w:rFonts w:hint="eastAsia" w:ascii="仿宋_GB2312;仿宋" w:hAnsi="仿宋_GB2312;仿宋" w:eastAsiaTheme="minorEastAsia"/>
          <w:b/>
          <w:color w:val="000000" w:themeColor="text1"/>
          <w:sz w:val="24"/>
          <w:highlight w:val="none"/>
          <w14:textFill>
            <w14:solidFill>
              <w14:schemeClr w14:val="tx1"/>
            </w14:solidFill>
          </w14:textFill>
        </w:rPr>
        <w:br w:type="page"/>
      </w:r>
    </w:p>
    <w:p w14:paraId="3B48EF6B">
      <w:pPr>
        <w:spacing w:line="360" w:lineRule="auto"/>
        <w:jc w:val="left"/>
        <w:outlineLvl w:val="0"/>
        <w:rPr>
          <w:rFonts w:hint="eastAsia" w:ascii="仿宋_GB2312;仿宋" w:hAnsi="仿宋_GB2312;仿宋" w:eastAsia="仿宋_GB2312;仿宋"/>
          <w:b w:val="0"/>
          <w:color w:val="000000" w:themeColor="text1"/>
          <w:sz w:val="24"/>
          <w:highlight w:val="none"/>
          <w:lang w:val="en-US" w:eastAsia="zh-CN"/>
          <w14:textFill>
            <w14:solidFill>
              <w14:schemeClr w14:val="tx1"/>
            </w14:solidFill>
          </w14:textFill>
        </w:rPr>
      </w:pPr>
      <w:r>
        <w:rPr>
          <w:rFonts w:hint="default" w:ascii="仿宋_GB2312;仿宋" w:hAnsi="仿宋_GB2312;仿宋" w:eastAsia="仿宋_GB2312;仿宋"/>
          <w:b w:val="0"/>
          <w:color w:val="000000" w:themeColor="text1"/>
          <w:sz w:val="24"/>
          <w:highlight w:val="none"/>
          <w:lang w:val="en-US" w:eastAsia="zh-CN"/>
          <w14:textFill>
            <w14:solidFill>
              <w14:schemeClr w14:val="tx1"/>
            </w14:solidFill>
          </w14:textFill>
        </w:rPr>
        <w:t>附件1</w:t>
      </w:r>
      <w:r>
        <w:rPr>
          <w:rFonts w:hint="eastAsia" w:ascii="仿宋_GB2312;仿宋" w:hAnsi="仿宋_GB2312;仿宋" w:eastAsia="仿宋_GB2312;仿宋"/>
          <w:b w:val="0"/>
          <w:color w:val="000000" w:themeColor="text1"/>
          <w:sz w:val="24"/>
          <w:highlight w:val="none"/>
          <w:lang w:val="en-US" w:eastAsia="zh-CN"/>
          <w14:textFill>
            <w14:solidFill>
              <w14:schemeClr w14:val="tx1"/>
            </w14:solidFill>
          </w14:textFill>
        </w:rPr>
        <w:t>：</w:t>
      </w:r>
    </w:p>
    <w:p w14:paraId="1F7285BF">
      <w:pPr>
        <w:spacing w:line="360" w:lineRule="auto"/>
        <w:jc w:val="center"/>
        <w:rPr>
          <w:rFonts w:ascii="仿宋_GB2312;仿宋" w:hAnsi="仿宋_GB2312;仿宋" w:eastAsia="仿宋_GB2312;仿宋"/>
          <w:b/>
          <w:sz w:val="24"/>
          <w:highlight w:val="none"/>
        </w:rPr>
      </w:pPr>
      <w:r>
        <w:rPr>
          <w:rFonts w:ascii="仿宋" w:hAnsi="仿宋" w:eastAsia="仿宋"/>
          <w:b/>
          <w:sz w:val="32"/>
          <w:highlight w:val="none"/>
        </w:rPr>
        <w:t>工程建设项目廉政责任书</w:t>
      </w:r>
    </w:p>
    <w:p w14:paraId="296D622A">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为加强</w:t>
      </w:r>
      <w:r>
        <w:rPr>
          <w:rFonts w:hint="eastAsia" w:ascii="仿宋" w:hAnsi="仿宋" w:eastAsia="仿宋"/>
          <w:color w:val="000000"/>
          <w:sz w:val="24"/>
          <w:highlight w:val="none"/>
          <w:lang w:val="en-US" w:eastAsia="zh-CN"/>
        </w:rPr>
        <w:t>售楼处会所、创意样板间及主题架空层等</w:t>
      </w:r>
      <w:r>
        <w:rPr>
          <w:rFonts w:hint="default" w:ascii="仿宋" w:hAnsi="仿宋" w:eastAsia="仿宋"/>
          <w:b w:val="0"/>
          <w:bCs w:val="0"/>
          <w:color w:val="000000"/>
          <w:sz w:val="24"/>
          <w:highlight w:val="none"/>
          <w:u w:val="none"/>
          <w:lang w:val="en-US" w:eastAsia="zh-CN"/>
        </w:rPr>
        <w:t>装修设计</w:t>
      </w:r>
      <w:r>
        <w:rPr>
          <w:rFonts w:ascii="仿宋" w:hAnsi="仿宋" w:eastAsia="仿宋"/>
          <w:color w:val="000000"/>
          <w:sz w:val="24"/>
          <w:highlight w:val="none"/>
        </w:rPr>
        <w:t>工程建设过程的廉政建设，规范工程建设中双方的各项活动，防止发生各种谋取不正当利益的违法违纪行为，保护国家和当事人的合法权益，根据国家有关工程建设的法律法规和廉政建设责任制规定，特订立本廉政责任书。</w:t>
      </w:r>
    </w:p>
    <w:p w14:paraId="4EA81768">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第一条　甲乙双方的责任</w:t>
      </w:r>
    </w:p>
    <w:p w14:paraId="1922A4A2">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（一）应严格遵守国家关于市场准入、项目招标投标、工程建设、施工安装和市场活动等有关法律、法规、政策，以及廉政建设的各项规定。</w:t>
      </w:r>
    </w:p>
    <w:p w14:paraId="48AEC076">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（二）严格履行工程建设项目中所签订的所有合同文件，自觉按合同办事。</w:t>
      </w:r>
    </w:p>
    <w:p w14:paraId="5D754B2D">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（三）业务活动必须坚持公开、公平、公正、诚信、透明的原则（除法律法规另有规定者外），不得为获取不正当的利益，损害国家和对方利益，不得违反工程建设管理、施工安装的规章制度。</w:t>
      </w:r>
    </w:p>
    <w:p w14:paraId="0BC7B5C2">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（四）教育、监督本单位所有相关人员(包括担任领导职务人员，下同）廉洁、尽职地工作，制定和严格执行相关规章制度，防范和严肃查处相关人员违法、违纪利用工作便利谋取个人利益的行为。</w:t>
      </w:r>
    </w:p>
    <w:p w14:paraId="57ADB709">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（五）不得向另一方的相关人员提供第二条或第三条各项所列个人利益，三方的合同另有明文规定的奖励、考察不受此限。</w:t>
      </w:r>
    </w:p>
    <w:p w14:paraId="16745C85">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六)发现另一方或其有关人员在业务活动中有违规、违纪、违法行为的，应及时提醒、告知另一方，另一方应依照法律法规、相关合同，认真调查并处理。另一方或其有关人员该等行为情节严重的，任何一方均应向其上级主管部门或纪检监察、司法等有关机关举报。</w:t>
      </w:r>
    </w:p>
    <w:p w14:paraId="55F96024">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第二条　甲方的责任</w:t>
      </w:r>
    </w:p>
    <w:p w14:paraId="6607CB57">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甲方应教育和监督本方与该工程建设项目有关的人员，在工程建设的事前、事中、事后均严格遵守以下规定：</w:t>
      </w:r>
    </w:p>
    <w:p w14:paraId="0F6D6A98">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（一）不准向乙方和相关单位（包括但不限于施工单位、勘察、设计单位、设备或原材料供应单位，下同）索要或接受回扣、礼金、红包、有价证券、银行卡、物品和好处费、感谢费、其他财产性利益等。</w:t>
      </w:r>
    </w:p>
    <w:p w14:paraId="6500A6F9">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（二）不准在乙方和相关单位报销任何应由甲方支付的费用，或借用乙方的车辆办理私事。</w:t>
      </w:r>
    </w:p>
    <w:p w14:paraId="62C4A969">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（三）不准要求、暗示和接受甲方和相关单位为个人装修住房、婚丧嫁娶、配偶子女的工作安排以及出国（境）、旅游（双方相关合同所规定的考察不受此限）等提供方便。</w:t>
      </w:r>
    </w:p>
    <w:p w14:paraId="6AB57DB2">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（四）不准参加有可能影响公正执行公务的乙方和相关单位的宴请、健身、娱乐等活动。</w:t>
      </w:r>
    </w:p>
    <w:p w14:paraId="66C398E2">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五）不准向乙方介绍或为配偶、子女、亲属参与同甲方有关的设备、材料、工程分包、劳务等经济活动。不得以任何理由向乙方和相关单位推荐分包单位和要求乙方购买规定以外的材料、设备等（合同所规定的属于甲方行使的相关权利不受此限）。</w:t>
      </w:r>
    </w:p>
    <w:p w14:paraId="1E242137">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第三条　乙方的责任</w:t>
      </w:r>
    </w:p>
    <w:p w14:paraId="2BFB0BD8">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应与甲方保持正常的业务交往，按照有关法律法规和程序开展业务工作，严格执行工程建设的有关方针、政策，尤其是有关建筑施工、安装及强制性标准和规范，并教育和监督其领导和有关人员严格遵守以下规定：</w:t>
      </w:r>
    </w:p>
    <w:p w14:paraId="2599A867">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（一）不准以任何理由向甲方、相关单位及其工作人员索要、接受或赠送礼金、红包、有价证券、银行卡、物品和回扣、好处费、感谢费、其他财产性利益等。</w:t>
      </w:r>
    </w:p>
    <w:p w14:paraId="0A6D8DE1">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（二）不准以任何理由为甲方和相关单位报销应由对方或个人支付的费用，或出借车辆给甲方人员办理私事。</w:t>
      </w:r>
    </w:p>
    <w:p w14:paraId="1C03E93E">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（三）不准接受或暗示为甲方、相关单位或个人装修住房、婚丧嫁娶、配偶子女的工作安排以及出国（境）、旅游等提供方便。</w:t>
      </w:r>
    </w:p>
    <w:p w14:paraId="228AB1A2">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（四）不准以任何理由为甲方、相关单位或个人组织有可能影响公正执行公务的宴请、健身、娱乐等活动。</w:t>
      </w:r>
    </w:p>
    <w:p w14:paraId="7DFF7F84">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第四条　法律和纪律责任</w:t>
      </w:r>
    </w:p>
    <w:p w14:paraId="10C99517">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一）甲方工作人员有违反本责任书第一、二条谋取个人利益行为的，乙方应向甲方或有关机关举报，甲方应按照管理权限调查核实，并依据有关法律法规和规定给予党纪、政纪处分或公司制度项下处分处理；涉嫌犯罪的，向司法机关举报，追究刑事责任。</w:t>
      </w:r>
    </w:p>
    <w:p w14:paraId="2ADB4EA0">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二）乙方工作人员有违反本责任书第一、三条谋取个人利益行为的，甲方应向乙方或有关机关举报，乙方应按照管理权限调查核实，并依据有关法律法规和规定给予党纪、政纪处分或公司制度项下处分处理；涉嫌犯罪的，向司法机关举报，追究刑事责任。</w:t>
      </w:r>
    </w:p>
    <w:p w14:paraId="78EB5B8A">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三）A方（指任何一方，下同）向B方（指另一方，下同）有关人员提供前述各条所禁止提供或收受的个人利益的，无论是否依B方有关人员的要求提供，也无论通过何种方式、何人提供，均须承担全部相应的法律责任，包括但不限于赔偿B方因该等不正当收受利益人员有关失职行为所发生的全部损失。B方并有权解除合同。B方有关人员未接受A方所给付的该等利益的，或其接受后未发现其失职造成B方损失的，或B方所发生的损失或部分损失难以计算的,按提供给B方人员个人利益每人次须付50万元计算违约金。</w:t>
      </w:r>
    </w:p>
    <w:p w14:paraId="7907C7B0">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（四）B方有关人员因索要前述禁止的个人利益未成功或因未取得A方给付该等利益而未正常处理有关工作，造成B方违反合同的，B方须向A方承担违约责任，赔偿A方全部损失。</w:t>
      </w:r>
    </w:p>
    <w:p w14:paraId="61696D69">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第五条　本责任书作为本工程合同的附件，与工程合同具有同等法律效力。</w:t>
      </w:r>
    </w:p>
    <w:p w14:paraId="3902FA57">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第六条　本责任书的有效期为双方签署之日起至该工程建设项目竣工验收符合合同要求时止。</w:t>
      </w:r>
    </w:p>
    <w:p w14:paraId="6B155583">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 xml:space="preserve">    </w:t>
      </w:r>
    </w:p>
    <w:p w14:paraId="34FF03A8">
      <w:pPr>
        <w:spacing w:line="460" w:lineRule="exact"/>
        <w:ind w:left="5595" w:hanging="5280"/>
        <w:rPr>
          <w:rFonts w:ascii="仿宋_GB2312;仿宋" w:hAnsi="仿宋_GB2312;仿宋" w:eastAsia="仿宋_GB2312;仿宋"/>
          <w:b/>
          <w:sz w:val="24"/>
          <w:highlight w:val="none"/>
        </w:rPr>
      </w:pPr>
      <w:r>
        <w:rPr>
          <w:rFonts w:ascii="仿宋" w:hAnsi="仿宋" w:eastAsia="仿宋"/>
          <w:color w:val="000000"/>
          <w:sz w:val="24"/>
          <w:highlight w:val="none"/>
        </w:rPr>
        <w:t>甲方：</w:t>
      </w:r>
      <w:r>
        <w:rPr>
          <w:rFonts w:hint="eastAsia" w:ascii="仿宋" w:hAnsi="仿宋" w:eastAsia="仿宋"/>
          <w:color w:val="000000"/>
          <w:sz w:val="24"/>
          <w:highlight w:val="none"/>
        </w:rPr>
        <w:t xml:space="preserve"> </w:t>
      </w:r>
      <w:r>
        <w:rPr>
          <w:rFonts w:ascii="仿宋" w:hAnsi="仿宋" w:eastAsia="仿宋"/>
          <w:color w:val="000000"/>
          <w:sz w:val="24"/>
          <w:highlight w:val="none"/>
        </w:rPr>
        <w:t xml:space="preserve">                                 乙方： </w:t>
      </w:r>
    </w:p>
    <w:p w14:paraId="4E6EE301">
      <w:pPr>
        <w:spacing w:line="460" w:lineRule="exact"/>
        <w:ind w:left="5595" w:hanging="5280"/>
        <w:rPr>
          <w:rFonts w:ascii="仿宋_GB2312;仿宋" w:hAnsi="仿宋_GB2312;仿宋" w:eastAsia="仿宋_GB2312;仿宋"/>
          <w:b/>
          <w:sz w:val="24"/>
          <w:highlight w:val="none"/>
        </w:rPr>
      </w:pPr>
      <w:r>
        <w:rPr>
          <w:rFonts w:ascii="仿宋" w:hAnsi="仿宋" w:eastAsia="仿宋"/>
          <w:color w:val="000000"/>
          <w:sz w:val="24"/>
          <w:highlight w:val="none"/>
        </w:rPr>
        <w:t>法定代表人或授权代表人：                法定代表人或授权代表人：</w:t>
      </w:r>
    </w:p>
    <w:p w14:paraId="6250ABFD">
      <w:pPr>
        <w:spacing w:line="460" w:lineRule="exact"/>
        <w:ind w:firstLine="360"/>
        <w:rPr>
          <w:rFonts w:ascii="仿宋_GB2312;仿宋" w:hAnsi="仿宋_GB2312;仿宋" w:eastAsia="仿宋_GB2312;仿宋"/>
          <w:b/>
          <w:sz w:val="24"/>
          <w:highlight w:val="none"/>
        </w:rPr>
      </w:pPr>
    </w:p>
    <w:p w14:paraId="3D2C6A1E">
      <w:pPr>
        <w:spacing w:line="460" w:lineRule="exact"/>
        <w:ind w:firstLine="360"/>
        <w:rPr>
          <w:rFonts w:ascii="仿宋_GB2312;仿宋" w:hAnsi="仿宋_GB2312;仿宋" w:eastAsia="仿宋_GB2312;仿宋"/>
          <w:b/>
          <w:sz w:val="24"/>
          <w:highlight w:val="none"/>
        </w:rPr>
      </w:pPr>
      <w:r>
        <w:rPr>
          <w:rFonts w:ascii="仿宋" w:hAnsi="仿宋" w:eastAsia="仿宋"/>
          <w:color w:val="000000"/>
          <w:sz w:val="24"/>
          <w:highlight w:val="none"/>
        </w:rPr>
        <w:t>签约日期：                              签约日期：</w:t>
      </w:r>
    </w:p>
    <w:p w14:paraId="1B29614D">
      <w:pPr>
        <w:spacing w:line="240" w:lineRule="auto"/>
        <w:jc w:val="left"/>
        <w:rPr>
          <w:rFonts w:hint="eastAsia" w:ascii="仿宋_GB2312;仿宋" w:hAnsi="仿宋_GB2312;仿宋" w:eastAsia="仿宋_GB2312;仿宋"/>
          <w:b w:val="0"/>
          <w:color w:val="000000" w:themeColor="text1"/>
          <w:sz w:val="24"/>
          <w:highlight w:val="none"/>
          <w:lang w:val="en-US" w:eastAsia="zh-CN"/>
          <w14:textFill>
            <w14:solidFill>
              <w14:schemeClr w14:val="tx1"/>
            </w14:solidFill>
          </w14:textFill>
        </w:rPr>
      </w:pPr>
      <w:r>
        <w:rPr>
          <w:rFonts w:hint="eastAsia" w:ascii="仿宋_GB2312;仿宋" w:hAnsi="仿宋_GB2312;仿宋" w:eastAsia="仿宋_GB2312;仿宋"/>
          <w:b w:val="0"/>
          <w:color w:val="000000" w:themeColor="text1"/>
          <w:sz w:val="24"/>
          <w:highlight w:val="none"/>
          <w:lang w:val="en-US" w:eastAsia="zh-CN"/>
          <w14:textFill>
            <w14:solidFill>
              <w14:schemeClr w14:val="tx1"/>
            </w14:solidFill>
          </w14:textFill>
        </w:rPr>
        <w:br w:type="page"/>
      </w:r>
    </w:p>
    <w:p w14:paraId="34288DF5">
      <w:pPr>
        <w:spacing w:line="360" w:lineRule="auto"/>
        <w:jc w:val="left"/>
        <w:outlineLvl w:val="0"/>
        <w:rPr>
          <w:rFonts w:hint="eastAsia" w:ascii="仿宋_GB2312;仿宋" w:hAnsi="仿宋_GB2312;仿宋" w:eastAsia="仿宋_GB2312;仿宋"/>
          <w:b w:val="0"/>
          <w:color w:val="000000" w:themeColor="text1"/>
          <w:sz w:val="24"/>
          <w:highlight w:val="none"/>
          <w:lang w:val="en-US" w:eastAsia="zh-CN"/>
          <w14:textFill>
            <w14:solidFill>
              <w14:schemeClr w14:val="tx1"/>
            </w14:solidFill>
          </w14:textFill>
        </w:rPr>
      </w:pPr>
      <w:r>
        <w:rPr>
          <w:rFonts w:hint="eastAsia" w:ascii="仿宋_GB2312;仿宋" w:hAnsi="仿宋_GB2312;仿宋" w:eastAsia="仿宋_GB2312;仿宋"/>
          <w:b w:val="0"/>
          <w:color w:val="000000" w:themeColor="text1"/>
          <w:sz w:val="24"/>
          <w:highlight w:val="none"/>
          <w:lang w:val="en-US" w:eastAsia="zh-CN"/>
          <w14:textFill>
            <w14:solidFill>
              <w14:schemeClr w14:val="tx1"/>
            </w14:solidFill>
          </w14:textFill>
        </w:rPr>
        <w:t>附件2：</w:t>
      </w:r>
    </w:p>
    <w:p w14:paraId="7D9C2873">
      <w:pPr>
        <w:tabs>
          <w:tab w:val="left" w:pos="540"/>
        </w:tabs>
        <w:spacing w:line="440" w:lineRule="exact"/>
        <w:jc w:val="center"/>
        <w:rPr>
          <w:highlight w:val="none"/>
        </w:rPr>
      </w:pPr>
      <w:r>
        <w:rPr>
          <w:rFonts w:hint="eastAsia" w:ascii="仿宋" w:hAnsi="仿宋" w:eastAsia="仿宋"/>
          <w:b/>
          <w:sz w:val="44"/>
          <w:szCs w:val="44"/>
          <w:highlight w:val="none"/>
          <w:lang w:eastAsia="zh-CN"/>
        </w:rPr>
        <w:t>长兴项目售楼处会所、创意样板间、主题架空层等装修设计</w:t>
      </w:r>
      <w:r>
        <w:rPr>
          <w:rFonts w:ascii="仿宋" w:hAnsi="仿宋" w:eastAsia="仿宋"/>
          <w:b/>
          <w:sz w:val="44"/>
          <w:szCs w:val="44"/>
          <w:highlight w:val="none"/>
        </w:rPr>
        <w:t>任务书</w:t>
      </w:r>
      <w:r>
        <w:rPr>
          <w:highlight w:val="none"/>
        </w:rPr>
        <w:tab/>
      </w:r>
    </w:p>
    <w:p w14:paraId="2C016B62">
      <w:pPr>
        <w:tabs>
          <w:tab w:val="left" w:pos="540"/>
        </w:tabs>
        <w:spacing w:line="440" w:lineRule="exact"/>
        <w:jc w:val="center"/>
        <w:rPr>
          <w:highlight w:val="none"/>
        </w:rPr>
      </w:pPr>
    </w:p>
    <w:p w14:paraId="4DFCA583">
      <w:pPr>
        <w:pStyle w:val="97"/>
        <w:numPr>
          <w:ilvl w:val="0"/>
          <w:numId w:val="4"/>
        </w:numPr>
        <w:spacing w:line="276" w:lineRule="auto"/>
        <w:ind w:firstLineChars="0"/>
        <w:outlineLvl w:val="0"/>
        <w:rPr>
          <w:rFonts w:ascii="仿宋" w:hAnsi="仿宋" w:eastAsia="仿宋"/>
          <w:b/>
          <w:color w:val="000000"/>
          <w:sz w:val="24"/>
          <w:highlight w:val="none"/>
        </w:rPr>
      </w:pPr>
      <w:r>
        <w:rPr>
          <w:rFonts w:ascii="仿宋" w:hAnsi="仿宋" w:eastAsia="仿宋"/>
          <w:b/>
          <w:color w:val="000000"/>
          <w:sz w:val="24"/>
          <w:highlight w:val="none"/>
        </w:rPr>
        <w:t>项目概况：</w:t>
      </w:r>
    </w:p>
    <w:p w14:paraId="473A73F4">
      <w:pPr>
        <w:tabs>
          <w:tab w:val="left" w:pos="540"/>
        </w:tabs>
        <w:spacing w:line="440" w:lineRule="exact"/>
        <w:jc w:val="both"/>
        <w:rPr>
          <w:highlight w:val="none"/>
        </w:rPr>
      </w:pPr>
    </w:p>
    <w:p w14:paraId="01459B57">
      <w:pPr>
        <w:pageBreakBefore w:val="0"/>
        <w:kinsoku/>
        <w:wordWrap/>
        <w:overflowPunct/>
        <w:topLinePunct w:val="0"/>
        <w:bidi w:val="0"/>
        <w:adjustRightInd/>
        <w:spacing w:line="300" w:lineRule="auto"/>
        <w:ind w:firstLine="482" w:firstLineChars="200"/>
        <w:jc w:val="left"/>
        <w:rPr>
          <w:rFonts w:hint="eastAsia" w:ascii="仿宋" w:hAnsi="仿宋" w:eastAsia="仿宋" w:cs="Calibri"/>
          <w:b/>
          <w:kern w:val="2"/>
          <w:sz w:val="24"/>
          <w:szCs w:val="28"/>
          <w:highlight w:val="none"/>
          <w:lang w:val="en-US" w:eastAsia="zh-CN" w:bidi="ar-SA"/>
        </w:rPr>
      </w:pPr>
      <w:r>
        <w:rPr>
          <w:rFonts w:hint="eastAsia" w:ascii="仿宋" w:hAnsi="仿宋" w:eastAsia="仿宋" w:cs="Calibri"/>
          <w:b/>
          <w:kern w:val="2"/>
          <w:sz w:val="24"/>
          <w:szCs w:val="28"/>
          <w:highlight w:val="none"/>
        </w:rPr>
        <w:t>基地位于广东省广州市花都区凤凰南路与空铁大道交汇板块。距离白云国际机场11.5km，20分钟车程；距离广州北站5.2km，15分钟车程。 附近有地铁9号线，距清布站1.5km；未来有18号线北延段通车，距基地500m左右，交通便利性将提升</w:t>
      </w:r>
      <w:r>
        <w:rPr>
          <w:rFonts w:hint="eastAsia" w:ascii="仿宋" w:hAnsi="仿宋" w:eastAsia="仿宋" w:cs="Calibri"/>
          <w:b/>
          <w:kern w:val="2"/>
          <w:sz w:val="24"/>
          <w:szCs w:val="28"/>
          <w:highlight w:val="none"/>
          <w:lang w:eastAsia="zh-CN"/>
        </w:rPr>
        <w:t>；</w:t>
      </w:r>
      <w:r>
        <w:rPr>
          <w:rFonts w:hint="eastAsia" w:ascii="仿宋" w:hAnsi="仿宋" w:eastAsia="仿宋" w:cs="Calibri"/>
          <w:b/>
          <w:kern w:val="2"/>
          <w:sz w:val="24"/>
          <w:szCs w:val="28"/>
          <w:highlight w:val="none"/>
        </w:rPr>
        <w:t xml:space="preserve"> 基地西北侧直线距离650m范围可触达花都湖国家湿地公园景观，为发展基地西北侧景观面提供基础</w:t>
      </w:r>
      <w:r>
        <w:rPr>
          <w:rFonts w:hint="eastAsia" w:ascii="仿宋" w:hAnsi="仿宋" w:eastAsia="仿宋" w:cs="Calibri"/>
          <w:b/>
          <w:kern w:val="2"/>
          <w:sz w:val="24"/>
          <w:szCs w:val="28"/>
          <w:highlight w:val="none"/>
          <w:lang w:eastAsia="zh-CN"/>
        </w:rPr>
        <w:t>。</w:t>
      </w:r>
    </w:p>
    <w:p w14:paraId="1D71D712">
      <w:pPr>
        <w:pageBreakBefore w:val="0"/>
        <w:kinsoku/>
        <w:wordWrap/>
        <w:overflowPunct/>
        <w:topLinePunct w:val="0"/>
        <w:bidi w:val="0"/>
        <w:adjustRightInd/>
        <w:spacing w:line="500" w:lineRule="exact"/>
        <w:jc w:val="left"/>
        <w:rPr>
          <w:rFonts w:hint="eastAsia" w:ascii="仿宋" w:hAnsi="仿宋" w:eastAsia="仿宋" w:cs="Calibri"/>
          <w:b/>
          <w:kern w:val="2"/>
          <w:sz w:val="24"/>
          <w:szCs w:val="28"/>
          <w:highlight w:val="none"/>
          <w:lang w:val="en-US" w:eastAsia="zh-CN" w:bidi="ar-SA"/>
        </w:rPr>
      </w:pPr>
      <w:r>
        <w:rPr>
          <w:rFonts w:hint="eastAsia" w:ascii="仿宋" w:hAnsi="仿宋" w:eastAsia="仿宋" w:cs="Calibri"/>
          <w:b/>
          <w:kern w:val="2"/>
          <w:sz w:val="24"/>
          <w:szCs w:val="28"/>
          <w:highlight w:val="none"/>
          <w:lang w:val="en-US" w:eastAsia="zh-CN" w:bidi="ar-SA"/>
        </w:rPr>
        <w:t>（详见下图）</w:t>
      </w:r>
    </w:p>
    <w:p w14:paraId="6A393A9A">
      <w:pPr>
        <w:pageBreakBefore w:val="0"/>
        <w:kinsoku/>
        <w:wordWrap/>
        <w:overflowPunct/>
        <w:topLinePunct w:val="0"/>
        <w:bidi w:val="0"/>
        <w:adjustRightInd/>
        <w:spacing w:line="500" w:lineRule="exact"/>
        <w:jc w:val="left"/>
        <w:rPr>
          <w:rFonts w:hint="eastAsia" w:ascii="仿宋" w:hAnsi="仿宋" w:eastAsia="仿宋" w:cs="Calibri"/>
          <w:b/>
          <w:kern w:val="2"/>
          <w:sz w:val="24"/>
          <w:szCs w:val="28"/>
          <w:highlight w:val="none"/>
          <w:lang w:val="en-US" w:eastAsia="zh-CN" w:bidi="ar-SA"/>
        </w:rPr>
      </w:pPr>
      <w:r>
        <w:rPr>
          <w:highlight w:val="none"/>
        </w:rPr>
        <w:drawing>
          <wp:anchor distT="0" distB="0" distL="114300" distR="114300" simplePos="0" relativeHeight="251659264" behindDoc="1" locked="0" layoutInCell="1" allowOverlap="1">
            <wp:simplePos x="0" y="0"/>
            <wp:positionH relativeFrom="column">
              <wp:posOffset>10795</wp:posOffset>
            </wp:positionH>
            <wp:positionV relativeFrom="paragraph">
              <wp:posOffset>29210</wp:posOffset>
            </wp:positionV>
            <wp:extent cx="5260975" cy="2825750"/>
            <wp:effectExtent l="0" t="0" r="15875" b="12700"/>
            <wp:wrapThrough wrapText="bothSides">
              <wp:wrapPolygon>
                <wp:start x="0" y="0"/>
                <wp:lineTo x="0" y="21406"/>
                <wp:lineTo x="21509" y="21406"/>
                <wp:lineTo x="21509" y="0"/>
                <wp:lineTo x="0" y="0"/>
              </wp:wrapPolygon>
            </wp:wrapThrough>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0975" cy="2825750"/>
                    </a:xfrm>
                    <a:prstGeom prst="rect">
                      <a:avLst/>
                    </a:prstGeom>
                    <a:noFill/>
                    <a:ln>
                      <a:noFill/>
                    </a:ln>
                  </pic:spPr>
                </pic:pic>
              </a:graphicData>
            </a:graphic>
          </wp:anchor>
        </w:drawing>
      </w:r>
    </w:p>
    <w:p w14:paraId="257F88D4">
      <w:pPr>
        <w:pageBreakBefore w:val="0"/>
        <w:numPr>
          <w:ilvl w:val="0"/>
          <w:numId w:val="5"/>
        </w:numPr>
        <w:kinsoku/>
        <w:wordWrap/>
        <w:overflowPunct/>
        <w:topLinePunct w:val="0"/>
        <w:bidi w:val="0"/>
        <w:adjustRightInd/>
        <w:spacing w:line="500" w:lineRule="exact"/>
        <w:ind w:left="0" w:leftChars="0" w:firstLine="420" w:firstLineChars="0"/>
        <w:jc w:val="left"/>
        <w:rPr>
          <w:rFonts w:hint="eastAsia" w:ascii="仿宋" w:hAnsi="仿宋" w:eastAsia="仿宋" w:cs="Calibri"/>
          <w:b/>
          <w:kern w:val="2"/>
          <w:sz w:val="24"/>
          <w:szCs w:val="28"/>
          <w:highlight w:val="none"/>
          <w:lang w:val="en-US" w:eastAsia="zh-CN" w:bidi="ar-SA"/>
        </w:rPr>
      </w:pPr>
      <w:r>
        <w:rPr>
          <w:rFonts w:hint="eastAsia" w:ascii="仿宋" w:hAnsi="仿宋" w:eastAsia="仿宋" w:cs="Calibri"/>
          <w:b/>
          <w:kern w:val="2"/>
          <w:sz w:val="24"/>
          <w:szCs w:val="28"/>
          <w:highlight w:val="none"/>
          <w:lang w:val="en-US" w:eastAsia="zh-CN" w:bidi="ar-SA"/>
        </w:rPr>
        <w:t>项目总用地面积35619.9平方米，其中项目建设用地面积32210.09平方米，绿地用地面积3409.81平方米。建筑总面积96543.43平方米，容积率为2.0。</w:t>
      </w:r>
    </w:p>
    <w:p w14:paraId="4375A520">
      <w:pPr>
        <w:pStyle w:val="97"/>
        <w:spacing w:line="276" w:lineRule="auto"/>
        <w:ind w:left="495" w:firstLine="0" w:firstLineChars="0"/>
        <w:outlineLvl w:val="9"/>
        <w:rPr>
          <w:rFonts w:hint="eastAsia" w:ascii="仿宋" w:hAnsi="仿宋" w:eastAsia="仿宋"/>
          <w:b/>
          <w:color w:val="000000"/>
          <w:sz w:val="24"/>
          <w:highlight w:val="none"/>
        </w:rPr>
      </w:pPr>
    </w:p>
    <w:p w14:paraId="2D833D55">
      <w:pPr>
        <w:pStyle w:val="97"/>
        <w:spacing w:line="276" w:lineRule="auto"/>
        <w:ind w:left="0" w:leftChars="0" w:firstLine="0" w:firstLineChars="0"/>
        <w:outlineLvl w:val="9"/>
        <w:rPr>
          <w:rFonts w:hint="eastAsia" w:ascii="仿宋" w:hAnsi="仿宋" w:eastAsia="仿宋"/>
          <w:b/>
          <w:color w:val="000000"/>
          <w:sz w:val="24"/>
          <w:highlight w:val="none"/>
        </w:rPr>
      </w:pPr>
    </w:p>
    <w:p w14:paraId="543C4AB0">
      <w:pPr>
        <w:numPr>
          <w:ilvl w:val="0"/>
          <w:numId w:val="2"/>
        </w:numPr>
        <w:spacing w:line="276" w:lineRule="auto"/>
        <w:outlineLvl w:val="0"/>
        <w:rPr>
          <w:rFonts w:ascii="仿宋" w:hAnsi="仿宋" w:eastAsia="仿宋"/>
          <w:b/>
          <w:sz w:val="24"/>
          <w:highlight w:val="none"/>
        </w:rPr>
      </w:pPr>
      <w:r>
        <w:rPr>
          <w:rFonts w:ascii="仿宋" w:hAnsi="仿宋" w:eastAsia="仿宋"/>
          <w:b/>
          <w:color w:val="000000"/>
          <w:sz w:val="24"/>
          <w:highlight w:val="none"/>
        </w:rPr>
        <w:t>行业技术标准和规范：</w:t>
      </w:r>
    </w:p>
    <w:p w14:paraId="34A33B4A">
      <w:pPr>
        <w:pStyle w:val="76"/>
        <w:numPr>
          <w:ilvl w:val="0"/>
          <w:numId w:val="0"/>
        </w:numPr>
        <w:ind w:left="-1" w:firstLine="480"/>
        <w:jc w:val="left"/>
        <w:rPr>
          <w:rFonts w:ascii="仿宋" w:hAnsi="仿宋" w:eastAsia="仿宋"/>
          <w:sz w:val="24"/>
          <w:highlight w:val="none"/>
        </w:rPr>
      </w:pPr>
      <w:r>
        <w:rPr>
          <w:rFonts w:ascii="仿宋" w:hAnsi="仿宋" w:eastAsia="仿宋"/>
          <w:sz w:val="24"/>
          <w:highlight w:val="none"/>
        </w:rPr>
        <w:t>设计任务必须满足国家相关法律、法规、强制性条文，国家及各行业设计规范、规程、行业条例及项目所在地方规定和标准，包括但不限于以下行业技术标准和规范。</w:t>
      </w:r>
    </w:p>
    <w:p w14:paraId="0FE3F211">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《建筑设计防火规范》、《建筑内部装修设计防火规范》、《广州市消防工程规定》</w:t>
      </w:r>
    </w:p>
    <w:p w14:paraId="388D5F1B">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《建筑照明设计标准》GB50034-2013</w:t>
      </w:r>
    </w:p>
    <w:p w14:paraId="573C7DE7">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《建筑工程设计文件编制深度规定》</w:t>
      </w:r>
    </w:p>
    <w:p w14:paraId="0337E2B3">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《火灾自动报警系统设计规范》</w:t>
      </w:r>
    </w:p>
    <w:p w14:paraId="0B47985D">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《智能建筑设计标准》</w:t>
      </w:r>
    </w:p>
    <w:p w14:paraId="643B98B9">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《绿色建筑评价标准》GB/T50378-20</w:t>
      </w:r>
      <w:r>
        <w:rPr>
          <w:rFonts w:hint="eastAsia" w:ascii="仿宋" w:hAnsi="仿宋" w:eastAsia="仿宋"/>
          <w:sz w:val="24"/>
          <w:highlight w:val="none"/>
          <w:lang w:val="en-US" w:eastAsia="zh-CN"/>
        </w:rPr>
        <w:t>22</w:t>
      </w:r>
    </w:p>
    <w:p w14:paraId="26A9B776">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w:t>
      </w:r>
      <w:r>
        <w:rPr>
          <w:rFonts w:hint="eastAsia" w:ascii="仿宋" w:hAnsi="仿宋" w:eastAsia="仿宋"/>
          <w:sz w:val="24"/>
          <w:highlight w:val="none"/>
        </w:rPr>
        <w:t>无障碍设计规范》</w:t>
      </w:r>
      <w:r>
        <w:rPr>
          <w:rFonts w:ascii="仿宋" w:hAnsi="仿宋" w:eastAsia="仿宋"/>
          <w:sz w:val="24"/>
          <w:highlight w:val="none"/>
        </w:rPr>
        <w:t>GB50763-20</w:t>
      </w:r>
      <w:r>
        <w:rPr>
          <w:rFonts w:hint="eastAsia" w:ascii="仿宋" w:hAnsi="仿宋" w:eastAsia="仿宋"/>
          <w:sz w:val="24"/>
          <w:highlight w:val="none"/>
          <w:lang w:val="en-US" w:eastAsia="zh-CN"/>
        </w:rPr>
        <w:t>22</w:t>
      </w:r>
    </w:p>
    <w:p w14:paraId="75938A02">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《房屋建筑制图统一标准》、《建筑制图标准》</w:t>
      </w:r>
    </w:p>
    <w:p w14:paraId="1690938C">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《民用建筑工程室内环境污染控制规范》</w:t>
      </w:r>
    </w:p>
    <w:p w14:paraId="2738062D">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《建筑防烟排烟系统技术标准》GB51251-2017</w:t>
      </w:r>
    </w:p>
    <w:p w14:paraId="41C570F8">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w:t>
      </w:r>
      <w:r>
        <w:rPr>
          <w:rFonts w:hint="eastAsia" w:ascii="仿宋" w:hAnsi="仿宋" w:eastAsia="仿宋"/>
          <w:sz w:val="24"/>
          <w:highlight w:val="none"/>
        </w:rPr>
        <w:t>图形标志-使用原则与要求</w:t>
      </w:r>
      <w:r>
        <w:rPr>
          <w:rFonts w:ascii="仿宋" w:hAnsi="仿宋" w:eastAsia="仿宋"/>
          <w:sz w:val="24"/>
          <w:highlight w:val="none"/>
        </w:rPr>
        <w:t>》</w:t>
      </w:r>
      <w:r>
        <w:rPr>
          <w:rFonts w:hint="eastAsia" w:ascii="仿宋" w:hAnsi="仿宋" w:eastAsia="仿宋"/>
          <w:sz w:val="24"/>
          <w:highlight w:val="none"/>
        </w:rPr>
        <w:t>GB/T 15566-2007</w:t>
      </w:r>
    </w:p>
    <w:p w14:paraId="54FFAC24">
      <w:pPr>
        <w:pStyle w:val="76"/>
        <w:numPr>
          <w:ilvl w:val="0"/>
          <w:numId w:val="6"/>
        </w:numPr>
        <w:ind w:left="0" w:leftChars="0" w:firstLine="420" w:firstLineChars="0"/>
        <w:jc w:val="left"/>
        <w:rPr>
          <w:rFonts w:hint="eastAsia" w:ascii="仿宋" w:hAnsi="仿宋" w:eastAsia="仿宋"/>
          <w:sz w:val="24"/>
          <w:highlight w:val="none"/>
        </w:rPr>
      </w:pPr>
      <w:r>
        <w:rPr>
          <w:rFonts w:ascii="仿宋" w:hAnsi="仿宋" w:eastAsia="仿宋"/>
          <w:sz w:val="24"/>
          <w:highlight w:val="none"/>
        </w:rPr>
        <w:t>《</w:t>
      </w:r>
      <w:r>
        <w:rPr>
          <w:rFonts w:hint="eastAsia" w:ascii="仿宋" w:hAnsi="仿宋" w:eastAsia="仿宋"/>
          <w:sz w:val="24"/>
          <w:highlight w:val="none"/>
        </w:rPr>
        <w:t>视觉信号表面色</w:t>
      </w:r>
      <w:r>
        <w:rPr>
          <w:rFonts w:ascii="仿宋" w:hAnsi="仿宋" w:eastAsia="仿宋"/>
          <w:sz w:val="24"/>
          <w:highlight w:val="none"/>
        </w:rPr>
        <w:t xml:space="preserve">》 </w:t>
      </w:r>
      <w:r>
        <w:rPr>
          <w:rFonts w:hint="eastAsia" w:ascii="仿宋" w:hAnsi="仿宋" w:eastAsia="仿宋"/>
          <w:sz w:val="24"/>
          <w:highlight w:val="none"/>
        </w:rPr>
        <w:t>GB/T8416-2003</w:t>
      </w:r>
    </w:p>
    <w:p w14:paraId="10C680FB">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《居住区绿地设计规范》 DB11/T 214-2003</w:t>
      </w:r>
    </w:p>
    <w:p w14:paraId="3196BE3A">
      <w:pPr>
        <w:pStyle w:val="76"/>
        <w:numPr>
          <w:ilvl w:val="0"/>
          <w:numId w:val="6"/>
        </w:numPr>
        <w:ind w:left="0" w:leftChars="0" w:firstLine="420" w:firstLineChars="0"/>
        <w:jc w:val="left"/>
        <w:rPr>
          <w:rFonts w:ascii="仿宋" w:hAnsi="仿宋" w:eastAsia="仿宋"/>
          <w:sz w:val="24"/>
          <w:highlight w:val="none"/>
        </w:rPr>
      </w:pPr>
      <w:r>
        <w:rPr>
          <w:rFonts w:hint="eastAsia" w:ascii="仿宋" w:hAnsi="仿宋" w:eastAsia="仿宋"/>
          <w:sz w:val="24"/>
          <w:highlight w:val="none"/>
        </w:rPr>
        <w:t>《中华人民共和国广告法》、《广告管理条例》及《广告管理条例实施细则》</w:t>
      </w:r>
    </w:p>
    <w:p w14:paraId="698B1664">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相关政府主管部门对本项目的批复文件、给定的技术条件和意见要求</w:t>
      </w:r>
    </w:p>
    <w:p w14:paraId="64138DC1">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项目设计过程中甲方（或甲方指定委托人）提出的条件、意见和要求</w:t>
      </w:r>
    </w:p>
    <w:p w14:paraId="65907CDB">
      <w:pPr>
        <w:pStyle w:val="76"/>
        <w:numPr>
          <w:ilvl w:val="0"/>
          <w:numId w:val="6"/>
        </w:numPr>
        <w:ind w:left="0" w:leftChars="0" w:firstLine="420" w:firstLineChars="0"/>
        <w:jc w:val="left"/>
        <w:rPr>
          <w:rFonts w:ascii="仿宋" w:hAnsi="仿宋" w:eastAsia="仿宋"/>
          <w:sz w:val="24"/>
          <w:highlight w:val="none"/>
        </w:rPr>
      </w:pPr>
      <w:r>
        <w:rPr>
          <w:rFonts w:ascii="仿宋" w:hAnsi="仿宋" w:eastAsia="仿宋"/>
          <w:sz w:val="24"/>
          <w:highlight w:val="none"/>
        </w:rPr>
        <w:t>甲方提供的产品策划案</w:t>
      </w:r>
    </w:p>
    <w:p w14:paraId="6877920A">
      <w:pPr>
        <w:pStyle w:val="76"/>
        <w:numPr>
          <w:ilvl w:val="0"/>
          <w:numId w:val="6"/>
        </w:numPr>
        <w:ind w:left="0" w:leftChars="0" w:firstLine="420" w:firstLineChars="0"/>
        <w:jc w:val="left"/>
        <w:rPr>
          <w:rFonts w:hint="eastAsia" w:ascii="仿宋" w:hAnsi="仿宋" w:eastAsia="仿宋"/>
          <w:sz w:val="24"/>
          <w:highlight w:val="none"/>
          <w:lang w:eastAsia="zh-CN"/>
        </w:rPr>
      </w:pPr>
      <w:r>
        <w:rPr>
          <w:rFonts w:ascii="仿宋" w:hAnsi="仿宋" w:eastAsia="仿宋"/>
          <w:sz w:val="24"/>
          <w:highlight w:val="none"/>
        </w:rPr>
        <w:t>甲方提供的装修及设备品牌推荐表及施工技术要求</w:t>
      </w:r>
      <w:r>
        <w:rPr>
          <w:rFonts w:hint="eastAsia" w:ascii="仿宋" w:hAnsi="仿宋" w:eastAsia="仿宋"/>
          <w:sz w:val="24"/>
          <w:highlight w:val="none"/>
          <w:lang w:eastAsia="zh-CN"/>
        </w:rPr>
        <w:t>。</w:t>
      </w:r>
    </w:p>
    <w:p w14:paraId="1DE0556B">
      <w:pPr>
        <w:pStyle w:val="76"/>
        <w:numPr>
          <w:ilvl w:val="0"/>
          <w:numId w:val="0"/>
        </w:numPr>
        <w:ind w:left="570"/>
        <w:jc w:val="left"/>
        <w:rPr>
          <w:rFonts w:hint="eastAsia" w:ascii="仿宋" w:hAnsi="仿宋" w:eastAsia="仿宋"/>
          <w:sz w:val="24"/>
          <w:highlight w:val="none"/>
          <w:lang w:eastAsia="zh-CN"/>
        </w:rPr>
      </w:pPr>
    </w:p>
    <w:p w14:paraId="0B69AE39">
      <w:pPr>
        <w:numPr>
          <w:ilvl w:val="0"/>
          <w:numId w:val="2"/>
        </w:numPr>
        <w:spacing w:line="276" w:lineRule="auto"/>
        <w:outlineLvl w:val="9"/>
        <w:rPr>
          <w:rFonts w:ascii="仿宋" w:hAnsi="仿宋" w:eastAsia="仿宋"/>
          <w:b/>
          <w:color w:val="000000"/>
          <w:sz w:val="24"/>
          <w:highlight w:val="none"/>
        </w:rPr>
      </w:pPr>
      <w:r>
        <w:rPr>
          <w:rFonts w:ascii="仿宋" w:hAnsi="仿宋" w:eastAsia="仿宋"/>
          <w:b/>
          <w:color w:val="000000"/>
          <w:sz w:val="24"/>
          <w:highlight w:val="none"/>
        </w:rPr>
        <w:t>装修设计定位及要求：</w:t>
      </w:r>
    </w:p>
    <w:p w14:paraId="3546DC47">
      <w:pPr>
        <w:pStyle w:val="76"/>
        <w:numPr>
          <w:ilvl w:val="0"/>
          <w:numId w:val="7"/>
        </w:numPr>
        <w:ind w:left="0" w:leftChars="0" w:firstLine="420" w:firstLineChars="0"/>
        <w:jc w:val="left"/>
        <w:rPr>
          <w:rFonts w:ascii="仿宋" w:hAnsi="仿宋" w:eastAsia="仿宋"/>
          <w:sz w:val="24"/>
          <w:highlight w:val="none"/>
        </w:rPr>
      </w:pPr>
      <w:r>
        <w:rPr>
          <w:rFonts w:ascii="仿宋" w:hAnsi="仿宋" w:eastAsia="仿宋"/>
          <w:color w:val="000000"/>
          <w:sz w:val="24"/>
          <w:highlight w:val="none"/>
        </w:rPr>
        <w:t>充分理解甲方的项目定位、营销策划方案等，包括但不限于甲方拟定的功能需求、运营方式、装修风格、采纳元素、材料质感等，用设计的语言及表达方式进行表现。设计方案须体现设计的多样性、灵活性以及个性化的特色。</w:t>
      </w:r>
    </w:p>
    <w:p w14:paraId="129B5446">
      <w:pPr>
        <w:pStyle w:val="76"/>
        <w:numPr>
          <w:ilvl w:val="0"/>
          <w:numId w:val="7"/>
        </w:numPr>
        <w:ind w:left="0" w:leftChars="0" w:firstLine="420" w:firstLineChars="0"/>
        <w:jc w:val="left"/>
        <w:rPr>
          <w:rFonts w:ascii="仿宋" w:hAnsi="仿宋" w:eastAsia="仿宋"/>
          <w:sz w:val="24"/>
          <w:highlight w:val="none"/>
        </w:rPr>
      </w:pPr>
      <w:r>
        <w:rPr>
          <w:rFonts w:ascii="仿宋" w:hAnsi="仿宋" w:eastAsia="仿宋"/>
          <w:color w:val="000000"/>
          <w:sz w:val="24"/>
          <w:highlight w:val="none"/>
        </w:rPr>
        <w:t>通过</w:t>
      </w:r>
      <w:r>
        <w:rPr>
          <w:rFonts w:hint="eastAsia" w:ascii="仿宋" w:hAnsi="仿宋" w:eastAsia="仿宋"/>
          <w:color w:val="000000"/>
          <w:sz w:val="24"/>
          <w:highlight w:val="none"/>
          <w:lang w:eastAsia="zh-CN"/>
        </w:rPr>
        <w:t>会所</w:t>
      </w:r>
      <w:r>
        <w:rPr>
          <w:rFonts w:ascii="仿宋" w:hAnsi="仿宋" w:eastAsia="仿宋"/>
          <w:color w:val="000000"/>
          <w:sz w:val="24"/>
          <w:highlight w:val="none"/>
        </w:rPr>
        <w:t>的对外开放，在行业内打造高质量、精品化产品的企业形象，增强企业品牌的影响力，提升公司市场认知度及美誉度。同时需根据参观人群的需求意向，合理布置动线规划，满足目标导向清晰，科学分流。参观路线单向动线等功能。</w:t>
      </w:r>
    </w:p>
    <w:p w14:paraId="58B6D99B">
      <w:pPr>
        <w:pStyle w:val="76"/>
        <w:numPr>
          <w:ilvl w:val="0"/>
          <w:numId w:val="7"/>
        </w:numPr>
        <w:ind w:left="0" w:leftChars="0" w:firstLine="420" w:firstLineChars="0"/>
        <w:jc w:val="left"/>
        <w:rPr>
          <w:rFonts w:ascii="仿宋" w:hAnsi="仿宋" w:eastAsia="仿宋"/>
          <w:sz w:val="24"/>
          <w:highlight w:val="none"/>
        </w:rPr>
      </w:pPr>
      <w:r>
        <w:rPr>
          <w:rFonts w:ascii="仿宋" w:hAnsi="仿宋" w:eastAsia="仿宋"/>
          <w:color w:val="000000"/>
          <w:sz w:val="24"/>
          <w:highlight w:val="none"/>
        </w:rPr>
        <w:t>通过动线设计、视觉、听觉等细节设计，实现不同空间的转换与互动，向客户传递项目理念及产品信息。</w:t>
      </w:r>
    </w:p>
    <w:p w14:paraId="3B8B62F0">
      <w:pPr>
        <w:pStyle w:val="76"/>
        <w:numPr>
          <w:ilvl w:val="0"/>
          <w:numId w:val="7"/>
        </w:numPr>
        <w:ind w:left="0" w:leftChars="0" w:firstLine="420" w:firstLineChars="0"/>
        <w:jc w:val="left"/>
        <w:rPr>
          <w:rFonts w:ascii="仿宋" w:hAnsi="仿宋" w:eastAsia="仿宋"/>
          <w:sz w:val="24"/>
          <w:highlight w:val="none"/>
        </w:rPr>
      </w:pPr>
      <w:r>
        <w:rPr>
          <w:rFonts w:ascii="仿宋" w:hAnsi="仿宋" w:eastAsia="仿宋"/>
          <w:color w:val="000000"/>
          <w:sz w:val="24"/>
          <w:highlight w:val="none"/>
        </w:rPr>
        <w:t>装修设计方案要具有前瞻性，可通过灵活的空间布置和软硬装之间的合理搭配，确保空间具有灵活的可调整性。</w:t>
      </w:r>
    </w:p>
    <w:p w14:paraId="247D973E">
      <w:pPr>
        <w:pStyle w:val="76"/>
        <w:numPr>
          <w:ilvl w:val="0"/>
          <w:numId w:val="7"/>
        </w:numPr>
        <w:ind w:left="0" w:leftChars="0" w:firstLine="420" w:firstLineChars="0"/>
        <w:jc w:val="left"/>
        <w:rPr>
          <w:rFonts w:ascii="仿宋" w:hAnsi="仿宋" w:eastAsia="仿宋"/>
          <w:sz w:val="24"/>
          <w:highlight w:val="none"/>
        </w:rPr>
      </w:pPr>
      <w:r>
        <w:rPr>
          <w:rFonts w:ascii="仿宋" w:hAnsi="仿宋" w:eastAsia="仿宋"/>
          <w:color w:val="000000"/>
          <w:sz w:val="24"/>
          <w:highlight w:val="none"/>
        </w:rPr>
        <w:t>设计既要体现独具特色的内涵，同时要结合项目定位、建筑布局、楼距、景观、外立面等综合考虑，运用设计的手法提升产品质感。</w:t>
      </w:r>
    </w:p>
    <w:p w14:paraId="76865A74">
      <w:pPr>
        <w:pStyle w:val="76"/>
        <w:numPr>
          <w:ilvl w:val="0"/>
          <w:numId w:val="7"/>
        </w:numPr>
        <w:ind w:left="0" w:leftChars="0" w:firstLine="420" w:firstLineChars="0"/>
        <w:jc w:val="left"/>
        <w:rPr>
          <w:rFonts w:ascii="仿宋" w:hAnsi="仿宋" w:eastAsia="仿宋"/>
          <w:sz w:val="24"/>
          <w:highlight w:val="none"/>
        </w:rPr>
      </w:pPr>
      <w:r>
        <w:rPr>
          <w:rFonts w:hint="eastAsia" w:ascii="仿宋" w:hAnsi="仿宋" w:eastAsia="仿宋"/>
          <w:color w:val="000000"/>
          <w:sz w:val="24"/>
          <w:highlight w:val="none"/>
          <w:lang w:val="en-US" w:eastAsia="zh-CN"/>
        </w:rPr>
        <w:t>如涉及</w:t>
      </w:r>
      <w:r>
        <w:rPr>
          <w:rFonts w:ascii="仿宋" w:hAnsi="仿宋" w:eastAsia="仿宋"/>
          <w:color w:val="000000"/>
          <w:sz w:val="24"/>
          <w:highlight w:val="none"/>
        </w:rPr>
        <w:t>架空层的设计要满足一定的功能性，与建筑、园林、室内装修风格要协调。</w:t>
      </w:r>
    </w:p>
    <w:p w14:paraId="034F0613">
      <w:pPr>
        <w:numPr>
          <w:ilvl w:val="-1"/>
          <w:numId w:val="0"/>
        </w:numPr>
        <w:spacing w:line="240" w:lineRule="auto"/>
        <w:ind w:left="0" w:firstLine="0"/>
        <w:outlineLvl w:val="9"/>
        <w:rPr>
          <w:rFonts w:ascii="仿宋" w:hAnsi="仿宋" w:eastAsia="仿宋"/>
          <w:b/>
          <w:sz w:val="24"/>
          <w:highlight w:val="none"/>
        </w:rPr>
      </w:pPr>
      <w:r>
        <w:rPr>
          <w:rFonts w:ascii="仿宋" w:hAnsi="仿宋" w:eastAsia="仿宋"/>
          <w:b/>
          <w:color w:val="000000"/>
          <w:sz w:val="24"/>
          <w:highlight w:val="none"/>
        </w:rPr>
        <w:t>设计范围及具体工作内容如下：</w:t>
      </w:r>
    </w:p>
    <w:p w14:paraId="46E3888A">
      <w:pPr>
        <w:numPr>
          <w:ilvl w:val="-1"/>
          <w:numId w:val="0"/>
        </w:numPr>
        <w:spacing w:line="276" w:lineRule="auto"/>
        <w:ind w:left="0" w:firstLine="0"/>
        <w:outlineLvl w:val="9"/>
        <w:rPr>
          <w:rFonts w:ascii="仿宋" w:hAnsi="仿宋" w:eastAsia="仿宋"/>
          <w:b/>
          <w:sz w:val="24"/>
          <w:highlight w:val="none"/>
        </w:rPr>
      </w:pPr>
    </w:p>
    <w:p w14:paraId="60968604">
      <w:pPr>
        <w:numPr>
          <w:ilvl w:val="0"/>
          <w:numId w:val="8"/>
        </w:numPr>
        <w:spacing w:line="276" w:lineRule="auto"/>
        <w:ind w:left="0" w:leftChars="0" w:firstLine="420" w:firstLineChars="0"/>
        <w:jc w:val="left"/>
        <w:outlineLvl w:val="9"/>
        <w:rPr>
          <w:rFonts w:ascii="仿宋" w:hAnsi="仿宋" w:eastAsia="仿宋"/>
          <w:sz w:val="24"/>
          <w:highlight w:val="none"/>
        </w:rPr>
      </w:pPr>
      <w:r>
        <w:rPr>
          <w:rFonts w:ascii="仿宋" w:hAnsi="仿宋" w:eastAsia="仿宋"/>
          <w:sz w:val="24"/>
          <w:highlight w:val="none"/>
        </w:rPr>
        <w:t>本次设计范围具体统计如下：</w:t>
      </w:r>
    </w:p>
    <w:tbl>
      <w:tblPr>
        <w:tblStyle w:val="19"/>
        <w:tblW w:w="7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892"/>
        <w:gridCol w:w="2864"/>
        <w:gridCol w:w="1049"/>
        <w:gridCol w:w="1909"/>
      </w:tblGrid>
      <w:tr w14:paraId="00CB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05" w:hRule="atLeast"/>
          <w:jc w:val="center"/>
        </w:trPr>
        <w:tc>
          <w:tcPr>
            <w:tcW w:w="4756" w:type="dxa"/>
            <w:gridSpan w:val="2"/>
            <w:vAlign w:val="center"/>
          </w:tcPr>
          <w:p w14:paraId="0CB3B0AB">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项目</w:t>
            </w:r>
          </w:p>
        </w:tc>
        <w:tc>
          <w:tcPr>
            <w:tcW w:w="1049" w:type="dxa"/>
            <w:vAlign w:val="center"/>
          </w:tcPr>
          <w:p w14:paraId="7F24F47D">
            <w:pPr>
              <w:jc w:val="center"/>
              <w:rPr>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设计面积</w:t>
            </w:r>
          </w:p>
          <w:p w14:paraId="12EB08C3">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w:t>
            </w:r>
            <w:r>
              <w:rPr>
                <w:rFonts w:hint="eastAsia" w:ascii="仿宋" w:hAnsi="仿宋" w:eastAsia="仿宋"/>
                <w:color w:val="000000" w:themeColor="text1"/>
                <w:highlight w:val="none"/>
                <w14:textFill>
                  <w14:solidFill>
                    <w14:schemeClr w14:val="tx1"/>
                  </w14:solidFill>
                </w14:textFill>
              </w:rPr>
              <w:t>㎡</w:t>
            </w:r>
            <w:r>
              <w:rPr>
                <w:rFonts w:ascii="仿宋" w:hAnsi="仿宋" w:eastAsia="仿宋"/>
                <w:color w:val="000000" w:themeColor="text1"/>
                <w:highlight w:val="none"/>
                <w14:textFill>
                  <w14:solidFill>
                    <w14:schemeClr w14:val="tx1"/>
                  </w14:solidFill>
                </w14:textFill>
              </w:rPr>
              <w:t>)</w:t>
            </w:r>
          </w:p>
        </w:tc>
        <w:tc>
          <w:tcPr>
            <w:tcW w:w="1909" w:type="dxa"/>
            <w:vAlign w:val="center"/>
          </w:tcPr>
          <w:p w14:paraId="1F58B7D9">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备注</w:t>
            </w:r>
          </w:p>
        </w:tc>
      </w:tr>
      <w:tr w14:paraId="6B875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1892" w:type="dxa"/>
            <w:vMerge w:val="restart"/>
            <w:shd w:val="clear" w:color="auto" w:fill="FFFFFF"/>
            <w:vAlign w:val="center"/>
          </w:tcPr>
          <w:p w14:paraId="1C0FA8D6">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住宅户内</w:t>
            </w:r>
          </w:p>
        </w:tc>
        <w:tc>
          <w:tcPr>
            <w:tcW w:w="2864" w:type="dxa"/>
            <w:vMerge w:val="restart"/>
            <w:vAlign w:val="center"/>
          </w:tcPr>
          <w:p w14:paraId="1313BB1E">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139户型/185户型</w:t>
            </w:r>
            <w:r>
              <w:rPr>
                <w:rFonts w:hint="eastAsia" w:ascii="仿宋" w:hAnsi="仿宋" w:eastAsia="仿宋"/>
                <w:color w:val="000000" w:themeColor="text1"/>
                <w:highlight w:val="none"/>
                <w14:textFill>
                  <w14:solidFill>
                    <w14:schemeClr w14:val="tx1"/>
                  </w14:solidFill>
                </w14:textFill>
              </w:rPr>
              <w:t>创意样板间</w:t>
            </w:r>
          </w:p>
        </w:tc>
        <w:tc>
          <w:tcPr>
            <w:tcW w:w="1049" w:type="dxa"/>
            <w:vAlign w:val="center"/>
          </w:tcPr>
          <w:p w14:paraId="4B0DA1BC">
            <w:pPr>
              <w:jc w:val="center"/>
              <w:rPr>
                <w:rFonts w:hint="default"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139</w:t>
            </w:r>
          </w:p>
        </w:tc>
        <w:tc>
          <w:tcPr>
            <w:tcW w:w="1909" w:type="dxa"/>
            <w:vMerge w:val="restart"/>
            <w:vAlign w:val="center"/>
          </w:tcPr>
          <w:p w14:paraId="774E96AF">
            <w:pPr>
              <w:jc w:val="center"/>
              <w:rPr>
                <w:highlight w:val="none"/>
              </w:rPr>
            </w:pPr>
            <w:r>
              <w:rPr>
                <w:rFonts w:ascii="仿宋" w:hAnsi="仿宋" w:eastAsia="仿宋"/>
                <w:color w:val="000000"/>
                <w:highlight w:val="none"/>
              </w:rPr>
              <w:t>方案-施工图</w:t>
            </w:r>
          </w:p>
          <w:p w14:paraId="2C6FC0A4">
            <w:pPr>
              <w:jc w:val="center"/>
              <w:rPr>
                <w:rFonts w:ascii="仿宋" w:hAnsi="仿宋" w:eastAsia="仿宋"/>
                <w:color w:val="000000" w:themeColor="text1"/>
                <w:highlight w:val="none"/>
                <w14:textFill>
                  <w14:solidFill>
                    <w14:schemeClr w14:val="tx1"/>
                  </w14:solidFill>
                </w14:textFill>
              </w:rPr>
            </w:pPr>
            <w:r>
              <w:rPr>
                <w:rFonts w:ascii="仿宋" w:hAnsi="仿宋" w:eastAsia="仿宋"/>
                <w:color w:val="000000"/>
                <w:highlight w:val="none"/>
              </w:rPr>
              <w:t>（含现场施工配合）</w:t>
            </w:r>
          </w:p>
        </w:tc>
      </w:tr>
      <w:tr w14:paraId="1C29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1892" w:type="dxa"/>
            <w:vMerge w:val="continue"/>
            <w:shd w:val="clear" w:color="auto" w:fill="FFFFFF"/>
            <w:vAlign w:val="center"/>
          </w:tcPr>
          <w:p w14:paraId="1A2269CD">
            <w:pPr>
              <w:jc w:val="center"/>
              <w:rPr>
                <w:color w:val="000000" w:themeColor="text1"/>
                <w:highlight w:val="none"/>
                <w14:textFill>
                  <w14:solidFill>
                    <w14:schemeClr w14:val="tx1"/>
                  </w14:solidFill>
                </w14:textFill>
              </w:rPr>
            </w:pPr>
          </w:p>
        </w:tc>
        <w:tc>
          <w:tcPr>
            <w:tcW w:w="2864" w:type="dxa"/>
            <w:vMerge w:val="continue"/>
            <w:vAlign w:val="center"/>
          </w:tcPr>
          <w:p w14:paraId="453E69D3">
            <w:pPr>
              <w:jc w:val="center"/>
              <w:rPr>
                <w:color w:val="000000" w:themeColor="text1"/>
                <w:highlight w:val="none"/>
                <w14:textFill>
                  <w14:solidFill>
                    <w14:schemeClr w14:val="tx1"/>
                  </w14:solidFill>
                </w14:textFill>
              </w:rPr>
            </w:pPr>
          </w:p>
        </w:tc>
        <w:tc>
          <w:tcPr>
            <w:tcW w:w="1049" w:type="dxa"/>
            <w:vAlign w:val="center"/>
          </w:tcPr>
          <w:p w14:paraId="69F38D0D">
            <w:pPr>
              <w:jc w:val="center"/>
              <w:rPr>
                <w:rFonts w:hint="default"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185</w:t>
            </w:r>
          </w:p>
        </w:tc>
        <w:tc>
          <w:tcPr>
            <w:tcW w:w="1909" w:type="dxa"/>
            <w:vMerge w:val="continue"/>
            <w:vAlign w:val="center"/>
          </w:tcPr>
          <w:p w14:paraId="070605D1">
            <w:pPr>
              <w:jc w:val="left"/>
              <w:rPr>
                <w:color w:val="000000" w:themeColor="text1"/>
                <w:highlight w:val="none"/>
                <w14:textFill>
                  <w14:solidFill>
                    <w14:schemeClr w14:val="tx1"/>
                  </w14:solidFill>
                </w14:textFill>
              </w:rPr>
            </w:pPr>
          </w:p>
        </w:tc>
      </w:tr>
      <w:tr w14:paraId="3876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1" w:hRule="atLeast"/>
          <w:jc w:val="center"/>
        </w:trPr>
        <w:tc>
          <w:tcPr>
            <w:tcW w:w="1892" w:type="dxa"/>
            <w:shd w:val="clear" w:color="auto" w:fill="FFFFFF"/>
            <w:vAlign w:val="center"/>
          </w:tcPr>
          <w:p w14:paraId="451ACC23">
            <w:pPr>
              <w:jc w:val="center"/>
              <w:rPr>
                <w:rFonts w:hint="eastAsia"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销售中心</w:t>
            </w:r>
          </w:p>
        </w:tc>
        <w:tc>
          <w:tcPr>
            <w:tcW w:w="2864" w:type="dxa"/>
            <w:shd w:val="clear" w:color="auto" w:fill="FFFFFF"/>
            <w:vAlign w:val="center"/>
          </w:tcPr>
          <w:p w14:paraId="2C8AC51A">
            <w:pPr>
              <w:jc w:val="center"/>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 xml:space="preserve"> 售楼处、地下一层会所</w:t>
            </w:r>
          </w:p>
        </w:tc>
        <w:tc>
          <w:tcPr>
            <w:tcW w:w="1049" w:type="dxa"/>
            <w:shd w:val="clear" w:color="auto" w:fill="FFFFFF"/>
            <w:vAlign w:val="center"/>
          </w:tcPr>
          <w:p w14:paraId="66936F04">
            <w:pPr>
              <w:jc w:val="center"/>
              <w:rPr>
                <w:rFonts w:hint="default"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1500</w:t>
            </w:r>
          </w:p>
        </w:tc>
        <w:tc>
          <w:tcPr>
            <w:tcW w:w="1909" w:type="dxa"/>
            <w:vMerge w:val="continue"/>
            <w:vAlign w:val="center"/>
          </w:tcPr>
          <w:p w14:paraId="53CB37A2">
            <w:pPr>
              <w:jc w:val="left"/>
              <w:rPr>
                <w:color w:val="000000" w:themeColor="text1"/>
                <w:highlight w:val="none"/>
                <w14:textFill>
                  <w14:solidFill>
                    <w14:schemeClr w14:val="tx1"/>
                  </w14:solidFill>
                </w14:textFill>
              </w:rPr>
            </w:pPr>
          </w:p>
        </w:tc>
      </w:tr>
      <w:tr w14:paraId="05CF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1892" w:type="dxa"/>
            <w:shd w:val="clear" w:color="auto" w:fill="FFFFFF"/>
            <w:vAlign w:val="center"/>
          </w:tcPr>
          <w:p w14:paraId="2C51DDFB">
            <w:pPr>
              <w:jc w:val="center"/>
              <w:rPr>
                <w:rFonts w:hint="eastAsia" w:ascii="仿宋" w:hAnsi="仿宋" w:eastAsia="仿宋"/>
                <w:color w:val="000000" w:themeColor="text1"/>
                <w:highlight w:val="none"/>
                <w:lang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其他</w:t>
            </w:r>
          </w:p>
        </w:tc>
        <w:tc>
          <w:tcPr>
            <w:tcW w:w="2864" w:type="dxa"/>
            <w:shd w:val="clear" w:color="auto" w:fill="FFFFFF"/>
            <w:vAlign w:val="center"/>
          </w:tcPr>
          <w:p w14:paraId="52786E27">
            <w:pPr>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主题架空层</w:t>
            </w:r>
          </w:p>
        </w:tc>
        <w:tc>
          <w:tcPr>
            <w:tcW w:w="1049" w:type="dxa"/>
            <w:shd w:val="clear" w:color="auto" w:fill="FFFFFF"/>
            <w:vAlign w:val="center"/>
          </w:tcPr>
          <w:p w14:paraId="2F78066D">
            <w:pPr>
              <w:jc w:val="center"/>
              <w:rPr>
                <w:rFonts w:hint="default"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855</w:t>
            </w:r>
          </w:p>
        </w:tc>
        <w:tc>
          <w:tcPr>
            <w:tcW w:w="1909" w:type="dxa"/>
            <w:vMerge w:val="continue"/>
            <w:vAlign w:val="center"/>
          </w:tcPr>
          <w:p w14:paraId="7392A165">
            <w:pPr>
              <w:jc w:val="left"/>
              <w:rPr>
                <w:color w:val="000000" w:themeColor="text1"/>
                <w:highlight w:val="none"/>
                <w14:textFill>
                  <w14:solidFill>
                    <w14:schemeClr w14:val="tx1"/>
                  </w14:solidFill>
                </w14:textFill>
              </w:rPr>
            </w:pPr>
          </w:p>
        </w:tc>
      </w:tr>
      <w:tr w14:paraId="6C97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4756" w:type="dxa"/>
            <w:gridSpan w:val="2"/>
            <w:shd w:val="clear" w:color="auto" w:fill="FFFFFF"/>
            <w:vAlign w:val="center"/>
          </w:tcPr>
          <w:p w14:paraId="5B30EE46">
            <w:pPr>
              <w:jc w:val="center"/>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合计</w:t>
            </w:r>
          </w:p>
        </w:tc>
        <w:tc>
          <w:tcPr>
            <w:tcW w:w="1049" w:type="dxa"/>
            <w:shd w:val="clear" w:color="auto" w:fill="FFFFFF"/>
            <w:vAlign w:val="center"/>
          </w:tcPr>
          <w:p w14:paraId="2D9E0348">
            <w:pPr>
              <w:jc w:val="center"/>
              <w:rPr>
                <w:rFonts w:hint="default"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2691</w:t>
            </w:r>
          </w:p>
        </w:tc>
        <w:tc>
          <w:tcPr>
            <w:tcW w:w="1909" w:type="dxa"/>
            <w:vAlign w:val="center"/>
          </w:tcPr>
          <w:p w14:paraId="11B5837A">
            <w:pPr>
              <w:jc w:val="left"/>
              <w:rPr>
                <w:color w:val="000000" w:themeColor="text1"/>
                <w:highlight w:val="none"/>
                <w14:textFill>
                  <w14:solidFill>
                    <w14:schemeClr w14:val="tx1"/>
                  </w14:solidFill>
                </w14:textFill>
              </w:rPr>
            </w:pPr>
          </w:p>
        </w:tc>
      </w:tr>
    </w:tbl>
    <w:p w14:paraId="6922069F">
      <w:pPr>
        <w:numPr>
          <w:ilvl w:val="-1"/>
          <w:numId w:val="0"/>
        </w:numPr>
        <w:spacing w:line="276" w:lineRule="auto"/>
        <w:ind w:left="420" w:leftChars="0" w:firstLine="0" w:firstLineChars="0"/>
        <w:jc w:val="left"/>
        <w:outlineLvl w:val="9"/>
        <w:rPr>
          <w:rFonts w:ascii="仿宋" w:hAnsi="仿宋" w:eastAsia="仿宋"/>
          <w:sz w:val="24"/>
          <w:highlight w:val="none"/>
        </w:rPr>
      </w:pPr>
    </w:p>
    <w:p w14:paraId="60E2149B">
      <w:pPr>
        <w:spacing w:line="276" w:lineRule="auto"/>
        <w:ind w:left="470" w:leftChars="224" w:firstLine="0" w:firstLineChars="0"/>
        <w:jc w:val="left"/>
        <w:outlineLvl w:val="9"/>
        <w:rPr>
          <w:rFonts w:hint="eastAsia" w:ascii="仿宋" w:hAnsi="仿宋" w:eastAsia="仿宋"/>
          <w:sz w:val="24"/>
          <w:highlight w:val="none"/>
          <w:lang w:val="en-US" w:eastAsia="zh-CN"/>
        </w:rPr>
      </w:pPr>
      <w:r>
        <w:rPr>
          <w:rFonts w:ascii="仿宋" w:hAnsi="仿宋" w:eastAsia="仿宋"/>
          <w:color w:val="000000"/>
          <w:highlight w:val="none"/>
        </w:rPr>
        <w:t>备注：</w:t>
      </w:r>
      <w:r>
        <w:rPr>
          <w:rFonts w:ascii="仿宋_GB2312;仿宋" w:hAnsi="仿宋_GB2312;仿宋" w:eastAsia="仿宋_GB2312;仿宋"/>
          <w:highlight w:val="none"/>
        </w:rPr>
        <w:t>实际设计面积以经甲方确认的设计范围为准。</w:t>
      </w:r>
      <w:r>
        <w:rPr>
          <w:rFonts w:hint="eastAsia" w:ascii="仿宋_GB2312;仿宋" w:hAnsi="仿宋_GB2312;仿宋" w:eastAsia="宋体"/>
          <w:highlight w:val="none"/>
          <w:lang w:val="en-US" w:eastAsia="zh-CN"/>
        </w:rPr>
        <w:t>按墙中线计算原则来核定</w:t>
      </w:r>
      <w:r>
        <w:rPr>
          <w:rFonts w:ascii="仿宋" w:hAnsi="仿宋" w:eastAsia="仿宋"/>
          <w:color w:val="000000"/>
          <w:highlight w:val="none"/>
        </w:rPr>
        <w:t>。</w:t>
      </w:r>
      <w:r>
        <w:rPr>
          <w:rFonts w:hint="eastAsia" w:ascii="仿宋" w:hAnsi="仿宋" w:eastAsia="仿宋"/>
          <w:color w:val="000000"/>
          <w:highlight w:val="none"/>
          <w:lang w:val="en-US" w:eastAsia="zh-CN"/>
        </w:rPr>
        <w:t xml:space="preserve"> </w:t>
      </w:r>
    </w:p>
    <w:p w14:paraId="1D63BDF1">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本次装修设计服务需提供上述描述范围的概念设计、方案设计、装修施工图以及施工现场配合服务。设计面积以实际装修设计面积结算，</w:t>
      </w:r>
      <w:r>
        <w:rPr>
          <w:rFonts w:hint="eastAsia" w:ascii="仿宋" w:hAnsi="仿宋" w:eastAsia="仿宋"/>
          <w:color w:val="000000"/>
          <w:sz w:val="24"/>
          <w:highlight w:val="none"/>
          <w:lang w:eastAsia="zh-CN"/>
        </w:rPr>
        <w:t>会所</w:t>
      </w:r>
      <w:r>
        <w:rPr>
          <w:rFonts w:ascii="仿宋" w:hAnsi="仿宋" w:eastAsia="仿宋"/>
          <w:color w:val="000000"/>
          <w:sz w:val="24"/>
          <w:highlight w:val="none"/>
        </w:rPr>
        <w:t>及样板间设计风格除建议风格外，要求设计单位根据项目定位，提供两种以上的风格建议。</w:t>
      </w:r>
    </w:p>
    <w:p w14:paraId="1F08F510">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本次装修设计项目需根据甲方成本估算及概算成果进行方案调整，以满足成本控制的要求。</w:t>
      </w:r>
    </w:p>
    <w:p w14:paraId="4B84DD76">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 xml:space="preserve">应满足甲方装修设计限额要求，硬装限额需包括天花、地面、墙面、机电、智能化以及固定家具等。 </w:t>
      </w:r>
    </w:p>
    <w:p w14:paraId="57BC6676">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样板房及对应公区设计内容（包括但不限于）：公共大堂背景、电梯厅（含地下电梯厅延伸部分及客户接触的重点区域）、电梯轿厢、入户鞋柜或收纳柜、客厅及房间背壁、厨房橱柜、卫生间镜柜、衣柜等交付标准内所包含的家具、电器、电子设备等定位、包装方式等。</w:t>
      </w:r>
    </w:p>
    <w:p w14:paraId="3132D598">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提供上述装修设计范围内的软装概念方案，包括：软装家具、装饰小品、美陈装饰等规格书及装饰摆设概念方案。参与软装方案评审，配合软装做好提资工作。</w:t>
      </w:r>
    </w:p>
    <w:p w14:paraId="0F22CC7A">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包括设计范围内的灯光方案，达到施工图的深度，并反映到综合天花图上。施工图设计需包括机电末端定位(含智能化及发光标识末端)及</w:t>
      </w:r>
      <w:r>
        <w:rPr>
          <w:rFonts w:hint="eastAsia" w:ascii="仿宋" w:hAnsi="仿宋" w:eastAsia="仿宋"/>
          <w:color w:val="000000"/>
          <w:sz w:val="24"/>
          <w:highlight w:val="none"/>
          <w:lang w:val="en-US" w:eastAsia="zh-CN"/>
        </w:rPr>
        <w:t>末端</w:t>
      </w:r>
      <w:r>
        <w:rPr>
          <w:rFonts w:ascii="仿宋" w:hAnsi="仿宋" w:eastAsia="仿宋"/>
          <w:color w:val="000000"/>
          <w:sz w:val="24"/>
          <w:highlight w:val="none"/>
        </w:rPr>
        <w:t>布线图等。</w:t>
      </w:r>
    </w:p>
    <w:p w14:paraId="54ACEA91">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施工图应满足甲方成本计量、招标及施工图审查，最终满足办理装修分部工程的施工许可证的要求，确保通过政府主管部门及消防部门的报审及审批要求。如不需报审政府主管部门及消防部门，则由甲方书面确认即可。</w:t>
      </w:r>
    </w:p>
    <w:p w14:paraId="31E1A6D9">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乙方在服务期内提供</w:t>
      </w:r>
      <w:r>
        <w:rPr>
          <w:rFonts w:hint="eastAsia" w:ascii="仿宋" w:hAnsi="仿宋" w:eastAsia="仿宋"/>
          <w:sz w:val="24"/>
          <w:highlight w:val="none"/>
          <w:lang w:val="en-US" w:eastAsia="zh-CN"/>
        </w:rPr>
        <w:t>32</w:t>
      </w:r>
      <w:r>
        <w:rPr>
          <w:rFonts w:ascii="仿宋" w:hAnsi="仿宋" w:eastAsia="仿宋"/>
          <w:color w:val="000000"/>
          <w:sz w:val="24"/>
          <w:highlight w:val="none"/>
        </w:rPr>
        <w:t>次的现场服务，其中包含设计成果汇报服务及施工期间现场服务（未能解决问题除外），在总服务次数不变的前提下，甲方有权自行调配各阶段的现场服务次数。</w:t>
      </w:r>
    </w:p>
    <w:p w14:paraId="74E9F7A8">
      <w:pPr>
        <w:pStyle w:val="76"/>
        <w:numPr>
          <w:ilvl w:val="0"/>
          <w:numId w:val="8"/>
        </w:numPr>
        <w:ind w:left="0" w:leftChars="0" w:firstLine="420" w:firstLineChars="0"/>
        <w:jc w:val="left"/>
        <w:rPr>
          <w:rFonts w:ascii="仿宋" w:hAnsi="仿宋" w:eastAsia="仿宋"/>
          <w:b w:val="0"/>
          <w:sz w:val="24"/>
          <w:highlight w:val="none"/>
        </w:rPr>
      </w:pPr>
      <w:r>
        <w:rPr>
          <w:rFonts w:ascii="仿宋" w:hAnsi="仿宋" w:eastAsia="仿宋"/>
          <w:color w:val="000000"/>
          <w:sz w:val="24"/>
          <w:highlight w:val="none"/>
        </w:rPr>
        <w:t>需协调建筑、园林、标识设计顾问，并对前述设计方案提供意见反馈。</w:t>
      </w:r>
    </w:p>
    <w:p w14:paraId="392D04C7">
      <w:pPr>
        <w:pStyle w:val="76"/>
        <w:numPr>
          <w:ilvl w:val="0"/>
          <w:numId w:val="0"/>
        </w:numPr>
        <w:ind w:left="420" w:leftChars="0"/>
        <w:jc w:val="left"/>
        <w:rPr>
          <w:rFonts w:ascii="仿宋" w:hAnsi="仿宋" w:eastAsia="仿宋"/>
          <w:b w:val="0"/>
          <w:sz w:val="24"/>
          <w:highlight w:val="none"/>
        </w:rPr>
      </w:pPr>
    </w:p>
    <w:p w14:paraId="4E774ABA">
      <w:pPr>
        <w:pStyle w:val="85"/>
        <w:numPr>
          <w:ilvl w:val="0"/>
          <w:numId w:val="9"/>
        </w:numPr>
        <w:spacing w:line="360" w:lineRule="auto"/>
        <w:ind w:firstLine="420"/>
        <w:outlineLvl w:val="9"/>
        <w:rPr>
          <w:rFonts w:ascii="仿宋" w:hAnsi="仿宋" w:eastAsia="仿宋"/>
          <w:b/>
          <w:sz w:val="24"/>
          <w:highlight w:val="none"/>
        </w:rPr>
      </w:pPr>
      <w:r>
        <w:rPr>
          <w:rFonts w:ascii="仿宋" w:hAnsi="仿宋" w:eastAsia="仿宋"/>
          <w:b/>
          <w:color w:val="000000"/>
          <w:sz w:val="24"/>
          <w:highlight w:val="none"/>
        </w:rPr>
        <w:t>设计节点及成果要求：</w:t>
      </w:r>
    </w:p>
    <w:p w14:paraId="55F9EB71">
      <w:pPr>
        <w:pStyle w:val="76"/>
        <w:numPr>
          <w:ilvl w:val="0"/>
          <w:numId w:val="0"/>
        </w:numPr>
        <w:ind w:left="855"/>
        <w:jc w:val="left"/>
        <w:outlineLvl w:val="9"/>
        <w:rPr>
          <w:rFonts w:ascii="仿宋" w:hAnsi="仿宋" w:eastAsia="仿宋"/>
          <w:sz w:val="24"/>
          <w:highlight w:val="none"/>
        </w:rPr>
      </w:pPr>
      <w:r>
        <w:rPr>
          <w:rFonts w:ascii="仿宋" w:hAnsi="仿宋" w:eastAsia="仿宋"/>
          <w:color w:val="000000"/>
          <w:sz w:val="24"/>
          <w:highlight w:val="none"/>
        </w:rPr>
        <w:t>（一）概念设计阶段：</w:t>
      </w:r>
    </w:p>
    <w:p w14:paraId="7BE5CE3F">
      <w:pPr>
        <w:pStyle w:val="76"/>
        <w:numPr>
          <w:ilvl w:val="0"/>
          <w:numId w:val="0"/>
        </w:numPr>
        <w:ind w:left="855" w:hanging="285"/>
        <w:jc w:val="left"/>
        <w:rPr>
          <w:rFonts w:ascii="仿宋" w:hAnsi="仿宋" w:eastAsia="仿宋"/>
          <w:sz w:val="24"/>
          <w:highlight w:val="none"/>
        </w:rPr>
      </w:pPr>
      <w:r>
        <w:rPr>
          <w:rFonts w:ascii="仿宋" w:hAnsi="仿宋" w:eastAsia="仿宋"/>
          <w:color w:val="000000"/>
          <w:sz w:val="24"/>
          <w:highlight w:val="none"/>
        </w:rPr>
        <w:t>设计周期：1</w:t>
      </w:r>
      <w:r>
        <w:rPr>
          <w:rFonts w:hint="eastAsia" w:ascii="仿宋" w:hAnsi="仿宋" w:eastAsia="仿宋"/>
          <w:color w:val="000000"/>
          <w:sz w:val="24"/>
          <w:highlight w:val="none"/>
          <w:lang w:val="en-US" w:eastAsia="zh-CN"/>
        </w:rPr>
        <w:t>5</w:t>
      </w:r>
      <w:r>
        <w:rPr>
          <w:rFonts w:ascii="仿宋" w:hAnsi="仿宋" w:eastAsia="仿宋"/>
          <w:color w:val="000000"/>
          <w:sz w:val="24"/>
          <w:highlight w:val="none"/>
        </w:rPr>
        <w:t>个日历天</w:t>
      </w:r>
    </w:p>
    <w:p w14:paraId="2073CF46">
      <w:pPr>
        <w:pStyle w:val="76"/>
        <w:numPr>
          <w:ilvl w:val="0"/>
          <w:numId w:val="0"/>
        </w:numPr>
        <w:ind w:left="855" w:hanging="285"/>
        <w:jc w:val="left"/>
        <w:rPr>
          <w:rFonts w:ascii="仿宋" w:hAnsi="仿宋" w:eastAsia="仿宋"/>
          <w:sz w:val="24"/>
          <w:highlight w:val="none"/>
        </w:rPr>
      </w:pPr>
      <w:r>
        <w:rPr>
          <w:rFonts w:ascii="仿宋" w:hAnsi="仿宋" w:eastAsia="仿宋"/>
          <w:color w:val="000000"/>
          <w:sz w:val="24"/>
          <w:highlight w:val="none"/>
        </w:rPr>
        <w:t>提供成果具体如下，包括但不限于：</w:t>
      </w:r>
    </w:p>
    <w:p w14:paraId="7CB05FE7">
      <w:pPr>
        <w:pStyle w:val="76"/>
        <w:numPr>
          <w:ilvl w:val="0"/>
          <w:numId w:val="10"/>
        </w:numPr>
        <w:ind w:left="105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开展设计前与主体建筑（含机电）等设计单位及商业策划团队、营销管理团队充分沟通交流，了解项目总体设计理念。</w:t>
      </w:r>
    </w:p>
    <w:p w14:paraId="10FE5AF9">
      <w:pPr>
        <w:pStyle w:val="76"/>
        <w:numPr>
          <w:ilvl w:val="0"/>
          <w:numId w:val="10"/>
        </w:numPr>
        <w:ind w:left="1055" w:leftChars="0" w:hanging="425" w:firstLineChars="0"/>
        <w:jc w:val="left"/>
        <w:rPr>
          <w:rFonts w:ascii="仿宋" w:hAnsi="仿宋" w:eastAsia="仿宋"/>
          <w:b w:val="0"/>
          <w:bCs/>
          <w:sz w:val="24"/>
          <w:highlight w:val="none"/>
        </w:rPr>
      </w:pPr>
      <w:r>
        <w:rPr>
          <w:rFonts w:hint="eastAsia" w:ascii="仿宋" w:hAnsi="仿宋" w:eastAsia="仿宋"/>
          <w:b w:val="0"/>
          <w:bCs/>
          <w:color w:val="000000"/>
          <w:sz w:val="24"/>
          <w:highlight w:val="none"/>
          <w:lang w:eastAsia="zh-CN"/>
        </w:rPr>
        <w:t>会所</w:t>
      </w:r>
      <w:r>
        <w:rPr>
          <w:rFonts w:ascii="仿宋" w:hAnsi="仿宋" w:eastAsia="仿宋"/>
          <w:b w:val="0"/>
          <w:bCs/>
          <w:color w:val="000000"/>
          <w:sz w:val="24"/>
          <w:highlight w:val="none"/>
        </w:rPr>
        <w:t>及样板间需提供两个备选风格意向方案。</w:t>
      </w:r>
    </w:p>
    <w:p w14:paraId="1C245C22">
      <w:pPr>
        <w:pStyle w:val="76"/>
        <w:numPr>
          <w:ilvl w:val="0"/>
          <w:numId w:val="10"/>
        </w:numPr>
        <w:ind w:left="105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平面功能布局及户型优化建议，并标注主要尺寸，同时体现设计概念。</w:t>
      </w:r>
    </w:p>
    <w:p w14:paraId="7A03ECFA">
      <w:pPr>
        <w:pStyle w:val="76"/>
        <w:numPr>
          <w:ilvl w:val="0"/>
          <w:numId w:val="10"/>
        </w:numPr>
        <w:ind w:left="105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主题策划及重点节点打造意向。</w:t>
      </w:r>
    </w:p>
    <w:p w14:paraId="3D0E48EE">
      <w:pPr>
        <w:pStyle w:val="76"/>
        <w:numPr>
          <w:ilvl w:val="0"/>
          <w:numId w:val="10"/>
        </w:numPr>
        <w:ind w:left="105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需提供反映设计意图的艺术装置设计草图和意向图片。</w:t>
      </w:r>
    </w:p>
    <w:p w14:paraId="5B3E8D20">
      <w:pPr>
        <w:pStyle w:val="76"/>
        <w:numPr>
          <w:ilvl w:val="0"/>
          <w:numId w:val="10"/>
        </w:numPr>
        <w:ind w:left="105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提供模型功能需求构思及模型比例研究，以及对应的模型估算数据。</w:t>
      </w:r>
    </w:p>
    <w:p w14:paraId="4AFD6BA5">
      <w:pPr>
        <w:pStyle w:val="76"/>
        <w:numPr>
          <w:ilvl w:val="0"/>
          <w:numId w:val="10"/>
        </w:numPr>
        <w:ind w:left="105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重点区域设计理念、各场景空间的意向图片、说明及SketchUp空间模型等。</w:t>
      </w:r>
    </w:p>
    <w:p w14:paraId="67F50ED6">
      <w:pPr>
        <w:pStyle w:val="76"/>
        <w:numPr>
          <w:ilvl w:val="0"/>
          <w:numId w:val="10"/>
        </w:numPr>
        <w:ind w:left="105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需结合场景空间的效果图对主要装饰材料进行说明。</w:t>
      </w:r>
    </w:p>
    <w:p w14:paraId="5A65143B">
      <w:pPr>
        <w:pStyle w:val="76"/>
        <w:numPr>
          <w:ilvl w:val="0"/>
          <w:numId w:val="10"/>
        </w:numPr>
        <w:ind w:left="1055" w:leftChars="0" w:hanging="425" w:firstLineChars="0"/>
        <w:jc w:val="left"/>
        <w:rPr>
          <w:rFonts w:ascii="仿宋" w:hAnsi="仿宋" w:eastAsia="仿宋"/>
          <w:b w:val="0"/>
          <w:bCs/>
          <w:color w:val="000000"/>
          <w:sz w:val="24"/>
          <w:highlight w:val="none"/>
        </w:rPr>
      </w:pPr>
      <w:r>
        <w:rPr>
          <w:rFonts w:ascii="仿宋" w:hAnsi="仿宋" w:eastAsia="仿宋"/>
          <w:b w:val="0"/>
          <w:bCs/>
          <w:color w:val="000000"/>
          <w:sz w:val="24"/>
          <w:highlight w:val="none"/>
        </w:rPr>
        <w:t>待甲方评审确定后方可进入下一阶段设计工作。</w:t>
      </w:r>
    </w:p>
    <w:p w14:paraId="6B952350">
      <w:pPr>
        <w:pStyle w:val="76"/>
        <w:numPr>
          <w:ilvl w:val="0"/>
          <w:numId w:val="0"/>
        </w:numPr>
        <w:ind w:left="855"/>
        <w:jc w:val="left"/>
        <w:outlineLvl w:val="9"/>
        <w:rPr>
          <w:rFonts w:ascii="仿宋" w:hAnsi="仿宋" w:eastAsia="仿宋"/>
          <w:color w:val="000000"/>
          <w:sz w:val="24"/>
          <w:highlight w:val="none"/>
        </w:rPr>
      </w:pPr>
      <w:r>
        <w:rPr>
          <w:rFonts w:ascii="仿宋" w:hAnsi="仿宋" w:eastAsia="仿宋"/>
          <w:color w:val="000000"/>
          <w:sz w:val="24"/>
          <w:highlight w:val="none"/>
        </w:rPr>
        <w:t>（二）方案设计阶段：</w:t>
      </w:r>
    </w:p>
    <w:p w14:paraId="517F3A03">
      <w:pPr>
        <w:pStyle w:val="76"/>
        <w:numPr>
          <w:ilvl w:val="0"/>
          <w:numId w:val="0"/>
        </w:numPr>
        <w:ind w:left="855" w:hanging="285"/>
        <w:jc w:val="left"/>
        <w:rPr>
          <w:rFonts w:ascii="仿宋" w:hAnsi="仿宋" w:eastAsia="仿宋"/>
          <w:color w:val="000000"/>
          <w:sz w:val="24"/>
          <w:highlight w:val="none"/>
        </w:rPr>
      </w:pPr>
      <w:r>
        <w:rPr>
          <w:rFonts w:ascii="仿宋" w:hAnsi="仿宋" w:eastAsia="仿宋"/>
          <w:color w:val="000000"/>
          <w:sz w:val="24"/>
          <w:highlight w:val="none"/>
        </w:rPr>
        <w:t>设计周期：</w:t>
      </w:r>
      <w:r>
        <w:rPr>
          <w:rFonts w:hint="eastAsia" w:ascii="仿宋" w:hAnsi="仿宋" w:eastAsia="仿宋"/>
          <w:color w:val="000000"/>
          <w:sz w:val="24"/>
          <w:highlight w:val="none"/>
          <w:lang w:val="en-US" w:eastAsia="zh-CN"/>
        </w:rPr>
        <w:t>25</w:t>
      </w:r>
      <w:r>
        <w:rPr>
          <w:rFonts w:ascii="仿宋" w:hAnsi="仿宋" w:eastAsia="仿宋"/>
          <w:color w:val="000000"/>
          <w:sz w:val="24"/>
          <w:highlight w:val="none"/>
        </w:rPr>
        <w:t>个日历天</w:t>
      </w:r>
    </w:p>
    <w:p w14:paraId="63B13D45">
      <w:pPr>
        <w:pStyle w:val="76"/>
        <w:numPr>
          <w:ilvl w:val="0"/>
          <w:numId w:val="0"/>
        </w:numPr>
        <w:ind w:left="855" w:hanging="285"/>
        <w:jc w:val="left"/>
        <w:rPr>
          <w:rFonts w:ascii="仿宋" w:hAnsi="仿宋" w:eastAsia="仿宋"/>
          <w:color w:val="000000"/>
          <w:sz w:val="24"/>
          <w:highlight w:val="none"/>
        </w:rPr>
      </w:pPr>
      <w:r>
        <w:rPr>
          <w:rFonts w:ascii="仿宋" w:hAnsi="仿宋" w:eastAsia="仿宋"/>
          <w:color w:val="000000"/>
          <w:sz w:val="24"/>
          <w:highlight w:val="none"/>
        </w:rPr>
        <w:t>提供成果具体如下，包括但不限于：</w:t>
      </w:r>
    </w:p>
    <w:p w14:paraId="2A0BF9EB">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彩色深化布局平面布置图并标注主要尺寸，天花图，地花图，主要立面图、剖面图。</w:t>
      </w:r>
    </w:p>
    <w:p w14:paraId="5D6E70D9">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设计范围内各区域的灯光初步意向。</w:t>
      </w:r>
    </w:p>
    <w:p w14:paraId="27FF8DD0">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满足方案设计阶段深度的艺术装置设计图。</w:t>
      </w:r>
    </w:p>
    <w:p w14:paraId="7DEAA764">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负责审核首层入口落客区的园林方案设计是否</w:t>
      </w:r>
      <w:r>
        <w:rPr>
          <w:rFonts w:hint="eastAsia" w:ascii="仿宋" w:hAnsi="仿宋" w:eastAsia="仿宋"/>
          <w:b w:val="0"/>
          <w:bCs/>
          <w:color w:val="000000"/>
          <w:sz w:val="24"/>
          <w:highlight w:val="none"/>
          <w:lang w:val="en-US" w:eastAsia="zh-CN"/>
        </w:rPr>
        <w:t>符合</w:t>
      </w:r>
      <w:r>
        <w:rPr>
          <w:rFonts w:ascii="仿宋" w:hAnsi="仿宋" w:eastAsia="仿宋"/>
          <w:b w:val="0"/>
          <w:bCs/>
          <w:color w:val="000000"/>
          <w:sz w:val="24"/>
          <w:highlight w:val="none"/>
        </w:rPr>
        <w:t>概念方案的要求。</w:t>
      </w:r>
    </w:p>
    <w:p w14:paraId="37C1FBA4">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不少于</w:t>
      </w:r>
      <w:r>
        <w:rPr>
          <w:rFonts w:hint="eastAsia" w:ascii="仿宋" w:hAnsi="仿宋" w:eastAsia="仿宋"/>
          <w:b w:val="0"/>
          <w:bCs/>
          <w:color w:val="000000"/>
          <w:sz w:val="24"/>
          <w:highlight w:val="none"/>
          <w:lang w:val="en-US" w:eastAsia="zh-CN"/>
        </w:rPr>
        <w:t>10</w:t>
      </w:r>
      <w:r>
        <w:rPr>
          <w:rFonts w:ascii="仿宋" w:hAnsi="仿宋" w:eastAsia="仿宋"/>
          <w:b w:val="0"/>
          <w:bCs/>
          <w:color w:val="000000"/>
          <w:sz w:val="24"/>
          <w:highlight w:val="none"/>
        </w:rPr>
        <w:t>张主要空间效果图，电子文件及A2规格精装彩色打印展板，软装设计调性概念要在效果图中表现。</w:t>
      </w:r>
    </w:p>
    <w:p w14:paraId="134BAC56">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主要材料的样板展板一份</w:t>
      </w:r>
      <w:r>
        <w:rPr>
          <w:rFonts w:hint="eastAsia" w:ascii="仿宋" w:hAnsi="仿宋" w:eastAsia="仿宋"/>
          <w:b w:val="0"/>
          <w:bCs/>
          <w:color w:val="000000"/>
          <w:sz w:val="24"/>
          <w:highlight w:val="none"/>
          <w:lang w:eastAsia="zh-CN"/>
        </w:rPr>
        <w:t>（</w:t>
      </w:r>
      <w:r>
        <w:rPr>
          <w:rFonts w:hint="eastAsia" w:ascii="仿宋" w:hAnsi="仿宋" w:eastAsia="仿宋"/>
          <w:b w:val="0"/>
          <w:bCs/>
          <w:color w:val="000000"/>
          <w:sz w:val="24"/>
          <w:highlight w:val="none"/>
          <w:lang w:val="en-US" w:eastAsia="zh-CN"/>
        </w:rPr>
        <w:t>最终要求一式三份材料实体样板</w:t>
      </w:r>
      <w:r>
        <w:rPr>
          <w:rFonts w:hint="eastAsia" w:ascii="仿宋" w:hAnsi="仿宋" w:eastAsia="仿宋"/>
          <w:b w:val="0"/>
          <w:bCs/>
          <w:color w:val="000000"/>
          <w:sz w:val="24"/>
          <w:highlight w:val="none"/>
          <w:lang w:eastAsia="zh-CN"/>
        </w:rPr>
        <w:t>）</w:t>
      </w:r>
      <w:r>
        <w:rPr>
          <w:rFonts w:ascii="仿宋" w:hAnsi="仿宋" w:eastAsia="仿宋"/>
          <w:b w:val="0"/>
          <w:bCs/>
          <w:color w:val="000000"/>
          <w:sz w:val="24"/>
          <w:highlight w:val="none"/>
        </w:rPr>
        <w:t>：需结合主要场景空间的效果图、机电末端图册一起进行材料样板展示（包括石材、仿石砖、木饰面、皮革、布料）。应避免使用进口材料及设备，并在甲方供应商品牌库内</w:t>
      </w:r>
      <w:r>
        <w:rPr>
          <w:rFonts w:hint="eastAsia" w:ascii="仿宋" w:hAnsi="仿宋" w:eastAsia="仿宋"/>
          <w:b w:val="0"/>
          <w:bCs/>
          <w:color w:val="000000"/>
          <w:sz w:val="24"/>
          <w:highlight w:val="none"/>
          <w:lang w:eastAsia="zh-CN"/>
        </w:rPr>
        <w:t>（</w:t>
      </w:r>
      <w:r>
        <w:rPr>
          <w:rFonts w:hint="eastAsia" w:ascii="仿宋" w:hAnsi="仿宋" w:eastAsia="仿宋"/>
          <w:b w:val="0"/>
          <w:bCs/>
          <w:color w:val="000000"/>
          <w:sz w:val="24"/>
          <w:highlight w:val="none"/>
          <w:lang w:val="en-US" w:eastAsia="zh-CN"/>
        </w:rPr>
        <w:t>如有</w:t>
      </w:r>
      <w:r>
        <w:rPr>
          <w:rFonts w:hint="eastAsia" w:ascii="仿宋" w:hAnsi="仿宋" w:eastAsia="仿宋"/>
          <w:b w:val="0"/>
          <w:bCs/>
          <w:color w:val="000000"/>
          <w:sz w:val="24"/>
          <w:highlight w:val="none"/>
          <w:lang w:eastAsia="zh-CN"/>
        </w:rPr>
        <w:t>）</w:t>
      </w:r>
      <w:r>
        <w:rPr>
          <w:rFonts w:ascii="仿宋" w:hAnsi="仿宋" w:eastAsia="仿宋"/>
          <w:b w:val="0"/>
          <w:bCs/>
          <w:color w:val="000000"/>
          <w:sz w:val="24"/>
          <w:highlight w:val="none"/>
        </w:rPr>
        <w:t>选择不少于</w:t>
      </w:r>
      <w:r>
        <w:rPr>
          <w:rFonts w:hint="eastAsia" w:ascii="仿宋" w:hAnsi="仿宋" w:eastAsia="仿宋"/>
          <w:b w:val="0"/>
          <w:bCs/>
          <w:color w:val="000000"/>
          <w:sz w:val="24"/>
          <w:highlight w:val="none"/>
          <w:lang w:val="en-US" w:eastAsia="zh-CN"/>
        </w:rPr>
        <w:t>1</w:t>
      </w:r>
      <w:r>
        <w:rPr>
          <w:rFonts w:ascii="仿宋" w:hAnsi="仿宋" w:eastAsia="仿宋"/>
          <w:b w:val="0"/>
          <w:bCs/>
          <w:color w:val="000000"/>
          <w:sz w:val="24"/>
          <w:highlight w:val="none"/>
        </w:rPr>
        <w:t>个品牌满足效果的材料型号。如有特殊情况，应在材料样板提交时，清晰标注并作必要说明</w:t>
      </w:r>
      <w:r>
        <w:rPr>
          <w:rFonts w:hint="eastAsia" w:ascii="仿宋" w:hAnsi="仿宋" w:eastAsia="仿宋"/>
          <w:b w:val="0"/>
          <w:bCs/>
          <w:color w:val="000000"/>
          <w:sz w:val="24"/>
          <w:highlight w:val="none"/>
          <w:lang w:eastAsia="zh-CN"/>
        </w:rPr>
        <w:t>，</w:t>
      </w:r>
      <w:r>
        <w:rPr>
          <w:rFonts w:hint="eastAsia" w:ascii="仿宋" w:hAnsi="仿宋" w:eastAsia="仿宋"/>
          <w:b w:val="0"/>
          <w:bCs/>
          <w:color w:val="000000"/>
          <w:sz w:val="24"/>
          <w:highlight w:val="none"/>
          <w:lang w:val="en-US" w:eastAsia="zh-CN"/>
        </w:rPr>
        <w:t>关于石材和木纹类别的观光材料，要求有大板纹路指导图片</w:t>
      </w:r>
      <w:r>
        <w:rPr>
          <w:rFonts w:ascii="仿宋" w:hAnsi="仿宋" w:eastAsia="仿宋"/>
          <w:b w:val="0"/>
          <w:bCs/>
          <w:color w:val="000000"/>
          <w:sz w:val="24"/>
          <w:highlight w:val="none"/>
        </w:rPr>
        <w:t>。</w:t>
      </w:r>
    </w:p>
    <w:p w14:paraId="378391ED">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打印A3规格汇报精装彩色图册一式三份，图纸电子文件需同时提供CAD（或天正及T3版本）以及PPT、PDF格式。</w:t>
      </w:r>
    </w:p>
    <w:p w14:paraId="43436A83">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成果电子设计文件（全部刻制成光盘三份）。</w:t>
      </w:r>
    </w:p>
    <w:p w14:paraId="6CCECEE8">
      <w:pPr>
        <w:pStyle w:val="76"/>
        <w:numPr>
          <w:ilvl w:val="0"/>
          <w:numId w:val="11"/>
        </w:numPr>
        <w:ind w:left="0" w:leftChars="0" w:firstLine="480" w:firstLineChars="200"/>
        <w:jc w:val="left"/>
        <w:rPr>
          <w:rFonts w:ascii="仿宋" w:hAnsi="仿宋" w:eastAsia="仿宋"/>
          <w:b w:val="0"/>
          <w:bCs/>
          <w:color w:val="000000"/>
          <w:sz w:val="24"/>
          <w:highlight w:val="none"/>
        </w:rPr>
      </w:pPr>
      <w:r>
        <w:rPr>
          <w:rFonts w:ascii="仿宋" w:hAnsi="仿宋" w:eastAsia="仿宋"/>
          <w:b w:val="0"/>
          <w:bCs/>
          <w:color w:val="000000"/>
          <w:sz w:val="24"/>
          <w:highlight w:val="none"/>
        </w:rPr>
        <w:t>待甲方评审确定后方可进入下一阶段设计工作。</w:t>
      </w:r>
    </w:p>
    <w:p w14:paraId="1CD355B4">
      <w:pPr>
        <w:ind w:left="764"/>
        <w:jc w:val="left"/>
        <w:rPr>
          <w:rFonts w:ascii="仿宋" w:hAnsi="仿宋" w:eastAsia="仿宋"/>
          <w:b w:val="0"/>
          <w:bCs/>
          <w:sz w:val="24"/>
          <w:highlight w:val="none"/>
        </w:rPr>
      </w:pPr>
    </w:p>
    <w:p w14:paraId="674A91EF">
      <w:pPr>
        <w:pStyle w:val="76"/>
        <w:numPr>
          <w:ilvl w:val="0"/>
          <w:numId w:val="0"/>
        </w:numPr>
        <w:ind w:left="426" w:firstLine="427"/>
        <w:jc w:val="left"/>
        <w:outlineLvl w:val="9"/>
        <w:rPr>
          <w:rFonts w:ascii="仿宋" w:hAnsi="仿宋" w:eastAsia="仿宋"/>
          <w:sz w:val="24"/>
          <w:highlight w:val="none"/>
        </w:rPr>
      </w:pPr>
      <w:r>
        <w:rPr>
          <w:rFonts w:ascii="仿宋" w:hAnsi="仿宋" w:eastAsia="仿宋"/>
          <w:color w:val="000000"/>
          <w:sz w:val="24"/>
          <w:highlight w:val="none"/>
        </w:rPr>
        <w:t>（三）扩初图设计阶段</w:t>
      </w:r>
      <w:r>
        <w:rPr>
          <w:rFonts w:hint="eastAsia" w:ascii="仿宋" w:hAnsi="仿宋" w:eastAsia="仿宋"/>
          <w:color w:val="000000"/>
          <w:sz w:val="24"/>
          <w:highlight w:val="none"/>
          <w:lang w:eastAsia="zh-CN"/>
        </w:rPr>
        <w:t>（</w:t>
      </w:r>
      <w:r>
        <w:rPr>
          <w:rFonts w:ascii="仿宋" w:hAnsi="仿宋" w:eastAsia="仿宋"/>
          <w:color w:val="000000"/>
          <w:sz w:val="24"/>
          <w:highlight w:val="none"/>
        </w:rPr>
        <w:t>施工图50%阶段</w:t>
      </w:r>
      <w:r>
        <w:rPr>
          <w:rFonts w:hint="eastAsia" w:ascii="仿宋" w:hAnsi="仿宋" w:eastAsia="仿宋"/>
          <w:color w:val="000000"/>
          <w:sz w:val="24"/>
          <w:highlight w:val="none"/>
          <w:lang w:eastAsia="zh-CN"/>
        </w:rPr>
        <w:t>）</w:t>
      </w:r>
      <w:r>
        <w:rPr>
          <w:rFonts w:ascii="仿宋" w:hAnsi="仿宋" w:eastAsia="仿宋"/>
          <w:color w:val="000000"/>
          <w:sz w:val="24"/>
          <w:highlight w:val="none"/>
        </w:rPr>
        <w:t>：</w:t>
      </w:r>
    </w:p>
    <w:p w14:paraId="715F3147">
      <w:pPr>
        <w:pStyle w:val="76"/>
        <w:numPr>
          <w:ilvl w:val="0"/>
          <w:numId w:val="0"/>
        </w:numPr>
        <w:ind w:left="855" w:hanging="285"/>
        <w:jc w:val="left"/>
        <w:rPr>
          <w:rFonts w:ascii="仿宋" w:hAnsi="仿宋" w:eastAsia="仿宋"/>
          <w:sz w:val="24"/>
          <w:highlight w:val="none"/>
        </w:rPr>
      </w:pPr>
      <w:r>
        <w:rPr>
          <w:rFonts w:ascii="仿宋" w:hAnsi="仿宋" w:eastAsia="仿宋"/>
          <w:color w:val="000000"/>
          <w:sz w:val="24"/>
          <w:highlight w:val="none"/>
        </w:rPr>
        <w:t>设计周期：</w:t>
      </w:r>
      <w:r>
        <w:rPr>
          <w:rFonts w:hint="eastAsia" w:ascii="仿宋" w:hAnsi="仿宋" w:eastAsia="仿宋"/>
          <w:color w:val="000000"/>
          <w:sz w:val="24"/>
          <w:highlight w:val="none"/>
          <w:lang w:val="en-US" w:eastAsia="zh-CN"/>
        </w:rPr>
        <w:t>20</w:t>
      </w:r>
      <w:r>
        <w:rPr>
          <w:rFonts w:ascii="仿宋" w:hAnsi="仿宋" w:eastAsia="仿宋"/>
          <w:color w:val="000000"/>
          <w:sz w:val="24"/>
          <w:highlight w:val="none"/>
        </w:rPr>
        <w:t>个日历天</w:t>
      </w:r>
    </w:p>
    <w:p w14:paraId="32545410">
      <w:pPr>
        <w:pStyle w:val="76"/>
        <w:numPr>
          <w:ilvl w:val="0"/>
          <w:numId w:val="0"/>
        </w:numPr>
        <w:ind w:left="855" w:hanging="285"/>
        <w:jc w:val="left"/>
        <w:rPr>
          <w:rFonts w:ascii="仿宋" w:hAnsi="仿宋" w:eastAsia="仿宋"/>
          <w:sz w:val="24"/>
          <w:highlight w:val="none"/>
        </w:rPr>
      </w:pPr>
      <w:r>
        <w:rPr>
          <w:rFonts w:ascii="仿宋" w:hAnsi="仿宋" w:eastAsia="仿宋"/>
          <w:color w:val="000000"/>
          <w:sz w:val="24"/>
          <w:highlight w:val="none"/>
        </w:rPr>
        <w:t>扩初设计图纸（含招标图）提供成果具体如下，包括但不限于：</w:t>
      </w:r>
    </w:p>
    <w:p w14:paraId="769BD387">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设计期间与主体建筑（含机电）、园林、标识、灯光等设计单位充分沟通及交底，对下游设计单位提供效果统筹的指导意见。</w:t>
      </w:r>
    </w:p>
    <w:p w14:paraId="7B83497E">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图纸目录、设计说明、施工说明、图例说明、详细施工图设计图纸。</w:t>
      </w:r>
    </w:p>
    <w:p w14:paraId="3FD6E082">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平面布置图,地面铺设图,天花布置图。综合天花平面图应详尽反映各机电专业设备末端（含智能化末端）、路由及检修口；在符合规范、使用要求的前提下，结合整体装修设计效果，准确定位及标示尺寸并绘制综合管线图</w:t>
      </w:r>
      <w:r>
        <w:rPr>
          <w:rFonts w:hint="eastAsia" w:ascii="仿宋" w:hAnsi="仿宋" w:eastAsia="仿宋"/>
          <w:color w:val="000000"/>
          <w:sz w:val="24"/>
          <w:highlight w:val="none"/>
          <w:lang w:eastAsia="zh-CN"/>
        </w:rPr>
        <w:t>。</w:t>
      </w:r>
    </w:p>
    <w:p w14:paraId="48BA1526">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综合管线图包含平面图及局部剖面图，在符合规范、使用要求的前提下对机电专业各类管线进行综合排布，注明管线的安装尺寸及标高；合理利用空间，确保净高</w:t>
      </w:r>
      <w:r>
        <w:rPr>
          <w:rFonts w:hint="eastAsia" w:ascii="仿宋" w:hAnsi="仿宋" w:eastAsia="仿宋"/>
          <w:color w:val="000000"/>
          <w:sz w:val="24"/>
          <w:highlight w:val="none"/>
          <w:lang w:eastAsia="zh-CN"/>
        </w:rPr>
        <w:t>。</w:t>
      </w:r>
    </w:p>
    <w:p w14:paraId="311B36FC">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提供设计范围内部隔墙的定位及反映不同做法的墙体标示；确认方案图中未明确的尺寸及标注。详细标示各设备的定位尺寸（在各专业设备提供的资料基础上）。反映天花的伸缩及沉降缝。</w:t>
      </w:r>
    </w:p>
    <w:p w14:paraId="26F00F53">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在平面图中核对标高是否与墙、地面装修物体有冲突。严格控制地材的分割，使之与墙体对齐，标示出各种地材的铺贴起始点的定位尺寸，标示出各种地材的大小尺寸。在平面图中标示各个空间的装修地面标高。反映地面的伸缩及沉降缝。</w:t>
      </w:r>
    </w:p>
    <w:p w14:paraId="2C2CAD70">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提供设计范围内的强电末端（包括灯具、插座、开关、温感、烟感、声光报警按钮、手报按钮、消火栓按钮、发光标识等）、给排水末端（包括喷淋、地漏、水炮等）、空调末端（包括风口等）、智能化末端（包括显示屏、监控设备等）设计的平面布置（标高、 位置分布等），需满足电气、给排水、空调、智能化等专业的功能及规范需求，并反馈可执行落地的意见，供施工图单位深化图纸；</w:t>
      </w:r>
    </w:p>
    <w:p w14:paraId="7D5B382C">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明确标识末端位置如需用电，复核平面须标识清楚定位及用电参数；</w:t>
      </w:r>
    </w:p>
    <w:p w14:paraId="15AE28C6">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 xml:space="preserve">扩初施工图应满足甲方成本计量以及招标的深度要求，并提供基层材料及构造体系材料及规格描述，以便进行成本测算工作； </w:t>
      </w:r>
    </w:p>
    <w:p w14:paraId="09052456">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根据甲方提供的扩初图对应概算成果进行成本复核、方案调整及扩初图修改，以满足项目成本控制的要求。</w:t>
      </w:r>
    </w:p>
    <w:p w14:paraId="65BF82DD">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提供完整的材料清单（含材料技术参数）、配套设施表（含灯光、灯具详细参数）以及机电效果配合要求等，并需配合甲方从材料库指定品牌中选择至少</w:t>
      </w:r>
      <w:r>
        <w:rPr>
          <w:rFonts w:hint="eastAsia" w:ascii="仿宋" w:hAnsi="仿宋" w:eastAsia="仿宋"/>
          <w:color w:val="000000"/>
          <w:sz w:val="24"/>
          <w:highlight w:val="none"/>
          <w:lang w:val="en-US" w:eastAsia="zh-CN"/>
        </w:rPr>
        <w:t>1</w:t>
      </w:r>
      <w:r>
        <w:rPr>
          <w:rFonts w:ascii="仿宋" w:hAnsi="仿宋" w:eastAsia="仿宋"/>
          <w:color w:val="000000"/>
          <w:sz w:val="24"/>
          <w:highlight w:val="none"/>
        </w:rPr>
        <w:t>家推荐品牌的设备选型。最终完整的材料清单（含洁具、五金配件等物料），以A4规格彩色精装打印，一式</w:t>
      </w:r>
      <w:r>
        <w:rPr>
          <w:rFonts w:hint="eastAsia" w:ascii="仿宋" w:hAnsi="仿宋" w:eastAsia="仿宋"/>
          <w:color w:val="000000"/>
          <w:sz w:val="24"/>
          <w:highlight w:val="none"/>
          <w:lang w:val="en-US" w:eastAsia="zh-CN"/>
        </w:rPr>
        <w:t>八</w:t>
      </w:r>
      <w:r>
        <w:rPr>
          <w:rFonts w:ascii="仿宋" w:hAnsi="仿宋" w:eastAsia="仿宋"/>
          <w:color w:val="000000"/>
          <w:sz w:val="24"/>
          <w:highlight w:val="none"/>
        </w:rPr>
        <w:t>份；</w:t>
      </w:r>
    </w:p>
    <w:p w14:paraId="5556D76A">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根据最终确定的效果图，相应修改装修扩初图，以及材料样板（石材、仿石砖、木饰面、皮革、布料）。</w:t>
      </w:r>
    </w:p>
    <w:p w14:paraId="67B6226A">
      <w:pPr>
        <w:pStyle w:val="76"/>
        <w:numPr>
          <w:ilvl w:val="0"/>
          <w:numId w:val="12"/>
        </w:numPr>
        <w:ind w:left="84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进一步明确机电末端的定位。同时全面复核装修区域设计净高是否能满足综合管线的标高要求，3日历天内提供相应审核文件给甲方。</w:t>
      </w:r>
    </w:p>
    <w:p w14:paraId="24AAF149">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提供方案对应的成本估算成果，包括方案设计范围内的测算清单，并根据甲方的要求调整、修改、补充和完善，以满足甲方成本控制的要求。</w:t>
      </w:r>
    </w:p>
    <w:p w14:paraId="2D7AA15E">
      <w:pPr>
        <w:pStyle w:val="76"/>
        <w:numPr>
          <w:ilvl w:val="0"/>
          <w:numId w:val="12"/>
        </w:numPr>
        <w:ind w:left="845" w:leftChars="0" w:hanging="425" w:firstLineChars="0"/>
        <w:jc w:val="left"/>
        <w:rPr>
          <w:rFonts w:ascii="仿宋" w:hAnsi="仿宋" w:eastAsia="仿宋"/>
          <w:b w:val="0"/>
          <w:sz w:val="24"/>
          <w:highlight w:val="none"/>
        </w:rPr>
      </w:pPr>
      <w:r>
        <w:rPr>
          <w:rFonts w:ascii="仿宋" w:hAnsi="仿宋" w:eastAsia="仿宋"/>
          <w:color w:val="000000"/>
          <w:sz w:val="24"/>
          <w:highlight w:val="none"/>
        </w:rPr>
        <w:t>全套扩初图纸：</w:t>
      </w:r>
    </w:p>
    <w:p w14:paraId="09B3E82D">
      <w:pPr>
        <w:numPr>
          <w:ilvl w:val="0"/>
          <w:numId w:val="13"/>
        </w:numPr>
        <w:spacing w:line="360" w:lineRule="auto"/>
        <w:ind w:left="1265" w:leftChars="0" w:hanging="425" w:firstLineChars="0"/>
        <w:jc w:val="left"/>
        <w:rPr>
          <w:rFonts w:ascii="仿宋" w:hAnsi="仿宋" w:eastAsia="仿宋"/>
          <w:sz w:val="24"/>
          <w:highlight w:val="none"/>
        </w:rPr>
      </w:pPr>
      <w:r>
        <w:rPr>
          <w:rFonts w:ascii="仿宋" w:hAnsi="仿宋" w:eastAsia="仿宋"/>
          <w:color w:val="000000"/>
          <w:sz w:val="24"/>
          <w:highlight w:val="none"/>
        </w:rPr>
        <w:t>最终按扩初图深度及效果表现的效果图，显示所有材质和机电末端，含机电末端样板或图册文件；</w:t>
      </w:r>
    </w:p>
    <w:p w14:paraId="4828A127">
      <w:pPr>
        <w:numPr>
          <w:ilvl w:val="0"/>
          <w:numId w:val="13"/>
        </w:numPr>
        <w:spacing w:line="360" w:lineRule="auto"/>
        <w:ind w:left="1265" w:leftChars="0" w:hanging="425" w:firstLineChars="0"/>
        <w:jc w:val="left"/>
        <w:rPr>
          <w:rFonts w:ascii="仿宋" w:hAnsi="仿宋" w:eastAsia="仿宋"/>
          <w:sz w:val="24"/>
          <w:highlight w:val="none"/>
        </w:rPr>
      </w:pPr>
      <w:r>
        <w:rPr>
          <w:rFonts w:ascii="仿宋" w:hAnsi="仿宋" w:eastAsia="仿宋"/>
          <w:color w:val="000000"/>
          <w:sz w:val="24"/>
          <w:highlight w:val="none"/>
        </w:rPr>
        <w:t>电子文件为：CAD，同步提供PDF；</w:t>
      </w:r>
    </w:p>
    <w:p w14:paraId="299ACBE3">
      <w:pPr>
        <w:numPr>
          <w:ilvl w:val="0"/>
          <w:numId w:val="13"/>
        </w:numPr>
        <w:spacing w:line="360" w:lineRule="auto"/>
        <w:ind w:left="1265" w:leftChars="0" w:hanging="425" w:firstLineChars="0"/>
        <w:jc w:val="left"/>
        <w:rPr>
          <w:rFonts w:ascii="仿宋" w:hAnsi="仿宋" w:eastAsia="仿宋"/>
          <w:sz w:val="24"/>
          <w:highlight w:val="none"/>
        </w:rPr>
      </w:pPr>
      <w:r>
        <w:rPr>
          <w:rFonts w:ascii="仿宋" w:hAnsi="仿宋" w:eastAsia="仿宋"/>
          <w:color w:val="000000"/>
          <w:sz w:val="24"/>
          <w:highlight w:val="none"/>
        </w:rPr>
        <w:t>全部电子设计文件（全部刻制成光盘三份）。</w:t>
      </w:r>
    </w:p>
    <w:p w14:paraId="3FAC5F89">
      <w:pPr>
        <w:numPr>
          <w:ilvl w:val="0"/>
          <w:numId w:val="0"/>
        </w:numPr>
        <w:spacing w:line="360" w:lineRule="auto"/>
        <w:ind w:left="840" w:leftChars="0"/>
        <w:jc w:val="left"/>
        <w:rPr>
          <w:rFonts w:ascii="仿宋" w:hAnsi="仿宋" w:eastAsia="仿宋"/>
          <w:sz w:val="24"/>
          <w:highlight w:val="none"/>
        </w:rPr>
      </w:pPr>
    </w:p>
    <w:p w14:paraId="2E2A5F88">
      <w:pPr>
        <w:pStyle w:val="76"/>
        <w:numPr>
          <w:ilvl w:val="0"/>
          <w:numId w:val="12"/>
        </w:numPr>
        <w:ind w:left="84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制图要求：</w:t>
      </w:r>
    </w:p>
    <w:p w14:paraId="172D2421">
      <w:pPr>
        <w:numPr>
          <w:ilvl w:val="0"/>
          <w:numId w:val="14"/>
        </w:numPr>
        <w:spacing w:line="360" w:lineRule="auto"/>
        <w:ind w:left="1265" w:leftChars="0" w:hanging="425" w:firstLineChars="0"/>
        <w:jc w:val="left"/>
        <w:rPr>
          <w:rFonts w:ascii="仿宋" w:hAnsi="仿宋" w:eastAsia="仿宋"/>
          <w:b/>
          <w:bCs/>
          <w:sz w:val="24"/>
          <w:highlight w:val="none"/>
        </w:rPr>
      </w:pPr>
      <w:r>
        <w:rPr>
          <w:rFonts w:ascii="仿宋" w:hAnsi="仿宋" w:eastAsia="仿宋"/>
          <w:b/>
          <w:bCs/>
          <w:color w:val="000000"/>
          <w:sz w:val="24"/>
          <w:highlight w:val="none"/>
        </w:rPr>
        <w:t>装修立面图</w:t>
      </w:r>
    </w:p>
    <w:p w14:paraId="22F76061">
      <w:pPr>
        <w:numPr>
          <w:ilvl w:val="0"/>
          <w:numId w:val="15"/>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详细标示出装修面材的接缝及纹理方向；</w:t>
      </w:r>
    </w:p>
    <w:p w14:paraId="5AA53A72">
      <w:pPr>
        <w:numPr>
          <w:ilvl w:val="0"/>
          <w:numId w:val="15"/>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详细标注立面上的各种装修面材的种类及规格，挂面料龙骨的材质以及型号，龙骨的分割；</w:t>
      </w:r>
    </w:p>
    <w:p w14:paraId="020D2C80">
      <w:pPr>
        <w:numPr>
          <w:ilvl w:val="0"/>
          <w:numId w:val="15"/>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详细标注各种造型的控制尺寸，包括标高、分割尺寸及洞口尺寸等；</w:t>
      </w:r>
    </w:p>
    <w:p w14:paraId="64A3CDDA">
      <w:pPr>
        <w:numPr>
          <w:ilvl w:val="0"/>
          <w:numId w:val="15"/>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反映出土建结构层、主要设备管道及结构转换层与天花的位置关系；</w:t>
      </w:r>
    </w:p>
    <w:p w14:paraId="37333D68">
      <w:pPr>
        <w:numPr>
          <w:ilvl w:val="0"/>
          <w:numId w:val="15"/>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详细标注各种分割缝的做法；</w:t>
      </w:r>
    </w:p>
    <w:p w14:paraId="26A54586">
      <w:pPr>
        <w:numPr>
          <w:ilvl w:val="0"/>
          <w:numId w:val="15"/>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反映立面上的伸缩及沉降缝；</w:t>
      </w:r>
    </w:p>
    <w:p w14:paraId="73466CC7">
      <w:pPr>
        <w:numPr>
          <w:ilvl w:val="0"/>
          <w:numId w:val="15"/>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反映立面上的机电末端（包含强电、给排水、空调</w:t>
      </w:r>
      <w:r>
        <w:rPr>
          <w:rFonts w:ascii="仿宋" w:hAnsi="仿宋" w:eastAsia="仿宋"/>
          <w:b/>
          <w:color w:val="000000"/>
          <w:sz w:val="24"/>
          <w:highlight w:val="none"/>
        </w:rPr>
        <w:t>、</w:t>
      </w:r>
      <w:r>
        <w:rPr>
          <w:rFonts w:ascii="仿宋" w:hAnsi="仿宋" w:eastAsia="仿宋"/>
          <w:color w:val="000000"/>
          <w:sz w:val="24"/>
          <w:highlight w:val="none"/>
        </w:rPr>
        <w:t>智能化末端等），详细标示机电末端的定位尺寸；</w:t>
      </w:r>
    </w:p>
    <w:p w14:paraId="4043DE35">
      <w:pPr>
        <w:numPr>
          <w:ilvl w:val="0"/>
          <w:numId w:val="14"/>
        </w:numPr>
        <w:spacing w:line="360" w:lineRule="auto"/>
        <w:ind w:left="1265" w:leftChars="0" w:hanging="425" w:firstLineChars="0"/>
        <w:jc w:val="left"/>
        <w:rPr>
          <w:rFonts w:ascii="仿宋" w:hAnsi="仿宋" w:eastAsia="仿宋"/>
          <w:b/>
          <w:bCs/>
          <w:color w:val="000000"/>
          <w:sz w:val="24"/>
          <w:highlight w:val="none"/>
        </w:rPr>
      </w:pPr>
      <w:r>
        <w:rPr>
          <w:rFonts w:ascii="仿宋" w:hAnsi="仿宋" w:eastAsia="仿宋"/>
          <w:b/>
          <w:bCs/>
          <w:color w:val="000000"/>
          <w:sz w:val="24"/>
          <w:highlight w:val="none"/>
        </w:rPr>
        <w:t>装修剖面图、节点大样图：</w:t>
      </w:r>
    </w:p>
    <w:p w14:paraId="349609BF">
      <w:pPr>
        <w:numPr>
          <w:ilvl w:val="0"/>
          <w:numId w:val="16"/>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详细反映出装修面板（包括天花、地面及墙身）及土建基层或各种墙体基层的材质，包括面板层、基层、结构层、连接层、转换层等隐蔽结构，使之达致估价算量的要求标准；</w:t>
      </w:r>
    </w:p>
    <w:p w14:paraId="69387B38">
      <w:pPr>
        <w:numPr>
          <w:ilvl w:val="0"/>
          <w:numId w:val="16"/>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反映各种构造的真实做法，并详细标注说明；</w:t>
      </w:r>
    </w:p>
    <w:p w14:paraId="13B00226">
      <w:pPr>
        <w:numPr>
          <w:ilvl w:val="0"/>
          <w:numId w:val="16"/>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反映出各种规范的详细要求，如防火、环保、防渗透、防腐、防潮、防锈等；</w:t>
      </w:r>
    </w:p>
    <w:p w14:paraId="0EF4FAEF">
      <w:pPr>
        <w:numPr>
          <w:ilvl w:val="0"/>
          <w:numId w:val="16"/>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反应节点上的机电末端（包含强电、给排水、空调、智能化末端等），详细标示各设备的定位尺寸。</w:t>
      </w:r>
    </w:p>
    <w:p w14:paraId="6B791219">
      <w:pPr>
        <w:numPr>
          <w:ilvl w:val="0"/>
          <w:numId w:val="14"/>
        </w:numPr>
        <w:spacing w:line="360" w:lineRule="auto"/>
        <w:ind w:left="1265" w:leftChars="0" w:hanging="425" w:firstLineChars="0"/>
        <w:jc w:val="left"/>
        <w:rPr>
          <w:rFonts w:ascii="仿宋" w:hAnsi="仿宋" w:eastAsia="仿宋"/>
          <w:b/>
          <w:bCs/>
          <w:color w:val="000000"/>
          <w:sz w:val="24"/>
          <w:highlight w:val="none"/>
        </w:rPr>
      </w:pPr>
      <w:r>
        <w:rPr>
          <w:rFonts w:ascii="仿宋" w:hAnsi="仿宋" w:eastAsia="仿宋"/>
          <w:b/>
          <w:bCs/>
          <w:color w:val="000000"/>
          <w:sz w:val="24"/>
          <w:highlight w:val="none"/>
        </w:rPr>
        <w:t>装修材料运用分析及建议：</w:t>
      </w:r>
    </w:p>
    <w:p w14:paraId="4518A36D">
      <w:pPr>
        <w:numPr>
          <w:ilvl w:val="0"/>
          <w:numId w:val="17"/>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装饰材料的选择在基于方案意念的表达外，需根据材料特性及有利于当地气候的耐用、维护等各方面因素，综合分析并提供选择建议;</w:t>
      </w:r>
    </w:p>
    <w:p w14:paraId="446B42B2">
      <w:pPr>
        <w:numPr>
          <w:ilvl w:val="0"/>
          <w:numId w:val="17"/>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要根据总体成本控制进行材料选择的搭配，对局部的用材要有所侧重，结合视觉重点优化用材组合以满足成本控制要求;</w:t>
      </w:r>
    </w:p>
    <w:p w14:paraId="0FDF25DF">
      <w:pPr>
        <w:numPr>
          <w:ilvl w:val="0"/>
          <w:numId w:val="17"/>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需结合材料矿产量、生产速度、运输加工等综合因素进行考虑，便于采购、施工及维护;</w:t>
      </w:r>
    </w:p>
    <w:p w14:paraId="76B4A87A">
      <w:pPr>
        <w:numPr>
          <w:ilvl w:val="0"/>
          <w:numId w:val="17"/>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注意方案可实施性，满足快速施工要求及成本控制要求(包括材料选择、施工工艺、结构要求等);</w:t>
      </w:r>
    </w:p>
    <w:p w14:paraId="0F78B569">
      <w:pPr>
        <w:numPr>
          <w:ilvl w:val="0"/>
          <w:numId w:val="17"/>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需考虑排版</w:t>
      </w:r>
      <w:r>
        <w:rPr>
          <w:rFonts w:hint="eastAsia" w:ascii="仿宋" w:hAnsi="仿宋" w:eastAsia="仿宋"/>
          <w:color w:val="000000"/>
          <w:sz w:val="24"/>
          <w:highlight w:val="none"/>
          <w:lang w:val="en-US" w:eastAsia="zh-CN"/>
        </w:rPr>
        <w:t>及分派</w:t>
      </w:r>
      <w:r>
        <w:rPr>
          <w:rFonts w:ascii="仿宋" w:hAnsi="仿宋" w:eastAsia="仿宋"/>
          <w:color w:val="000000"/>
          <w:sz w:val="24"/>
          <w:highlight w:val="none"/>
        </w:rPr>
        <w:t>效果，以减少装饰材料的施工损耗；</w:t>
      </w:r>
    </w:p>
    <w:p w14:paraId="3AD9B9AB">
      <w:pPr>
        <w:numPr>
          <w:ilvl w:val="0"/>
          <w:numId w:val="17"/>
        </w:numPr>
        <w:spacing w:line="360" w:lineRule="auto"/>
        <w:ind w:left="168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提供档次材料对比清单，包含对应的项目、做法、价格等内容对比；</w:t>
      </w:r>
    </w:p>
    <w:p w14:paraId="2A0D5CA0">
      <w:pPr>
        <w:numPr>
          <w:ilvl w:val="0"/>
          <w:numId w:val="17"/>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优化设计单位提供的主材品牌表、工程灯具表、洁具表、五金表、机电末端表等，满足设计效果的前提下，综合成本、采购、材料特性、施工工艺、方便维修维护等各方面因素进行选型的优化。</w:t>
      </w:r>
    </w:p>
    <w:p w14:paraId="3D45ECCB">
      <w:pPr>
        <w:numPr>
          <w:ilvl w:val="0"/>
          <w:numId w:val="14"/>
        </w:numPr>
        <w:spacing w:line="360" w:lineRule="auto"/>
        <w:ind w:left="1265" w:leftChars="0" w:hanging="425" w:firstLineChars="0"/>
        <w:jc w:val="left"/>
        <w:rPr>
          <w:rFonts w:ascii="仿宋" w:hAnsi="仿宋" w:eastAsia="仿宋"/>
          <w:b/>
          <w:bCs/>
          <w:color w:val="000000"/>
          <w:sz w:val="24"/>
          <w:highlight w:val="none"/>
        </w:rPr>
      </w:pPr>
      <w:r>
        <w:rPr>
          <w:rFonts w:ascii="仿宋" w:hAnsi="仿宋" w:eastAsia="仿宋"/>
          <w:b/>
          <w:bCs/>
          <w:color w:val="000000"/>
          <w:sz w:val="24"/>
          <w:highlight w:val="none"/>
        </w:rPr>
        <w:t>其他说明：</w:t>
      </w:r>
    </w:p>
    <w:p w14:paraId="3FB91F41">
      <w:pPr>
        <w:numPr>
          <w:ilvl w:val="0"/>
          <w:numId w:val="18"/>
        </w:numPr>
        <w:spacing w:line="360" w:lineRule="auto"/>
        <w:ind w:left="168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主材品牌表: 饰面品种、尺寸、规格、型号、厚度、颜色、纹理方向，饰面工艺要求及饰面处理，饰面纹理拼接方案，有定制图案须提供图案图纸，如天然饰面须提供大板图片，明确使用位置，符合限价内的推荐供应商及联系方式（不少于</w:t>
      </w:r>
      <w:r>
        <w:rPr>
          <w:rFonts w:hint="eastAsia" w:ascii="仿宋" w:hAnsi="仿宋" w:eastAsia="仿宋"/>
          <w:color w:val="000000"/>
          <w:sz w:val="24"/>
          <w:highlight w:val="none"/>
          <w:lang w:val="en-US" w:eastAsia="zh-CN"/>
        </w:rPr>
        <w:t>1</w:t>
      </w:r>
      <w:r>
        <w:rPr>
          <w:rFonts w:ascii="仿宋" w:hAnsi="仿宋" w:eastAsia="仿宋"/>
          <w:color w:val="000000"/>
          <w:sz w:val="24"/>
          <w:highlight w:val="none"/>
        </w:rPr>
        <w:t>家）；</w:t>
      </w:r>
    </w:p>
    <w:p w14:paraId="043C8887">
      <w:pPr>
        <w:numPr>
          <w:ilvl w:val="0"/>
          <w:numId w:val="18"/>
        </w:numPr>
        <w:spacing w:line="360" w:lineRule="auto"/>
        <w:ind w:left="168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复核灯光顾问提供的工程灯具表：该表包含灯具的尺寸、规格、型号、材质、光源、色温、CRI开孔尺寸、旋转角度、光束角度、电压、整灯光通量、显色指数、UGR等参数；复核使用位置；相关参数需满足甲方材料库品牌中至少</w:t>
      </w:r>
      <w:r>
        <w:rPr>
          <w:rFonts w:hint="eastAsia" w:ascii="仿宋" w:hAnsi="仿宋" w:eastAsia="仿宋"/>
          <w:color w:val="000000"/>
          <w:sz w:val="24"/>
          <w:highlight w:val="none"/>
          <w:lang w:val="en-US" w:eastAsia="zh-CN"/>
        </w:rPr>
        <w:t>1</w:t>
      </w:r>
      <w:r>
        <w:rPr>
          <w:rFonts w:ascii="仿宋" w:hAnsi="仿宋" w:eastAsia="仿宋"/>
          <w:color w:val="000000"/>
          <w:sz w:val="24"/>
          <w:highlight w:val="none"/>
        </w:rPr>
        <w:t>家推荐品牌的要求；</w:t>
      </w:r>
    </w:p>
    <w:p w14:paraId="5FD0AE31">
      <w:pPr>
        <w:numPr>
          <w:ilvl w:val="0"/>
          <w:numId w:val="18"/>
        </w:numPr>
        <w:spacing w:line="360" w:lineRule="auto"/>
        <w:ind w:left="168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洁具表：该表包含洁具及洁具五金的尺寸、规格、型号、材质、厚度、颜色，出水方式、配电方式、使用位置；相关参数需满足甲方材料库品牌中至少</w:t>
      </w:r>
      <w:r>
        <w:rPr>
          <w:rFonts w:hint="eastAsia" w:ascii="仿宋" w:hAnsi="仿宋" w:eastAsia="仿宋"/>
          <w:color w:val="000000"/>
          <w:sz w:val="24"/>
          <w:highlight w:val="none"/>
          <w:lang w:val="en-US" w:eastAsia="zh-CN"/>
        </w:rPr>
        <w:t>1</w:t>
      </w:r>
      <w:r>
        <w:rPr>
          <w:rFonts w:ascii="仿宋" w:hAnsi="仿宋" w:eastAsia="仿宋"/>
          <w:color w:val="000000"/>
          <w:sz w:val="24"/>
          <w:highlight w:val="none"/>
        </w:rPr>
        <w:t>家推荐品牌的要求；</w:t>
      </w:r>
    </w:p>
    <w:p w14:paraId="57D424BD">
      <w:pPr>
        <w:numPr>
          <w:ilvl w:val="0"/>
          <w:numId w:val="18"/>
        </w:numPr>
        <w:spacing w:line="360" w:lineRule="auto"/>
        <w:ind w:left="168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五金表：五金的尺寸、规格、型号、材质、厚度、颜色;使用位置；相关参数需满足甲方材料库品牌中至少</w:t>
      </w:r>
      <w:r>
        <w:rPr>
          <w:rFonts w:hint="eastAsia" w:ascii="仿宋" w:hAnsi="仿宋" w:eastAsia="仿宋"/>
          <w:color w:val="000000"/>
          <w:sz w:val="24"/>
          <w:highlight w:val="none"/>
          <w:lang w:val="en-US" w:eastAsia="zh-CN"/>
        </w:rPr>
        <w:t>1</w:t>
      </w:r>
      <w:r>
        <w:rPr>
          <w:rFonts w:ascii="仿宋" w:hAnsi="仿宋" w:eastAsia="仿宋"/>
          <w:color w:val="000000"/>
          <w:sz w:val="24"/>
          <w:highlight w:val="none"/>
        </w:rPr>
        <w:t>家推荐品牌的要求；</w:t>
      </w:r>
    </w:p>
    <w:p w14:paraId="465BE438">
      <w:pPr>
        <w:numPr>
          <w:ilvl w:val="0"/>
          <w:numId w:val="18"/>
        </w:numPr>
        <w:spacing w:line="360" w:lineRule="auto"/>
        <w:ind w:left="168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复核机电末端表：该表包含机电末端的尺寸、规格、型号、材质、颜色、配电方式及使用位置等；</w:t>
      </w:r>
    </w:p>
    <w:p w14:paraId="15D7D2CB">
      <w:pPr>
        <w:numPr>
          <w:ilvl w:val="0"/>
          <w:numId w:val="18"/>
        </w:numPr>
        <w:spacing w:line="360" w:lineRule="auto"/>
        <w:ind w:left="1685" w:leftChars="0" w:hanging="425" w:firstLineChars="0"/>
        <w:jc w:val="left"/>
        <w:rPr>
          <w:rFonts w:ascii="仿宋" w:hAnsi="仿宋" w:eastAsia="仿宋"/>
          <w:sz w:val="24"/>
          <w:highlight w:val="none"/>
        </w:rPr>
      </w:pPr>
      <w:r>
        <w:rPr>
          <w:rFonts w:ascii="仿宋" w:hAnsi="仿宋" w:eastAsia="仿宋"/>
          <w:color w:val="000000"/>
          <w:sz w:val="24"/>
          <w:highlight w:val="none"/>
        </w:rPr>
        <w:t>乙方应向甲方提出拟采用的各主要装饰材料的要求及选型建议。乙方设计的选材必须考虑甲方的限额设计指标，并优先在甲方材料库指定品牌范围内进行选择。在选定材料前，应预先提供有关材料说明给甲方，如甲方认为乙方提出的材料影响整体造价的，乙方应提出满足造价要求和设计效果的替代材料，但甲方应在此情形发生后提供相应的造价要求给乙方。甲方有权对建材作最终确认。</w:t>
      </w:r>
    </w:p>
    <w:p w14:paraId="5C96D1D0">
      <w:pPr>
        <w:pStyle w:val="76"/>
        <w:numPr>
          <w:ilvl w:val="0"/>
          <w:numId w:val="12"/>
        </w:numPr>
        <w:ind w:left="84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扩初图配合服务：</w:t>
      </w:r>
    </w:p>
    <w:p w14:paraId="0552E4EC">
      <w:pPr>
        <w:numPr>
          <w:ilvl w:val="0"/>
          <w:numId w:val="19"/>
        </w:numPr>
        <w:spacing w:line="360" w:lineRule="auto"/>
        <w:ind w:left="126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提供后续装修施工图所需要的设计文件，做好施工图设计答疑工作；</w:t>
      </w:r>
    </w:p>
    <w:p w14:paraId="3F19FE10">
      <w:pPr>
        <w:numPr>
          <w:ilvl w:val="0"/>
          <w:numId w:val="19"/>
        </w:numPr>
        <w:spacing w:line="360" w:lineRule="auto"/>
        <w:ind w:left="126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乙方参加与本项目有关的询价、对外谈判、施工材料选型、技术考察等工作；</w:t>
      </w:r>
    </w:p>
    <w:p w14:paraId="2DFCED92">
      <w:pPr>
        <w:numPr>
          <w:ilvl w:val="0"/>
          <w:numId w:val="19"/>
        </w:numPr>
        <w:spacing w:line="360" w:lineRule="auto"/>
        <w:ind w:left="126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施工图审核，根据甲方要求审核施工图，并在要求的时间内回复审核意见。</w:t>
      </w:r>
    </w:p>
    <w:p w14:paraId="1CFD5520">
      <w:pPr>
        <w:pStyle w:val="76"/>
        <w:numPr>
          <w:ilvl w:val="0"/>
          <w:numId w:val="12"/>
        </w:numPr>
        <w:ind w:left="84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扩初图质量要求：</w:t>
      </w:r>
    </w:p>
    <w:p w14:paraId="29AEEAC7">
      <w:pPr>
        <w:numPr>
          <w:ilvl w:val="0"/>
          <w:numId w:val="20"/>
        </w:numPr>
        <w:spacing w:line="360" w:lineRule="auto"/>
        <w:ind w:left="1265" w:leftChars="0" w:hanging="425" w:firstLineChars="0"/>
        <w:jc w:val="left"/>
        <w:rPr>
          <w:rFonts w:ascii="仿宋" w:hAnsi="仿宋" w:eastAsia="仿宋"/>
          <w:sz w:val="24"/>
          <w:highlight w:val="none"/>
        </w:rPr>
      </w:pPr>
      <w:r>
        <w:rPr>
          <w:rFonts w:ascii="仿宋" w:hAnsi="仿宋" w:eastAsia="仿宋"/>
          <w:color w:val="000000"/>
          <w:sz w:val="24"/>
          <w:highlight w:val="none"/>
        </w:rPr>
        <w:t>扩初图须与建筑、结构、机电设计无冲突（如对原建筑有调整，需评审通过并明确具体调整内容后提供修改图纸予相关专业），尺寸、材料标注齐全、无误。</w:t>
      </w:r>
    </w:p>
    <w:p w14:paraId="0267D46A">
      <w:pPr>
        <w:pStyle w:val="76"/>
        <w:numPr>
          <w:ilvl w:val="0"/>
          <w:numId w:val="20"/>
        </w:numPr>
        <w:ind w:left="126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所有图纸需符合国家规范及行业规范要求，并满足消防规范。</w:t>
      </w:r>
    </w:p>
    <w:p w14:paraId="462911EA">
      <w:pPr>
        <w:pStyle w:val="76"/>
        <w:numPr>
          <w:ilvl w:val="0"/>
          <w:numId w:val="20"/>
        </w:numPr>
        <w:ind w:left="126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扩初图满足造价计量及施工要求，如有特殊工艺或新型材料需提供相关施工工艺或结构详图。</w:t>
      </w:r>
    </w:p>
    <w:p w14:paraId="7730046D">
      <w:pPr>
        <w:pStyle w:val="76"/>
        <w:numPr>
          <w:ilvl w:val="0"/>
          <w:numId w:val="20"/>
        </w:numPr>
        <w:ind w:left="126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图纸及清单文字格式统一采用宋体。</w:t>
      </w:r>
    </w:p>
    <w:p w14:paraId="026A0E1C">
      <w:pPr>
        <w:pStyle w:val="76"/>
        <w:numPr>
          <w:ilvl w:val="0"/>
          <w:numId w:val="20"/>
        </w:numPr>
        <w:ind w:left="1265" w:leftChars="0" w:hanging="425" w:firstLineChars="0"/>
        <w:jc w:val="left"/>
        <w:rPr>
          <w:rFonts w:ascii="仿宋" w:hAnsi="仿宋" w:eastAsia="仿宋"/>
          <w:b w:val="0"/>
          <w:bCs/>
          <w:sz w:val="24"/>
          <w:highlight w:val="none"/>
        </w:rPr>
      </w:pPr>
      <w:r>
        <w:rPr>
          <w:rFonts w:ascii="仿宋" w:hAnsi="仿宋" w:eastAsia="仿宋"/>
          <w:b w:val="0"/>
          <w:bCs/>
          <w:color w:val="000000"/>
          <w:sz w:val="24"/>
          <w:highlight w:val="none"/>
        </w:rPr>
        <w:t>平面图、立面图、剖面图图纸比例深度要求：</w:t>
      </w:r>
    </w:p>
    <w:p w14:paraId="47C67ECD">
      <w:pPr>
        <w:numPr>
          <w:ilvl w:val="0"/>
          <w:numId w:val="21"/>
        </w:numPr>
        <w:spacing w:line="360" w:lineRule="auto"/>
        <w:ind w:left="1475" w:leftChars="0" w:hanging="425" w:firstLineChars="0"/>
        <w:jc w:val="left"/>
        <w:rPr>
          <w:rFonts w:ascii="仿宋" w:hAnsi="仿宋" w:eastAsia="仿宋"/>
          <w:sz w:val="24"/>
          <w:highlight w:val="none"/>
        </w:rPr>
      </w:pPr>
      <w:r>
        <w:rPr>
          <w:rFonts w:ascii="仿宋" w:hAnsi="仿宋" w:eastAsia="仿宋"/>
          <w:color w:val="000000"/>
          <w:sz w:val="24"/>
          <w:highlight w:val="none"/>
        </w:rPr>
        <w:t>平面图：标明图纸要素：图名、比例尺、图例、图标、图签等。图纸比例一般为：1/200、1/100、1/50、1/25、1/20、1/10；</w:t>
      </w:r>
    </w:p>
    <w:p w14:paraId="54B5B422">
      <w:pPr>
        <w:numPr>
          <w:ilvl w:val="0"/>
          <w:numId w:val="21"/>
        </w:numPr>
        <w:spacing w:line="360" w:lineRule="auto"/>
        <w:ind w:left="1475" w:leftChars="0" w:hanging="425" w:firstLineChars="0"/>
        <w:jc w:val="left"/>
        <w:rPr>
          <w:rFonts w:ascii="仿宋" w:hAnsi="仿宋" w:eastAsia="仿宋"/>
          <w:sz w:val="24"/>
          <w:highlight w:val="none"/>
        </w:rPr>
      </w:pPr>
      <w:r>
        <w:rPr>
          <w:rFonts w:ascii="仿宋" w:hAnsi="仿宋" w:eastAsia="仿宋"/>
          <w:color w:val="000000"/>
          <w:sz w:val="24"/>
          <w:highlight w:val="none"/>
        </w:rPr>
        <w:t>立面图：标明图纸要素：图名、比例尺、图例、图标、图签等。图纸比例一般为：1/100、1/75、1/50、1/25、1/20、1/10。图纸内容和要素应当按照国家有关制图标准和规范的要求清晰、完整反映；</w:t>
      </w:r>
    </w:p>
    <w:p w14:paraId="6724DFA5">
      <w:pPr>
        <w:numPr>
          <w:ilvl w:val="0"/>
          <w:numId w:val="21"/>
        </w:numPr>
        <w:spacing w:line="360" w:lineRule="auto"/>
        <w:ind w:left="1475" w:leftChars="0" w:hanging="425" w:firstLineChars="0"/>
        <w:jc w:val="left"/>
        <w:rPr>
          <w:rFonts w:ascii="仿宋" w:hAnsi="仿宋" w:eastAsia="仿宋"/>
          <w:sz w:val="24"/>
          <w:highlight w:val="none"/>
        </w:rPr>
      </w:pPr>
      <w:r>
        <w:rPr>
          <w:rFonts w:ascii="仿宋" w:hAnsi="仿宋" w:eastAsia="仿宋"/>
          <w:color w:val="000000"/>
          <w:sz w:val="24"/>
          <w:highlight w:val="none"/>
        </w:rPr>
        <w:t>剖面图：标明图纸要素：图名、比例尺、图例、图标、图签等。图纸比例一般为：1/20、1/10、1/5、1/1。图纸内容和要素应当按照国家有关制图标准和规范的要求清晰、完整反映。</w:t>
      </w:r>
    </w:p>
    <w:p w14:paraId="4165D4A7">
      <w:pPr>
        <w:pStyle w:val="76"/>
        <w:numPr>
          <w:ilvl w:val="0"/>
          <w:numId w:val="20"/>
        </w:numPr>
        <w:ind w:left="1265" w:leftChars="0" w:hanging="425" w:firstLineChars="0"/>
        <w:jc w:val="left"/>
        <w:rPr>
          <w:rFonts w:ascii="仿宋" w:hAnsi="仿宋" w:eastAsia="仿宋"/>
          <w:b w:val="0"/>
          <w:bCs/>
          <w:color w:val="000000"/>
          <w:sz w:val="24"/>
          <w:highlight w:val="none"/>
        </w:rPr>
      </w:pPr>
      <w:r>
        <w:rPr>
          <w:rFonts w:ascii="仿宋" w:hAnsi="仿宋" w:eastAsia="仿宋"/>
          <w:b w:val="0"/>
          <w:bCs/>
          <w:color w:val="000000"/>
          <w:sz w:val="24"/>
          <w:highlight w:val="none"/>
        </w:rPr>
        <w:t>各阶段图纸及设计变更的命名规则为：</w:t>
      </w:r>
    </w:p>
    <w:p w14:paraId="58D2DA4D">
      <w:pPr>
        <w:numPr>
          <w:ilvl w:val="0"/>
          <w:numId w:val="22"/>
        </w:numPr>
        <w:spacing w:line="360" w:lineRule="auto"/>
        <w:ind w:left="1475" w:leftChars="0" w:hanging="425" w:firstLineChars="0"/>
        <w:jc w:val="left"/>
        <w:rPr>
          <w:rFonts w:ascii="仿宋" w:hAnsi="仿宋" w:eastAsia="仿宋"/>
          <w:sz w:val="24"/>
          <w:highlight w:val="none"/>
        </w:rPr>
      </w:pPr>
      <w:r>
        <w:rPr>
          <w:rFonts w:ascii="仿宋" w:hAnsi="仿宋" w:eastAsia="仿宋"/>
          <w:color w:val="000000"/>
          <w:sz w:val="24"/>
          <w:highlight w:val="none"/>
        </w:rPr>
        <w:t>出图日期+编号+图名/变更名称+，如：202</w:t>
      </w:r>
      <w:r>
        <w:rPr>
          <w:rFonts w:hint="eastAsia" w:ascii="仿宋" w:hAnsi="仿宋" w:eastAsia="仿宋"/>
          <w:color w:val="000000"/>
          <w:sz w:val="24"/>
          <w:highlight w:val="none"/>
          <w:lang w:val="en-US" w:eastAsia="zh-CN"/>
        </w:rPr>
        <w:t>50519</w:t>
      </w:r>
      <w:r>
        <w:rPr>
          <w:rFonts w:ascii="仿宋" w:hAnsi="仿宋" w:eastAsia="仿宋"/>
          <w:color w:val="000000"/>
          <w:sz w:val="24"/>
          <w:highlight w:val="none"/>
        </w:rPr>
        <w:t>JZ-12</w:t>
      </w:r>
      <w:r>
        <w:rPr>
          <w:rFonts w:hint="eastAsia" w:ascii="仿宋" w:hAnsi="仿宋" w:eastAsia="仿宋"/>
          <w:color w:val="000000"/>
          <w:sz w:val="24"/>
          <w:highlight w:val="none"/>
          <w:lang w:val="en-US" w:eastAsia="zh-CN"/>
        </w:rPr>
        <w:t xml:space="preserve"> </w:t>
      </w:r>
      <w:r>
        <w:rPr>
          <w:rFonts w:ascii="仿宋" w:hAnsi="仿宋" w:eastAsia="仿宋"/>
          <w:color w:val="000000"/>
          <w:sz w:val="24"/>
          <w:highlight w:val="none"/>
        </w:rPr>
        <w:t>XX项目平面图。设计变更及修改图纸需用云线标明修改内容。若图纸版本有调整，需在图中调整对应的图纸号和出图日期（各专业标识方式需统一），且需明确各专业修改内容；</w:t>
      </w:r>
    </w:p>
    <w:p w14:paraId="0B3097BD">
      <w:pPr>
        <w:numPr>
          <w:ilvl w:val="0"/>
          <w:numId w:val="22"/>
        </w:numPr>
        <w:spacing w:line="360" w:lineRule="auto"/>
        <w:ind w:left="1475" w:leftChars="0" w:hanging="425" w:firstLineChars="0"/>
        <w:jc w:val="left"/>
        <w:rPr>
          <w:rFonts w:ascii="仿宋" w:hAnsi="仿宋" w:eastAsia="仿宋"/>
          <w:sz w:val="24"/>
          <w:highlight w:val="none"/>
        </w:rPr>
      </w:pPr>
      <w:r>
        <w:rPr>
          <w:rFonts w:ascii="仿宋" w:hAnsi="仿宋" w:eastAsia="仿宋"/>
          <w:color w:val="000000"/>
          <w:sz w:val="24"/>
          <w:highlight w:val="none"/>
        </w:rPr>
        <w:t>所有专业设计变更指令需用乙方统一变更指令图框，图框必须包括：</w:t>
      </w:r>
    </w:p>
    <w:p w14:paraId="06952222">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工程项目名称：注明所属工程名称及期数；</w:t>
      </w:r>
    </w:p>
    <w:p w14:paraId="304ED814">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专业：注明该变更所属专业，涉及多专业变更的应分开填写；</w:t>
      </w:r>
    </w:p>
    <w:p w14:paraId="3FDAADF6">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变更号：可按乙方内部规定编写变更号，各专业编号应分开编制，不得出现漏号跳号；</w:t>
      </w:r>
    </w:p>
    <w:p w14:paraId="45276366">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页数：注明该变更的总页数及第几页；</w:t>
      </w:r>
    </w:p>
    <w:p w14:paraId="0E7E1C66">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会签：变更每一页应有各个相关专业负责人的签字；</w:t>
      </w:r>
    </w:p>
    <w:p w14:paraId="7F5036DD">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盖章：变更每一页应有乙方的出图章、专业注册章；</w:t>
      </w:r>
    </w:p>
    <w:p w14:paraId="0B8B14E6">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变更必须包括文字说明及图纸两部分内容；</w:t>
      </w:r>
    </w:p>
    <w:p w14:paraId="65D02C44">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文字说明必须在变更首页按序号逐一列明变更内容，详细说明变更所在位置、原图情况、变更后情况、对应原图纸编号并索引变更后的图纸内容；</w:t>
      </w:r>
    </w:p>
    <w:p w14:paraId="1F8157CD">
      <w:pPr>
        <w:numPr>
          <w:ilvl w:val="0"/>
          <w:numId w:val="23"/>
        </w:numPr>
        <w:spacing w:line="360" w:lineRule="auto"/>
        <w:ind w:left="1895" w:leftChars="0" w:hanging="425" w:firstLineChars="0"/>
        <w:jc w:val="left"/>
        <w:rPr>
          <w:rFonts w:ascii="仿宋" w:hAnsi="仿宋" w:eastAsia="仿宋"/>
          <w:sz w:val="24"/>
          <w:highlight w:val="none"/>
        </w:rPr>
      </w:pPr>
      <w:r>
        <w:rPr>
          <w:rFonts w:ascii="仿宋" w:hAnsi="仿宋" w:eastAsia="仿宋"/>
          <w:color w:val="000000"/>
          <w:sz w:val="24"/>
          <w:highlight w:val="none"/>
        </w:rPr>
        <w:t>乙方除提供纸质变更单外，还应提供电子版变更单供甲方存档，电子版命名应写明变更单号及变更内容。</w:t>
      </w:r>
    </w:p>
    <w:p w14:paraId="0E687473">
      <w:pPr>
        <w:pStyle w:val="76"/>
        <w:numPr>
          <w:ilvl w:val="0"/>
          <w:numId w:val="0"/>
        </w:numPr>
        <w:ind w:left="426" w:firstLine="427"/>
        <w:jc w:val="left"/>
        <w:outlineLvl w:val="9"/>
        <w:rPr>
          <w:rFonts w:ascii="仿宋" w:hAnsi="仿宋" w:eastAsia="仿宋"/>
          <w:color w:val="000000"/>
          <w:sz w:val="24"/>
          <w:highlight w:val="none"/>
        </w:rPr>
      </w:pPr>
    </w:p>
    <w:p w14:paraId="25F1A312">
      <w:pPr>
        <w:pStyle w:val="76"/>
        <w:numPr>
          <w:ilvl w:val="0"/>
          <w:numId w:val="0"/>
        </w:numPr>
        <w:ind w:left="426" w:firstLine="427"/>
        <w:jc w:val="left"/>
        <w:outlineLvl w:val="9"/>
        <w:rPr>
          <w:rFonts w:ascii="仿宋" w:hAnsi="仿宋" w:eastAsia="仿宋"/>
          <w:color w:val="000000"/>
          <w:sz w:val="24"/>
          <w:highlight w:val="none"/>
        </w:rPr>
      </w:pPr>
      <w:r>
        <w:rPr>
          <w:rFonts w:ascii="仿宋" w:hAnsi="仿宋" w:eastAsia="仿宋"/>
          <w:color w:val="000000"/>
          <w:sz w:val="24"/>
          <w:highlight w:val="none"/>
        </w:rPr>
        <w:t>（四）施工图设计阶段：</w:t>
      </w:r>
    </w:p>
    <w:p w14:paraId="0EA18FB5">
      <w:pPr>
        <w:pStyle w:val="76"/>
        <w:numPr>
          <w:ilvl w:val="0"/>
          <w:numId w:val="0"/>
        </w:numPr>
        <w:ind w:left="855" w:hanging="285"/>
        <w:jc w:val="left"/>
        <w:rPr>
          <w:rFonts w:ascii="仿宋" w:hAnsi="仿宋" w:eastAsia="仿宋"/>
          <w:color w:val="000000"/>
          <w:sz w:val="24"/>
          <w:highlight w:val="none"/>
        </w:rPr>
      </w:pPr>
      <w:r>
        <w:rPr>
          <w:rFonts w:ascii="仿宋" w:hAnsi="仿宋" w:eastAsia="仿宋"/>
          <w:color w:val="000000"/>
          <w:sz w:val="24"/>
          <w:highlight w:val="none"/>
        </w:rPr>
        <w:t>设计周期：</w:t>
      </w:r>
      <w:r>
        <w:rPr>
          <w:rFonts w:hint="eastAsia" w:ascii="仿宋" w:hAnsi="仿宋" w:eastAsia="仿宋"/>
          <w:color w:val="000000"/>
          <w:sz w:val="24"/>
          <w:highlight w:val="none"/>
          <w:lang w:val="en-US" w:eastAsia="zh-CN"/>
        </w:rPr>
        <w:t>20</w:t>
      </w:r>
      <w:r>
        <w:rPr>
          <w:rFonts w:ascii="仿宋" w:hAnsi="仿宋" w:eastAsia="仿宋"/>
          <w:color w:val="000000"/>
          <w:sz w:val="24"/>
          <w:highlight w:val="none"/>
        </w:rPr>
        <w:t>个日历天。</w:t>
      </w:r>
    </w:p>
    <w:p w14:paraId="432A7961">
      <w:pPr>
        <w:pStyle w:val="76"/>
        <w:numPr>
          <w:ilvl w:val="0"/>
          <w:numId w:val="0"/>
        </w:numPr>
        <w:ind w:left="855" w:hanging="285"/>
        <w:jc w:val="left"/>
        <w:rPr>
          <w:rFonts w:ascii="仿宋" w:hAnsi="仿宋" w:eastAsia="仿宋"/>
          <w:sz w:val="24"/>
          <w:highlight w:val="none"/>
        </w:rPr>
      </w:pPr>
      <w:r>
        <w:rPr>
          <w:rFonts w:ascii="仿宋" w:hAnsi="仿宋" w:eastAsia="仿宋"/>
          <w:color w:val="000000"/>
          <w:sz w:val="24"/>
          <w:highlight w:val="none"/>
        </w:rPr>
        <w:t>提供成果具体如下，包括但不限于：</w:t>
      </w:r>
    </w:p>
    <w:p w14:paraId="70018745">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完整SketchUp模型（包括各类材质贴图、灯具、家具、绿化等）。整个布局各个客户接触区域的天、地、墙均需完整表达。</w:t>
      </w:r>
    </w:p>
    <w:p w14:paraId="0AE1AD95">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图纸目录、设计说明、施工说明、图例说明、根据甲方材料品牌库选定不少于3家的品牌推荐清单、装修材料文本、装修施工技术要求文本，详细施工图设计图纸。</w:t>
      </w:r>
    </w:p>
    <w:p w14:paraId="0FDD5A14">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平面布置图,地面铺设图,天花布置图。综合天花平面图应详尽反映各机电专业设备末端（含智能化末端）、路由及检修口；在符合规范、使用要求的前提下，结合整体装修设计效果，准确定位及标示尺寸并绘制综合管线图。</w:t>
      </w:r>
    </w:p>
    <w:p w14:paraId="10999458">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综合管线图包含平面图及局部剖面图，在符合规范、使用要求的前提下对机电专业各类管线进行综合排布，注明管线的安装尺寸及标高；合理利用空间，确保净高。其中卫生间需包含卫生间的给排水平面图和大样图以及相应的设计说明和标注。</w:t>
      </w:r>
    </w:p>
    <w:p w14:paraId="20AA4A5E">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提供设计范围内部隔墙的定位及反映不同做法的墙体标示；确认方案图中未明确的尺寸及标注。详细标示各设备的定位尺寸（在各专业设备提供的资料基础上）。反映天花的伸缩及沉降缝。</w:t>
      </w:r>
    </w:p>
    <w:p w14:paraId="4C296D33">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在平面图中核对标高是否与墙、地面装修物体有冲突。严格控制地材的分割，使之与墙体对齐，标示出各种地材的铺贴起始点的定位尺寸，标示出各种地材的大小尺寸。在平面图中标示各个空间的装修地面标高。反映地面的伸缩及沉降缝。</w:t>
      </w:r>
    </w:p>
    <w:p w14:paraId="3C53F207">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有相关的强电末端（包括灯具、插座、开关、喇叭、温感、烟感、消防广播、灯箱、疏散指示标志、应急照明设备、声光报警按钮、手报按钮、消火栓按钮、标识、项目VI及广告屏等功能末端等）、给排水末端（包括喷淋、消防栓、地漏、水炮等）、空调末端（包括风口等）、智能化末端（包括显示屏、摄像机、喇叭、门禁、闸机、监控设备等）设计的平面布置（标高、位置分布等），需满足电气、给排水、空调、智能化等专业的功能及规范需求。</w:t>
      </w:r>
    </w:p>
    <w:p w14:paraId="3DB85100">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设计期间与建筑、园林等设计单位紧密沟通，做到标识与装修效果统一；标识末端如需用电，乙方需开展配电设计；同时乙方须确保装修材料需满足结构荷载的要求。</w:t>
      </w:r>
    </w:p>
    <w:p w14:paraId="25119A24">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施工图应满足甲方成本计量深度要求，确保通过政府主管部门报审及审批的要求。</w:t>
      </w:r>
    </w:p>
    <w:p w14:paraId="26CA5F5F">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施工图应确保通过政府施工图审查及消防审核部门的审批。</w:t>
      </w:r>
    </w:p>
    <w:p w14:paraId="6F278DFD">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根据甲方提供的施工图对应预算成果进行方案调整及施工图修改，以满足项目成本控制的要求。</w:t>
      </w:r>
    </w:p>
    <w:p w14:paraId="227E3089">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提供完整的材料清单（含材料技术参数）、配套设施表（含灯光、灯具详细参数）以及机电效果配合要求等，并需配合甲方从材料库指定品牌中选择至少</w:t>
      </w:r>
      <w:r>
        <w:rPr>
          <w:rFonts w:hint="eastAsia" w:ascii="仿宋" w:hAnsi="仿宋" w:eastAsia="仿宋"/>
          <w:color w:val="000000"/>
          <w:sz w:val="24"/>
          <w:highlight w:val="none"/>
          <w:lang w:val="en-US" w:eastAsia="zh-CN"/>
        </w:rPr>
        <w:t>1</w:t>
      </w:r>
      <w:r>
        <w:rPr>
          <w:rFonts w:ascii="仿宋" w:hAnsi="仿宋" w:eastAsia="仿宋"/>
          <w:color w:val="000000"/>
          <w:sz w:val="24"/>
          <w:highlight w:val="none"/>
        </w:rPr>
        <w:t>家推荐品牌的设备选型。最终完整的材料清单，以A4规格彩色精装打印，一式六份；</w:t>
      </w:r>
    </w:p>
    <w:p w14:paraId="2E61EADF">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根据最终确定的效果图，相应修改装修施工图，以及材料样板（石材、仿石砖、木饰面、皮革、布料、防火门面板、扶手、空调风口等），含技术要求及机电末端样板技术要求的图册文件。</w:t>
      </w:r>
    </w:p>
    <w:p w14:paraId="693BB9BF">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在扩初设计图纸的基础上，进一步明确机电末端的定位。同时全面复核装修区域设计净高是否能满足综合管线的标高要求，3日历天内提供相应审核文件给甲方。</w:t>
      </w:r>
    </w:p>
    <w:p w14:paraId="6484BED0">
      <w:pPr>
        <w:pStyle w:val="76"/>
        <w:numPr>
          <w:ilvl w:val="0"/>
          <w:numId w:val="24"/>
        </w:numPr>
        <w:ind w:left="480" w:leftChars="0" w:hanging="480" w:firstLineChars="0"/>
        <w:jc w:val="left"/>
        <w:rPr>
          <w:rFonts w:ascii="仿宋" w:hAnsi="仿宋" w:eastAsia="仿宋"/>
          <w:b w:val="0"/>
          <w:sz w:val="24"/>
          <w:highlight w:val="none"/>
        </w:rPr>
      </w:pPr>
      <w:r>
        <w:rPr>
          <w:rFonts w:ascii="仿宋" w:hAnsi="仿宋" w:eastAsia="仿宋"/>
          <w:color w:val="000000"/>
          <w:sz w:val="24"/>
          <w:highlight w:val="none"/>
        </w:rPr>
        <w:t>全套施工图纸：</w:t>
      </w:r>
    </w:p>
    <w:p w14:paraId="2F020A00">
      <w:pPr>
        <w:numPr>
          <w:ilvl w:val="0"/>
          <w:numId w:val="25"/>
        </w:numPr>
        <w:spacing w:line="360" w:lineRule="auto"/>
        <w:ind w:left="845" w:leftChars="0" w:hanging="425" w:firstLineChars="0"/>
        <w:jc w:val="left"/>
        <w:rPr>
          <w:rFonts w:ascii="仿宋" w:hAnsi="仿宋" w:eastAsia="仿宋"/>
          <w:sz w:val="24"/>
          <w:highlight w:val="none"/>
        </w:rPr>
      </w:pPr>
      <w:r>
        <w:rPr>
          <w:rFonts w:ascii="仿宋" w:hAnsi="仿宋" w:eastAsia="仿宋"/>
          <w:color w:val="000000"/>
          <w:sz w:val="24"/>
          <w:highlight w:val="none"/>
        </w:rPr>
        <w:t>最终按施工图深度及效果表现的效果图，显示所有材质和机电末端，含机电末端样板</w:t>
      </w:r>
      <w:r>
        <w:rPr>
          <w:rFonts w:hint="eastAsia" w:ascii="仿宋" w:hAnsi="仿宋" w:eastAsia="仿宋"/>
          <w:color w:val="000000"/>
          <w:sz w:val="24"/>
          <w:highlight w:val="none"/>
          <w:lang w:val="en-US" w:eastAsia="zh-CN"/>
        </w:rPr>
        <w:t>指引</w:t>
      </w:r>
      <w:r>
        <w:rPr>
          <w:rFonts w:ascii="仿宋" w:hAnsi="仿宋" w:eastAsia="仿宋"/>
          <w:color w:val="000000"/>
          <w:sz w:val="24"/>
          <w:highlight w:val="none"/>
        </w:rPr>
        <w:t>或图册文件；</w:t>
      </w:r>
    </w:p>
    <w:p w14:paraId="3DCB2004">
      <w:pPr>
        <w:numPr>
          <w:ilvl w:val="0"/>
          <w:numId w:val="25"/>
        </w:numPr>
        <w:spacing w:line="360" w:lineRule="auto"/>
        <w:ind w:left="845" w:leftChars="0" w:hanging="425" w:firstLineChars="0"/>
        <w:jc w:val="left"/>
        <w:rPr>
          <w:rFonts w:ascii="仿宋" w:hAnsi="仿宋" w:eastAsia="仿宋"/>
          <w:sz w:val="24"/>
          <w:highlight w:val="none"/>
        </w:rPr>
      </w:pPr>
      <w:r>
        <w:rPr>
          <w:rFonts w:ascii="仿宋" w:hAnsi="仿宋" w:eastAsia="仿宋"/>
          <w:color w:val="000000"/>
          <w:sz w:val="24"/>
          <w:highlight w:val="none"/>
        </w:rPr>
        <w:t>电子文件为：CAD，同步提供PDF；</w:t>
      </w:r>
    </w:p>
    <w:p w14:paraId="5A3C3F46">
      <w:pPr>
        <w:numPr>
          <w:ilvl w:val="0"/>
          <w:numId w:val="25"/>
        </w:numPr>
        <w:spacing w:line="360" w:lineRule="auto"/>
        <w:ind w:left="845" w:leftChars="0" w:hanging="425" w:firstLineChars="0"/>
        <w:jc w:val="left"/>
        <w:rPr>
          <w:rFonts w:ascii="仿宋" w:hAnsi="仿宋" w:eastAsia="仿宋"/>
          <w:sz w:val="24"/>
          <w:highlight w:val="none"/>
        </w:rPr>
      </w:pPr>
      <w:r>
        <w:rPr>
          <w:rFonts w:ascii="仿宋" w:hAnsi="仿宋" w:eastAsia="仿宋"/>
          <w:color w:val="000000"/>
          <w:sz w:val="24"/>
          <w:highlight w:val="none"/>
        </w:rPr>
        <w:t>全套施工图纸：打印A2规格一式</w:t>
      </w:r>
      <w:r>
        <w:rPr>
          <w:rFonts w:hint="eastAsia" w:ascii="仿宋" w:hAnsi="仿宋" w:eastAsia="仿宋"/>
          <w:color w:val="000000"/>
          <w:sz w:val="24"/>
          <w:highlight w:val="none"/>
          <w:lang w:val="en-US" w:eastAsia="zh-CN"/>
        </w:rPr>
        <w:t>八</w:t>
      </w:r>
      <w:r>
        <w:rPr>
          <w:rFonts w:ascii="仿宋" w:hAnsi="仿宋" w:eastAsia="仿宋"/>
          <w:color w:val="000000"/>
          <w:sz w:val="24"/>
          <w:highlight w:val="none"/>
        </w:rPr>
        <w:t xml:space="preserve">份蓝图, </w:t>
      </w:r>
      <w:r>
        <w:rPr>
          <w:rFonts w:hint="eastAsia" w:ascii="仿宋" w:hAnsi="仿宋" w:eastAsia="仿宋"/>
          <w:color w:val="000000"/>
          <w:sz w:val="24"/>
          <w:highlight w:val="none"/>
          <w:lang w:val="en-US" w:eastAsia="zh-CN"/>
        </w:rPr>
        <w:t>另：</w:t>
      </w:r>
      <w:r>
        <w:rPr>
          <w:rFonts w:ascii="仿宋" w:hAnsi="仿宋" w:eastAsia="仿宋"/>
          <w:color w:val="000000"/>
          <w:sz w:val="24"/>
          <w:highlight w:val="none"/>
        </w:rPr>
        <w:t>报建施工图按照送审部门要求打印一式八份</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lang w:val="en-US" w:eastAsia="zh-CN"/>
        </w:rPr>
        <w:t>套图单位要求</w:t>
      </w:r>
      <w:r>
        <w:rPr>
          <w:rFonts w:hint="eastAsia" w:ascii="仿宋" w:hAnsi="仿宋" w:eastAsia="仿宋"/>
          <w:color w:val="000000"/>
          <w:sz w:val="24"/>
          <w:highlight w:val="none"/>
          <w:lang w:eastAsia="zh-CN"/>
        </w:rPr>
        <w:t>）</w:t>
      </w:r>
      <w:r>
        <w:rPr>
          <w:rFonts w:ascii="仿宋" w:hAnsi="仿宋" w:eastAsia="仿宋"/>
          <w:color w:val="000000"/>
          <w:sz w:val="24"/>
          <w:highlight w:val="none"/>
        </w:rPr>
        <w:t>；</w:t>
      </w:r>
    </w:p>
    <w:p w14:paraId="7C87959C">
      <w:pPr>
        <w:numPr>
          <w:ilvl w:val="0"/>
          <w:numId w:val="25"/>
        </w:numPr>
        <w:spacing w:line="360" w:lineRule="auto"/>
        <w:ind w:left="845" w:leftChars="0" w:hanging="425" w:firstLineChars="0"/>
        <w:jc w:val="left"/>
        <w:rPr>
          <w:rFonts w:ascii="仿宋" w:hAnsi="仿宋" w:eastAsia="仿宋"/>
          <w:sz w:val="24"/>
          <w:highlight w:val="none"/>
        </w:rPr>
      </w:pPr>
      <w:r>
        <w:rPr>
          <w:rFonts w:ascii="仿宋" w:hAnsi="仿宋" w:eastAsia="仿宋"/>
          <w:color w:val="000000"/>
          <w:sz w:val="24"/>
          <w:highlight w:val="none"/>
        </w:rPr>
        <w:t>全部电子设计文件（全部刻制成光盘六份）。</w:t>
      </w:r>
    </w:p>
    <w:p w14:paraId="48474F8C">
      <w:pPr>
        <w:pStyle w:val="76"/>
        <w:numPr>
          <w:ilvl w:val="0"/>
          <w:numId w:val="24"/>
        </w:numPr>
        <w:ind w:left="480" w:leftChars="0" w:hanging="480" w:firstLineChars="0"/>
        <w:jc w:val="left"/>
        <w:rPr>
          <w:rFonts w:ascii="仿宋" w:hAnsi="仿宋" w:eastAsia="仿宋"/>
          <w:color w:val="000000"/>
          <w:sz w:val="24"/>
          <w:highlight w:val="none"/>
        </w:rPr>
      </w:pPr>
      <w:r>
        <w:rPr>
          <w:rFonts w:ascii="仿宋" w:hAnsi="仿宋" w:eastAsia="仿宋"/>
          <w:color w:val="000000"/>
          <w:sz w:val="24"/>
          <w:highlight w:val="none"/>
        </w:rPr>
        <w:t>制图要求：</w:t>
      </w:r>
    </w:p>
    <w:p w14:paraId="787C7691">
      <w:pPr>
        <w:numPr>
          <w:ilvl w:val="0"/>
          <w:numId w:val="26"/>
        </w:numPr>
        <w:spacing w:line="360" w:lineRule="auto"/>
        <w:ind w:left="840" w:leftChars="0" w:firstLineChars="0"/>
        <w:jc w:val="left"/>
        <w:rPr>
          <w:rFonts w:ascii="仿宋" w:hAnsi="仿宋" w:eastAsia="仿宋"/>
          <w:sz w:val="24"/>
          <w:highlight w:val="none"/>
        </w:rPr>
      </w:pPr>
      <w:r>
        <w:rPr>
          <w:rFonts w:ascii="仿宋" w:hAnsi="仿宋" w:eastAsia="仿宋"/>
          <w:color w:val="000000"/>
          <w:sz w:val="24"/>
          <w:highlight w:val="none"/>
        </w:rPr>
        <w:t>装修立面图</w:t>
      </w:r>
    </w:p>
    <w:p w14:paraId="716A2CF8">
      <w:pPr>
        <w:numPr>
          <w:ilvl w:val="1"/>
          <w:numId w:val="27"/>
        </w:numPr>
        <w:spacing w:line="360" w:lineRule="auto"/>
        <w:jc w:val="left"/>
        <w:rPr>
          <w:rFonts w:ascii="仿宋" w:hAnsi="仿宋" w:eastAsia="仿宋"/>
          <w:sz w:val="24"/>
          <w:highlight w:val="none"/>
        </w:rPr>
      </w:pPr>
      <w:r>
        <w:rPr>
          <w:rFonts w:ascii="仿宋" w:hAnsi="仿宋" w:eastAsia="仿宋"/>
          <w:color w:val="000000"/>
          <w:sz w:val="24"/>
          <w:highlight w:val="none"/>
        </w:rPr>
        <w:t>详细标示出装修面材的接缝及纹理方向。</w:t>
      </w:r>
    </w:p>
    <w:p w14:paraId="1135027C">
      <w:pPr>
        <w:numPr>
          <w:ilvl w:val="1"/>
          <w:numId w:val="28"/>
        </w:numPr>
        <w:spacing w:line="360" w:lineRule="auto"/>
        <w:jc w:val="left"/>
        <w:rPr>
          <w:rFonts w:ascii="仿宋" w:hAnsi="仿宋" w:eastAsia="仿宋"/>
          <w:sz w:val="24"/>
          <w:highlight w:val="none"/>
        </w:rPr>
      </w:pPr>
      <w:r>
        <w:rPr>
          <w:rFonts w:ascii="仿宋" w:hAnsi="仿宋" w:eastAsia="仿宋"/>
          <w:color w:val="000000"/>
          <w:sz w:val="24"/>
          <w:highlight w:val="none"/>
        </w:rPr>
        <w:t>详细标注立面上的各种装修面材的种类及规格，挂面料龙骨的材质以及型号，龙骨的分割。</w:t>
      </w:r>
    </w:p>
    <w:p w14:paraId="4C7EA7A6">
      <w:pPr>
        <w:numPr>
          <w:ilvl w:val="1"/>
          <w:numId w:val="28"/>
        </w:numPr>
        <w:spacing w:line="360" w:lineRule="auto"/>
        <w:jc w:val="left"/>
        <w:rPr>
          <w:rFonts w:ascii="仿宋" w:hAnsi="仿宋" w:eastAsia="仿宋"/>
          <w:sz w:val="24"/>
          <w:highlight w:val="none"/>
        </w:rPr>
      </w:pPr>
      <w:r>
        <w:rPr>
          <w:rFonts w:ascii="仿宋" w:hAnsi="仿宋" w:eastAsia="仿宋"/>
          <w:color w:val="000000"/>
          <w:sz w:val="24"/>
          <w:highlight w:val="none"/>
        </w:rPr>
        <w:t>详细标注各种造型的控制尺寸，包括标高、分割尺寸及洞口尺寸等。</w:t>
      </w:r>
    </w:p>
    <w:p w14:paraId="7B3ACB45">
      <w:pPr>
        <w:numPr>
          <w:ilvl w:val="1"/>
          <w:numId w:val="28"/>
        </w:numPr>
        <w:spacing w:line="360" w:lineRule="auto"/>
        <w:jc w:val="left"/>
        <w:rPr>
          <w:rFonts w:ascii="仿宋" w:hAnsi="仿宋" w:eastAsia="仿宋"/>
          <w:sz w:val="24"/>
          <w:highlight w:val="none"/>
        </w:rPr>
      </w:pPr>
      <w:r>
        <w:rPr>
          <w:rFonts w:ascii="仿宋" w:hAnsi="仿宋" w:eastAsia="仿宋"/>
          <w:color w:val="000000"/>
          <w:sz w:val="24"/>
          <w:highlight w:val="none"/>
        </w:rPr>
        <w:t>反映出土建结构层、主要设备管道及结构转换层与天花的位置关系。</w:t>
      </w:r>
    </w:p>
    <w:p w14:paraId="66FA6236">
      <w:pPr>
        <w:numPr>
          <w:ilvl w:val="1"/>
          <w:numId w:val="28"/>
        </w:numPr>
        <w:spacing w:line="360" w:lineRule="auto"/>
        <w:jc w:val="left"/>
        <w:rPr>
          <w:rFonts w:ascii="仿宋" w:hAnsi="仿宋" w:eastAsia="仿宋"/>
          <w:sz w:val="24"/>
          <w:highlight w:val="none"/>
        </w:rPr>
      </w:pPr>
      <w:r>
        <w:rPr>
          <w:rFonts w:ascii="仿宋" w:hAnsi="仿宋" w:eastAsia="仿宋"/>
          <w:color w:val="000000"/>
          <w:sz w:val="24"/>
          <w:highlight w:val="none"/>
        </w:rPr>
        <w:t>详细标注各种分割缝的做法。</w:t>
      </w:r>
    </w:p>
    <w:p w14:paraId="66864F68">
      <w:pPr>
        <w:numPr>
          <w:ilvl w:val="1"/>
          <w:numId w:val="28"/>
        </w:numPr>
        <w:spacing w:line="360" w:lineRule="auto"/>
        <w:jc w:val="left"/>
        <w:rPr>
          <w:rFonts w:ascii="仿宋" w:hAnsi="仿宋" w:eastAsia="仿宋"/>
          <w:sz w:val="24"/>
          <w:highlight w:val="none"/>
        </w:rPr>
      </w:pPr>
      <w:r>
        <w:rPr>
          <w:rFonts w:ascii="仿宋" w:hAnsi="仿宋" w:eastAsia="仿宋"/>
          <w:color w:val="000000"/>
          <w:sz w:val="24"/>
          <w:highlight w:val="none"/>
        </w:rPr>
        <w:t>反映立面上的伸缩及沉降缝。</w:t>
      </w:r>
    </w:p>
    <w:p w14:paraId="0AC9CF7B">
      <w:pPr>
        <w:numPr>
          <w:ilvl w:val="1"/>
          <w:numId w:val="28"/>
        </w:numPr>
        <w:spacing w:line="360" w:lineRule="auto"/>
        <w:jc w:val="left"/>
        <w:rPr>
          <w:rFonts w:ascii="仿宋" w:hAnsi="仿宋" w:eastAsia="仿宋"/>
          <w:sz w:val="24"/>
          <w:highlight w:val="none"/>
        </w:rPr>
      </w:pPr>
      <w:r>
        <w:rPr>
          <w:rFonts w:ascii="仿宋" w:hAnsi="仿宋" w:eastAsia="仿宋"/>
          <w:color w:val="000000"/>
          <w:sz w:val="24"/>
          <w:highlight w:val="none"/>
        </w:rPr>
        <w:t>反映立面上的机电末端（包含强电、给排水、空调</w:t>
      </w:r>
      <w:r>
        <w:rPr>
          <w:rFonts w:ascii="仿宋" w:hAnsi="仿宋" w:eastAsia="仿宋"/>
          <w:b/>
          <w:color w:val="000000"/>
          <w:sz w:val="24"/>
          <w:highlight w:val="none"/>
        </w:rPr>
        <w:t>、</w:t>
      </w:r>
      <w:r>
        <w:rPr>
          <w:rFonts w:ascii="仿宋" w:hAnsi="仿宋" w:eastAsia="仿宋"/>
          <w:color w:val="000000"/>
          <w:sz w:val="24"/>
          <w:highlight w:val="none"/>
        </w:rPr>
        <w:t>智能化末端等），详细标示机电末端的定位尺寸。</w:t>
      </w:r>
    </w:p>
    <w:p w14:paraId="342BFBF1">
      <w:pPr>
        <w:numPr>
          <w:ilvl w:val="0"/>
          <w:numId w:val="29"/>
        </w:numPr>
        <w:spacing w:line="360" w:lineRule="auto"/>
        <w:ind w:left="840" w:leftChars="0" w:firstLineChars="0"/>
        <w:jc w:val="left"/>
        <w:rPr>
          <w:rFonts w:ascii="仿宋" w:hAnsi="仿宋" w:eastAsia="仿宋"/>
          <w:sz w:val="24"/>
          <w:highlight w:val="none"/>
        </w:rPr>
      </w:pPr>
      <w:r>
        <w:rPr>
          <w:rFonts w:ascii="仿宋" w:hAnsi="仿宋" w:eastAsia="仿宋"/>
          <w:color w:val="000000"/>
          <w:sz w:val="24"/>
          <w:highlight w:val="none"/>
        </w:rPr>
        <w:t>装修剖面图、节点大样图：</w:t>
      </w:r>
    </w:p>
    <w:p w14:paraId="012F61A2">
      <w:pPr>
        <w:numPr>
          <w:ilvl w:val="0"/>
          <w:numId w:val="30"/>
        </w:numPr>
        <w:spacing w:line="360" w:lineRule="auto"/>
        <w:jc w:val="left"/>
        <w:rPr>
          <w:rFonts w:ascii="仿宋" w:hAnsi="仿宋" w:eastAsia="仿宋"/>
          <w:sz w:val="24"/>
          <w:highlight w:val="none"/>
        </w:rPr>
      </w:pPr>
      <w:r>
        <w:rPr>
          <w:rFonts w:ascii="仿宋" w:hAnsi="仿宋" w:eastAsia="仿宋"/>
          <w:color w:val="000000"/>
          <w:sz w:val="24"/>
          <w:highlight w:val="none"/>
        </w:rPr>
        <w:t>详细反映出装修面板（包括天花、地面及墙身）及土建基层或各种墙体基层的材质，包括面板层、基层、结构层、连接层、转换层等隐蔽结构，使之达致估价算量的要求标准。</w:t>
      </w:r>
    </w:p>
    <w:p w14:paraId="3009A08C">
      <w:pPr>
        <w:numPr>
          <w:ilvl w:val="0"/>
          <w:numId w:val="31"/>
        </w:numPr>
        <w:spacing w:line="360" w:lineRule="auto"/>
        <w:jc w:val="left"/>
        <w:rPr>
          <w:rFonts w:ascii="仿宋" w:hAnsi="仿宋" w:eastAsia="仿宋"/>
          <w:sz w:val="24"/>
          <w:highlight w:val="none"/>
        </w:rPr>
      </w:pPr>
      <w:r>
        <w:rPr>
          <w:rFonts w:ascii="仿宋" w:hAnsi="仿宋" w:eastAsia="仿宋"/>
          <w:color w:val="000000"/>
          <w:sz w:val="24"/>
          <w:highlight w:val="none"/>
        </w:rPr>
        <w:t>反映各种构造的真实做法，并详细标注说明。</w:t>
      </w:r>
    </w:p>
    <w:p w14:paraId="0150A350">
      <w:pPr>
        <w:numPr>
          <w:ilvl w:val="0"/>
          <w:numId w:val="31"/>
        </w:numPr>
        <w:spacing w:line="360" w:lineRule="auto"/>
        <w:jc w:val="left"/>
        <w:rPr>
          <w:rFonts w:ascii="仿宋" w:hAnsi="仿宋" w:eastAsia="仿宋"/>
          <w:sz w:val="24"/>
          <w:highlight w:val="none"/>
        </w:rPr>
      </w:pPr>
      <w:r>
        <w:rPr>
          <w:rFonts w:ascii="仿宋" w:hAnsi="仿宋" w:eastAsia="仿宋"/>
          <w:color w:val="000000"/>
          <w:sz w:val="24"/>
          <w:highlight w:val="none"/>
        </w:rPr>
        <w:t>反映出各种规范的详细要求，如防火、环保、防渗透、防腐、防潮、防锈等。</w:t>
      </w:r>
    </w:p>
    <w:p w14:paraId="2A0A7015">
      <w:pPr>
        <w:numPr>
          <w:ilvl w:val="0"/>
          <w:numId w:val="31"/>
        </w:numPr>
        <w:spacing w:line="360" w:lineRule="auto"/>
        <w:jc w:val="left"/>
        <w:rPr>
          <w:rFonts w:ascii="仿宋" w:hAnsi="仿宋" w:eastAsia="仿宋"/>
          <w:sz w:val="24"/>
          <w:highlight w:val="none"/>
        </w:rPr>
      </w:pPr>
      <w:r>
        <w:rPr>
          <w:rFonts w:ascii="仿宋" w:hAnsi="仿宋" w:eastAsia="仿宋"/>
          <w:color w:val="000000"/>
          <w:sz w:val="24"/>
          <w:highlight w:val="none"/>
        </w:rPr>
        <w:t>反应节点上的机电末端（包含强电、给排水、空调、智能化、发光标识末端等），详细标示各设备的定位尺寸。</w:t>
      </w:r>
    </w:p>
    <w:p w14:paraId="0C33E397">
      <w:pPr>
        <w:numPr>
          <w:ilvl w:val="0"/>
          <w:numId w:val="29"/>
        </w:numPr>
        <w:spacing w:line="360" w:lineRule="auto"/>
        <w:ind w:left="840" w:leftChars="0" w:firstLineChars="0"/>
        <w:jc w:val="left"/>
        <w:rPr>
          <w:rFonts w:ascii="仿宋" w:hAnsi="仿宋" w:eastAsia="仿宋"/>
          <w:sz w:val="24"/>
          <w:highlight w:val="none"/>
        </w:rPr>
      </w:pPr>
      <w:r>
        <w:rPr>
          <w:rFonts w:ascii="仿宋" w:hAnsi="仿宋" w:eastAsia="仿宋"/>
          <w:color w:val="000000"/>
          <w:sz w:val="24"/>
          <w:highlight w:val="none"/>
        </w:rPr>
        <w:t>装饰材料运用分析及建议：</w:t>
      </w:r>
    </w:p>
    <w:p w14:paraId="276A0503">
      <w:pPr>
        <w:numPr>
          <w:ilvl w:val="0"/>
          <w:numId w:val="32"/>
        </w:numPr>
        <w:spacing w:line="360" w:lineRule="auto"/>
        <w:jc w:val="left"/>
        <w:rPr>
          <w:rFonts w:ascii="仿宋" w:hAnsi="仿宋" w:eastAsia="仿宋"/>
          <w:sz w:val="24"/>
          <w:highlight w:val="none"/>
        </w:rPr>
      </w:pPr>
      <w:r>
        <w:rPr>
          <w:rFonts w:ascii="仿宋" w:hAnsi="仿宋" w:eastAsia="仿宋"/>
          <w:color w:val="000000"/>
          <w:sz w:val="24"/>
          <w:highlight w:val="none"/>
        </w:rPr>
        <w:t>装饰材料的选择在基于方案意念的表达外，需根据材料特性及有利于当地气候的耐用、维护等各方面因素，综合分析并提供选择建议;</w:t>
      </w:r>
    </w:p>
    <w:p w14:paraId="264F5E1F">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要根据总体成本控制进行材料选择的搭配，对局部的用材要有所侧重，结合视觉重点优化用材组合以满足成本控制要求;</w:t>
      </w:r>
    </w:p>
    <w:p w14:paraId="1370CEB5">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需结合材料矿产量、生产速度、运输加工等综合因素进行考虑，便于采购、施工及维护;</w:t>
      </w:r>
    </w:p>
    <w:p w14:paraId="3F514290">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注意方案可实施性，满足快速施工要求及成本控制要求(包括材料选择、施工工艺、结构要求等);</w:t>
      </w:r>
    </w:p>
    <w:p w14:paraId="693DB760">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需考虑排版及分派效果，以减少装饰材料的施工损耗；</w:t>
      </w:r>
    </w:p>
    <w:p w14:paraId="702A1946">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提供档次材料对比清单，包含对应的项目、做法、价格等内容对比</w:t>
      </w:r>
    </w:p>
    <w:p w14:paraId="6B5F7042">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优化设计单位提供的主材品牌表、工程灯具表、洁具表、五金表、机电末端表等，满足设计效果的前提下，综合成本、采购、材料特性、施工工艺、方便维修维护等各方面因素进行选型的优化。</w:t>
      </w:r>
    </w:p>
    <w:p w14:paraId="3DFA9318">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需提供不满足成本及货期要求的替代材料建议及样板，一式两份，并满足设计效果；</w:t>
      </w:r>
    </w:p>
    <w:p w14:paraId="3846AAF7">
      <w:pPr>
        <w:numPr>
          <w:ilvl w:val="0"/>
          <w:numId w:val="33"/>
        </w:numPr>
        <w:spacing w:line="360" w:lineRule="auto"/>
        <w:jc w:val="left"/>
        <w:rPr>
          <w:rFonts w:ascii="仿宋" w:hAnsi="仿宋" w:eastAsia="仿宋"/>
          <w:sz w:val="24"/>
          <w:highlight w:val="none"/>
        </w:rPr>
      </w:pPr>
      <w:r>
        <w:rPr>
          <w:rFonts w:ascii="仿宋" w:hAnsi="仿宋" w:eastAsia="仿宋"/>
          <w:color w:val="000000"/>
          <w:sz w:val="24"/>
          <w:highlight w:val="none"/>
        </w:rPr>
        <w:t>于甲方材料品牌库中，配合材料品牌库的不同档次挑选满足设计效果要求的材料样板（不少于</w:t>
      </w:r>
      <w:r>
        <w:rPr>
          <w:rFonts w:hint="eastAsia" w:ascii="仿宋" w:hAnsi="仿宋" w:eastAsia="仿宋"/>
          <w:color w:val="000000"/>
          <w:sz w:val="24"/>
          <w:highlight w:val="none"/>
          <w:lang w:val="en-US" w:eastAsia="zh-CN"/>
        </w:rPr>
        <w:t>1</w:t>
      </w:r>
      <w:r>
        <w:rPr>
          <w:rFonts w:ascii="仿宋" w:hAnsi="仿宋" w:eastAsia="仿宋"/>
          <w:color w:val="000000"/>
          <w:sz w:val="24"/>
          <w:highlight w:val="none"/>
        </w:rPr>
        <w:t>家）。</w:t>
      </w:r>
    </w:p>
    <w:p w14:paraId="2AB9AC34">
      <w:pPr>
        <w:numPr>
          <w:ilvl w:val="0"/>
          <w:numId w:val="0"/>
        </w:numPr>
        <w:spacing w:line="360" w:lineRule="auto"/>
        <w:ind w:left="851" w:leftChars="0"/>
        <w:jc w:val="left"/>
        <w:rPr>
          <w:rFonts w:ascii="仿宋" w:hAnsi="仿宋" w:eastAsia="仿宋"/>
          <w:sz w:val="24"/>
          <w:highlight w:val="none"/>
        </w:rPr>
      </w:pPr>
    </w:p>
    <w:p w14:paraId="4EB11C0C">
      <w:pPr>
        <w:pStyle w:val="76"/>
        <w:numPr>
          <w:ilvl w:val="0"/>
          <w:numId w:val="0"/>
        </w:numPr>
        <w:ind w:left="0" w:firstLine="482" w:firstLineChars="200"/>
        <w:jc w:val="left"/>
        <w:outlineLvl w:val="0"/>
        <w:rPr>
          <w:rFonts w:ascii="仿宋" w:hAnsi="仿宋" w:eastAsia="仿宋"/>
          <w:sz w:val="24"/>
          <w:highlight w:val="none"/>
        </w:rPr>
      </w:pPr>
      <w:r>
        <w:rPr>
          <w:rFonts w:ascii="仿宋" w:hAnsi="仿宋" w:eastAsia="仿宋"/>
          <w:color w:val="000000"/>
          <w:sz w:val="24"/>
          <w:highlight w:val="none"/>
        </w:rPr>
        <w:t>（五）图纸错误及惩罚措施</w:t>
      </w:r>
    </w:p>
    <w:p w14:paraId="6AD39EFB">
      <w:pPr>
        <w:spacing w:line="360" w:lineRule="auto"/>
        <w:ind w:firstLine="480"/>
        <w:jc w:val="left"/>
        <w:rPr>
          <w:rFonts w:ascii="仿宋" w:hAnsi="仿宋" w:eastAsia="仿宋"/>
          <w:color w:val="000000"/>
          <w:sz w:val="24"/>
          <w:highlight w:val="none"/>
        </w:rPr>
      </w:pPr>
      <w:r>
        <w:rPr>
          <w:rFonts w:ascii="仿宋" w:hAnsi="仿宋" w:eastAsia="仿宋"/>
          <w:color w:val="000000"/>
          <w:sz w:val="24"/>
          <w:highlight w:val="none"/>
        </w:rPr>
        <w:t>为了提高设计图纸质量，规范图纸审核内容，各专业图纸的设计深度要求及各专业图纸的错误分类和惩罚措施按附件《</w:t>
      </w:r>
      <w:r>
        <w:rPr>
          <w:rFonts w:hint="eastAsia" w:ascii="仿宋" w:hAnsi="仿宋" w:eastAsia="仿宋"/>
          <w:color w:val="000000"/>
          <w:sz w:val="24"/>
          <w:highlight w:val="none"/>
          <w:lang w:val="en-US" w:eastAsia="zh-CN"/>
        </w:rPr>
        <w:t>广州市智鸿房地产开发有限公司</w:t>
      </w:r>
      <w:r>
        <w:rPr>
          <w:rFonts w:ascii="仿宋" w:hAnsi="仿宋" w:eastAsia="仿宋"/>
          <w:color w:val="000000"/>
          <w:sz w:val="24"/>
          <w:highlight w:val="none"/>
        </w:rPr>
        <w:t>设计文件深度和设计错误的分类及惩罚措施（室内设计）》执行。</w:t>
      </w:r>
    </w:p>
    <w:p w14:paraId="559AB56E">
      <w:pPr>
        <w:spacing w:line="360" w:lineRule="auto"/>
        <w:ind w:firstLine="480"/>
        <w:jc w:val="left"/>
        <w:rPr>
          <w:rFonts w:ascii="仿宋" w:hAnsi="仿宋" w:eastAsia="仿宋"/>
          <w:color w:val="000000"/>
          <w:sz w:val="24"/>
          <w:highlight w:val="none"/>
        </w:rPr>
      </w:pPr>
    </w:p>
    <w:p w14:paraId="7C89DA78">
      <w:pPr>
        <w:pStyle w:val="76"/>
        <w:numPr>
          <w:ilvl w:val="0"/>
          <w:numId w:val="0"/>
        </w:numPr>
        <w:ind w:firstLine="482" w:firstLineChars="200"/>
        <w:jc w:val="left"/>
        <w:outlineLvl w:val="9"/>
        <w:rPr>
          <w:rFonts w:ascii="仿宋" w:hAnsi="仿宋" w:eastAsia="仿宋"/>
          <w:sz w:val="24"/>
          <w:highlight w:val="none"/>
        </w:rPr>
      </w:pPr>
      <w:r>
        <w:rPr>
          <w:rFonts w:ascii="仿宋" w:hAnsi="仿宋" w:eastAsia="仿宋"/>
          <w:color w:val="000000"/>
          <w:sz w:val="24"/>
          <w:highlight w:val="none"/>
        </w:rPr>
        <w:t>（六）现场施工配合内容及工作，包括但不限于：</w:t>
      </w:r>
    </w:p>
    <w:p w14:paraId="57511F2F">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乙方应负责向甲方选择的施工单位解释设计意图及施工内容，并负责进行技术交底。主持施工现场技术交底，及时解决各专业之间存在的技术冲突。</w:t>
      </w:r>
    </w:p>
    <w:p w14:paraId="1E4AC2C0">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乙方应按甲方或监理单位的要求，参加重要节点的工程验收；由于乙方原因需要对原设计做出修改时，乙方应无偿并及时完成相应的设计修改、且及时出图。</w:t>
      </w:r>
    </w:p>
    <w:p w14:paraId="2954759C">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乙方在收到甲方书面提出的设计问题后，一般应在24小时内给予书面答复，最迟不应超过48小时提供设计变更单（重大设计变更除外）。</w:t>
      </w:r>
    </w:p>
    <w:p w14:paraId="4AFF425D">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乙方提供施工现场服务，对施工单位提出的设计疑问进行设计复核，并于48小时内提供解决方案。</w:t>
      </w:r>
    </w:p>
    <w:p w14:paraId="55F0D12A">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如上述操作未能有效解决，乙方保证在收到甲方通知后72小时内派合格技术人员到现场提供服务，若乙方不能72小时内派出合适的人员，甲方有权扣除1000元/人/次作为违约金。施工深化图的审查。乙方需负责对服务范围内各专业提供的施工深化图或建议优化方案进行审查，并在五个日历天内完成对施工深化图或优化方案的审核并回复意见予甲方。乙方需对深化图的准确性及效果负责，若乙方审核未发现设计错漏造成现场效果问题，甲方有权按照人民币2000元/条扣除乙方的设计费。</w:t>
      </w:r>
    </w:p>
    <w:p w14:paraId="1CB2E6CF">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根据甲方按施工进度提出的合理要求，乙方在一般情况下保证在收到甲方通知后48小时内派合格技术人员到现场提供服务或通过邮件、视频会议解决（具体处理方式由现场情况而定）；若乙方未能达成上述要求，甲方有权扣除1000元/人/次作为违约金。</w:t>
      </w:r>
    </w:p>
    <w:p w14:paraId="5C424F79">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协助承包商对施工与设计示意的理解，并进行设计交底工作。</w:t>
      </w:r>
    </w:p>
    <w:p w14:paraId="0AE08E01">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协助甲方审查材料样板，并填写材料审批表，直至项目完工为止。</w:t>
      </w:r>
    </w:p>
    <w:p w14:paraId="6B91F8F1">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须配合设计范围内的竣工验收，以及梳理施工过程中的设计变更进行梳理统计等工作。</w:t>
      </w:r>
    </w:p>
    <w:p w14:paraId="5AE37F21">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负责施工现场设计指导，并从设计角度进行施工监督，发布对现场施工不能满足或不符合设计要求的问题列表，于缺陷修补完成后跟进验收。</w:t>
      </w:r>
    </w:p>
    <w:p w14:paraId="7708B286">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在本项目工程竣工后，如果在使用过程中发现了质量问题，乙方应积极参与质量事故分析。若经权威机构分析证实是设计缺陷所致，则乙方应完善设计方案及建议补救措施，并赔偿甲方因此造成的全部直接和间接损失。</w:t>
      </w:r>
    </w:p>
    <w:p w14:paraId="291E05B5">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施工期间需对现场进行效果把控，负责现场技术工作的落实情况，遵照施工图与其他专业沟通，并及时向甲方进行汇报，按要求提交现场勘察报告成果。</w:t>
      </w:r>
    </w:p>
    <w:p w14:paraId="0480708F">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设计变更图纸数量打印一式</w:t>
      </w:r>
      <w:r>
        <w:rPr>
          <w:rFonts w:hint="eastAsia" w:ascii="仿宋" w:hAnsi="仿宋" w:eastAsia="仿宋"/>
          <w:color w:val="000000"/>
          <w:sz w:val="24"/>
          <w:highlight w:val="none"/>
          <w:lang w:val="en-US" w:eastAsia="zh-CN"/>
        </w:rPr>
        <w:t>八</w:t>
      </w:r>
      <w:r>
        <w:rPr>
          <w:rFonts w:ascii="仿宋" w:hAnsi="仿宋" w:eastAsia="仿宋"/>
          <w:color w:val="000000"/>
          <w:sz w:val="24"/>
          <w:highlight w:val="none"/>
        </w:rPr>
        <w:t>份。</w:t>
      </w:r>
    </w:p>
    <w:p w14:paraId="533B0154">
      <w:pPr>
        <w:numPr>
          <w:ilvl w:val="0"/>
          <w:numId w:val="34"/>
        </w:numPr>
        <w:spacing w:line="360" w:lineRule="auto"/>
        <w:ind w:left="425" w:leftChars="0" w:hanging="425" w:firstLineChars="0"/>
        <w:jc w:val="left"/>
        <w:rPr>
          <w:rFonts w:ascii="仿宋" w:hAnsi="仿宋" w:eastAsia="仿宋"/>
          <w:color w:val="000000"/>
          <w:sz w:val="24"/>
          <w:highlight w:val="none"/>
        </w:rPr>
      </w:pPr>
      <w:r>
        <w:rPr>
          <w:rFonts w:ascii="仿宋" w:hAnsi="仿宋" w:eastAsia="仿宋"/>
          <w:color w:val="000000"/>
          <w:sz w:val="24"/>
          <w:highlight w:val="none"/>
        </w:rPr>
        <w:t>本项目不需乙方提供驻场服务，如有需要另行协商费用。</w:t>
      </w:r>
    </w:p>
    <w:p w14:paraId="0F71FD73">
      <w:pPr>
        <w:spacing w:line="360" w:lineRule="auto"/>
        <w:ind w:firstLine="240"/>
        <w:jc w:val="left"/>
        <w:rPr>
          <w:rFonts w:ascii="仿宋" w:hAnsi="仿宋" w:eastAsia="仿宋"/>
          <w:sz w:val="24"/>
          <w:highlight w:val="none"/>
        </w:rPr>
      </w:pPr>
      <w:r>
        <w:rPr>
          <w:rFonts w:ascii="仿宋" w:hAnsi="仿宋" w:eastAsia="仿宋"/>
          <w:color w:val="000000"/>
          <w:sz w:val="24"/>
          <w:highlight w:val="none"/>
        </w:rPr>
        <w:t>附件：</w:t>
      </w:r>
      <w:r>
        <w:rPr>
          <w:rFonts w:hint="eastAsia" w:ascii="仿宋" w:hAnsi="仿宋" w:eastAsia="仿宋"/>
          <w:color w:val="000000"/>
          <w:sz w:val="24"/>
          <w:highlight w:val="none"/>
          <w:lang w:val="en-US" w:eastAsia="zh-CN"/>
        </w:rPr>
        <w:t>广州市智鸿房地产开发有限公司设计</w:t>
      </w:r>
      <w:r>
        <w:rPr>
          <w:rFonts w:ascii="仿宋" w:hAnsi="仿宋" w:eastAsia="仿宋"/>
          <w:color w:val="000000"/>
          <w:sz w:val="24"/>
          <w:highlight w:val="none"/>
        </w:rPr>
        <w:t>文件深度和设计错误的分类及惩罚措施</w:t>
      </w:r>
    </w:p>
    <w:p w14:paraId="0A34A0A5">
      <w:pPr>
        <w:spacing w:line="312" w:lineRule="auto"/>
        <w:jc w:val="left"/>
        <w:rPr>
          <w:rFonts w:ascii="仿宋" w:hAnsi="仿宋" w:eastAsia="仿宋"/>
          <w:sz w:val="24"/>
          <w:highlight w:val="none"/>
        </w:rPr>
      </w:pPr>
    </w:p>
    <w:p w14:paraId="47C34C57">
      <w:pPr>
        <w:spacing w:line="312" w:lineRule="auto"/>
        <w:jc w:val="left"/>
        <w:rPr>
          <w:rFonts w:ascii="仿宋" w:hAnsi="仿宋" w:eastAsia="仿宋"/>
          <w:sz w:val="24"/>
          <w:highlight w:val="none"/>
        </w:rPr>
      </w:pPr>
    </w:p>
    <w:p w14:paraId="6FE74EE5">
      <w:pPr>
        <w:jc w:val="center"/>
        <w:rPr>
          <w:rFonts w:hint="eastAsia" w:ascii="宋体;SimSun" w:hAnsi="宋体;SimSun"/>
          <w:b/>
          <w:sz w:val="28"/>
          <w:highlight w:val="none"/>
          <w:lang w:val="en-US" w:eastAsia="zh-CN"/>
        </w:rPr>
      </w:pPr>
    </w:p>
    <w:p w14:paraId="41B93122">
      <w:pPr>
        <w:jc w:val="center"/>
        <w:rPr>
          <w:rFonts w:hint="eastAsia" w:ascii="宋体;SimSun" w:hAnsi="宋体;SimSun"/>
          <w:b/>
          <w:sz w:val="28"/>
          <w:highlight w:val="none"/>
          <w:lang w:val="en-US" w:eastAsia="zh-CN"/>
        </w:rPr>
      </w:pPr>
      <w:r>
        <w:rPr>
          <w:rFonts w:hint="eastAsia" w:ascii="宋体;SimSun" w:hAnsi="宋体;SimSun"/>
          <w:b/>
          <w:sz w:val="28"/>
          <w:highlight w:val="none"/>
          <w:lang w:val="en-US" w:eastAsia="zh-CN"/>
        </w:rPr>
        <w:t>广州市智鸿房地产开发有限公司</w:t>
      </w:r>
    </w:p>
    <w:p w14:paraId="254273C6">
      <w:pPr>
        <w:jc w:val="center"/>
        <w:rPr>
          <w:rFonts w:ascii="仿宋" w:hAnsi="仿宋" w:eastAsia="仿宋"/>
          <w:sz w:val="24"/>
          <w:highlight w:val="none"/>
        </w:rPr>
      </w:pPr>
      <w:r>
        <w:rPr>
          <w:rFonts w:ascii="宋体;SimSun" w:hAnsi="宋体;SimSun"/>
          <w:b/>
          <w:sz w:val="28"/>
          <w:highlight w:val="none"/>
        </w:rPr>
        <w:t>设计文件深度和设计错误的分类及惩罚措施</w:t>
      </w:r>
    </w:p>
    <w:p w14:paraId="28B1F5FB">
      <w:pPr>
        <w:jc w:val="center"/>
        <w:rPr>
          <w:rFonts w:ascii="仿宋" w:hAnsi="仿宋" w:eastAsia="仿宋"/>
          <w:sz w:val="24"/>
          <w:highlight w:val="none"/>
        </w:rPr>
      </w:pPr>
      <w:r>
        <w:rPr>
          <w:rFonts w:ascii="宋体;SimSun" w:hAnsi="宋体;SimSun"/>
          <w:b/>
          <w:sz w:val="28"/>
          <w:highlight w:val="none"/>
        </w:rPr>
        <w:t>（室内设计）</w:t>
      </w:r>
    </w:p>
    <w:p w14:paraId="0B47DFA4">
      <w:pPr>
        <w:spacing w:line="360" w:lineRule="auto"/>
        <w:jc w:val="center"/>
        <w:rPr>
          <w:rFonts w:ascii="仿宋" w:hAnsi="仿宋" w:eastAsia="仿宋"/>
          <w:sz w:val="24"/>
          <w:highlight w:val="none"/>
        </w:rPr>
      </w:pPr>
    </w:p>
    <w:p w14:paraId="63EFBED3">
      <w:pPr>
        <w:spacing w:line="360" w:lineRule="auto"/>
        <w:rPr>
          <w:rFonts w:ascii="仿宋" w:hAnsi="仿宋" w:eastAsia="仿宋"/>
          <w:sz w:val="24"/>
          <w:highlight w:val="none"/>
        </w:rPr>
      </w:pPr>
      <w:r>
        <w:rPr>
          <w:rFonts w:ascii="宋体;SimSun" w:hAnsi="宋体;SimSun"/>
          <w:highlight w:val="none"/>
        </w:rPr>
        <w:t xml:space="preserve">  </w:t>
      </w:r>
      <w:r>
        <w:rPr>
          <w:rFonts w:hint="eastAsia" w:ascii="宋体;SimSun" w:hAnsi="宋体;SimSun" w:eastAsia="宋体"/>
          <w:highlight w:val="none"/>
          <w:lang w:val="en-US" w:eastAsia="zh-CN"/>
        </w:rPr>
        <w:t xml:space="preserve">         </w:t>
      </w:r>
      <w:r>
        <w:rPr>
          <w:rFonts w:ascii="仿宋" w:hAnsi="仿宋" w:eastAsia="仿宋"/>
          <w:color w:val="000000"/>
          <w:sz w:val="24"/>
          <w:highlight w:val="none"/>
        </w:rPr>
        <w:t>针对以往工程的图纸错误较多及深度不够等质量问题，造成甲方经济损失，特制定出各专业图纸的设计深度要求及各专业图纸的错误分类和惩罚措施。</w:t>
      </w:r>
    </w:p>
    <w:p w14:paraId="63E8D4E4">
      <w:pPr>
        <w:spacing w:line="360" w:lineRule="auto"/>
        <w:rPr>
          <w:rFonts w:ascii="仿宋" w:hAnsi="仿宋" w:eastAsia="仿宋"/>
          <w:sz w:val="24"/>
          <w:highlight w:val="none"/>
        </w:rPr>
      </w:pPr>
      <w:r>
        <w:rPr>
          <w:rFonts w:ascii="仿宋" w:hAnsi="仿宋" w:eastAsia="仿宋"/>
          <w:color w:val="000000"/>
          <w:sz w:val="24"/>
          <w:highlight w:val="none"/>
        </w:rPr>
        <w:t>一、设计深度</w:t>
      </w:r>
    </w:p>
    <w:p w14:paraId="06703483">
      <w:pPr>
        <w:spacing w:line="360" w:lineRule="auto"/>
        <w:ind w:firstLine="480"/>
        <w:rPr>
          <w:rFonts w:ascii="仿宋" w:hAnsi="仿宋" w:eastAsia="仿宋"/>
          <w:sz w:val="24"/>
          <w:highlight w:val="none"/>
        </w:rPr>
      </w:pPr>
      <w:r>
        <w:rPr>
          <w:rFonts w:ascii="仿宋" w:hAnsi="仿宋" w:eastAsia="仿宋"/>
          <w:color w:val="000000"/>
          <w:sz w:val="24"/>
          <w:highlight w:val="none"/>
        </w:rPr>
        <w:t>各阶段设计的深度要求应遵照建设部编制的各类建筑工程设计文件编制深度的规定、《06SJ803：民用建筑工程室内施工图设计深度图样》以及甲方提供的设计深度（如有）等要求执行。</w:t>
      </w:r>
    </w:p>
    <w:p w14:paraId="5B32C104">
      <w:pPr>
        <w:spacing w:line="360" w:lineRule="auto"/>
        <w:rPr>
          <w:rFonts w:ascii="仿宋" w:hAnsi="仿宋" w:eastAsia="仿宋"/>
          <w:sz w:val="24"/>
          <w:highlight w:val="none"/>
        </w:rPr>
      </w:pPr>
      <w:r>
        <w:rPr>
          <w:rFonts w:ascii="仿宋" w:hAnsi="仿宋" w:eastAsia="仿宋"/>
          <w:color w:val="000000"/>
          <w:sz w:val="24"/>
          <w:highlight w:val="none"/>
        </w:rPr>
        <w:t>二、图纸的错误分类</w:t>
      </w:r>
    </w:p>
    <w:p w14:paraId="00D05910">
      <w:pPr>
        <w:spacing w:line="360" w:lineRule="auto"/>
        <w:rPr>
          <w:rFonts w:ascii="仿宋" w:hAnsi="仿宋" w:eastAsia="仿宋"/>
          <w:sz w:val="24"/>
          <w:highlight w:val="none"/>
        </w:rPr>
      </w:pPr>
      <w:r>
        <w:rPr>
          <w:rFonts w:ascii="仿宋" w:hAnsi="仿宋" w:eastAsia="仿宋"/>
          <w:color w:val="000000"/>
          <w:sz w:val="24"/>
          <w:highlight w:val="none"/>
        </w:rPr>
        <w:t>1、I类错误：</w:t>
      </w:r>
    </w:p>
    <w:p w14:paraId="1287B7B5">
      <w:pPr>
        <w:spacing w:line="360" w:lineRule="auto"/>
        <w:ind w:firstLine="480"/>
        <w:rPr>
          <w:rFonts w:ascii="仿宋" w:hAnsi="仿宋" w:eastAsia="仿宋"/>
          <w:sz w:val="24"/>
          <w:highlight w:val="none"/>
        </w:rPr>
      </w:pPr>
      <w:r>
        <w:rPr>
          <w:rFonts w:ascii="仿宋" w:hAnsi="仿宋" w:eastAsia="仿宋"/>
          <w:color w:val="000000"/>
          <w:sz w:val="24"/>
          <w:highlight w:val="none"/>
        </w:rPr>
        <w:t>A、严重违反规范、标准、规定（含规范中所有强制性条文），有可能造成严重影响安全和使用的错误.严重影响装修完成效果的错误。如：</w:t>
      </w:r>
    </w:p>
    <w:p w14:paraId="402D9804">
      <w:pPr>
        <w:spacing w:line="360" w:lineRule="auto"/>
        <w:ind w:firstLine="480"/>
        <w:jc w:val="left"/>
        <w:rPr>
          <w:rFonts w:ascii="仿宋" w:hAnsi="仿宋" w:eastAsia="仿宋"/>
          <w:sz w:val="24"/>
          <w:highlight w:val="none"/>
        </w:rPr>
      </w:pPr>
      <w:r>
        <w:rPr>
          <w:rFonts w:ascii="仿宋" w:hAnsi="仿宋" w:eastAsia="仿宋"/>
          <w:color w:val="000000"/>
          <w:sz w:val="24"/>
          <w:highlight w:val="none"/>
        </w:rPr>
        <w:t xml:space="preserve">材料：材料的选用未能达到国家规范的防火等级要求，不满足消防要求的错误；材料的选用未能达到国家规范和行业规范的环保要求的错误；材料的选用与确认效果图效果在质感、颜色、光泽、质量等有较大的差异，达不到确认的装修效果的错误；因设计、施工图、材料选版等原因需材料更换造成重大经济损失的错误。 </w:t>
      </w:r>
    </w:p>
    <w:p w14:paraId="465050DE">
      <w:pPr>
        <w:spacing w:line="360" w:lineRule="auto"/>
        <w:ind w:firstLine="480"/>
        <w:jc w:val="left"/>
        <w:rPr>
          <w:rFonts w:ascii="仿宋" w:hAnsi="仿宋" w:eastAsia="仿宋"/>
          <w:sz w:val="24"/>
          <w:highlight w:val="none"/>
        </w:rPr>
      </w:pPr>
      <w:r>
        <w:rPr>
          <w:rFonts w:ascii="仿宋" w:hAnsi="仿宋" w:eastAsia="仿宋"/>
          <w:color w:val="000000"/>
          <w:sz w:val="24"/>
          <w:highlight w:val="none"/>
        </w:rPr>
        <w:t>项目材料方案未经过经济、技术方案比较、管线综合图未经过经济性分析，造成严重损失。</w:t>
      </w:r>
    </w:p>
    <w:p w14:paraId="106F4475">
      <w:pPr>
        <w:spacing w:line="360" w:lineRule="auto"/>
        <w:ind w:firstLine="480"/>
        <w:rPr>
          <w:rFonts w:ascii="仿宋" w:hAnsi="仿宋" w:eastAsia="仿宋"/>
          <w:sz w:val="24"/>
          <w:highlight w:val="none"/>
        </w:rPr>
      </w:pPr>
      <w:r>
        <w:rPr>
          <w:rFonts w:ascii="仿宋" w:hAnsi="仿宋" w:eastAsia="仿宋"/>
          <w:color w:val="000000"/>
          <w:sz w:val="24"/>
          <w:highlight w:val="none"/>
        </w:rPr>
        <w:t>机电末端：规范要求的消防设施、防火排烟设施未设计；电话、网络、电视、消防、安防等系统设置不合理或系统设置错漏，严重违反规范、标准、规定等。</w:t>
      </w:r>
    </w:p>
    <w:p w14:paraId="596F94CC">
      <w:pPr>
        <w:spacing w:line="360" w:lineRule="auto"/>
        <w:ind w:firstLine="480"/>
        <w:rPr>
          <w:rFonts w:ascii="仿宋" w:hAnsi="仿宋" w:eastAsia="仿宋"/>
          <w:sz w:val="24"/>
          <w:highlight w:val="none"/>
        </w:rPr>
      </w:pPr>
      <w:r>
        <w:rPr>
          <w:rFonts w:ascii="仿宋" w:hAnsi="仿宋" w:eastAsia="仿宋"/>
          <w:color w:val="000000"/>
          <w:sz w:val="24"/>
          <w:highlight w:val="none"/>
        </w:rPr>
        <w:t>未能配合甲方设计图纸政府部门审查，延误报建进度。</w:t>
      </w:r>
    </w:p>
    <w:p w14:paraId="5724BA4A">
      <w:pPr>
        <w:spacing w:line="360" w:lineRule="auto"/>
        <w:ind w:firstLine="480"/>
        <w:rPr>
          <w:rFonts w:ascii="仿宋" w:hAnsi="仿宋" w:eastAsia="仿宋"/>
          <w:sz w:val="24"/>
          <w:highlight w:val="none"/>
        </w:rPr>
      </w:pPr>
      <w:r>
        <w:rPr>
          <w:rFonts w:ascii="仿宋" w:hAnsi="仿宋" w:eastAsia="仿宋"/>
          <w:color w:val="000000"/>
          <w:sz w:val="24"/>
          <w:highlight w:val="none"/>
        </w:rPr>
        <w:t>节能设计未满足国家与地方节能设计要求，延误报建进度。</w:t>
      </w:r>
    </w:p>
    <w:p w14:paraId="24584AC2">
      <w:pPr>
        <w:spacing w:line="360" w:lineRule="auto"/>
        <w:ind w:firstLine="480"/>
        <w:rPr>
          <w:rFonts w:ascii="仿宋" w:hAnsi="仿宋" w:eastAsia="仿宋"/>
          <w:sz w:val="24"/>
          <w:highlight w:val="none"/>
        </w:rPr>
      </w:pPr>
      <w:r>
        <w:rPr>
          <w:rFonts w:ascii="仿宋" w:hAnsi="仿宋" w:eastAsia="仿宋"/>
          <w:color w:val="000000"/>
          <w:sz w:val="24"/>
          <w:highlight w:val="none"/>
        </w:rPr>
        <w:t>未能及时配合甲方其他精装修、景观园林、建筑、结构、给排水、暖通、电气等设计单位或相关专业工作，造成延误设计或施工工作进度的错误。</w:t>
      </w:r>
    </w:p>
    <w:p w14:paraId="194B6108">
      <w:pPr>
        <w:spacing w:line="360" w:lineRule="auto"/>
        <w:ind w:firstLine="480"/>
        <w:rPr>
          <w:rFonts w:ascii="仿宋" w:hAnsi="仿宋" w:eastAsia="仿宋"/>
          <w:sz w:val="24"/>
          <w:highlight w:val="none"/>
        </w:rPr>
      </w:pPr>
      <w:r>
        <w:rPr>
          <w:rFonts w:ascii="仿宋" w:hAnsi="仿宋" w:eastAsia="仿宋"/>
          <w:color w:val="000000"/>
          <w:sz w:val="24"/>
          <w:highlight w:val="none"/>
        </w:rPr>
        <w:t>派驻现场设计师工作不到位，延误施工进度。</w:t>
      </w:r>
    </w:p>
    <w:p w14:paraId="35D38CC1">
      <w:pPr>
        <w:spacing w:line="360" w:lineRule="auto"/>
        <w:ind w:firstLine="480"/>
        <w:rPr>
          <w:rFonts w:ascii="仿宋" w:hAnsi="仿宋" w:eastAsia="仿宋"/>
          <w:sz w:val="24"/>
          <w:highlight w:val="none"/>
        </w:rPr>
      </w:pPr>
      <w:r>
        <w:rPr>
          <w:rFonts w:ascii="仿宋" w:hAnsi="仿宋" w:eastAsia="仿宋"/>
          <w:color w:val="000000"/>
          <w:sz w:val="24"/>
          <w:highlight w:val="none"/>
        </w:rPr>
        <w:t>售楼所需的图册（各类平面图）和文字说明错误导致延误租售工作或造成客户有效投诉。</w:t>
      </w:r>
    </w:p>
    <w:p w14:paraId="0155E5A3">
      <w:pPr>
        <w:tabs>
          <w:tab w:val="left" w:pos="704"/>
        </w:tabs>
        <w:spacing w:line="360" w:lineRule="auto"/>
        <w:ind w:firstLine="480"/>
        <w:rPr>
          <w:rFonts w:ascii="仿宋" w:hAnsi="仿宋" w:eastAsia="仿宋"/>
          <w:sz w:val="24"/>
          <w:highlight w:val="none"/>
        </w:rPr>
      </w:pPr>
      <w:r>
        <w:rPr>
          <w:rFonts w:ascii="仿宋" w:hAnsi="仿宋" w:eastAsia="仿宋"/>
          <w:color w:val="000000"/>
          <w:sz w:val="24"/>
          <w:highlight w:val="none"/>
        </w:rPr>
        <w:t>在未征得甲方同意的情况下乙方在图纸中设计了具有专利性质的设备。</w:t>
      </w:r>
    </w:p>
    <w:p w14:paraId="25EE9D6D">
      <w:pPr>
        <w:tabs>
          <w:tab w:val="left" w:pos="704"/>
        </w:tabs>
        <w:spacing w:line="360" w:lineRule="auto"/>
        <w:ind w:firstLine="480"/>
        <w:rPr>
          <w:rFonts w:ascii="仿宋" w:hAnsi="仿宋" w:eastAsia="仿宋"/>
          <w:sz w:val="24"/>
          <w:highlight w:val="none"/>
        </w:rPr>
      </w:pPr>
      <w:r>
        <w:rPr>
          <w:rFonts w:ascii="仿宋" w:hAnsi="仿宋" w:eastAsia="仿宋"/>
          <w:color w:val="000000"/>
          <w:sz w:val="24"/>
          <w:highlight w:val="none"/>
        </w:rPr>
        <w:t>乙方在招标图纸、材料表、洁具表、五金表、灯具表等图纸表格中明确了产品品牌、或设计参数只有少数品牌能满足，导致招标过程中出现品牌指向问题。</w:t>
      </w:r>
    </w:p>
    <w:p w14:paraId="779CDF43">
      <w:pPr>
        <w:tabs>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B、设计不周或有严重错误，有可能造成影响装修效果、不能正常使用、不安全或重大经济损失。如：</w:t>
      </w:r>
    </w:p>
    <w:p w14:paraId="11DECAEA">
      <w:pPr>
        <w:tabs>
          <w:tab w:val="center" w:pos="540"/>
          <w:tab w:val="center" w:pos="720"/>
          <w:tab w:val="left" w:pos="2385"/>
        </w:tabs>
        <w:spacing w:line="360" w:lineRule="auto"/>
        <w:ind w:left="151" w:firstLine="480"/>
        <w:rPr>
          <w:rFonts w:ascii="仿宋" w:hAnsi="仿宋" w:eastAsia="仿宋"/>
          <w:sz w:val="24"/>
          <w:highlight w:val="none"/>
        </w:rPr>
      </w:pPr>
      <w:r>
        <w:rPr>
          <w:rFonts w:ascii="仿宋" w:hAnsi="仿宋" w:eastAsia="仿宋"/>
          <w:color w:val="000000"/>
          <w:sz w:val="24"/>
          <w:highlight w:val="none"/>
        </w:rPr>
        <w:t>施工图纸：施工说明内容不全面明确，造成施工不符合规范的错误；平面图纸、立面图纸、剖面图纸、大样图纸等设计错误或者不能对应的错误；报建图、施工图等不能满足要求的错误。</w:t>
      </w:r>
    </w:p>
    <w:p w14:paraId="0A723172">
      <w:pPr>
        <w:tabs>
          <w:tab w:val="center" w:pos="540"/>
          <w:tab w:val="center" w:pos="720"/>
          <w:tab w:val="left" w:pos="2385"/>
        </w:tabs>
        <w:spacing w:line="360" w:lineRule="auto"/>
        <w:ind w:left="151" w:firstLine="480"/>
        <w:rPr>
          <w:rFonts w:ascii="仿宋" w:hAnsi="仿宋" w:eastAsia="仿宋"/>
          <w:sz w:val="24"/>
          <w:highlight w:val="none"/>
        </w:rPr>
      </w:pPr>
      <w:r>
        <w:rPr>
          <w:rFonts w:ascii="仿宋" w:hAnsi="仿宋" w:eastAsia="仿宋"/>
          <w:color w:val="000000"/>
          <w:sz w:val="24"/>
          <w:highlight w:val="none"/>
        </w:rPr>
        <w:t>机电设备：选用国家已公布的机电淘汰产品；供配电系统的控制保护，自动控制和自动调节原理图有严重错误；各弱电系统弱电设备之间线路连接有严重错误造成较大变更增项等。</w:t>
      </w:r>
    </w:p>
    <w:p w14:paraId="36F78DE6">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C、严重影响报建及租售工作进行的相关错误。</w:t>
      </w:r>
    </w:p>
    <w:p w14:paraId="5B0A074F">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D、设计文件未满足设计深度要求，出现了严重的设计漏项。</w:t>
      </w:r>
    </w:p>
    <w:p w14:paraId="01EC1701">
      <w:pPr>
        <w:tabs>
          <w:tab w:val="center" w:pos="540"/>
          <w:tab w:val="center" w:pos="720"/>
          <w:tab w:val="left" w:pos="2385"/>
        </w:tabs>
        <w:spacing w:line="360" w:lineRule="auto"/>
        <w:rPr>
          <w:rFonts w:ascii="仿宋" w:hAnsi="仿宋" w:eastAsia="仿宋"/>
          <w:sz w:val="24"/>
          <w:highlight w:val="none"/>
        </w:rPr>
      </w:pPr>
      <w:r>
        <w:rPr>
          <w:rFonts w:ascii="仿宋" w:hAnsi="仿宋" w:eastAsia="仿宋"/>
          <w:color w:val="000000"/>
          <w:sz w:val="24"/>
          <w:highlight w:val="none"/>
        </w:rPr>
        <w:t>2、Ⅱ类错误：</w:t>
      </w:r>
    </w:p>
    <w:p w14:paraId="601C225B">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A、局部违反规范、标准、规定、对装修效果影响较小、且容易修正、且返工量不大。如：</w:t>
      </w:r>
    </w:p>
    <w:p w14:paraId="4F403977">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通用设计：栏杆的高度及强度不符合要求；设计后的疏散门宽度不够、管道井门、管线穿越不同空间隔墙时，措施不符合防火规范等。</w:t>
      </w:r>
    </w:p>
    <w:p w14:paraId="76577ECF">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给排水设计：生活饮用水管与非饮用水管道连接，未采取防回流污染措施等。</w:t>
      </w:r>
    </w:p>
    <w:p w14:paraId="27149AA9">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暖通设计：管道井不符合防火规定；过防火墙未装防火阀；风管材料及保温材料不符合防火要求等。</w:t>
      </w:r>
    </w:p>
    <w:p w14:paraId="0F4590CE">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电气设计：烟、温感探测器的选型和设置不合理；与给排水、暖通等专业的配合到位，造成错漏较多等。</w:t>
      </w:r>
    </w:p>
    <w:p w14:paraId="04B5B4F2">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B、设计不周、构造或用量不当，有可能造成影响局部使用效果，或重要部位尺寸错误，有可能造成严重后果。如：</w:t>
      </w:r>
    </w:p>
    <w:p w14:paraId="716CF1BF">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通用设计：结构承重部分在设计图中未完全反映或错误；声光热防水防潮等的技术处理欠妥等。存在明显的未设计部分，影响现场进度。</w:t>
      </w:r>
    </w:p>
    <w:p w14:paraId="1A3C7EFD">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结构设计：各种门/窗洞高度不符合建筑设计要求，严重影响使用要求；结构标高与完成面层要求不符；阳台、雨蓬的倾覆安全不够；应设置构造钢筋的部位不设或少设。</w:t>
      </w:r>
    </w:p>
    <w:p w14:paraId="52C8F085">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机电设计：选用了已淘汰的耗能大的设备。设备末端未考虑检修条件等；风机的消声、减震处理不当等；强、弱电各种线路布局不合理，设备选型不当。</w:t>
      </w:r>
    </w:p>
    <w:p w14:paraId="26F89AF3">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C、工种配合严重错误或局部遗漏有可能造成影响使用，或造成施工返工，如装修隔墙上预埋孔洞未预留，造成返工。</w:t>
      </w:r>
    </w:p>
    <w:p w14:paraId="70F43F8F">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D、严重影响报建及租售工作的进行：各功能区未详细标明或标识不清，影响面积查丈及验收。</w:t>
      </w:r>
    </w:p>
    <w:p w14:paraId="0A489A2D">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E、设计图纸出现了一般的设计漏项。</w:t>
      </w:r>
    </w:p>
    <w:p w14:paraId="1B040176">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F、定板定样工作配合不足，导致施工进度延误。</w:t>
      </w:r>
    </w:p>
    <w:p w14:paraId="5C99C2DE">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G、设计图纸中要求的设备材料的消防耐火等级不满足规范要求。</w:t>
      </w:r>
    </w:p>
    <w:p w14:paraId="4DF7C19B">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H、因专业设计之间的冲突或互相提资不足而产生了设计变更，造成返工工程量较大或影响工期。</w:t>
      </w:r>
    </w:p>
    <w:p w14:paraId="6F1DCD38">
      <w:pPr>
        <w:tabs>
          <w:tab w:val="center" w:pos="180"/>
          <w:tab w:val="center" w:pos="360"/>
          <w:tab w:val="center" w:pos="540"/>
          <w:tab w:val="center" w:pos="720"/>
          <w:tab w:val="center" w:pos="1080"/>
          <w:tab w:val="center" w:pos="1440"/>
          <w:tab w:val="center" w:pos="2160"/>
          <w:tab w:val="left" w:pos="2385"/>
        </w:tabs>
        <w:spacing w:line="360" w:lineRule="auto"/>
        <w:ind w:left="360" w:hanging="360"/>
        <w:rPr>
          <w:rFonts w:ascii="仿宋" w:hAnsi="仿宋" w:eastAsia="仿宋"/>
          <w:color w:val="000000"/>
          <w:sz w:val="24"/>
          <w:highlight w:val="none"/>
        </w:rPr>
      </w:pPr>
      <w:r>
        <w:rPr>
          <w:rFonts w:ascii="仿宋" w:hAnsi="仿宋" w:eastAsia="仿宋"/>
          <w:color w:val="000000"/>
          <w:sz w:val="24"/>
          <w:highlight w:val="none"/>
        </w:rPr>
        <w:t>3、Ⅲ类错误</w:t>
      </w:r>
    </w:p>
    <w:p w14:paraId="5C4246C3">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A、容易修正、且不造成使用或安全缺陷，但会给建设单位、施工单位带来麻烦。如：图纸目录不全、表达不够清楚、平剖面图不一致、一般性尺寸错误或不全、图例或符号不合规定、平面图与系统图不一致等；设计文件、计算书及存档材料的完整性不够；设计说明、图纸目录不全、图例符号表达不合规定；系统图与平面图的一致性的错、漏、碰、缺等。</w:t>
      </w:r>
    </w:p>
    <w:p w14:paraId="69923331">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B、工种配合中的一般性错误，容易修正，且不致造成影响使用效果或安全。</w:t>
      </w:r>
    </w:p>
    <w:p w14:paraId="3A0EA81F">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C、因专业设计之间的冲突或互相提资不足而产生了设计变更，造成的影响较小。</w:t>
      </w:r>
    </w:p>
    <w:p w14:paraId="240E08B6">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D、设计文件未满足设计深度要求，出现了轻微的设计漏项。</w:t>
      </w:r>
    </w:p>
    <w:p w14:paraId="35D841F3">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E、对甲方提出的图纸问题，未按合同要求时间内出具变更或解决方案。</w:t>
      </w:r>
    </w:p>
    <w:p w14:paraId="029182B7">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F、正式的设计文件、设计样板或设计变更未按合同要求的时间内送达指定地点。</w:t>
      </w:r>
    </w:p>
    <w:p w14:paraId="4BFC5DB6">
      <w:pPr>
        <w:spacing w:line="360" w:lineRule="auto"/>
        <w:rPr>
          <w:rFonts w:ascii="仿宋" w:hAnsi="仿宋" w:eastAsia="仿宋"/>
          <w:sz w:val="24"/>
          <w:highlight w:val="none"/>
        </w:rPr>
      </w:pPr>
      <w:r>
        <w:rPr>
          <w:rFonts w:ascii="仿宋" w:hAnsi="仿宋" w:eastAsia="仿宋"/>
          <w:color w:val="000000"/>
          <w:sz w:val="24"/>
          <w:highlight w:val="none"/>
        </w:rPr>
        <w:t>三、惩罚措施</w:t>
      </w:r>
    </w:p>
    <w:p w14:paraId="4150220E">
      <w:pPr>
        <w:spacing w:line="360" w:lineRule="auto"/>
        <w:rPr>
          <w:rFonts w:ascii="仿宋" w:hAnsi="仿宋" w:eastAsia="仿宋"/>
          <w:sz w:val="24"/>
          <w:highlight w:val="none"/>
        </w:rPr>
      </w:pPr>
      <w:r>
        <w:rPr>
          <w:rFonts w:ascii="仿宋" w:hAnsi="仿宋" w:eastAsia="仿宋"/>
          <w:color w:val="000000"/>
          <w:sz w:val="24"/>
          <w:highlight w:val="none"/>
        </w:rPr>
        <w:t>1、错误惩罚最高金额为装修工程设计费总价的30%.</w:t>
      </w:r>
    </w:p>
    <w:p w14:paraId="135302E1">
      <w:pPr>
        <w:spacing w:line="360" w:lineRule="auto"/>
        <w:rPr>
          <w:rFonts w:ascii="仿宋" w:hAnsi="仿宋" w:eastAsia="仿宋"/>
          <w:sz w:val="24"/>
          <w:highlight w:val="none"/>
        </w:rPr>
      </w:pPr>
      <w:r>
        <w:rPr>
          <w:rFonts w:ascii="仿宋" w:hAnsi="仿宋" w:eastAsia="仿宋"/>
          <w:color w:val="000000"/>
          <w:sz w:val="24"/>
          <w:highlight w:val="none"/>
        </w:rPr>
        <w:t>2、惩罚方式：</w:t>
      </w:r>
    </w:p>
    <w:p w14:paraId="471EF394">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A、方案阶段：若设计方案两次因设计深度不符或图纸错误被相关部门退文处理的，甲方有权从设计费中扣除方案阶段惩罚金。</w:t>
      </w:r>
    </w:p>
    <w:p w14:paraId="2608207A">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B、扩初阶段和施工图阶段：</w:t>
      </w:r>
    </w:p>
    <w:p w14:paraId="0128EDA0">
      <w:pPr>
        <w:spacing w:line="360" w:lineRule="auto"/>
        <w:ind w:firstLine="480"/>
        <w:rPr>
          <w:rFonts w:ascii="仿宋" w:hAnsi="仿宋" w:eastAsia="仿宋"/>
          <w:sz w:val="24"/>
          <w:highlight w:val="none"/>
        </w:rPr>
      </w:pPr>
      <w:r>
        <w:rPr>
          <w:rFonts w:ascii="仿宋" w:hAnsi="仿宋" w:eastAsia="仿宋"/>
          <w:color w:val="000000"/>
          <w:sz w:val="24"/>
          <w:highlight w:val="none"/>
        </w:rPr>
        <w:t>按照以上第一、二条对设计的每个阶段的质量进行评判及惩罚；在乙方提供的设计文件中，若出现Ⅰ类问题，每个扣人民币5万元整；若出现Ⅱ类问题多于5个者，每增加一个问题扣人民币5000元整；若出现Ⅲ类问题多于50个者，每增加5个问题扣人民币3000元整（不超过5个按5个计算）。</w:t>
      </w:r>
    </w:p>
    <w:p w14:paraId="33142480">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C、甲方提出审图意见后，若乙方同意修改却未修改到位，则该条错误分类按照上升1级处罚。</w:t>
      </w:r>
    </w:p>
    <w:p w14:paraId="550D1A99">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D、若因图纸错误造成甲方蒙受严重经济损失时，则视具体问题及严重程度给予恰当的赔偿金额，其金额由双方协商，甲方有权在甲方向乙方支付的任何费用中扣除。</w:t>
      </w:r>
    </w:p>
    <w:p w14:paraId="04DE75C9">
      <w:pPr>
        <w:tabs>
          <w:tab w:val="center" w:pos="540"/>
          <w:tab w:val="center" w:pos="720"/>
          <w:tab w:val="left" w:pos="2385"/>
        </w:tabs>
        <w:spacing w:line="360" w:lineRule="auto"/>
        <w:ind w:firstLine="480"/>
        <w:rPr>
          <w:rFonts w:ascii="仿宋" w:hAnsi="仿宋" w:eastAsia="仿宋"/>
          <w:sz w:val="24"/>
          <w:highlight w:val="none"/>
        </w:rPr>
      </w:pPr>
      <w:r>
        <w:rPr>
          <w:rFonts w:ascii="仿宋" w:hAnsi="仿宋" w:eastAsia="仿宋"/>
          <w:color w:val="000000"/>
          <w:sz w:val="24"/>
          <w:highlight w:val="none"/>
        </w:rPr>
        <w:t>E、若由于图纸深度不够、设计缺陷过多，甲方有权要求乙方派驻设计代表驻现场解决设计问题，派驻的设计代表费用一律由乙方承担，派驻时间地点由甲方视情况而定，乙方不得拒绝。</w:t>
      </w:r>
    </w:p>
    <w:p w14:paraId="035B77C4">
      <w:pPr>
        <w:spacing w:line="360" w:lineRule="auto"/>
        <w:jc w:val="left"/>
        <w:rPr>
          <w:rFonts w:ascii="仿宋" w:hAnsi="仿宋" w:eastAsia="仿宋"/>
          <w:sz w:val="24"/>
          <w:highlight w:val="none"/>
        </w:rPr>
      </w:pPr>
    </w:p>
    <w:p w14:paraId="0C1ACF1E">
      <w:pPr>
        <w:jc w:val="left"/>
        <w:rPr>
          <w:highlight w:val="none"/>
        </w:rPr>
      </w:pPr>
    </w:p>
    <w:p w14:paraId="1A3DCB7B">
      <w:pPr>
        <w:spacing w:line="360" w:lineRule="auto"/>
        <w:jc w:val="left"/>
        <w:rPr>
          <w:rFonts w:hint="default" w:ascii="仿宋_GB2312;仿宋" w:hAnsi="仿宋_GB2312;仿宋" w:eastAsia="仿宋_GB2312;仿宋"/>
          <w:b w:val="0"/>
          <w:color w:val="000000" w:themeColor="text1"/>
          <w:sz w:val="24"/>
          <w:highlight w:val="none"/>
          <w:lang w:val="en-US" w:eastAsia="zh-CN"/>
          <w14:textFill>
            <w14:solidFill>
              <w14:schemeClr w14:val="tx1"/>
            </w14:solidFill>
          </w14:textFill>
        </w:rPr>
      </w:pPr>
    </w:p>
    <w:p w14:paraId="50AA17B4">
      <w:pPr>
        <w:rPr>
          <w:highlight w:val="none"/>
        </w:rPr>
      </w:pPr>
    </w:p>
    <w:sectPr>
      <w:footerReference r:id="rId4" w:type="first"/>
      <w:footerReference r:id="rId3" w:type="default"/>
      <w:pgSz w:w="11906" w:h="16838"/>
      <w:pgMar w:top="1361" w:right="1191" w:bottom="1361" w:left="1191" w:header="0"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SimSun">
    <w:altName w:val="宋体"/>
    <w:panose1 w:val="00000000000000000000"/>
    <w:charset w:val="00"/>
    <w:family w:val="auto"/>
    <w:pitch w:val="default"/>
    <w:sig w:usb0="00000000" w:usb1="00000000" w:usb2="00000000" w:usb3="00000000" w:csb0="00000000" w:csb1="00000000"/>
  </w:font>
  <w:font w:name="黑体;SimHei">
    <w:altName w:val="黑体"/>
    <w:panose1 w:val="00000000000000000000"/>
    <w:charset w:val="00"/>
    <w:family w:val="auto"/>
    <w:pitch w:val="default"/>
    <w:sig w:usb0="00000000" w:usb1="00000000" w:usb2="00000000" w:usb3="00000000" w:csb0="00000000" w:csb1="00000000"/>
  </w:font>
  <w:font w:name="仿宋_GB2312;仿宋">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仿宋简体;宋体">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楷体">
    <w:altName w:val="宋体"/>
    <w:panose1 w:val="00000000000000000000"/>
    <w:charset w:val="00"/>
    <w:family w:val="auto"/>
    <w:pitch w:val="default"/>
    <w:sig w:usb0="00000000" w:usb1="00000000" w:usb2="00000000" w:usb3="00000000" w:csb0="00000000" w:csb1="00000000"/>
  </w:font>
  <w:font w:name="Noto Sans">
    <w:altName w:val="Segoe Print"/>
    <w:panose1 w:val="00000000000000000000"/>
    <w:charset w:val="00"/>
    <w:family w:val="swiss"/>
    <w:pitch w:val="default"/>
    <w:sig w:usb0="00000000" w:usb1="00000000" w:usb2="00000021" w:usb3="00000000" w:csb0="0000019F" w:csb1="00000000"/>
  </w:font>
  <w:font w:name="Segoe Print">
    <w:panose1 w:val="02000600000000000000"/>
    <w:charset w:val="00"/>
    <w:family w:val="auto"/>
    <w:pitch w:val="default"/>
    <w:sig w:usb0="0000028F" w:usb1="00000000" w:usb2="00000000" w:usb3="00000000" w:csb0="2000009F" w:csb1="47010000"/>
  </w:font>
  <w:font w:name="DejaVu Serif">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973F7">
    <w:pPr>
      <w:pStyle w:val="13"/>
      <w:jc w:val="center"/>
      <w:rPr>
        <w:rFonts w:ascii="DejaVu Serif" w:hAnsi="DejaVu Serif" w:eastAsia="Noto Sans"/>
      </w:rPr>
    </w:pPr>
    <w:r>
      <w:fldChar w:fldCharType="begin"/>
    </w:r>
    <w:r>
      <w:instrText xml:space="preserve"> PAGE </w:instrText>
    </w:r>
    <w:r>
      <w:fldChar w:fldCharType="separate"/>
    </w:r>
    <w:r>
      <w:rPr>
        <w:rFonts w:ascii="DejaVu Serif" w:hAnsi="DejaVu Serif" w:eastAsia="Noto Sans"/>
        <w:b/>
        <w:sz w:val="24"/>
      </w:rPr>
      <w:t>41</w:t>
    </w:r>
    <w:r>
      <w:fldChar w:fldCharType="end"/>
    </w:r>
    <w:r>
      <w:rPr>
        <w:rFonts w:ascii="DejaVu Serif" w:hAnsi="DejaVu Serif" w:eastAsia="Times New Roman"/>
      </w:rPr>
      <w:t xml:space="preserve"> </w:t>
    </w:r>
    <w:r>
      <w:rPr>
        <w:rFonts w:ascii="DejaVu Serif" w:hAnsi="DejaVu Serif" w:eastAsia="Noto Sans"/>
      </w:rPr>
      <w:t xml:space="preserve">/ </w:t>
    </w:r>
    <w:r>
      <w:fldChar w:fldCharType="begin"/>
    </w:r>
    <w:r>
      <w:instrText xml:space="preserve"> NUMPAGES \* ARABIC </w:instrText>
    </w:r>
    <w:r>
      <w:fldChar w:fldCharType="separate"/>
    </w:r>
    <w:r>
      <w:rPr>
        <w:rFonts w:ascii="DejaVu Serif" w:hAnsi="DejaVu Serif" w:eastAsia="Noto Sans"/>
        <w:b/>
        <w:sz w:val="24"/>
      </w:rPr>
      <w:t>41</w:t>
    </w:r>
  </w:p>
  <w:p w14:paraId="161D8FBC">
    <w:pPr>
      <w:pStyle w:val="13"/>
      <w:rPr>
        <w:rFonts w:ascii="DejaVu Serif" w:hAnsi="DejaVu Serif" w:eastAsia="Noto Sans"/>
      </w:rPr>
    </w:pP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C13F2">
    <w:pPr>
      <w:pStyle w:val="13"/>
      <w:jc w:val="center"/>
      <w:rPr>
        <w:rFonts w:ascii="DejaVu Serif" w:hAnsi="DejaVu Serif" w:eastAsia="Noto Sans"/>
      </w:rPr>
    </w:pPr>
    <w:r>
      <w:fldChar w:fldCharType="begin"/>
    </w:r>
    <w:r>
      <w:instrText xml:space="preserve"> PAGE </w:instrText>
    </w:r>
    <w:r>
      <w:fldChar w:fldCharType="separate"/>
    </w:r>
    <w:r>
      <w:rPr>
        <w:rFonts w:ascii="DejaVu Serif" w:hAnsi="DejaVu Serif" w:eastAsia="Noto Sans"/>
        <w:b/>
        <w:sz w:val="24"/>
      </w:rPr>
      <w:t>1</w:t>
    </w:r>
    <w:r>
      <w:fldChar w:fldCharType="end"/>
    </w:r>
    <w:r>
      <w:rPr>
        <w:rFonts w:ascii="DejaVu Serif" w:hAnsi="DejaVu Serif" w:eastAsia="Times New Roman"/>
      </w:rPr>
      <w:t xml:space="preserve"> </w:t>
    </w:r>
    <w:r>
      <w:rPr>
        <w:rFonts w:ascii="DejaVu Serif" w:hAnsi="DejaVu Serif" w:eastAsia="Noto Sans"/>
      </w:rPr>
      <w:t xml:space="preserve">/ </w:t>
    </w:r>
    <w:r>
      <w:fldChar w:fldCharType="begin"/>
    </w:r>
    <w:r>
      <w:instrText xml:space="preserve"> NUMPAGES \* ARABIC </w:instrText>
    </w:r>
    <w:r>
      <w:fldChar w:fldCharType="separate"/>
    </w:r>
    <w:r>
      <w:rPr>
        <w:rFonts w:ascii="DejaVu Serif" w:hAnsi="DejaVu Serif" w:eastAsia="Noto Sans"/>
        <w:b/>
        <w:sz w:val="24"/>
      </w:rPr>
      <w:t>41</w:t>
    </w:r>
  </w:p>
  <w:p w14:paraId="344804D5">
    <w:pPr>
      <w:pStyle w:val="13"/>
      <w:rPr>
        <w:rFonts w:ascii="DejaVu Serif" w:hAnsi="DejaVu Serif" w:eastAsia="Noto Sans"/>
      </w:rPr>
    </w:pP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7D754"/>
    <w:multiLevelType w:val="multilevel"/>
    <w:tmpl w:val="87F7D754"/>
    <w:lvl w:ilvl="0" w:tentative="0">
      <w:start w:val="2"/>
      <w:numFmt w:val="chineseCountingThousand"/>
      <w:pStyle w:val="76"/>
      <w:lvlText w:val="%1、"/>
      <w:lvlJc w:val="left"/>
      <w:pPr>
        <w:ind w:left="510" w:hanging="510"/>
      </w:pPr>
    </w:lvl>
    <w:lvl w:ilvl="1" w:tentative="0">
      <w:start w:val="1"/>
      <w:numFmt w:val="lowerLetter"/>
      <w:lvlText w:val="%2)"/>
      <w:lvlJc w:val="left"/>
      <w:pPr>
        <w:ind w:left="840" w:hanging="420"/>
      </w:pPr>
    </w:lvl>
    <w:lvl w:ilvl="2" w:tentative="0">
      <w:start w:val="1"/>
      <w:numFmt w:val="lowerRoman"/>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lef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left"/>
      <w:pPr>
        <w:ind w:left="3780" w:hanging="420"/>
      </w:pPr>
    </w:lvl>
  </w:abstractNum>
  <w:abstractNum w:abstractNumId="1">
    <w:nsid w:val="8C9FD5F6"/>
    <w:multiLevelType w:val="singleLevel"/>
    <w:tmpl w:val="8C9FD5F6"/>
    <w:lvl w:ilvl="0" w:tentative="0">
      <w:start w:val="1"/>
      <w:numFmt w:val="decimal"/>
      <w:lvlText w:val="%1."/>
      <w:lvlJc w:val="left"/>
      <w:pPr>
        <w:ind w:left="425" w:hanging="425"/>
      </w:pPr>
      <w:rPr>
        <w:rFonts w:hint="default"/>
      </w:rPr>
    </w:lvl>
  </w:abstractNum>
  <w:abstractNum w:abstractNumId="2">
    <w:nsid w:val="93879058"/>
    <w:multiLevelType w:val="singleLevel"/>
    <w:tmpl w:val="93879058"/>
    <w:lvl w:ilvl="0" w:tentative="0">
      <w:start w:val="1"/>
      <w:numFmt w:val="lowerLetter"/>
      <w:lvlText w:val="%1."/>
      <w:lvlJc w:val="left"/>
      <w:pPr>
        <w:ind w:left="1895" w:hanging="425"/>
      </w:pPr>
      <w:rPr>
        <w:rFonts w:hint="default"/>
      </w:rPr>
    </w:lvl>
  </w:abstractNum>
  <w:abstractNum w:abstractNumId="3">
    <w:nsid w:val="9D344189"/>
    <w:multiLevelType w:val="singleLevel"/>
    <w:tmpl w:val="9D344189"/>
    <w:lvl w:ilvl="0" w:tentative="0">
      <w:start w:val="1"/>
      <w:numFmt w:val="upperLetter"/>
      <w:lvlText w:val="%1."/>
      <w:lvlJc w:val="left"/>
      <w:pPr>
        <w:ind w:left="1685" w:hanging="425"/>
      </w:pPr>
      <w:rPr>
        <w:rFonts w:hint="default"/>
      </w:rPr>
    </w:lvl>
  </w:abstractNum>
  <w:abstractNum w:abstractNumId="4">
    <w:nsid w:val="AD7777F8"/>
    <w:multiLevelType w:val="multilevel"/>
    <w:tmpl w:val="AD7777F8"/>
    <w:lvl w:ilvl="0" w:tentative="0">
      <w:start w:val="1"/>
      <w:numFmt w:val="upperLetter"/>
      <w:lvlText w:val="%1."/>
      <w:lvlJc w:val="left"/>
      <w:pPr>
        <w:ind w:left="1271" w:hanging="420"/>
      </w:pPr>
    </w:lvl>
    <w:lvl w:ilvl="1" w:tentative="0">
      <w:start w:val="1"/>
      <w:numFmt w:val="lowerLetter"/>
      <w:lvlText w:val="%2)"/>
      <w:lvlJc w:val="left"/>
      <w:pPr>
        <w:ind w:left="1691" w:hanging="420"/>
      </w:pPr>
    </w:lvl>
    <w:lvl w:ilvl="2" w:tentative="0">
      <w:start w:val="1"/>
      <w:numFmt w:val="lowerRoman"/>
      <w:lvlText w:val="%3."/>
      <w:lvlJc w:val="lef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lef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left"/>
      <w:pPr>
        <w:ind w:left="4631" w:hanging="420"/>
      </w:pPr>
    </w:lvl>
  </w:abstractNum>
  <w:abstractNum w:abstractNumId="5">
    <w:nsid w:val="ADED6ADC"/>
    <w:multiLevelType w:val="singleLevel"/>
    <w:tmpl w:val="ADED6ADC"/>
    <w:lvl w:ilvl="0" w:tentative="0">
      <w:start w:val="1"/>
      <w:numFmt w:val="decimal"/>
      <w:suff w:val="nothing"/>
      <w:lvlText w:val="%1．"/>
      <w:lvlJc w:val="left"/>
      <w:pPr>
        <w:ind w:left="0" w:firstLine="400"/>
      </w:pPr>
      <w:rPr>
        <w:rFonts w:hint="default"/>
      </w:rPr>
    </w:lvl>
  </w:abstractNum>
  <w:abstractNum w:abstractNumId="6">
    <w:nsid w:val="AE89EF70"/>
    <w:multiLevelType w:val="singleLevel"/>
    <w:tmpl w:val="AE89EF70"/>
    <w:lvl w:ilvl="0" w:tentative="0">
      <w:start w:val="1"/>
      <w:numFmt w:val="decimal"/>
      <w:lvlText w:val="%1)"/>
      <w:lvlJc w:val="left"/>
      <w:pPr>
        <w:ind w:left="1265" w:hanging="425"/>
      </w:pPr>
      <w:rPr>
        <w:rFonts w:hint="default"/>
      </w:rPr>
    </w:lvl>
  </w:abstractNum>
  <w:abstractNum w:abstractNumId="7">
    <w:nsid w:val="B229166D"/>
    <w:multiLevelType w:val="singleLevel"/>
    <w:tmpl w:val="B229166D"/>
    <w:lvl w:ilvl="0" w:tentative="0">
      <w:start w:val="1"/>
      <w:numFmt w:val="upperLetter"/>
      <w:lvlText w:val="%1."/>
      <w:lvlJc w:val="left"/>
      <w:pPr>
        <w:ind w:left="1475" w:hanging="425"/>
      </w:pPr>
      <w:rPr>
        <w:rFonts w:hint="default"/>
      </w:rPr>
    </w:lvl>
  </w:abstractNum>
  <w:abstractNum w:abstractNumId="8">
    <w:nsid w:val="B8FAFD6E"/>
    <w:multiLevelType w:val="singleLevel"/>
    <w:tmpl w:val="B8FAFD6E"/>
    <w:lvl w:ilvl="0" w:tentative="0">
      <w:start w:val="1"/>
      <w:numFmt w:val="chineseCounting"/>
      <w:suff w:val="nothing"/>
      <w:lvlText w:val="（%1）"/>
      <w:lvlJc w:val="left"/>
      <w:pPr>
        <w:ind w:left="0" w:firstLine="420"/>
      </w:pPr>
      <w:rPr>
        <w:rFonts w:hint="eastAsia"/>
      </w:rPr>
    </w:lvl>
  </w:abstractNum>
  <w:abstractNum w:abstractNumId="9">
    <w:nsid w:val="BDF88E8E"/>
    <w:multiLevelType w:val="multilevel"/>
    <w:tmpl w:val="BDF88E8E"/>
    <w:lvl w:ilvl="0" w:tentative="0">
      <w:start w:val="1"/>
      <w:numFmt w:val="upperLetter"/>
      <w:lvlText w:val="%1."/>
      <w:lvlJc w:val="left"/>
      <w:pPr>
        <w:ind w:left="1271" w:hanging="420"/>
      </w:pPr>
    </w:lvl>
    <w:lvl w:ilvl="1" w:tentative="0">
      <w:start w:val="1"/>
      <w:numFmt w:val="lowerLetter"/>
      <w:lvlText w:val="%2)"/>
      <w:lvlJc w:val="left"/>
      <w:pPr>
        <w:ind w:left="1691" w:hanging="420"/>
      </w:pPr>
    </w:lvl>
    <w:lvl w:ilvl="2" w:tentative="0">
      <w:start w:val="1"/>
      <w:numFmt w:val="lowerRoman"/>
      <w:lvlText w:val="%3."/>
      <w:lvlJc w:val="lef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lef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left"/>
      <w:pPr>
        <w:ind w:left="4631" w:hanging="420"/>
      </w:pPr>
    </w:lvl>
  </w:abstractNum>
  <w:abstractNum w:abstractNumId="10">
    <w:nsid w:val="BF7E1C2A"/>
    <w:multiLevelType w:val="multilevel"/>
    <w:tmpl w:val="BF7E1C2A"/>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pStyle w:val="6"/>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1">
    <w:nsid w:val="C27FFD5B"/>
    <w:multiLevelType w:val="singleLevel"/>
    <w:tmpl w:val="C27FFD5B"/>
    <w:lvl w:ilvl="0" w:tentative="0">
      <w:start w:val="1"/>
      <w:numFmt w:val="upperLetter"/>
      <w:lvlText w:val="%1."/>
      <w:lvlJc w:val="left"/>
      <w:pPr>
        <w:ind w:left="1685" w:hanging="425"/>
      </w:pPr>
      <w:rPr>
        <w:rFonts w:hint="default"/>
      </w:rPr>
    </w:lvl>
  </w:abstractNum>
  <w:abstractNum w:abstractNumId="12">
    <w:nsid w:val="CD0368B8"/>
    <w:multiLevelType w:val="singleLevel"/>
    <w:tmpl w:val="CD0368B8"/>
    <w:lvl w:ilvl="0" w:tentative="0">
      <w:start w:val="1"/>
      <w:numFmt w:val="upperLetter"/>
      <w:lvlText w:val="%1."/>
      <w:lvlJc w:val="left"/>
      <w:pPr>
        <w:ind w:left="425" w:hanging="425"/>
      </w:pPr>
      <w:rPr>
        <w:rFonts w:hint="default"/>
      </w:rPr>
    </w:lvl>
  </w:abstractNum>
  <w:abstractNum w:abstractNumId="13">
    <w:nsid w:val="E793ED8B"/>
    <w:multiLevelType w:val="singleLevel"/>
    <w:tmpl w:val="E793ED8B"/>
    <w:lvl w:ilvl="0" w:tentative="0">
      <w:start w:val="1"/>
      <w:numFmt w:val="decimal"/>
      <w:lvlText w:val="%1."/>
      <w:lvlJc w:val="left"/>
      <w:pPr>
        <w:ind w:left="425" w:hanging="425"/>
      </w:pPr>
      <w:rPr>
        <w:rFonts w:hint="default"/>
      </w:rPr>
    </w:lvl>
  </w:abstractNum>
  <w:abstractNum w:abstractNumId="14">
    <w:nsid w:val="EFF7BA45"/>
    <w:multiLevelType w:val="multilevel"/>
    <w:tmpl w:val="EFF7BA45"/>
    <w:lvl w:ilvl="0" w:tentative="0">
      <w:start w:val="2"/>
      <w:numFmt w:val="chineseCountingThousand"/>
      <w:lvlText w:val="第%1条"/>
      <w:lvlJc w:val="left"/>
      <w:pPr>
        <w:ind w:left="1200" w:hanging="720"/>
      </w:pPr>
      <w:rPr>
        <w:b/>
      </w:rPr>
    </w:lvl>
    <w:lvl w:ilvl="1" w:tentative="0">
      <w:start w:val="1"/>
      <w:numFmt w:val="lowerLetter"/>
      <w:lvlText w:val="%2)"/>
      <w:lvlJc w:val="left"/>
      <w:pPr>
        <w:ind w:left="1320" w:hanging="420"/>
      </w:pPr>
    </w:lvl>
    <w:lvl w:ilvl="2" w:tentative="0">
      <w:start w:val="1"/>
      <w:numFmt w:val="lowerRoman"/>
      <w:lvlText w:val="%3."/>
      <w:lvlJc w:val="lef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lef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left"/>
      <w:pPr>
        <w:ind w:left="4260" w:hanging="420"/>
      </w:pPr>
    </w:lvl>
  </w:abstractNum>
  <w:abstractNum w:abstractNumId="15">
    <w:nsid w:val="F319985E"/>
    <w:multiLevelType w:val="singleLevel"/>
    <w:tmpl w:val="F319985E"/>
    <w:lvl w:ilvl="0" w:tentative="0">
      <w:start w:val="1"/>
      <w:numFmt w:val="chineseCounting"/>
      <w:suff w:val="nothing"/>
      <w:lvlText w:val="（%1）"/>
      <w:lvlJc w:val="left"/>
      <w:pPr>
        <w:ind w:left="0" w:firstLine="420"/>
      </w:pPr>
      <w:rPr>
        <w:rFonts w:hint="eastAsia"/>
      </w:rPr>
    </w:lvl>
  </w:abstractNum>
  <w:abstractNum w:abstractNumId="16">
    <w:nsid w:val="F5FFE8D3"/>
    <w:multiLevelType w:val="multilevel"/>
    <w:tmpl w:val="F5FFE8D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lef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lef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left"/>
      <w:pPr>
        <w:ind w:left="4200" w:hanging="420"/>
      </w:pPr>
    </w:lvl>
  </w:abstractNum>
  <w:abstractNum w:abstractNumId="17">
    <w:nsid w:val="FBFF00AF"/>
    <w:multiLevelType w:val="multilevel"/>
    <w:tmpl w:val="FBFF00AF"/>
    <w:lvl w:ilvl="0" w:tentative="0">
      <w:start w:val="1"/>
      <w:numFmt w:val="decimal"/>
      <w:lvlText w:val="%1)"/>
      <w:lvlJc w:val="left"/>
      <w:pPr>
        <w:ind w:left="480" w:hanging="480"/>
      </w:pPr>
    </w:lvl>
    <w:lvl w:ilvl="1" w:tentative="0">
      <w:start w:val="1"/>
      <w:numFmt w:val="upperLetter"/>
      <w:lvlText w:val="%2."/>
      <w:lvlJc w:val="left"/>
      <w:pPr>
        <w:ind w:left="1331" w:hanging="480"/>
      </w:pPr>
    </w:lvl>
    <w:lvl w:ilvl="2" w:tentative="0">
      <w:start w:val="1"/>
      <w:numFmt w:val="lowerRoman"/>
      <w:lvlText w:val="%3."/>
      <w:lvlJc w:val="lef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lef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left"/>
      <w:pPr>
        <w:ind w:left="4320" w:hanging="480"/>
      </w:pPr>
    </w:lvl>
  </w:abstractNum>
  <w:abstractNum w:abstractNumId="18">
    <w:nsid w:val="FEFF86F0"/>
    <w:multiLevelType w:val="multilevel"/>
    <w:tmpl w:val="FEFF86F0"/>
    <w:lvl w:ilvl="0" w:tentative="0">
      <w:start w:val="3"/>
      <w:numFmt w:val="chineseCountingThousand"/>
      <w:lvlText w:val="%1、"/>
      <w:lvlJc w:val="left"/>
      <w:pPr>
        <w:ind w:left="510" w:hanging="510"/>
      </w:pPr>
    </w:lvl>
    <w:lvl w:ilvl="1" w:tentative="0">
      <w:start w:val="1"/>
      <w:numFmt w:val="lowerLetter"/>
      <w:lvlText w:val="%2)"/>
      <w:lvlJc w:val="left"/>
      <w:pPr>
        <w:ind w:left="840" w:hanging="420"/>
      </w:pPr>
    </w:lvl>
    <w:lvl w:ilvl="2" w:tentative="0">
      <w:start w:val="1"/>
      <w:numFmt w:val="lowerRoman"/>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lef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left"/>
      <w:pPr>
        <w:ind w:left="3780" w:hanging="420"/>
      </w:pPr>
    </w:lvl>
  </w:abstractNum>
  <w:abstractNum w:abstractNumId="19">
    <w:nsid w:val="01B0D394"/>
    <w:multiLevelType w:val="singleLevel"/>
    <w:tmpl w:val="01B0D394"/>
    <w:lvl w:ilvl="0" w:tentative="0">
      <w:start w:val="1"/>
      <w:numFmt w:val="chineseCounting"/>
      <w:suff w:val="nothing"/>
      <w:lvlText w:val="（%1）"/>
      <w:lvlJc w:val="left"/>
      <w:pPr>
        <w:ind w:left="0" w:firstLine="420"/>
      </w:pPr>
      <w:rPr>
        <w:rFonts w:hint="eastAsia"/>
      </w:rPr>
    </w:lvl>
  </w:abstractNum>
  <w:abstractNum w:abstractNumId="20">
    <w:nsid w:val="06D3FFB2"/>
    <w:multiLevelType w:val="singleLevel"/>
    <w:tmpl w:val="06D3FFB2"/>
    <w:lvl w:ilvl="0" w:tentative="0">
      <w:start w:val="1"/>
      <w:numFmt w:val="upperLetter"/>
      <w:lvlText w:val="%1."/>
      <w:lvlJc w:val="left"/>
      <w:pPr>
        <w:ind w:left="1685" w:hanging="425"/>
      </w:pPr>
      <w:rPr>
        <w:rFonts w:hint="default"/>
      </w:rPr>
    </w:lvl>
  </w:abstractNum>
  <w:abstractNum w:abstractNumId="21">
    <w:nsid w:val="14FADA13"/>
    <w:multiLevelType w:val="singleLevel"/>
    <w:tmpl w:val="14FADA13"/>
    <w:lvl w:ilvl="0" w:tentative="0">
      <w:start w:val="1"/>
      <w:numFmt w:val="decimal"/>
      <w:lvlText w:val="%1."/>
      <w:lvlJc w:val="left"/>
      <w:pPr>
        <w:ind w:left="845" w:hanging="425"/>
      </w:pPr>
      <w:rPr>
        <w:rFonts w:hint="default"/>
      </w:rPr>
    </w:lvl>
  </w:abstractNum>
  <w:abstractNum w:abstractNumId="22">
    <w:nsid w:val="16698B55"/>
    <w:multiLevelType w:val="singleLevel"/>
    <w:tmpl w:val="16698B55"/>
    <w:lvl w:ilvl="0" w:tentative="0">
      <w:start w:val="1"/>
      <w:numFmt w:val="decimal"/>
      <w:lvlText w:val="%1)"/>
      <w:lvlJc w:val="left"/>
      <w:pPr>
        <w:ind w:left="1265" w:hanging="425"/>
      </w:pPr>
      <w:rPr>
        <w:rFonts w:hint="default"/>
      </w:rPr>
    </w:lvl>
  </w:abstractNum>
  <w:abstractNum w:abstractNumId="23">
    <w:nsid w:val="196866BC"/>
    <w:multiLevelType w:val="singleLevel"/>
    <w:tmpl w:val="196866BC"/>
    <w:lvl w:ilvl="0" w:tentative="0">
      <w:start w:val="1"/>
      <w:numFmt w:val="upperLetter"/>
      <w:lvlText w:val="%1."/>
      <w:lvlJc w:val="left"/>
      <w:pPr>
        <w:ind w:left="1475" w:hanging="425"/>
      </w:pPr>
      <w:rPr>
        <w:rFonts w:hint="default"/>
      </w:rPr>
    </w:lvl>
  </w:abstractNum>
  <w:abstractNum w:abstractNumId="24">
    <w:nsid w:val="1E08423F"/>
    <w:multiLevelType w:val="multilevel"/>
    <w:tmpl w:val="1E08423F"/>
    <w:lvl w:ilvl="0" w:tentative="0">
      <w:start w:val="1"/>
      <w:numFmt w:val="japaneseCounting"/>
      <w:lvlText w:val="%1、"/>
      <w:lvlJc w:val="left"/>
      <w:pPr>
        <w:ind w:left="495" w:hanging="49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34FC889F"/>
    <w:multiLevelType w:val="singleLevel"/>
    <w:tmpl w:val="34FC889F"/>
    <w:lvl w:ilvl="0" w:tentative="0">
      <w:start w:val="1"/>
      <w:numFmt w:val="decimal"/>
      <w:lvlText w:val="%1)"/>
      <w:lvlJc w:val="left"/>
      <w:pPr>
        <w:ind w:left="845" w:hanging="425"/>
      </w:pPr>
      <w:rPr>
        <w:rFonts w:hint="default"/>
      </w:rPr>
    </w:lvl>
  </w:abstractNum>
  <w:abstractNum w:abstractNumId="26">
    <w:nsid w:val="393CC8A8"/>
    <w:multiLevelType w:val="singleLevel"/>
    <w:tmpl w:val="393CC8A8"/>
    <w:lvl w:ilvl="0" w:tentative="0">
      <w:start w:val="1"/>
      <w:numFmt w:val="chineseCounting"/>
      <w:suff w:val="nothing"/>
      <w:lvlText w:val="（%1）"/>
      <w:lvlJc w:val="left"/>
      <w:pPr>
        <w:ind w:left="0" w:firstLine="420"/>
      </w:pPr>
      <w:rPr>
        <w:rFonts w:hint="eastAsia"/>
      </w:rPr>
    </w:lvl>
  </w:abstractNum>
  <w:abstractNum w:abstractNumId="27">
    <w:nsid w:val="5E7D2FFF"/>
    <w:multiLevelType w:val="singleLevel"/>
    <w:tmpl w:val="5E7D2FFF"/>
    <w:lvl w:ilvl="0" w:tentative="0">
      <w:start w:val="1"/>
      <w:numFmt w:val="decimal"/>
      <w:lvlText w:val="%1)"/>
      <w:lvlJc w:val="left"/>
      <w:pPr>
        <w:ind w:left="1265" w:hanging="425"/>
      </w:pPr>
      <w:rPr>
        <w:rFonts w:hint="default"/>
      </w:rPr>
    </w:lvl>
  </w:abstractNum>
  <w:abstractNum w:abstractNumId="28">
    <w:nsid w:val="685F3791"/>
    <w:multiLevelType w:val="singleLevel"/>
    <w:tmpl w:val="685F3791"/>
    <w:lvl w:ilvl="0" w:tentative="0">
      <w:start w:val="1"/>
      <w:numFmt w:val="decimal"/>
      <w:lvlText w:val="%1."/>
      <w:lvlJc w:val="left"/>
      <w:pPr>
        <w:ind w:left="1055" w:hanging="425"/>
      </w:pPr>
      <w:rPr>
        <w:rFonts w:hint="default"/>
      </w:rPr>
    </w:lvl>
  </w:abstractNum>
  <w:abstractNum w:abstractNumId="29">
    <w:nsid w:val="69213E2F"/>
    <w:multiLevelType w:val="singleLevel"/>
    <w:tmpl w:val="69213E2F"/>
    <w:lvl w:ilvl="0" w:tentative="0">
      <w:start w:val="1"/>
      <w:numFmt w:val="decimal"/>
      <w:lvlText w:val="%1)"/>
      <w:lvlJc w:val="left"/>
      <w:pPr>
        <w:ind w:left="845" w:hanging="425"/>
      </w:pPr>
      <w:rPr>
        <w:rFonts w:hint="default"/>
      </w:rPr>
    </w:lvl>
  </w:abstractNum>
  <w:num w:numId="1">
    <w:abstractNumId w:val="10"/>
  </w:num>
  <w:num w:numId="2">
    <w:abstractNumId w:val="0"/>
  </w:num>
  <w:num w:numId="3">
    <w:abstractNumId w:val="14"/>
  </w:num>
  <w:num w:numId="4">
    <w:abstractNumId w:val="24"/>
  </w:num>
  <w:num w:numId="5">
    <w:abstractNumId w:val="19"/>
  </w:num>
  <w:num w:numId="6">
    <w:abstractNumId w:val="8"/>
  </w:num>
  <w:num w:numId="7">
    <w:abstractNumId w:val="15"/>
  </w:num>
  <w:num w:numId="8">
    <w:abstractNumId w:val="26"/>
  </w:num>
  <w:num w:numId="9">
    <w:abstractNumId w:val="18"/>
  </w:num>
  <w:num w:numId="10">
    <w:abstractNumId w:val="28"/>
  </w:num>
  <w:num w:numId="11">
    <w:abstractNumId w:val="5"/>
  </w:num>
  <w:num w:numId="12">
    <w:abstractNumId w:val="21"/>
  </w:num>
  <w:num w:numId="13">
    <w:abstractNumId w:val="22"/>
  </w:num>
  <w:num w:numId="14">
    <w:abstractNumId w:val="6"/>
  </w:num>
  <w:num w:numId="15">
    <w:abstractNumId w:val="12"/>
  </w:num>
  <w:num w:numId="16">
    <w:abstractNumId w:val="3"/>
  </w:num>
  <w:num w:numId="17">
    <w:abstractNumId w:val="11"/>
  </w:num>
  <w:num w:numId="18">
    <w:abstractNumId w:val="20"/>
  </w:num>
  <w:num w:numId="19">
    <w:abstractNumId w:val="27"/>
  </w:num>
  <w:num w:numId="20">
    <w:abstractNumId w:val="29"/>
  </w:num>
  <w:num w:numId="21">
    <w:abstractNumId w:val="7"/>
  </w:num>
  <w:num w:numId="22">
    <w:abstractNumId w:val="23"/>
  </w:num>
  <w:num w:numId="23">
    <w:abstractNumId w:val="2"/>
  </w:num>
  <w:num w:numId="24">
    <w:abstractNumId w:val="13"/>
  </w:num>
  <w:num w:numId="25">
    <w:abstractNumId w:val="25"/>
  </w:num>
  <w:num w:numId="26">
    <w:abstractNumId w:val="16"/>
    <w:lvlOverride w:ilvl="0">
      <w:startOverride w:val="1"/>
    </w:lvlOverride>
  </w:num>
  <w:num w:numId="27">
    <w:abstractNumId w:val="17"/>
    <w:lvlOverride w:ilvl="0">
      <w:startOverride w:val="1"/>
    </w:lvlOverride>
    <w:lvlOverride w:ilvl="1">
      <w:startOverride w:val="1"/>
    </w:lvlOverride>
  </w:num>
  <w:num w:numId="28">
    <w:abstractNumId w:val="17"/>
  </w:num>
  <w:num w:numId="29">
    <w:abstractNumId w:val="16"/>
  </w:num>
  <w:num w:numId="30">
    <w:abstractNumId w:val="4"/>
    <w:lvlOverride w:ilvl="0">
      <w:startOverride w:val="1"/>
    </w:lvlOverride>
  </w:num>
  <w:num w:numId="31">
    <w:abstractNumId w:val="4"/>
  </w:num>
  <w:num w:numId="32">
    <w:abstractNumId w:val="9"/>
    <w:lvlOverride w:ilvl="0">
      <w:startOverride w:val="1"/>
    </w:lvlOverride>
  </w:num>
  <w:num w:numId="33">
    <w:abstractNumId w:val="9"/>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jYWE2YmM3NTQ1NGQ4MDcyNDViOWQzOTBlN2Q5ZDYifQ=="/>
  </w:docVars>
  <w:rsids>
    <w:rsidRoot w:val="002159D4"/>
    <w:rsid w:val="002159D4"/>
    <w:rsid w:val="004327D0"/>
    <w:rsid w:val="00490E2B"/>
    <w:rsid w:val="00544989"/>
    <w:rsid w:val="006524E4"/>
    <w:rsid w:val="0076444E"/>
    <w:rsid w:val="00771571"/>
    <w:rsid w:val="009060A1"/>
    <w:rsid w:val="009173D3"/>
    <w:rsid w:val="00B42B30"/>
    <w:rsid w:val="00CB1CA5"/>
    <w:rsid w:val="00FA2113"/>
    <w:rsid w:val="00FD1FCB"/>
    <w:rsid w:val="015A390A"/>
    <w:rsid w:val="01701BEC"/>
    <w:rsid w:val="02DC41FA"/>
    <w:rsid w:val="06B86675"/>
    <w:rsid w:val="08EB21AE"/>
    <w:rsid w:val="090515DA"/>
    <w:rsid w:val="09A513A1"/>
    <w:rsid w:val="0A9F3411"/>
    <w:rsid w:val="0B750D7B"/>
    <w:rsid w:val="0B9F4D21"/>
    <w:rsid w:val="0C5321FE"/>
    <w:rsid w:val="0F4C0211"/>
    <w:rsid w:val="0F4E6D34"/>
    <w:rsid w:val="100A6B86"/>
    <w:rsid w:val="102822D0"/>
    <w:rsid w:val="10E86290"/>
    <w:rsid w:val="142B1731"/>
    <w:rsid w:val="1438655E"/>
    <w:rsid w:val="1553562A"/>
    <w:rsid w:val="15975708"/>
    <w:rsid w:val="16D21B09"/>
    <w:rsid w:val="17FF06E7"/>
    <w:rsid w:val="192E4D79"/>
    <w:rsid w:val="1ACC47FF"/>
    <w:rsid w:val="1D3A2D71"/>
    <w:rsid w:val="1D4E2F55"/>
    <w:rsid w:val="1DFC4323"/>
    <w:rsid w:val="1E412CB1"/>
    <w:rsid w:val="204C6209"/>
    <w:rsid w:val="219D7DBC"/>
    <w:rsid w:val="22C12130"/>
    <w:rsid w:val="23D7455C"/>
    <w:rsid w:val="24C70119"/>
    <w:rsid w:val="24F14E9E"/>
    <w:rsid w:val="25914832"/>
    <w:rsid w:val="25F90287"/>
    <w:rsid w:val="26982BE2"/>
    <w:rsid w:val="26B334AE"/>
    <w:rsid w:val="27235079"/>
    <w:rsid w:val="27961C6A"/>
    <w:rsid w:val="27985D9D"/>
    <w:rsid w:val="289528A1"/>
    <w:rsid w:val="28CD1A76"/>
    <w:rsid w:val="29087309"/>
    <w:rsid w:val="29B419C3"/>
    <w:rsid w:val="2B715023"/>
    <w:rsid w:val="2BE62D28"/>
    <w:rsid w:val="2D6C69A0"/>
    <w:rsid w:val="2E0D61DD"/>
    <w:rsid w:val="2FFF5539"/>
    <w:rsid w:val="30355826"/>
    <w:rsid w:val="30966B0F"/>
    <w:rsid w:val="311E2EBC"/>
    <w:rsid w:val="31AC7247"/>
    <w:rsid w:val="32786CD9"/>
    <w:rsid w:val="33087DBE"/>
    <w:rsid w:val="33153F95"/>
    <w:rsid w:val="33AF56D3"/>
    <w:rsid w:val="33B023F2"/>
    <w:rsid w:val="33E40F52"/>
    <w:rsid w:val="3570003F"/>
    <w:rsid w:val="367A4038"/>
    <w:rsid w:val="369177C4"/>
    <w:rsid w:val="36F218DC"/>
    <w:rsid w:val="370649CE"/>
    <w:rsid w:val="378068BD"/>
    <w:rsid w:val="38557502"/>
    <w:rsid w:val="398E557D"/>
    <w:rsid w:val="3AEE2BBB"/>
    <w:rsid w:val="3B1B26C1"/>
    <w:rsid w:val="3C696B65"/>
    <w:rsid w:val="3DBD6F49"/>
    <w:rsid w:val="3EF84768"/>
    <w:rsid w:val="3F9241D2"/>
    <w:rsid w:val="40426874"/>
    <w:rsid w:val="408E1A67"/>
    <w:rsid w:val="44C83EBB"/>
    <w:rsid w:val="451A0C48"/>
    <w:rsid w:val="454B50F9"/>
    <w:rsid w:val="45B140E3"/>
    <w:rsid w:val="471F7C9B"/>
    <w:rsid w:val="475141C2"/>
    <w:rsid w:val="48C7608A"/>
    <w:rsid w:val="49112FBD"/>
    <w:rsid w:val="4ABB6956"/>
    <w:rsid w:val="4ECB0907"/>
    <w:rsid w:val="4EF6031B"/>
    <w:rsid w:val="51363E83"/>
    <w:rsid w:val="51C9243C"/>
    <w:rsid w:val="528D54CE"/>
    <w:rsid w:val="52CE58E7"/>
    <w:rsid w:val="539D3586"/>
    <w:rsid w:val="54501C17"/>
    <w:rsid w:val="545568EB"/>
    <w:rsid w:val="545A184B"/>
    <w:rsid w:val="5560481F"/>
    <w:rsid w:val="566D6F50"/>
    <w:rsid w:val="5733130B"/>
    <w:rsid w:val="577841FC"/>
    <w:rsid w:val="578515EA"/>
    <w:rsid w:val="578E7032"/>
    <w:rsid w:val="58A73382"/>
    <w:rsid w:val="59DF16FB"/>
    <w:rsid w:val="5AD221D9"/>
    <w:rsid w:val="5C1A6239"/>
    <w:rsid w:val="5D9D72A2"/>
    <w:rsid w:val="5DD269F7"/>
    <w:rsid w:val="5E0FCDB0"/>
    <w:rsid w:val="5F6A445D"/>
    <w:rsid w:val="5FEE16BE"/>
    <w:rsid w:val="63B96E6E"/>
    <w:rsid w:val="63CE45CF"/>
    <w:rsid w:val="64B97E71"/>
    <w:rsid w:val="67EB42FD"/>
    <w:rsid w:val="69F44D9F"/>
    <w:rsid w:val="6A0C6288"/>
    <w:rsid w:val="6A614095"/>
    <w:rsid w:val="6B3D20EB"/>
    <w:rsid w:val="6B767389"/>
    <w:rsid w:val="6B7F1AF5"/>
    <w:rsid w:val="6BDCDAE1"/>
    <w:rsid w:val="6C314785"/>
    <w:rsid w:val="6E2875FF"/>
    <w:rsid w:val="6EC63CAD"/>
    <w:rsid w:val="6F585D81"/>
    <w:rsid w:val="6F7DA830"/>
    <w:rsid w:val="70D16026"/>
    <w:rsid w:val="71303E41"/>
    <w:rsid w:val="71E76CD1"/>
    <w:rsid w:val="72E80ACA"/>
    <w:rsid w:val="73EB753D"/>
    <w:rsid w:val="73F22CC7"/>
    <w:rsid w:val="74C67B62"/>
    <w:rsid w:val="754066B0"/>
    <w:rsid w:val="759E40D0"/>
    <w:rsid w:val="75ED3A29"/>
    <w:rsid w:val="76076065"/>
    <w:rsid w:val="762E0517"/>
    <w:rsid w:val="76871A3A"/>
    <w:rsid w:val="775B5A6C"/>
    <w:rsid w:val="777E5357"/>
    <w:rsid w:val="77894C95"/>
    <w:rsid w:val="779B5403"/>
    <w:rsid w:val="78316226"/>
    <w:rsid w:val="78563879"/>
    <w:rsid w:val="79261422"/>
    <w:rsid w:val="794D6390"/>
    <w:rsid w:val="7A0A2D97"/>
    <w:rsid w:val="7C7B7763"/>
    <w:rsid w:val="7CBE5D37"/>
    <w:rsid w:val="7D2B08E9"/>
    <w:rsid w:val="7D975526"/>
    <w:rsid w:val="7DB3E988"/>
    <w:rsid w:val="7DC06BDF"/>
    <w:rsid w:val="7E7F6649"/>
    <w:rsid w:val="7F3F46B6"/>
    <w:rsid w:val="BD5509CD"/>
    <w:rsid w:val="BF3EEFBA"/>
    <w:rsid w:val="BFEB4D96"/>
    <w:rsid w:val="DB6F4215"/>
    <w:rsid w:val="DEFF6E45"/>
    <w:rsid w:val="DFFB5C7C"/>
    <w:rsid w:val="E8EFB9FA"/>
    <w:rsid w:val="F6CF2B73"/>
    <w:rsid w:val="FB419EE1"/>
    <w:rsid w:val="FB7D4351"/>
    <w:rsid w:val="FBFF6709"/>
    <w:rsid w:val="FFFF1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SimSun" w:cs="Times New Roman"/>
      <w:kern w:val="2"/>
      <w:sz w:val="21"/>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bCs/>
      <w:sz w:val="44"/>
      <w:szCs w:val="44"/>
    </w:rPr>
  </w:style>
  <w:style w:type="paragraph" w:styleId="3">
    <w:name w:val="heading 2"/>
    <w:basedOn w:val="1"/>
    <w:next w:val="1"/>
    <w:qFormat/>
    <w:uiPriority w:val="0"/>
    <w:pPr>
      <w:keepNext/>
      <w:keepLines/>
      <w:numPr>
        <w:ilvl w:val="1"/>
        <w:numId w:val="1"/>
      </w:numPr>
      <w:spacing w:before="260" w:after="260" w:line="415" w:lineRule="auto"/>
      <w:outlineLvl w:val="1"/>
    </w:pPr>
    <w:rPr>
      <w:rFonts w:ascii="Arial" w:hAnsi="Arial" w:eastAsia="黑体;SimHei" w:cs="Arial"/>
      <w:b/>
      <w:kern w:val="0"/>
      <w:sz w:val="32"/>
    </w:rPr>
  </w:style>
  <w:style w:type="paragraph" w:styleId="4">
    <w:name w:val="heading 3"/>
    <w:basedOn w:val="1"/>
    <w:next w:val="5"/>
    <w:qFormat/>
    <w:uiPriority w:val="0"/>
    <w:pPr>
      <w:keepNext/>
      <w:numPr>
        <w:ilvl w:val="2"/>
        <w:numId w:val="1"/>
      </w:numPr>
      <w:spacing w:line="334" w:lineRule="atLeast"/>
      <w:ind w:firstLine="192"/>
      <w:outlineLvl w:val="2"/>
    </w:pPr>
    <w:rPr>
      <w:kern w:val="0"/>
      <w:sz w:val="28"/>
    </w:rPr>
  </w:style>
  <w:style w:type="paragraph" w:styleId="6">
    <w:name w:val="heading 7"/>
    <w:basedOn w:val="1"/>
    <w:next w:val="1"/>
    <w:qFormat/>
    <w:uiPriority w:val="0"/>
    <w:pPr>
      <w:keepNext/>
      <w:keepLines/>
      <w:numPr>
        <w:ilvl w:val="6"/>
        <w:numId w:val="1"/>
      </w:numPr>
      <w:spacing w:before="240" w:after="64" w:line="320" w:lineRule="atLeast"/>
      <w:textAlignment w:val="baseline"/>
      <w:outlineLvl w:val="6"/>
    </w:pPr>
    <w:rPr>
      <w:b/>
      <w:bCs/>
      <w:kern w:val="0"/>
      <w:sz w:val="24"/>
      <w:szCs w:val="24"/>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5">
    <w:name w:val="正文缩进1"/>
    <w:basedOn w:val="1"/>
    <w:qFormat/>
    <w:uiPriority w:val="0"/>
    <w:pPr>
      <w:ind w:firstLine="420"/>
    </w:pPr>
  </w:style>
  <w:style w:type="paragraph" w:styleId="7">
    <w:name w:val="caption"/>
    <w:basedOn w:val="1"/>
    <w:next w:val="1"/>
    <w:qFormat/>
    <w:uiPriority w:val="0"/>
    <w:pPr>
      <w:suppressLineNumbers/>
      <w:spacing w:before="120" w:after="120"/>
    </w:pPr>
    <w:rPr>
      <w:i/>
      <w:iCs/>
      <w:sz w:val="24"/>
      <w:szCs w:val="24"/>
    </w:rPr>
  </w:style>
  <w:style w:type="paragraph" w:styleId="8">
    <w:name w:val="annotation text"/>
    <w:basedOn w:val="1"/>
    <w:qFormat/>
    <w:uiPriority w:val="0"/>
    <w:pPr>
      <w:jc w:val="left"/>
    </w:pPr>
  </w:style>
  <w:style w:type="paragraph" w:styleId="9">
    <w:name w:val="Body Text"/>
    <w:basedOn w:val="1"/>
    <w:qFormat/>
    <w:uiPriority w:val="0"/>
    <w:rPr>
      <w:kern w:val="0"/>
      <w:sz w:val="30"/>
    </w:rPr>
  </w:style>
  <w:style w:type="paragraph" w:styleId="10">
    <w:name w:val="Body Text Indent"/>
    <w:basedOn w:val="1"/>
    <w:qFormat/>
    <w:uiPriority w:val="0"/>
    <w:pPr>
      <w:spacing w:before="240" w:line="500" w:lineRule="exact"/>
      <w:ind w:firstLine="480"/>
    </w:pPr>
    <w:rPr>
      <w:rFonts w:ascii="宋体;SimSun" w:hAnsi="宋体;SimSun"/>
      <w:kern w:val="0"/>
      <w:sz w:val="28"/>
    </w:rPr>
  </w:style>
  <w:style w:type="paragraph" w:styleId="11">
    <w:name w:val="toc 3"/>
    <w:basedOn w:val="1"/>
    <w:next w:val="1"/>
    <w:qFormat/>
    <w:uiPriority w:val="0"/>
    <w:pPr>
      <w:ind w:left="840"/>
    </w:pPr>
  </w:style>
  <w:style w:type="paragraph" w:styleId="12">
    <w:name w:val="Body Text Indent 2"/>
    <w:basedOn w:val="1"/>
    <w:qFormat/>
    <w:uiPriority w:val="0"/>
    <w:pPr>
      <w:snapToGrid w:val="0"/>
      <w:spacing w:line="440" w:lineRule="atLeast"/>
      <w:ind w:left="510" w:firstLine="510"/>
    </w:pPr>
    <w:rPr>
      <w:sz w:val="24"/>
    </w:rPr>
  </w:style>
  <w:style w:type="paragraph" w:styleId="13">
    <w:name w:val="footer"/>
    <w:basedOn w:val="1"/>
    <w:qFormat/>
    <w:uiPriority w:val="0"/>
    <w:pPr>
      <w:tabs>
        <w:tab w:val="center" w:pos="4153"/>
        <w:tab w:val="right" w:pos="8306"/>
      </w:tabs>
      <w:snapToGrid w:val="0"/>
      <w:jc w:val="left"/>
    </w:pPr>
    <w:rPr>
      <w:kern w:val="0"/>
      <w:sz w:val="18"/>
    </w:rPr>
  </w:style>
  <w:style w:type="paragraph" w:styleId="14">
    <w:name w:val="header"/>
    <w:basedOn w:val="1"/>
    <w:qFormat/>
    <w:uiPriority w:val="0"/>
    <w:pPr>
      <w:pBdr>
        <w:bottom w:val="single" w:color="000000" w:sz="6" w:space="1"/>
      </w:pBdr>
      <w:tabs>
        <w:tab w:val="center" w:pos="4153"/>
        <w:tab w:val="right" w:pos="8306"/>
      </w:tabs>
      <w:snapToGrid w:val="0"/>
      <w:jc w:val="center"/>
    </w:pPr>
    <w:rPr>
      <w:kern w:val="0"/>
      <w:sz w:val="18"/>
    </w:rPr>
  </w:style>
  <w:style w:type="paragraph" w:styleId="15">
    <w:name w:val="toc 1"/>
    <w:basedOn w:val="1"/>
    <w:next w:val="1"/>
    <w:qFormat/>
    <w:uiPriority w:val="0"/>
    <w:pPr>
      <w:tabs>
        <w:tab w:val="right" w:leader="dot" w:pos="9515"/>
      </w:tabs>
    </w:pPr>
    <w:rPr>
      <w:rFonts w:ascii="宋体;SimSun" w:hAnsi="宋体;SimSun" w:eastAsia="仿宋_GB2312;仿宋" w:cs="宋体;SimSun"/>
      <w:szCs w:val="21"/>
      <w:lang w:eastAsia="en-US"/>
    </w:rPr>
  </w:style>
  <w:style w:type="paragraph" w:styleId="16">
    <w:name w:val="List"/>
    <w:basedOn w:val="9"/>
    <w:qFormat/>
    <w:uiPriority w:val="0"/>
  </w:style>
  <w:style w:type="paragraph" w:styleId="17">
    <w:name w:val="footnote text"/>
    <w:basedOn w:val="1"/>
    <w:qFormat/>
    <w:uiPriority w:val="0"/>
    <w:pPr>
      <w:snapToGrid w:val="0"/>
      <w:jc w:val="left"/>
    </w:pPr>
    <w:rPr>
      <w:kern w:val="0"/>
      <w:sz w:val="18"/>
    </w:rPr>
  </w:style>
  <w:style w:type="paragraph" w:styleId="18">
    <w:name w:val="toc 2"/>
    <w:basedOn w:val="1"/>
    <w:next w:val="1"/>
    <w:qFormat/>
    <w:uiPriority w:val="0"/>
    <w:pPr>
      <w:ind w:left="420"/>
    </w:pPr>
  </w:style>
  <w:style w:type="character" w:styleId="21">
    <w:name w:val="Strong"/>
    <w:qFormat/>
    <w:uiPriority w:val="0"/>
    <w:rPr>
      <w:b/>
    </w:rPr>
  </w:style>
  <w:style w:type="character" w:styleId="22">
    <w:name w:val="page number"/>
    <w:qFormat/>
    <w:uiPriority w:val="0"/>
  </w:style>
  <w:style w:type="character" w:styleId="23">
    <w:name w:val="Emphasis"/>
    <w:qFormat/>
    <w:uiPriority w:val="0"/>
    <w:rPr>
      <w:color w:val="CC0033"/>
    </w:rPr>
  </w:style>
  <w:style w:type="character" w:styleId="24">
    <w:name w:val="Hyperlink"/>
    <w:basedOn w:val="20"/>
    <w:qFormat/>
    <w:uiPriority w:val="0"/>
    <w:rPr>
      <w:color w:val="0000FF"/>
      <w:u w:val="single"/>
    </w:rPr>
  </w:style>
  <w:style w:type="character" w:customStyle="1" w:styleId="25">
    <w:name w:val="WW8Num2z0"/>
    <w:qFormat/>
    <w:uiPriority w:val="0"/>
  </w:style>
  <w:style w:type="character" w:customStyle="1" w:styleId="26">
    <w:name w:val="WW8Num13z0"/>
    <w:qFormat/>
    <w:uiPriority w:val="0"/>
  </w:style>
  <w:style w:type="character" w:customStyle="1" w:styleId="27">
    <w:name w:val="WW8Num16z0"/>
    <w:qFormat/>
    <w:uiPriority w:val="0"/>
  </w:style>
  <w:style w:type="character" w:customStyle="1" w:styleId="28">
    <w:name w:val="WW8Num19z0"/>
    <w:qFormat/>
    <w:uiPriority w:val="0"/>
  </w:style>
  <w:style w:type="character" w:customStyle="1" w:styleId="29">
    <w:name w:val="WW8Num21z0"/>
    <w:qFormat/>
    <w:uiPriority w:val="0"/>
  </w:style>
  <w:style w:type="character" w:customStyle="1" w:styleId="30">
    <w:name w:val="WW8Num24z0"/>
    <w:qFormat/>
    <w:uiPriority w:val="0"/>
    <w:rPr>
      <w:rFonts w:ascii="宋体;SimSun" w:hAnsi="宋体;SimSun"/>
      <w:lang w:val="en-US"/>
    </w:rPr>
  </w:style>
  <w:style w:type="character" w:customStyle="1" w:styleId="31">
    <w:name w:val="WW8Num25z0"/>
    <w:qFormat/>
    <w:uiPriority w:val="0"/>
    <w:rPr>
      <w:rFonts w:cs="Times New Roman"/>
    </w:rPr>
  </w:style>
  <w:style w:type="character" w:customStyle="1" w:styleId="32">
    <w:name w:val="WW8Num25z1"/>
    <w:qFormat/>
    <w:uiPriority w:val="0"/>
    <w:rPr>
      <w:rFonts w:ascii="Times New Roman" w:hAnsi="Times New Roman" w:cs="Times New Roman"/>
    </w:rPr>
  </w:style>
  <w:style w:type="character" w:customStyle="1" w:styleId="33">
    <w:name w:val="WW8Num29z0"/>
    <w:qFormat/>
    <w:uiPriority w:val="0"/>
    <w:rPr>
      <w:b/>
    </w:rPr>
  </w:style>
  <w:style w:type="character" w:customStyle="1" w:styleId="34">
    <w:name w:val="WW8Num30z0"/>
    <w:qFormat/>
    <w:uiPriority w:val="0"/>
  </w:style>
  <w:style w:type="character" w:customStyle="1" w:styleId="35">
    <w:name w:val="WW8Num32z0"/>
    <w:qFormat/>
    <w:uiPriority w:val="0"/>
  </w:style>
  <w:style w:type="character" w:customStyle="1" w:styleId="36">
    <w:name w:val="默认段落字体1"/>
    <w:qFormat/>
    <w:uiPriority w:val="0"/>
  </w:style>
  <w:style w:type="character" w:customStyle="1" w:styleId="37">
    <w:name w:val="标题 1 Char"/>
    <w:qFormat/>
    <w:uiPriority w:val="0"/>
    <w:rPr>
      <w:rFonts w:ascii="Times New Roman" w:hAnsi="Times New Roman" w:eastAsia="宋体;SimSun" w:cs="Times New Roman"/>
      <w:b/>
      <w:bCs/>
      <w:kern w:val="2"/>
      <w:sz w:val="44"/>
      <w:szCs w:val="44"/>
    </w:rPr>
  </w:style>
  <w:style w:type="character" w:customStyle="1" w:styleId="38">
    <w:name w:val="标题 2 Char"/>
    <w:qFormat/>
    <w:uiPriority w:val="0"/>
    <w:rPr>
      <w:rFonts w:ascii="Arial" w:hAnsi="Arial" w:eastAsia="黑体;SimHei" w:cs="Times New Roman"/>
      <w:b/>
      <w:sz w:val="32"/>
      <w:szCs w:val="20"/>
    </w:rPr>
  </w:style>
  <w:style w:type="character" w:customStyle="1" w:styleId="39">
    <w:name w:val="标题 3 Char"/>
    <w:qFormat/>
    <w:uiPriority w:val="0"/>
    <w:rPr>
      <w:rFonts w:ascii="Times New Roman" w:hAnsi="Times New Roman" w:eastAsia="宋体;SimSun" w:cs="Times New Roman"/>
      <w:sz w:val="28"/>
      <w:szCs w:val="20"/>
    </w:rPr>
  </w:style>
  <w:style w:type="character" w:customStyle="1" w:styleId="40">
    <w:name w:val="标题 7 Char"/>
    <w:qFormat/>
    <w:uiPriority w:val="0"/>
    <w:rPr>
      <w:rFonts w:ascii="Times New Roman" w:hAnsi="Times New Roman" w:eastAsia="宋体;SimSun" w:cs="Times New Roman"/>
      <w:b/>
      <w:bCs/>
      <w:kern w:val="0"/>
      <w:sz w:val="24"/>
      <w:szCs w:val="24"/>
    </w:rPr>
  </w:style>
  <w:style w:type="character" w:customStyle="1" w:styleId="41">
    <w:name w:val="文档结构图 Char"/>
    <w:qFormat/>
    <w:uiPriority w:val="0"/>
    <w:rPr>
      <w:rFonts w:ascii="Times New Roman" w:hAnsi="Times New Roman" w:eastAsia="宋体;SimSun" w:cs="Times New Roman"/>
      <w:szCs w:val="20"/>
      <w:shd w:val="clear" w:color="auto" w:fill="000080"/>
    </w:rPr>
  </w:style>
  <w:style w:type="character" w:customStyle="1" w:styleId="42">
    <w:name w:val="批注框文本 Char"/>
    <w:qFormat/>
    <w:uiPriority w:val="0"/>
    <w:rPr>
      <w:rFonts w:ascii="Times New Roman" w:hAnsi="Times New Roman" w:eastAsia="宋体;SimSun" w:cs="Times New Roman"/>
      <w:sz w:val="18"/>
      <w:szCs w:val="18"/>
    </w:rPr>
  </w:style>
  <w:style w:type="character" w:customStyle="1" w:styleId="43">
    <w:name w:val="批注文字 Char"/>
    <w:qFormat/>
    <w:uiPriority w:val="0"/>
    <w:rPr>
      <w:rFonts w:ascii="Times New Roman" w:hAnsi="Times New Roman" w:cs="Times New Roman"/>
      <w:kern w:val="2"/>
      <w:sz w:val="21"/>
    </w:rPr>
  </w:style>
  <w:style w:type="character" w:customStyle="1" w:styleId="44">
    <w:name w:val="正文文本 Char"/>
    <w:qFormat/>
    <w:uiPriority w:val="0"/>
    <w:rPr>
      <w:rFonts w:ascii="Times New Roman" w:hAnsi="Times New Roman" w:eastAsia="宋体;SimSun" w:cs="Times New Roman"/>
      <w:sz w:val="30"/>
      <w:szCs w:val="20"/>
    </w:rPr>
  </w:style>
  <w:style w:type="character" w:customStyle="1" w:styleId="45">
    <w:name w:val="正文文本缩进 Char"/>
    <w:qFormat/>
    <w:uiPriority w:val="0"/>
    <w:rPr>
      <w:rFonts w:ascii="宋体;SimSun" w:hAnsi="宋体;SimSun" w:eastAsia="宋体;SimSun" w:cs="Times New Roman"/>
      <w:sz w:val="28"/>
      <w:szCs w:val="20"/>
    </w:rPr>
  </w:style>
  <w:style w:type="character" w:customStyle="1" w:styleId="46">
    <w:name w:val="纯文本 Char"/>
    <w:qFormat/>
    <w:uiPriority w:val="0"/>
    <w:rPr>
      <w:rFonts w:ascii="宋体;SimSun" w:hAnsi="宋体;SimSun" w:eastAsia="仿宋_GB2312;仿宋" w:cs="Times New Roman"/>
      <w:sz w:val="28"/>
      <w:szCs w:val="20"/>
    </w:rPr>
  </w:style>
  <w:style w:type="character" w:customStyle="1" w:styleId="47">
    <w:name w:val="日期 Char"/>
    <w:qFormat/>
    <w:uiPriority w:val="0"/>
    <w:rPr>
      <w:rFonts w:ascii="方正仿宋简体;宋体" w:hAnsi="方正仿宋简体;宋体" w:eastAsia="方正仿宋简体;宋体" w:cs="Times New Roman"/>
      <w:b/>
      <w:sz w:val="30"/>
      <w:szCs w:val="20"/>
    </w:rPr>
  </w:style>
  <w:style w:type="character" w:customStyle="1" w:styleId="48">
    <w:name w:val="正文文本缩进 2 Char"/>
    <w:qFormat/>
    <w:uiPriority w:val="0"/>
    <w:rPr>
      <w:rFonts w:ascii="Times New Roman" w:hAnsi="Times New Roman" w:eastAsia="宋体;SimSun" w:cs="Times New Roman"/>
      <w:sz w:val="28"/>
      <w:szCs w:val="20"/>
    </w:rPr>
  </w:style>
  <w:style w:type="character" w:customStyle="1" w:styleId="49">
    <w:name w:val="页脚 Char"/>
    <w:qFormat/>
    <w:uiPriority w:val="0"/>
    <w:rPr>
      <w:rFonts w:ascii="Times New Roman" w:hAnsi="Times New Roman" w:eastAsia="宋体;SimSun" w:cs="Times New Roman"/>
      <w:sz w:val="18"/>
      <w:szCs w:val="20"/>
    </w:rPr>
  </w:style>
  <w:style w:type="character" w:customStyle="1" w:styleId="50">
    <w:name w:val="页眉 Char"/>
    <w:qFormat/>
    <w:uiPriority w:val="0"/>
    <w:rPr>
      <w:rFonts w:ascii="Times New Roman" w:hAnsi="Times New Roman" w:eastAsia="宋体;SimSun" w:cs="Times New Roman"/>
      <w:sz w:val="18"/>
      <w:szCs w:val="20"/>
    </w:rPr>
  </w:style>
  <w:style w:type="character" w:customStyle="1" w:styleId="51">
    <w:name w:val="脚注文本 Char"/>
    <w:qFormat/>
    <w:uiPriority w:val="0"/>
    <w:rPr>
      <w:rFonts w:ascii="Times New Roman" w:hAnsi="Times New Roman" w:eastAsia="宋体;SimSun" w:cs="Times New Roman"/>
      <w:sz w:val="18"/>
      <w:szCs w:val="20"/>
    </w:rPr>
  </w:style>
  <w:style w:type="character" w:customStyle="1" w:styleId="52">
    <w:name w:val="正文文本缩进 3 Char"/>
    <w:qFormat/>
    <w:uiPriority w:val="0"/>
    <w:rPr>
      <w:rFonts w:ascii="Times New Roman" w:hAnsi="Times New Roman" w:eastAsia="宋体;SimSun" w:cs="Times New Roman"/>
      <w:sz w:val="24"/>
      <w:szCs w:val="20"/>
    </w:rPr>
  </w:style>
  <w:style w:type="character" w:customStyle="1" w:styleId="53">
    <w:name w:val="正文文本 2 Char"/>
    <w:qFormat/>
    <w:uiPriority w:val="0"/>
    <w:rPr>
      <w:rFonts w:ascii="Times New Roman" w:hAnsi="Times New Roman" w:eastAsia="宋体;SimSun" w:cs="Times New Roman"/>
      <w:b/>
      <w:bCs/>
      <w:color w:val="000000"/>
      <w:sz w:val="24"/>
      <w:szCs w:val="24"/>
      <w:u w:val="single"/>
    </w:rPr>
  </w:style>
  <w:style w:type="character" w:customStyle="1" w:styleId="54">
    <w:name w:val="标题 Char"/>
    <w:qFormat/>
    <w:uiPriority w:val="0"/>
    <w:rPr>
      <w:rFonts w:ascii="仿宋_GB2312;仿宋" w:hAnsi="仿宋_GB2312;仿宋" w:eastAsia="仿宋_GB2312;仿宋" w:cs="Arial"/>
      <w:bCs/>
      <w:sz w:val="28"/>
      <w:szCs w:val="28"/>
      <w:vertAlign w:val="superscript"/>
    </w:rPr>
  </w:style>
  <w:style w:type="character" w:customStyle="1" w:styleId="55">
    <w:name w:val="批注主题 Char"/>
    <w:qFormat/>
    <w:uiPriority w:val="0"/>
    <w:rPr>
      <w:rFonts w:ascii="Times New Roman" w:hAnsi="Times New Roman" w:cs="Times New Roman"/>
      <w:b/>
      <w:bCs/>
      <w:kern w:val="2"/>
      <w:sz w:val="21"/>
    </w:rPr>
  </w:style>
  <w:style w:type="character" w:customStyle="1" w:styleId="56">
    <w:name w:val="正文首行缩进 Char"/>
    <w:qFormat/>
    <w:uiPriority w:val="0"/>
  </w:style>
  <w:style w:type="character" w:customStyle="1" w:styleId="57">
    <w:name w:val="批注引用1"/>
    <w:qFormat/>
    <w:uiPriority w:val="0"/>
    <w:rPr>
      <w:sz w:val="21"/>
      <w:szCs w:val="21"/>
    </w:rPr>
  </w:style>
  <w:style w:type="character" w:customStyle="1" w:styleId="58">
    <w:name w:val="样式1 Char"/>
    <w:qFormat/>
    <w:uiPriority w:val="0"/>
    <w:rPr>
      <w:rFonts w:ascii="黑体;SimHei" w:hAnsi="黑体;SimHei" w:eastAsia="黑体;SimHei"/>
      <w:b/>
      <w:sz w:val="28"/>
      <w:szCs w:val="28"/>
    </w:rPr>
  </w:style>
  <w:style w:type="character" w:customStyle="1" w:styleId="59">
    <w:name w:val="批注文字 Char1"/>
    <w:qFormat/>
    <w:uiPriority w:val="0"/>
    <w:rPr>
      <w:rFonts w:ascii="Times New Roman" w:hAnsi="Times New Roman" w:eastAsia="宋体;SimSun" w:cs="Times New Roman"/>
      <w:szCs w:val="20"/>
    </w:rPr>
  </w:style>
  <w:style w:type="character" w:customStyle="1" w:styleId="60">
    <w:name w:val="样式1 Char Char"/>
    <w:qFormat/>
    <w:uiPriority w:val="0"/>
    <w:rPr>
      <w:rFonts w:ascii="黑体;SimHei" w:hAnsi="黑体;SimHei" w:eastAsia="黑体;SimHei" w:cs="Calibri"/>
      <w:b/>
      <w:kern w:val="2"/>
      <w:sz w:val="28"/>
      <w:szCs w:val="28"/>
    </w:rPr>
  </w:style>
  <w:style w:type="character" w:customStyle="1" w:styleId="61">
    <w:name w:val="批注文字 Char2"/>
    <w:qFormat/>
    <w:uiPriority w:val="0"/>
    <w:rPr>
      <w:rFonts w:ascii="Times New Roman" w:hAnsi="Times New Roman" w:cs="Times New Roman"/>
      <w:kern w:val="2"/>
      <w:sz w:val="21"/>
    </w:rPr>
  </w:style>
  <w:style w:type="paragraph" w:customStyle="1" w:styleId="62">
    <w:name w:val="Heading"/>
    <w:basedOn w:val="1"/>
    <w:next w:val="9"/>
    <w:qFormat/>
    <w:uiPriority w:val="0"/>
    <w:pPr>
      <w:pageBreakBefore/>
      <w:spacing w:before="100" w:after="100" w:line="360" w:lineRule="auto"/>
      <w:jc w:val="center"/>
      <w:outlineLvl w:val="0"/>
    </w:pPr>
    <w:rPr>
      <w:rFonts w:ascii="仿宋_GB2312;仿宋" w:hAnsi="仿宋_GB2312;仿宋" w:eastAsia="仿宋_GB2312;仿宋" w:cs="Arial"/>
      <w:bCs/>
      <w:kern w:val="0"/>
      <w:sz w:val="28"/>
      <w:szCs w:val="28"/>
      <w:vertAlign w:val="superscript"/>
    </w:rPr>
  </w:style>
  <w:style w:type="paragraph" w:customStyle="1" w:styleId="63">
    <w:name w:val="Index"/>
    <w:basedOn w:val="1"/>
    <w:qFormat/>
    <w:uiPriority w:val="0"/>
    <w:pPr>
      <w:suppressLineNumbers/>
    </w:pPr>
  </w:style>
  <w:style w:type="paragraph" w:customStyle="1" w:styleId="64">
    <w:name w:val="文档结构图1"/>
    <w:basedOn w:val="1"/>
    <w:qFormat/>
    <w:uiPriority w:val="0"/>
    <w:pPr>
      <w:shd w:val="clear" w:color="auto" w:fill="000080"/>
    </w:pPr>
    <w:rPr>
      <w:kern w:val="0"/>
      <w:sz w:val="20"/>
    </w:rPr>
  </w:style>
  <w:style w:type="paragraph" w:customStyle="1" w:styleId="65">
    <w:name w:val="批注框文本1"/>
    <w:basedOn w:val="1"/>
    <w:qFormat/>
    <w:uiPriority w:val="0"/>
    <w:rPr>
      <w:kern w:val="0"/>
      <w:sz w:val="18"/>
      <w:szCs w:val="18"/>
    </w:rPr>
  </w:style>
  <w:style w:type="paragraph" w:customStyle="1" w:styleId="66">
    <w:name w:val="批注文字1"/>
    <w:basedOn w:val="65"/>
    <w:next w:val="65"/>
    <w:qFormat/>
    <w:uiPriority w:val="0"/>
    <w:pPr>
      <w:jc w:val="left"/>
    </w:pPr>
  </w:style>
  <w:style w:type="paragraph" w:customStyle="1" w:styleId="67">
    <w:name w:val="纯文本1"/>
    <w:basedOn w:val="1"/>
    <w:qFormat/>
    <w:uiPriority w:val="0"/>
    <w:rPr>
      <w:rFonts w:ascii="宋体;SimSun" w:hAnsi="宋体;SimSun" w:eastAsia="仿宋_GB2312;仿宋" w:cs="Courier New"/>
      <w:kern w:val="0"/>
      <w:sz w:val="28"/>
    </w:rPr>
  </w:style>
  <w:style w:type="paragraph" w:customStyle="1" w:styleId="68">
    <w:name w:val="日期1"/>
    <w:basedOn w:val="1"/>
    <w:next w:val="1"/>
    <w:qFormat/>
    <w:uiPriority w:val="0"/>
    <w:pPr>
      <w:ind w:left="100"/>
    </w:pPr>
    <w:rPr>
      <w:rFonts w:ascii="方正仿宋简体;宋体" w:hAnsi="方正仿宋简体;宋体" w:eastAsia="方正仿宋简体;宋体"/>
      <w:b/>
      <w:kern w:val="0"/>
      <w:sz w:val="30"/>
    </w:rPr>
  </w:style>
  <w:style w:type="paragraph" w:customStyle="1" w:styleId="69">
    <w:name w:val="正文文本缩进 21"/>
    <w:basedOn w:val="1"/>
    <w:qFormat/>
    <w:uiPriority w:val="0"/>
    <w:pPr>
      <w:spacing w:line="400" w:lineRule="exact"/>
      <w:ind w:left="900"/>
    </w:pPr>
    <w:rPr>
      <w:kern w:val="0"/>
      <w:sz w:val="28"/>
    </w:rPr>
  </w:style>
  <w:style w:type="paragraph" w:customStyle="1" w:styleId="70">
    <w:name w:val="Header and Footer"/>
    <w:basedOn w:val="1"/>
    <w:qFormat/>
    <w:uiPriority w:val="0"/>
    <w:pPr>
      <w:suppressLineNumbers/>
      <w:tabs>
        <w:tab w:val="center" w:pos="4986"/>
        <w:tab w:val="right" w:pos="9972"/>
      </w:tabs>
    </w:pPr>
  </w:style>
  <w:style w:type="paragraph" w:customStyle="1" w:styleId="71">
    <w:name w:val="正文文本缩进 31"/>
    <w:basedOn w:val="1"/>
    <w:qFormat/>
    <w:uiPriority w:val="0"/>
    <w:pPr>
      <w:ind w:left="1276"/>
    </w:pPr>
    <w:rPr>
      <w:kern w:val="0"/>
      <w:sz w:val="24"/>
    </w:rPr>
  </w:style>
  <w:style w:type="paragraph" w:customStyle="1" w:styleId="72">
    <w:name w:val="正文文本 21"/>
    <w:basedOn w:val="1"/>
    <w:qFormat/>
    <w:uiPriority w:val="0"/>
    <w:pPr>
      <w:widowControl/>
      <w:spacing w:line="360" w:lineRule="auto"/>
    </w:pPr>
    <w:rPr>
      <w:b/>
      <w:bCs/>
      <w:color w:val="000000"/>
      <w:kern w:val="0"/>
      <w:sz w:val="24"/>
      <w:szCs w:val="24"/>
      <w:u w:val="single"/>
    </w:rPr>
  </w:style>
  <w:style w:type="paragraph" w:customStyle="1" w:styleId="73">
    <w:name w:val="普通(网站)1"/>
    <w:basedOn w:val="1"/>
    <w:qFormat/>
    <w:uiPriority w:val="0"/>
    <w:rPr>
      <w:sz w:val="24"/>
    </w:rPr>
  </w:style>
  <w:style w:type="paragraph" w:customStyle="1" w:styleId="74">
    <w:name w:val="批注主题1"/>
    <w:basedOn w:val="66"/>
    <w:next w:val="66"/>
    <w:qFormat/>
    <w:uiPriority w:val="0"/>
    <w:rPr>
      <w:b/>
      <w:bCs/>
    </w:rPr>
  </w:style>
  <w:style w:type="paragraph" w:customStyle="1" w:styleId="75">
    <w:name w:val="正文首行缩进1"/>
    <w:basedOn w:val="9"/>
    <w:qFormat/>
    <w:uiPriority w:val="0"/>
    <w:pPr>
      <w:spacing w:after="120"/>
      <w:ind w:firstLine="420"/>
    </w:pPr>
    <w:rPr>
      <w:sz w:val="21"/>
    </w:rPr>
  </w:style>
  <w:style w:type="paragraph" w:customStyle="1" w:styleId="76">
    <w:name w:val="样式1"/>
    <w:basedOn w:val="1"/>
    <w:qFormat/>
    <w:uiPriority w:val="0"/>
    <w:pPr>
      <w:numPr>
        <w:ilvl w:val="0"/>
        <w:numId w:val="2"/>
      </w:numPr>
      <w:tabs>
        <w:tab w:val="left" w:pos="0"/>
        <w:tab w:val="left" w:pos="855"/>
      </w:tabs>
      <w:spacing w:line="360" w:lineRule="auto"/>
    </w:pPr>
    <w:rPr>
      <w:rFonts w:ascii="黑体;SimHei" w:hAnsi="黑体;SimHei" w:eastAsia="黑体;SimHei" w:cs="Calibri"/>
      <w:b/>
      <w:sz w:val="28"/>
      <w:szCs w:val="28"/>
    </w:rPr>
  </w:style>
  <w:style w:type="paragraph" w:customStyle="1" w:styleId="77">
    <w:name w:val="正文文本缩进 211"/>
    <w:basedOn w:val="1"/>
    <w:qFormat/>
    <w:uiPriority w:val="0"/>
    <w:pPr>
      <w:snapToGrid w:val="0"/>
      <w:spacing w:line="440" w:lineRule="atLeast"/>
      <w:ind w:left="510" w:firstLine="510"/>
    </w:pPr>
    <w:rPr>
      <w:sz w:val="24"/>
    </w:rPr>
  </w:style>
  <w:style w:type="paragraph" w:customStyle="1" w:styleId="78">
    <w:name w:val="特殊格式"/>
    <w:basedOn w:val="5"/>
    <w:qFormat/>
    <w:uiPriority w:val="0"/>
    <w:pPr>
      <w:tabs>
        <w:tab w:val="left" w:pos="855"/>
        <w:tab w:val="left" w:pos="4695"/>
      </w:tabs>
      <w:snapToGrid w:val="0"/>
      <w:spacing w:line="500" w:lineRule="atLeast"/>
      <w:ind w:left="855" w:firstLine="0"/>
    </w:pPr>
    <w:rPr>
      <w:color w:val="000000"/>
      <w:sz w:val="24"/>
    </w:rPr>
  </w:style>
  <w:style w:type="paragraph" w:customStyle="1" w:styleId="79">
    <w:name w:val="_Style 2"/>
    <w:basedOn w:val="1"/>
    <w:qFormat/>
    <w:uiPriority w:val="0"/>
    <w:pPr>
      <w:ind w:firstLine="420"/>
    </w:pPr>
  </w:style>
  <w:style w:type="paragraph" w:customStyle="1" w:styleId="80">
    <w:name w:val="pa-1"/>
    <w:basedOn w:val="1"/>
    <w:qFormat/>
    <w:uiPriority w:val="0"/>
    <w:pPr>
      <w:widowControl/>
      <w:spacing w:line="880" w:lineRule="atLeast"/>
      <w:jc w:val="center"/>
    </w:pPr>
    <w:rPr>
      <w:rFonts w:ascii="宋体;SimSun" w:hAnsi="宋体;SimSun" w:cs="宋体;SimSun"/>
      <w:kern w:val="0"/>
      <w:sz w:val="24"/>
    </w:rPr>
  </w:style>
  <w:style w:type="paragraph" w:customStyle="1" w:styleId="81">
    <w:name w:val="_Style 1"/>
    <w:basedOn w:val="1"/>
    <w:qFormat/>
    <w:uiPriority w:val="0"/>
    <w:pPr>
      <w:ind w:firstLine="420"/>
    </w:pPr>
  </w:style>
  <w:style w:type="paragraph" w:customStyle="1" w:styleId="82">
    <w:name w:val="正文 + 宋体"/>
    <w:basedOn w:val="1"/>
    <w:qFormat/>
    <w:uiPriority w:val="0"/>
    <w:pPr>
      <w:spacing w:line="500" w:lineRule="exact"/>
      <w:ind w:firstLine="480"/>
    </w:pPr>
    <w:rPr>
      <w:rFonts w:ascii="宋体;SimSun" w:hAnsi="宋体;SimSun" w:cs="宋体;SimSun"/>
      <w:sz w:val="24"/>
      <w:szCs w:val="24"/>
    </w:rPr>
  </w:style>
  <w:style w:type="paragraph" w:customStyle="1" w:styleId="83">
    <w:name w:val="pa-37"/>
    <w:basedOn w:val="1"/>
    <w:qFormat/>
    <w:uiPriority w:val="0"/>
    <w:pPr>
      <w:widowControl/>
      <w:spacing w:line="320" w:lineRule="atLeast"/>
      <w:jc w:val="right"/>
    </w:pPr>
    <w:rPr>
      <w:rFonts w:ascii="宋体;SimSun" w:hAnsi="宋体;SimSun" w:cs="宋体;SimSun"/>
      <w:kern w:val="0"/>
      <w:sz w:val="24"/>
    </w:rPr>
  </w:style>
  <w:style w:type="paragraph" w:customStyle="1" w:styleId="84">
    <w:name w:val="普通 (Web)"/>
    <w:basedOn w:val="1"/>
    <w:qFormat/>
    <w:uiPriority w:val="0"/>
    <w:pPr>
      <w:widowControl/>
      <w:spacing w:before="100" w:after="100"/>
      <w:jc w:val="left"/>
    </w:pPr>
    <w:rPr>
      <w:rFonts w:ascii="宋体;SimSun" w:hAnsi="宋体;SimSun" w:cs="宋体;SimSun"/>
      <w:kern w:val="0"/>
      <w:sz w:val="24"/>
    </w:rPr>
  </w:style>
  <w:style w:type="paragraph" w:customStyle="1" w:styleId="85">
    <w:name w:val="列出段落"/>
    <w:basedOn w:val="1"/>
    <w:qFormat/>
    <w:uiPriority w:val="0"/>
    <w:pPr>
      <w:ind w:firstLine="420"/>
    </w:pPr>
  </w:style>
  <w:style w:type="paragraph" w:customStyle="1" w:styleId="86">
    <w:name w:val="列出段落1"/>
    <w:basedOn w:val="1"/>
    <w:qFormat/>
    <w:uiPriority w:val="0"/>
    <w:pPr>
      <w:ind w:firstLine="420"/>
    </w:pPr>
    <w:rPr>
      <w:rFonts w:ascii="Calibri" w:hAnsi="Calibri"/>
    </w:rPr>
  </w:style>
  <w:style w:type="paragraph" w:customStyle="1" w:styleId="87">
    <w:name w:val="xl24"/>
    <w:basedOn w:val="1"/>
    <w:qFormat/>
    <w:uiPriority w:val="0"/>
    <w:pPr>
      <w:widowControl/>
      <w:spacing w:before="100" w:after="100"/>
      <w:jc w:val="center"/>
      <w:textAlignment w:val="center"/>
    </w:pPr>
    <w:rPr>
      <w:rFonts w:ascii="宋体;SimSun" w:hAnsi="宋体;SimSun" w:cs="宋体;SimSun"/>
      <w:kern w:val="0"/>
      <w:sz w:val="24"/>
    </w:rPr>
  </w:style>
  <w:style w:type="paragraph" w:customStyle="1" w:styleId="88">
    <w:name w:val="无间隔1"/>
    <w:qFormat/>
    <w:uiPriority w:val="0"/>
    <w:rPr>
      <w:rFonts w:ascii="宋体;SimSun" w:hAnsi="宋体;SimSun" w:eastAsia="宋体;SimSun" w:cs="宋体;SimSun"/>
      <w:sz w:val="24"/>
      <w:szCs w:val="24"/>
      <w:lang w:val="en-US" w:eastAsia="zh-CN" w:bidi="ar-SA"/>
    </w:rPr>
  </w:style>
  <w:style w:type="paragraph" w:customStyle="1" w:styleId="89">
    <w:name w:val="flType"/>
    <w:basedOn w:val="1"/>
    <w:qFormat/>
    <w:uiPriority w:val="0"/>
    <w:pPr>
      <w:spacing w:before="560" w:after="120" w:line="360" w:lineRule="atLeast"/>
      <w:jc w:val="center"/>
      <w:textAlignment w:val="baseline"/>
    </w:pPr>
    <w:rPr>
      <w:rFonts w:ascii="Arial" w:hAnsi="Arial" w:eastAsia="黑体;SimHei"/>
      <w:kern w:val="0"/>
      <w:sz w:val="28"/>
    </w:rPr>
  </w:style>
  <w:style w:type="paragraph" w:customStyle="1" w:styleId="90">
    <w:name w:val="Char Char Char Char Char Char Char Char Char Char Char Char Char Char Char Char"/>
    <w:basedOn w:val="1"/>
    <w:qFormat/>
    <w:uiPriority w:val="0"/>
    <w:rPr>
      <w:rFonts w:ascii="Tahoma" w:hAnsi="Tahoma" w:cs="Tahoma"/>
      <w:sz w:val="24"/>
    </w:rPr>
  </w:style>
  <w:style w:type="paragraph" w:customStyle="1" w:styleId="91">
    <w:name w:val="修订1"/>
    <w:qFormat/>
    <w:uiPriority w:val="0"/>
    <w:rPr>
      <w:rFonts w:ascii="Times New Roman" w:hAnsi="Times New Roman" w:eastAsia="宋体;SimSun" w:cs="Times New Roman"/>
      <w:kern w:val="2"/>
      <w:sz w:val="21"/>
      <w:lang w:val="en-US" w:eastAsia="zh-CN" w:bidi="ar-SA"/>
    </w:rPr>
  </w:style>
  <w:style w:type="paragraph" w:customStyle="1" w:styleId="92">
    <w:name w:val="_Style 64"/>
    <w:qFormat/>
    <w:uiPriority w:val="0"/>
    <w:rPr>
      <w:rFonts w:ascii="Times New Roman" w:hAnsi="Times New Roman" w:eastAsia="宋体;SimSun" w:cs="Times New Roman"/>
      <w:kern w:val="2"/>
      <w:sz w:val="21"/>
      <w:lang w:val="en-US" w:eastAsia="zh-CN" w:bidi="ar-SA"/>
    </w:rPr>
  </w:style>
  <w:style w:type="paragraph" w:customStyle="1" w:styleId="93">
    <w:name w:val="无间隔11"/>
    <w:qFormat/>
    <w:uiPriority w:val="0"/>
    <w:rPr>
      <w:rFonts w:ascii="宋体;SimSun" w:hAnsi="宋体;SimSun" w:eastAsia="宋体;SimSun" w:cs="宋体;SimSun"/>
      <w:sz w:val="24"/>
      <w:szCs w:val="24"/>
      <w:lang w:val="en-US" w:eastAsia="zh-CN" w:bidi="ar-SA"/>
    </w:rPr>
  </w:style>
  <w:style w:type="paragraph" w:customStyle="1" w:styleId="94">
    <w:name w:val="Style1"/>
    <w:basedOn w:val="1"/>
    <w:qFormat/>
    <w:uiPriority w:val="0"/>
    <w:pPr>
      <w:widowControl/>
      <w:jc w:val="left"/>
    </w:pPr>
    <w:rPr>
      <w:kern w:val="0"/>
      <w:sz w:val="20"/>
    </w:rPr>
  </w:style>
  <w:style w:type="paragraph" w:customStyle="1" w:styleId="95">
    <w:name w:val="Table Contents"/>
    <w:basedOn w:val="1"/>
    <w:qFormat/>
    <w:uiPriority w:val="0"/>
    <w:pPr>
      <w:suppressLineNumbers/>
    </w:pPr>
  </w:style>
  <w:style w:type="paragraph" w:customStyle="1" w:styleId="96">
    <w:name w:val="Table Heading"/>
    <w:basedOn w:val="95"/>
    <w:qFormat/>
    <w:uiPriority w:val="0"/>
    <w:pPr>
      <w:jc w:val="center"/>
    </w:pPr>
    <w:rPr>
      <w:b/>
      <w:bCs/>
    </w:rPr>
  </w:style>
  <w:style w:type="paragraph" w:styleId="97">
    <w:name w:val="List Paragraph"/>
    <w:basedOn w:val="1"/>
    <w:unhideWhenUsed/>
    <w:qFormat/>
    <w:uiPriority w:val="99"/>
    <w:pPr>
      <w:ind w:firstLine="420" w:firstLineChars="200"/>
    </w:pPr>
  </w:style>
  <w:style w:type="paragraph" w:customStyle="1" w:styleId="98">
    <w:name w:val="清單段落"/>
    <w:basedOn w:val="1"/>
    <w:qFormat/>
    <w:uiPriority w:val="34"/>
    <w:pPr>
      <w:ind w:left="480" w:left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11994</Words>
  <Characters>12592</Characters>
  <Lines>216</Lines>
  <Paragraphs>60</Paragraphs>
  <TotalTime>2</TotalTime>
  <ScaleCrop>false</ScaleCrop>
  <LinksUpToDate>false</LinksUpToDate>
  <CharactersWithSpaces>13164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2023-11-16T17:24:00Z</dcterms:created>
  <dc:creator>Data</dc:creator>
  <cp:lastModifiedBy>杨</cp:lastModifiedBy>
  <dcterms:modified xsi:type="dcterms:W3CDTF">2025-11-14T08:07:08Z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2DBC00ED4AB3486191150C79AD516233_13</vt:lpwstr>
  </property>
  <property fmtid="{D5CDD505-2E9C-101B-9397-08002B2CF9AE}" pid="4" name="KSOTemplateDocerSaveRecord">
    <vt:lpwstr>eyJoZGlkIjoiZmFlYzM4YjBjODk4MzQwZmNhZGJlMzU0YWVkMzlmN2IiLCJ1c2VySWQiOiIzODA4Nzc4MTUifQ==</vt:lpwstr>
  </property>
</Properties>
</file>