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58348">
      <w:pPr>
        <w:adjustRightInd w:val="0"/>
        <w:snapToGrid w:val="0"/>
        <w:spacing w:line="360" w:lineRule="auto"/>
        <w:ind w:right="1359" w:rightChars="647" w:firstLine="2224" w:firstLineChars="695"/>
        <w:jc w:val="right"/>
        <w:rPr>
          <w:rFonts w:ascii="宋体" w:hAnsi="宋体"/>
          <w:bCs/>
          <w:snapToGrid w:val="0"/>
          <w:color w:val="auto"/>
          <w:kern w:val="0"/>
          <w:sz w:val="32"/>
          <w:szCs w:val="32"/>
          <w:highlight w:val="none"/>
        </w:rPr>
      </w:pPr>
    </w:p>
    <w:p w14:paraId="385FBB2C">
      <w:pPr>
        <w:adjustRightInd w:val="0"/>
        <w:snapToGrid w:val="0"/>
        <w:spacing w:line="360" w:lineRule="auto"/>
        <w:ind w:right="1359" w:rightChars="647" w:firstLine="2224" w:firstLineChars="695"/>
        <w:jc w:val="right"/>
        <w:rPr>
          <w:rFonts w:ascii="宋体" w:hAnsi="宋体"/>
          <w:bCs/>
          <w:snapToGrid w:val="0"/>
          <w:color w:val="auto"/>
          <w:kern w:val="0"/>
          <w:sz w:val="32"/>
          <w:szCs w:val="32"/>
          <w:highlight w:val="none"/>
          <w:u w:val="single"/>
        </w:rPr>
      </w:pPr>
      <w:r>
        <w:rPr>
          <w:rFonts w:hint="eastAsia" w:ascii="宋体" w:hAnsi="宋体"/>
          <w:bCs/>
          <w:snapToGrid w:val="0"/>
          <w:color w:val="auto"/>
          <w:kern w:val="0"/>
          <w:sz w:val="32"/>
          <w:szCs w:val="32"/>
          <w:highlight w:val="none"/>
        </w:rPr>
        <w:t xml:space="preserve">   合同编号：</w:t>
      </w:r>
    </w:p>
    <w:p w14:paraId="019D74B9">
      <w:pPr>
        <w:adjustRightInd w:val="0"/>
        <w:snapToGrid w:val="0"/>
        <w:spacing w:line="360" w:lineRule="auto"/>
        <w:ind w:right="1284" w:firstLine="1668" w:firstLineChars="695"/>
        <w:jc w:val="right"/>
        <w:rPr>
          <w:rFonts w:ascii="宋体" w:hAnsi="宋体"/>
          <w:snapToGrid w:val="0"/>
          <w:color w:val="auto"/>
          <w:kern w:val="0"/>
          <w:sz w:val="24"/>
          <w:highlight w:val="none"/>
        </w:rPr>
      </w:pPr>
      <w:r>
        <w:rPr>
          <w:rFonts w:ascii="宋体" w:hAnsi="宋体"/>
          <w:snapToGrid w:val="0"/>
          <w:color w:val="auto"/>
          <w:kern w:val="0"/>
          <w:sz w:val="24"/>
          <w:highlight w:val="none"/>
        </w:rPr>
        <w:t xml:space="preserve"> </w:t>
      </w:r>
    </w:p>
    <w:p w14:paraId="2440DA31">
      <w:pPr>
        <w:adjustRightInd w:val="0"/>
        <w:snapToGrid w:val="0"/>
        <w:spacing w:line="360" w:lineRule="auto"/>
        <w:jc w:val="center"/>
        <w:rPr>
          <w:rFonts w:ascii="宋体" w:hAnsi="宋体"/>
          <w:b/>
          <w:bCs/>
          <w:snapToGrid w:val="0"/>
          <w:color w:val="auto"/>
          <w:kern w:val="0"/>
          <w:sz w:val="48"/>
          <w:szCs w:val="48"/>
          <w:highlight w:val="none"/>
        </w:rPr>
      </w:pPr>
    </w:p>
    <w:p w14:paraId="5BDD58F3">
      <w:pPr>
        <w:adjustRightInd w:val="0"/>
        <w:snapToGrid w:val="0"/>
        <w:spacing w:line="360" w:lineRule="auto"/>
        <w:jc w:val="center"/>
        <w:rPr>
          <w:rFonts w:ascii="宋体" w:hAnsi="宋体"/>
          <w:b/>
          <w:bCs/>
          <w:snapToGrid w:val="0"/>
          <w:color w:val="auto"/>
          <w:kern w:val="0"/>
          <w:sz w:val="56"/>
          <w:szCs w:val="56"/>
          <w:highlight w:val="none"/>
        </w:rPr>
      </w:pPr>
      <w:r>
        <w:rPr>
          <w:rFonts w:hint="eastAsia" w:ascii="宋体" w:hAnsi="宋体"/>
          <w:b/>
          <w:bCs/>
          <w:snapToGrid w:val="0"/>
          <w:color w:val="auto"/>
          <w:kern w:val="0"/>
          <w:sz w:val="56"/>
          <w:szCs w:val="56"/>
          <w:highlight w:val="none"/>
        </w:rPr>
        <w:t>（项目名称）</w:t>
      </w:r>
    </w:p>
    <w:p w14:paraId="0FB8BA96">
      <w:pPr>
        <w:adjustRightInd w:val="0"/>
        <w:snapToGrid w:val="0"/>
        <w:spacing w:line="360" w:lineRule="auto"/>
        <w:jc w:val="center"/>
        <w:rPr>
          <w:rFonts w:ascii="宋体" w:hAnsi="宋体"/>
          <w:b/>
          <w:bCs/>
          <w:snapToGrid w:val="0"/>
          <w:color w:val="auto"/>
          <w:kern w:val="0"/>
          <w:sz w:val="84"/>
          <w:szCs w:val="84"/>
          <w:highlight w:val="none"/>
        </w:rPr>
      </w:pPr>
      <w:r>
        <w:rPr>
          <w:rFonts w:hint="eastAsia" w:ascii="宋体" w:hAnsi="宋体"/>
          <w:b/>
          <w:bCs/>
          <w:snapToGrid w:val="0"/>
          <w:color w:val="auto"/>
          <w:kern w:val="0"/>
          <w:sz w:val="84"/>
          <w:szCs w:val="84"/>
          <w:highlight w:val="none"/>
        </w:rPr>
        <w:t>勘察</w:t>
      </w:r>
      <w:r>
        <w:rPr>
          <w:rFonts w:ascii="宋体" w:hAnsi="宋体"/>
          <w:b/>
          <w:bCs/>
          <w:snapToGrid w:val="0"/>
          <w:color w:val="auto"/>
          <w:kern w:val="0"/>
          <w:sz w:val="84"/>
          <w:szCs w:val="84"/>
          <w:highlight w:val="none"/>
        </w:rPr>
        <w:t>-设计合同</w:t>
      </w:r>
    </w:p>
    <w:p w14:paraId="5F9D5E5D">
      <w:pPr>
        <w:adjustRightInd w:val="0"/>
        <w:snapToGrid w:val="0"/>
        <w:spacing w:line="360" w:lineRule="auto"/>
        <w:jc w:val="center"/>
        <w:rPr>
          <w:rFonts w:ascii="宋体" w:hAnsi="宋体"/>
          <w:snapToGrid w:val="0"/>
          <w:color w:val="auto"/>
          <w:kern w:val="0"/>
          <w:sz w:val="24"/>
          <w:highlight w:val="none"/>
        </w:rPr>
      </w:pPr>
    </w:p>
    <w:p w14:paraId="524F38DB">
      <w:pPr>
        <w:adjustRightInd w:val="0"/>
        <w:snapToGrid w:val="0"/>
        <w:spacing w:line="360" w:lineRule="auto"/>
        <w:jc w:val="center"/>
        <w:rPr>
          <w:rFonts w:ascii="宋体" w:hAnsi="宋体"/>
          <w:snapToGrid w:val="0"/>
          <w:color w:val="auto"/>
          <w:kern w:val="0"/>
          <w:sz w:val="24"/>
          <w:highlight w:val="none"/>
        </w:rPr>
      </w:pPr>
    </w:p>
    <w:p w14:paraId="3A0A2AC0">
      <w:pPr>
        <w:adjustRightInd w:val="0"/>
        <w:snapToGrid w:val="0"/>
        <w:spacing w:line="360" w:lineRule="auto"/>
        <w:jc w:val="center"/>
        <w:rPr>
          <w:rFonts w:ascii="宋体" w:hAnsi="宋体"/>
          <w:snapToGrid w:val="0"/>
          <w:color w:val="auto"/>
          <w:kern w:val="0"/>
          <w:sz w:val="24"/>
          <w:highlight w:val="none"/>
        </w:rPr>
      </w:pPr>
    </w:p>
    <w:p w14:paraId="7AFA8630">
      <w:pPr>
        <w:adjustRightInd w:val="0"/>
        <w:snapToGrid w:val="0"/>
        <w:spacing w:line="360" w:lineRule="auto"/>
        <w:jc w:val="center"/>
        <w:rPr>
          <w:rFonts w:ascii="宋体" w:hAnsi="宋体"/>
          <w:snapToGrid w:val="0"/>
          <w:color w:val="auto"/>
          <w:kern w:val="0"/>
          <w:sz w:val="24"/>
          <w:highlight w:val="none"/>
        </w:rPr>
      </w:pPr>
    </w:p>
    <w:p w14:paraId="19A2D08A">
      <w:pPr>
        <w:adjustRightInd w:val="0"/>
        <w:snapToGrid w:val="0"/>
        <w:spacing w:line="360" w:lineRule="auto"/>
        <w:jc w:val="center"/>
        <w:rPr>
          <w:rFonts w:ascii="宋体" w:hAnsi="宋体"/>
          <w:snapToGrid w:val="0"/>
          <w:color w:val="auto"/>
          <w:kern w:val="0"/>
          <w:sz w:val="24"/>
          <w:highlight w:val="none"/>
        </w:rPr>
      </w:pPr>
    </w:p>
    <w:p w14:paraId="5D5FF086">
      <w:pPr>
        <w:adjustRightInd w:val="0"/>
        <w:snapToGrid w:val="0"/>
        <w:spacing w:line="360" w:lineRule="auto"/>
        <w:jc w:val="center"/>
        <w:rPr>
          <w:rFonts w:ascii="宋体" w:hAnsi="宋体"/>
          <w:snapToGrid w:val="0"/>
          <w:color w:val="auto"/>
          <w:kern w:val="0"/>
          <w:sz w:val="24"/>
          <w:highlight w:val="none"/>
        </w:rPr>
      </w:pPr>
    </w:p>
    <w:p w14:paraId="632F5CF6">
      <w:pPr>
        <w:adjustRightInd w:val="0"/>
        <w:snapToGrid w:val="0"/>
        <w:spacing w:line="360" w:lineRule="auto"/>
        <w:jc w:val="center"/>
        <w:rPr>
          <w:rFonts w:ascii="宋体" w:hAnsi="宋体"/>
          <w:snapToGrid w:val="0"/>
          <w:color w:val="auto"/>
          <w:kern w:val="0"/>
          <w:sz w:val="24"/>
          <w:highlight w:val="none"/>
        </w:rPr>
      </w:pPr>
    </w:p>
    <w:p w14:paraId="0D4302BC">
      <w:pPr>
        <w:adjustRightInd w:val="0"/>
        <w:snapToGrid w:val="0"/>
        <w:spacing w:line="360" w:lineRule="auto"/>
        <w:rPr>
          <w:rFonts w:ascii="宋体" w:hAnsi="宋体"/>
          <w:snapToGrid w:val="0"/>
          <w:color w:val="auto"/>
          <w:kern w:val="0"/>
          <w:sz w:val="24"/>
          <w:highlight w:val="none"/>
        </w:rPr>
      </w:pPr>
    </w:p>
    <w:p w14:paraId="61995A43">
      <w:pPr>
        <w:adjustRightInd w:val="0"/>
        <w:snapToGrid w:val="0"/>
        <w:spacing w:line="360" w:lineRule="auto"/>
        <w:rPr>
          <w:rFonts w:ascii="宋体" w:hAnsi="宋体"/>
          <w:snapToGrid w:val="0"/>
          <w:color w:val="auto"/>
          <w:kern w:val="0"/>
          <w:sz w:val="24"/>
          <w:highlight w:val="none"/>
        </w:rPr>
      </w:pPr>
    </w:p>
    <w:p w14:paraId="233CE986">
      <w:pPr>
        <w:adjustRightInd w:val="0"/>
        <w:snapToGrid w:val="0"/>
        <w:spacing w:line="360" w:lineRule="auto"/>
        <w:rPr>
          <w:rFonts w:ascii="宋体" w:hAnsi="宋体"/>
          <w:snapToGrid w:val="0"/>
          <w:color w:val="auto"/>
          <w:kern w:val="0"/>
          <w:sz w:val="24"/>
          <w:highlight w:val="none"/>
        </w:rPr>
      </w:pPr>
    </w:p>
    <w:p w14:paraId="1BA5861D">
      <w:pPr>
        <w:adjustRightInd w:val="0"/>
        <w:snapToGrid w:val="0"/>
        <w:spacing w:line="360" w:lineRule="auto"/>
        <w:ind w:firstLine="1079" w:firstLineChars="336"/>
        <w:rPr>
          <w:rFonts w:ascii="宋体" w:hAnsi="宋体"/>
          <w:b/>
          <w:bCs/>
          <w:snapToGrid w:val="0"/>
          <w:color w:val="auto"/>
          <w:kern w:val="0"/>
          <w:sz w:val="32"/>
          <w:szCs w:val="32"/>
          <w:highlight w:val="none"/>
        </w:rPr>
      </w:pPr>
      <w:r>
        <w:rPr>
          <w:rFonts w:hint="eastAsia" w:ascii="宋体" w:hAnsi="宋体"/>
          <w:b/>
          <w:bCs/>
          <w:snapToGrid w:val="0"/>
          <w:color w:val="auto"/>
          <w:kern w:val="0"/>
          <w:sz w:val="32"/>
          <w:szCs w:val="32"/>
          <w:highlight w:val="none"/>
        </w:rPr>
        <w:t>甲方：</w:t>
      </w:r>
    </w:p>
    <w:p w14:paraId="4106BBA4">
      <w:pPr>
        <w:adjustRightInd w:val="0"/>
        <w:snapToGrid w:val="0"/>
        <w:spacing w:line="360" w:lineRule="auto"/>
        <w:ind w:firstLine="1079" w:firstLineChars="336"/>
        <w:rPr>
          <w:rFonts w:ascii="宋体" w:hAnsi="宋体"/>
          <w:b/>
          <w:bCs/>
          <w:snapToGrid w:val="0"/>
          <w:color w:val="auto"/>
          <w:kern w:val="0"/>
          <w:sz w:val="32"/>
          <w:szCs w:val="32"/>
          <w:highlight w:val="none"/>
        </w:rPr>
      </w:pPr>
      <w:r>
        <w:rPr>
          <w:rFonts w:hint="eastAsia" w:ascii="宋体" w:hAnsi="宋体"/>
          <w:b/>
          <w:bCs/>
          <w:snapToGrid w:val="0"/>
          <w:color w:val="auto"/>
          <w:kern w:val="0"/>
          <w:sz w:val="32"/>
          <w:szCs w:val="32"/>
          <w:highlight w:val="none"/>
        </w:rPr>
        <w:t>乙方：</w:t>
      </w:r>
      <w:r>
        <w:rPr>
          <w:rFonts w:ascii="宋体" w:hAnsi="宋体"/>
          <w:b/>
          <w:bCs/>
          <w:snapToGrid w:val="0"/>
          <w:color w:val="auto"/>
          <w:kern w:val="0"/>
          <w:sz w:val="32"/>
          <w:szCs w:val="32"/>
          <w:highlight w:val="none"/>
        </w:rPr>
        <w:br w:type="page"/>
      </w:r>
    </w:p>
    <w:p w14:paraId="621021E3">
      <w:pPr>
        <w:adjustRightInd w:val="0"/>
        <w:snapToGrid w:val="0"/>
        <w:spacing w:line="360" w:lineRule="auto"/>
        <w:jc w:val="center"/>
        <w:rPr>
          <w:rFonts w:ascii="黑体" w:hAnsi="宋体" w:eastAsia="黑体"/>
          <w:b/>
          <w:bCs/>
          <w:snapToGrid w:val="0"/>
          <w:color w:val="auto"/>
          <w:kern w:val="0"/>
          <w:sz w:val="48"/>
          <w:szCs w:val="48"/>
          <w:highlight w:val="none"/>
        </w:rPr>
      </w:pPr>
      <w:r>
        <w:rPr>
          <w:rFonts w:hint="eastAsia" w:ascii="黑体" w:hAnsi="宋体" w:eastAsia="黑体"/>
          <w:b/>
          <w:bCs/>
          <w:snapToGrid w:val="0"/>
          <w:color w:val="auto"/>
          <w:kern w:val="0"/>
          <w:sz w:val="48"/>
          <w:szCs w:val="48"/>
          <w:highlight w:val="none"/>
        </w:rPr>
        <w:t>重要提示</w:t>
      </w:r>
    </w:p>
    <w:p w14:paraId="062BE3BD">
      <w:pPr>
        <w:adjustRightInd w:val="0"/>
        <w:snapToGrid w:val="0"/>
        <w:spacing w:line="360" w:lineRule="auto"/>
        <w:rPr>
          <w:rFonts w:ascii="黑体" w:hAnsi="宋体" w:eastAsia="黑体"/>
          <w:b/>
          <w:snapToGrid w:val="0"/>
          <w:color w:val="auto"/>
          <w:kern w:val="0"/>
          <w:sz w:val="24"/>
          <w:highlight w:val="none"/>
        </w:rPr>
      </w:pPr>
    </w:p>
    <w:p w14:paraId="18B52875">
      <w:pPr>
        <w:adjustRightInd w:val="0"/>
        <w:snapToGrid w:val="0"/>
        <w:spacing w:line="360" w:lineRule="auto"/>
        <w:ind w:firstLine="551" w:firstLineChars="196"/>
        <w:rPr>
          <w:rFonts w:ascii="黑体" w:hAnsi="宋体" w:eastAsia="黑体"/>
          <w:b/>
          <w:snapToGrid w:val="0"/>
          <w:color w:val="auto"/>
          <w:kern w:val="0"/>
          <w:sz w:val="28"/>
          <w:szCs w:val="28"/>
          <w:highlight w:val="none"/>
        </w:rPr>
      </w:pPr>
      <w:r>
        <w:rPr>
          <w:rFonts w:hint="eastAsia" w:ascii="黑体" w:hAnsi="宋体" w:eastAsia="黑体"/>
          <w:b/>
          <w:snapToGrid w:val="0"/>
          <w:color w:val="auto"/>
          <w:kern w:val="0"/>
          <w:sz w:val="28"/>
          <w:szCs w:val="28"/>
          <w:highlight w:val="none"/>
        </w:rPr>
        <w:t>本合同</w:t>
      </w:r>
      <w:r>
        <w:rPr>
          <w:rFonts w:hint="eastAsia" w:ascii="黑体" w:hAnsi="宋体" w:eastAsia="黑体"/>
          <w:snapToGrid w:val="0"/>
          <w:color w:val="auto"/>
          <w:kern w:val="0"/>
          <w:sz w:val="28"/>
          <w:szCs w:val="28"/>
          <w:highlight w:val="none"/>
        </w:rPr>
        <w:t>由《合同协议书》、《合同条款》和《合同附件》三大部分组成，对合同中的部分内容设选项按标准化模式设置，</w:t>
      </w:r>
      <w:r>
        <w:rPr>
          <w:rFonts w:hint="eastAsia" w:ascii="黑体" w:eastAsia="黑体"/>
          <w:snapToGrid w:val="0"/>
          <w:color w:val="auto"/>
          <w:kern w:val="0"/>
          <w:sz w:val="28"/>
          <w:szCs w:val="28"/>
          <w:highlight w:val="none"/>
        </w:rPr>
        <w:t>采用“</w:t>
      </w:r>
      <w:r>
        <w:rPr>
          <w:rFonts w:hint="eastAsia" w:ascii="黑体" w:eastAsia="黑体"/>
          <w:snapToGrid w:val="0"/>
          <w:color w:val="auto"/>
          <w:kern w:val="0"/>
          <w:sz w:val="28"/>
          <w:szCs w:val="28"/>
          <w:highlight w:val="none"/>
          <w:bdr w:val="single" w:color="auto" w:sz="4" w:space="0"/>
        </w:rPr>
        <w:t>√</w:t>
      </w:r>
      <w:r>
        <w:rPr>
          <w:rFonts w:hint="eastAsia" w:ascii="黑体" w:eastAsia="黑体"/>
          <w:snapToGrid w:val="0"/>
          <w:color w:val="auto"/>
          <w:kern w:val="0"/>
          <w:sz w:val="28"/>
          <w:szCs w:val="28"/>
          <w:highlight w:val="none"/>
        </w:rPr>
        <w:t>”或“</w:t>
      </w:r>
      <w:r>
        <w:rPr>
          <w:rFonts w:hint="eastAsia" w:ascii="黑体" w:eastAsia="黑体"/>
          <w:snapToGrid w:val="0"/>
          <w:color w:val="auto"/>
          <w:kern w:val="0"/>
          <w:sz w:val="28"/>
          <w:szCs w:val="28"/>
          <w:highlight w:val="none"/>
          <w:bdr w:val="single" w:color="auto" w:sz="4" w:space="0"/>
        </w:rPr>
        <w:t>×</w:t>
      </w:r>
      <w:r>
        <w:rPr>
          <w:rFonts w:hint="eastAsia" w:ascii="黑体" w:eastAsia="黑体"/>
          <w:snapToGrid w:val="0"/>
          <w:color w:val="auto"/>
          <w:kern w:val="0"/>
          <w:sz w:val="28"/>
          <w:szCs w:val="28"/>
          <w:highlight w:val="none"/>
        </w:rPr>
        <w:t>”予以选择。合同中此部分内容，标注“</w:t>
      </w:r>
      <w:r>
        <w:rPr>
          <w:rFonts w:hint="eastAsia" w:ascii="黑体" w:eastAsia="黑体"/>
          <w:snapToGrid w:val="0"/>
          <w:color w:val="auto"/>
          <w:kern w:val="0"/>
          <w:sz w:val="28"/>
          <w:szCs w:val="28"/>
          <w:highlight w:val="none"/>
          <w:bdr w:val="single" w:color="auto" w:sz="4" w:space="0"/>
        </w:rPr>
        <w:t>√</w:t>
      </w:r>
      <w:r>
        <w:rPr>
          <w:rFonts w:hint="eastAsia" w:ascii="黑体" w:eastAsia="黑体"/>
          <w:snapToGrid w:val="0"/>
          <w:color w:val="auto"/>
          <w:kern w:val="0"/>
          <w:sz w:val="28"/>
          <w:szCs w:val="28"/>
          <w:highlight w:val="none"/>
        </w:rPr>
        <w:t>”的选项即为本合同采用，标注“</w:t>
      </w:r>
      <w:r>
        <w:rPr>
          <w:rFonts w:hint="eastAsia" w:ascii="黑体" w:eastAsia="黑体"/>
          <w:snapToGrid w:val="0"/>
          <w:color w:val="auto"/>
          <w:kern w:val="0"/>
          <w:sz w:val="28"/>
          <w:szCs w:val="28"/>
          <w:highlight w:val="none"/>
          <w:bdr w:val="single" w:color="auto" w:sz="4" w:space="0"/>
        </w:rPr>
        <w:t>×</w:t>
      </w:r>
      <w:r>
        <w:rPr>
          <w:rFonts w:hint="eastAsia" w:ascii="黑体" w:eastAsia="黑体"/>
          <w:snapToGrid w:val="0"/>
          <w:color w:val="auto"/>
          <w:kern w:val="0"/>
          <w:sz w:val="28"/>
          <w:szCs w:val="28"/>
          <w:highlight w:val="none"/>
        </w:rPr>
        <w:t>”的选项为本合同不采用。</w:t>
      </w:r>
    </w:p>
    <w:p w14:paraId="511FCD37">
      <w:pPr>
        <w:adjustRightInd w:val="0"/>
        <w:snapToGrid w:val="0"/>
        <w:spacing w:line="360" w:lineRule="auto"/>
        <w:ind w:firstLine="810" w:firstLineChars="336"/>
        <w:rPr>
          <w:rFonts w:ascii="黑体" w:hAnsi="宋体" w:eastAsia="黑体"/>
          <w:b/>
          <w:snapToGrid w:val="0"/>
          <w:color w:val="auto"/>
          <w:kern w:val="0"/>
          <w:sz w:val="24"/>
          <w:highlight w:val="none"/>
        </w:rPr>
      </w:pPr>
    </w:p>
    <w:p w14:paraId="419DD33C">
      <w:pPr>
        <w:adjustRightInd w:val="0"/>
        <w:snapToGrid w:val="0"/>
        <w:spacing w:line="360" w:lineRule="auto"/>
        <w:ind w:firstLine="806" w:firstLineChars="336"/>
        <w:rPr>
          <w:rFonts w:ascii="黑体" w:hAnsi="宋体" w:eastAsia="黑体"/>
          <w:color w:val="auto"/>
          <w:sz w:val="24"/>
          <w:highlight w:val="none"/>
        </w:rPr>
      </w:pPr>
    </w:p>
    <w:p w14:paraId="07DEE769">
      <w:pPr>
        <w:adjustRightInd w:val="0"/>
        <w:snapToGrid w:val="0"/>
        <w:spacing w:line="360" w:lineRule="auto"/>
        <w:ind w:firstLine="806" w:firstLineChars="336"/>
        <w:jc w:val="right"/>
        <w:rPr>
          <w:rFonts w:ascii="黑体" w:hAnsi="宋体" w:eastAsia="黑体"/>
          <w:color w:val="auto"/>
          <w:sz w:val="24"/>
          <w:highlight w:val="none"/>
        </w:rPr>
      </w:pPr>
    </w:p>
    <w:p w14:paraId="6313689E">
      <w:pPr>
        <w:adjustRightInd w:val="0"/>
        <w:snapToGrid w:val="0"/>
        <w:spacing w:line="360" w:lineRule="auto"/>
        <w:ind w:firstLine="806" w:firstLineChars="336"/>
        <w:rPr>
          <w:rFonts w:ascii="宋体" w:hAnsi="宋体"/>
          <w:b/>
          <w:bCs/>
          <w:snapToGrid w:val="0"/>
          <w:color w:val="auto"/>
          <w:kern w:val="0"/>
          <w:sz w:val="32"/>
          <w:szCs w:val="32"/>
          <w:highlight w:val="none"/>
        </w:rPr>
      </w:pPr>
      <w:r>
        <w:rPr>
          <w:rFonts w:ascii="黑体" w:hAnsi="宋体" w:eastAsia="黑体"/>
          <w:color w:val="auto"/>
          <w:sz w:val="24"/>
          <w:highlight w:val="none"/>
        </w:rPr>
        <w:br w:type="page"/>
      </w:r>
      <w:bookmarkStart w:id="0" w:name="_Toc115711396"/>
    </w:p>
    <w:p w14:paraId="5CA09C7C">
      <w:pPr>
        <w:adjustRightInd w:val="0"/>
        <w:snapToGrid w:val="0"/>
        <w:spacing w:line="360" w:lineRule="auto"/>
        <w:jc w:val="center"/>
        <w:rPr>
          <w:rFonts w:ascii="宋体" w:hAnsi="宋体"/>
          <w:b/>
          <w:bCs/>
          <w:snapToGrid w:val="0"/>
          <w:color w:val="auto"/>
          <w:kern w:val="0"/>
          <w:sz w:val="44"/>
          <w:szCs w:val="44"/>
          <w:highlight w:val="none"/>
        </w:rPr>
      </w:pPr>
      <w:r>
        <w:rPr>
          <w:rFonts w:hint="eastAsia" w:ascii="宋体" w:hAnsi="宋体"/>
          <w:b/>
          <w:bCs/>
          <w:snapToGrid w:val="0"/>
          <w:color w:val="auto"/>
          <w:kern w:val="0"/>
          <w:sz w:val="44"/>
          <w:szCs w:val="44"/>
          <w:highlight w:val="none"/>
        </w:rPr>
        <w:t>目</w:t>
      </w:r>
      <w:r>
        <w:rPr>
          <w:rFonts w:ascii="宋体" w:hAnsi="宋体"/>
          <w:b/>
          <w:bCs/>
          <w:snapToGrid w:val="0"/>
          <w:color w:val="auto"/>
          <w:kern w:val="0"/>
          <w:sz w:val="44"/>
          <w:szCs w:val="44"/>
          <w:highlight w:val="none"/>
        </w:rPr>
        <w:t xml:space="preserve">  </w:t>
      </w:r>
      <w:r>
        <w:rPr>
          <w:rFonts w:hint="eastAsia" w:ascii="宋体" w:hAnsi="宋体"/>
          <w:b/>
          <w:bCs/>
          <w:snapToGrid w:val="0"/>
          <w:color w:val="auto"/>
          <w:kern w:val="0"/>
          <w:sz w:val="44"/>
          <w:szCs w:val="44"/>
          <w:highlight w:val="none"/>
        </w:rPr>
        <w:t>录</w:t>
      </w:r>
    </w:p>
    <w:p w14:paraId="5AAB8065">
      <w:pPr>
        <w:pStyle w:val="26"/>
        <w:spacing w:before="0" w:line="360" w:lineRule="auto"/>
        <w:rPr>
          <w:rFonts w:asciiTheme="majorEastAsia" w:hAnsiTheme="majorEastAsia"/>
          <w:color w:val="auto"/>
          <w:sz w:val="24"/>
          <w:szCs w:val="24"/>
          <w:highlight w:val="none"/>
        </w:rPr>
      </w:pPr>
    </w:p>
    <w:p w14:paraId="778C04E1">
      <w:pPr>
        <w:pStyle w:val="15"/>
        <w:tabs>
          <w:tab w:val="right" w:leader="dot" w:pos="8313"/>
        </w:tabs>
        <w:ind w:firstLine="240" w:firstLineChars="100"/>
        <w:rPr>
          <w:color w:val="auto"/>
          <w:highlight w:val="none"/>
        </w:rPr>
      </w:pPr>
      <w:r>
        <w:rPr>
          <w:rFonts w:asciiTheme="majorEastAsia" w:hAnsiTheme="majorEastAsia" w:eastAsiaTheme="majorEastAsia"/>
          <w:color w:val="auto"/>
          <w:sz w:val="24"/>
          <w:szCs w:val="24"/>
          <w:highlight w:val="none"/>
        </w:rPr>
        <w:fldChar w:fldCharType="begin"/>
      </w:r>
      <w:r>
        <w:rPr>
          <w:rFonts w:hint="eastAsia" w:asciiTheme="majorEastAsia" w:hAnsiTheme="majorEastAsia" w:eastAsiaTheme="majorEastAsia"/>
          <w:color w:val="auto"/>
          <w:sz w:val="24"/>
          <w:szCs w:val="24"/>
          <w:highlight w:val="none"/>
        </w:rPr>
        <w:instrText xml:space="preserve"> TOC \o "1-3" \h \z \u </w:instrText>
      </w:r>
      <w:r>
        <w:rPr>
          <w:rFonts w:asciiTheme="majorEastAsia" w:hAnsiTheme="majorEastAsia" w:eastAsiaTheme="majorEastAsia"/>
          <w:color w:val="auto"/>
          <w:sz w:val="24"/>
          <w:szCs w:val="24"/>
          <w:highlight w:val="none"/>
        </w:rPr>
        <w:fldChar w:fldCharType="separate"/>
      </w:r>
      <w:r>
        <w:rPr>
          <w:color w:val="auto"/>
          <w:highlight w:val="none"/>
        </w:rPr>
        <w:fldChar w:fldCharType="begin"/>
      </w:r>
      <w:r>
        <w:rPr>
          <w:color w:val="auto"/>
          <w:highlight w:val="none"/>
        </w:rPr>
        <w:instrText xml:space="preserve"> HYPERLINK \l "_Toc24051" </w:instrText>
      </w:r>
      <w:r>
        <w:rPr>
          <w:color w:val="auto"/>
          <w:highlight w:val="none"/>
        </w:rPr>
        <w:fldChar w:fldCharType="separate"/>
      </w:r>
      <w:r>
        <w:rPr>
          <w:rFonts w:hint="eastAsia"/>
          <w:color w:val="auto"/>
          <w:highlight w:val="none"/>
        </w:rPr>
        <w:t>第一篇</w:t>
      </w:r>
      <w:r>
        <w:rPr>
          <w:color w:val="auto"/>
          <w:highlight w:val="none"/>
        </w:rPr>
        <w:t xml:space="preserve">  </w:t>
      </w:r>
      <w:r>
        <w:rPr>
          <w:rFonts w:hint="eastAsia"/>
          <w:color w:val="auto"/>
          <w:highlight w:val="none"/>
        </w:rPr>
        <w:t>合同协议书</w:t>
      </w:r>
      <w:r>
        <w:rPr>
          <w:color w:val="auto"/>
          <w:highlight w:val="none"/>
        </w:rPr>
        <w:tab/>
      </w:r>
      <w:r>
        <w:rPr>
          <w:color w:val="auto"/>
          <w:highlight w:val="none"/>
        </w:rPr>
        <w:fldChar w:fldCharType="begin"/>
      </w:r>
      <w:r>
        <w:rPr>
          <w:color w:val="auto"/>
          <w:highlight w:val="none"/>
        </w:rPr>
        <w:instrText xml:space="preserve"> PAGEREF _Toc24051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421DFC80">
      <w:pPr>
        <w:pStyle w:val="15"/>
        <w:tabs>
          <w:tab w:val="right" w:leader="dot" w:pos="8313"/>
        </w:tabs>
        <w:ind w:firstLine="220" w:firstLineChars="100"/>
        <w:rPr>
          <w:color w:val="auto"/>
          <w:highlight w:val="none"/>
        </w:rPr>
      </w:pPr>
      <w:r>
        <w:rPr>
          <w:color w:val="auto"/>
          <w:highlight w:val="none"/>
        </w:rPr>
        <w:fldChar w:fldCharType="begin"/>
      </w:r>
      <w:r>
        <w:rPr>
          <w:color w:val="auto"/>
          <w:highlight w:val="none"/>
        </w:rPr>
        <w:instrText xml:space="preserve"> HYPERLINK \l "_Toc8429" </w:instrText>
      </w:r>
      <w:r>
        <w:rPr>
          <w:color w:val="auto"/>
          <w:highlight w:val="none"/>
        </w:rPr>
        <w:fldChar w:fldCharType="separate"/>
      </w:r>
      <w:r>
        <w:rPr>
          <w:rFonts w:hint="eastAsia"/>
          <w:color w:val="auto"/>
          <w:highlight w:val="none"/>
        </w:rPr>
        <w:t>第二篇</w:t>
      </w:r>
      <w:r>
        <w:rPr>
          <w:color w:val="auto"/>
          <w:highlight w:val="none"/>
        </w:rPr>
        <w:t xml:space="preserve">  </w:t>
      </w:r>
      <w:r>
        <w:rPr>
          <w:rFonts w:hint="eastAsia"/>
          <w:color w:val="auto"/>
          <w:highlight w:val="none"/>
        </w:rPr>
        <w:t>合同条款</w:t>
      </w:r>
      <w:r>
        <w:rPr>
          <w:color w:val="auto"/>
          <w:highlight w:val="none"/>
        </w:rPr>
        <w:tab/>
      </w:r>
      <w:r>
        <w:rPr>
          <w:color w:val="auto"/>
          <w:highlight w:val="none"/>
        </w:rPr>
        <w:fldChar w:fldCharType="begin"/>
      </w:r>
      <w:r>
        <w:rPr>
          <w:color w:val="auto"/>
          <w:highlight w:val="none"/>
        </w:rPr>
        <w:instrText xml:space="preserve"> PAGEREF _Toc8429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411E464F">
      <w:pPr>
        <w:pStyle w:val="16"/>
        <w:tabs>
          <w:tab w:val="right" w:leader="dot" w:pos="8313"/>
        </w:tabs>
        <w:rPr>
          <w:color w:val="auto"/>
          <w:highlight w:val="none"/>
        </w:rPr>
      </w:pPr>
      <w:r>
        <w:rPr>
          <w:color w:val="auto"/>
          <w:highlight w:val="none"/>
        </w:rPr>
        <w:fldChar w:fldCharType="begin"/>
      </w:r>
      <w:r>
        <w:rPr>
          <w:color w:val="auto"/>
          <w:highlight w:val="none"/>
        </w:rPr>
        <w:instrText xml:space="preserve"> HYPERLINK \l "_Toc9658" </w:instrText>
      </w:r>
      <w:r>
        <w:rPr>
          <w:color w:val="auto"/>
          <w:highlight w:val="none"/>
        </w:rPr>
        <w:fldChar w:fldCharType="separate"/>
      </w:r>
      <w:r>
        <w:rPr>
          <w:rFonts w:hint="eastAsia"/>
          <w:color w:val="auto"/>
          <w:highlight w:val="none"/>
        </w:rPr>
        <w:t>第一章</w:t>
      </w:r>
      <w:r>
        <w:rPr>
          <w:color w:val="auto"/>
          <w:highlight w:val="none"/>
        </w:rPr>
        <w:t xml:space="preserve">  </w:t>
      </w:r>
      <w:r>
        <w:rPr>
          <w:rFonts w:hint="eastAsia"/>
          <w:color w:val="auto"/>
          <w:highlight w:val="none"/>
        </w:rPr>
        <w:t>一般规定</w:t>
      </w:r>
      <w:r>
        <w:rPr>
          <w:color w:val="auto"/>
          <w:highlight w:val="none"/>
        </w:rPr>
        <w:tab/>
      </w:r>
      <w:r>
        <w:rPr>
          <w:color w:val="auto"/>
          <w:highlight w:val="none"/>
        </w:rPr>
        <w:fldChar w:fldCharType="begin"/>
      </w:r>
      <w:r>
        <w:rPr>
          <w:color w:val="auto"/>
          <w:highlight w:val="none"/>
        </w:rPr>
        <w:instrText xml:space="preserve"> PAGEREF _Toc9658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4456B54A">
      <w:pPr>
        <w:pStyle w:val="16"/>
        <w:tabs>
          <w:tab w:val="right" w:leader="dot" w:pos="8313"/>
        </w:tabs>
        <w:rPr>
          <w:color w:val="auto"/>
          <w:highlight w:val="none"/>
        </w:rPr>
      </w:pPr>
      <w:r>
        <w:rPr>
          <w:color w:val="auto"/>
          <w:highlight w:val="none"/>
        </w:rPr>
        <w:fldChar w:fldCharType="begin"/>
      </w:r>
      <w:r>
        <w:rPr>
          <w:color w:val="auto"/>
          <w:highlight w:val="none"/>
        </w:rPr>
        <w:instrText xml:space="preserve"> HYPERLINK \l "_Toc5896" </w:instrText>
      </w:r>
      <w:r>
        <w:rPr>
          <w:color w:val="auto"/>
          <w:highlight w:val="none"/>
        </w:rPr>
        <w:fldChar w:fldCharType="separate"/>
      </w:r>
      <w:r>
        <w:rPr>
          <w:rFonts w:hint="eastAsia"/>
          <w:color w:val="auto"/>
          <w:highlight w:val="none"/>
        </w:rPr>
        <w:t>第二章</w:t>
      </w:r>
      <w:r>
        <w:rPr>
          <w:color w:val="auto"/>
          <w:highlight w:val="none"/>
        </w:rPr>
        <w:t xml:space="preserve"> </w:t>
      </w:r>
      <w:r>
        <w:rPr>
          <w:rFonts w:hint="eastAsia"/>
          <w:color w:val="auto"/>
          <w:highlight w:val="none"/>
        </w:rPr>
        <w:t>勘察－设计承包</w:t>
      </w:r>
      <w:r>
        <w:rPr>
          <w:color w:val="auto"/>
          <w:highlight w:val="none"/>
        </w:rPr>
        <w:tab/>
      </w:r>
      <w:r>
        <w:rPr>
          <w:color w:val="auto"/>
          <w:highlight w:val="none"/>
        </w:rPr>
        <w:fldChar w:fldCharType="begin"/>
      </w:r>
      <w:r>
        <w:rPr>
          <w:color w:val="auto"/>
          <w:highlight w:val="none"/>
        </w:rPr>
        <w:instrText xml:space="preserve"> PAGEREF _Toc5896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6EE043C1">
      <w:pPr>
        <w:pStyle w:val="16"/>
        <w:tabs>
          <w:tab w:val="right" w:leader="dot" w:pos="8313"/>
        </w:tabs>
        <w:rPr>
          <w:color w:val="auto"/>
          <w:highlight w:val="none"/>
        </w:rPr>
      </w:pPr>
      <w:r>
        <w:rPr>
          <w:color w:val="auto"/>
          <w:highlight w:val="none"/>
        </w:rPr>
        <w:fldChar w:fldCharType="begin"/>
      </w:r>
      <w:r>
        <w:rPr>
          <w:color w:val="auto"/>
          <w:highlight w:val="none"/>
        </w:rPr>
        <w:instrText xml:space="preserve"> HYPERLINK \l "_Toc11699" </w:instrText>
      </w:r>
      <w:r>
        <w:rPr>
          <w:color w:val="auto"/>
          <w:highlight w:val="none"/>
        </w:rPr>
        <w:fldChar w:fldCharType="separate"/>
      </w:r>
      <w:r>
        <w:rPr>
          <w:rFonts w:hint="eastAsia"/>
          <w:color w:val="auto"/>
          <w:highlight w:val="none"/>
        </w:rPr>
        <w:t>第三章</w:t>
      </w:r>
      <w:r>
        <w:rPr>
          <w:color w:val="auto"/>
          <w:highlight w:val="none"/>
        </w:rPr>
        <w:t xml:space="preserve">  </w:t>
      </w:r>
      <w:r>
        <w:rPr>
          <w:rFonts w:hint="eastAsia"/>
          <w:color w:val="auto"/>
          <w:highlight w:val="none"/>
        </w:rPr>
        <w:t>设计工作内容</w:t>
      </w:r>
      <w:r>
        <w:rPr>
          <w:color w:val="auto"/>
          <w:highlight w:val="none"/>
        </w:rPr>
        <w:tab/>
      </w:r>
      <w:r>
        <w:rPr>
          <w:color w:val="auto"/>
          <w:highlight w:val="none"/>
        </w:rPr>
        <w:fldChar w:fldCharType="begin"/>
      </w:r>
      <w:r>
        <w:rPr>
          <w:color w:val="auto"/>
          <w:highlight w:val="none"/>
        </w:rPr>
        <w:instrText xml:space="preserve"> PAGEREF _Toc11699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2F33245B">
      <w:pPr>
        <w:pStyle w:val="16"/>
        <w:tabs>
          <w:tab w:val="right" w:leader="dot" w:pos="8313"/>
        </w:tabs>
        <w:rPr>
          <w:color w:val="auto"/>
          <w:highlight w:val="none"/>
        </w:rPr>
      </w:pPr>
      <w:r>
        <w:rPr>
          <w:color w:val="auto"/>
          <w:highlight w:val="none"/>
        </w:rPr>
        <w:fldChar w:fldCharType="begin"/>
      </w:r>
      <w:r>
        <w:rPr>
          <w:color w:val="auto"/>
          <w:highlight w:val="none"/>
        </w:rPr>
        <w:instrText xml:space="preserve"> HYPERLINK \l "_Toc17641" </w:instrText>
      </w:r>
      <w:r>
        <w:rPr>
          <w:color w:val="auto"/>
          <w:highlight w:val="none"/>
        </w:rPr>
        <w:fldChar w:fldCharType="separate"/>
      </w:r>
      <w:r>
        <w:rPr>
          <w:rFonts w:hint="eastAsia"/>
          <w:color w:val="auto"/>
          <w:highlight w:val="none"/>
        </w:rPr>
        <w:t>第四章</w:t>
      </w:r>
      <w:r>
        <w:rPr>
          <w:color w:val="auto"/>
          <w:highlight w:val="none"/>
        </w:rPr>
        <w:t xml:space="preserve"> </w:t>
      </w:r>
      <w:r>
        <w:rPr>
          <w:rFonts w:hint="eastAsia"/>
          <w:color w:val="auto"/>
          <w:highlight w:val="none"/>
        </w:rPr>
        <w:t>设计质量</w:t>
      </w:r>
      <w:r>
        <w:rPr>
          <w:color w:val="auto"/>
          <w:highlight w:val="none"/>
        </w:rPr>
        <w:tab/>
      </w:r>
      <w:r>
        <w:rPr>
          <w:color w:val="auto"/>
          <w:highlight w:val="none"/>
        </w:rPr>
        <w:fldChar w:fldCharType="begin"/>
      </w:r>
      <w:r>
        <w:rPr>
          <w:color w:val="auto"/>
          <w:highlight w:val="none"/>
        </w:rPr>
        <w:instrText xml:space="preserve"> PAGEREF _Toc17641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46152575">
      <w:pPr>
        <w:pStyle w:val="16"/>
        <w:tabs>
          <w:tab w:val="right" w:leader="dot" w:pos="8313"/>
        </w:tabs>
        <w:rPr>
          <w:color w:val="auto"/>
          <w:highlight w:val="none"/>
        </w:rPr>
      </w:pPr>
      <w:r>
        <w:rPr>
          <w:color w:val="auto"/>
          <w:highlight w:val="none"/>
        </w:rPr>
        <w:fldChar w:fldCharType="begin"/>
      </w:r>
      <w:r>
        <w:rPr>
          <w:color w:val="auto"/>
          <w:highlight w:val="none"/>
        </w:rPr>
        <w:instrText xml:space="preserve"> HYPERLINK \l "_Toc4912" </w:instrText>
      </w:r>
      <w:r>
        <w:rPr>
          <w:color w:val="auto"/>
          <w:highlight w:val="none"/>
        </w:rPr>
        <w:fldChar w:fldCharType="separate"/>
      </w:r>
      <w:r>
        <w:rPr>
          <w:rFonts w:hint="eastAsia"/>
          <w:color w:val="auto"/>
          <w:highlight w:val="none"/>
        </w:rPr>
        <w:t>第五章</w:t>
      </w:r>
      <w:r>
        <w:rPr>
          <w:color w:val="auto"/>
          <w:highlight w:val="none"/>
        </w:rPr>
        <w:t xml:space="preserve"> </w:t>
      </w:r>
      <w:r>
        <w:rPr>
          <w:rFonts w:hint="eastAsia"/>
          <w:color w:val="auto"/>
          <w:highlight w:val="none"/>
        </w:rPr>
        <w:t>设计变更</w:t>
      </w:r>
      <w:r>
        <w:rPr>
          <w:color w:val="auto"/>
          <w:highlight w:val="none"/>
        </w:rPr>
        <w:tab/>
      </w:r>
      <w:r>
        <w:rPr>
          <w:color w:val="auto"/>
          <w:highlight w:val="none"/>
        </w:rPr>
        <w:fldChar w:fldCharType="begin"/>
      </w:r>
      <w:r>
        <w:rPr>
          <w:color w:val="auto"/>
          <w:highlight w:val="none"/>
        </w:rPr>
        <w:instrText xml:space="preserve"> PAGEREF _Toc4912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4A73F2CB">
      <w:pPr>
        <w:pStyle w:val="16"/>
        <w:tabs>
          <w:tab w:val="right" w:leader="dot" w:pos="8313"/>
        </w:tabs>
        <w:rPr>
          <w:color w:val="auto"/>
          <w:highlight w:val="none"/>
        </w:rPr>
      </w:pPr>
      <w:r>
        <w:rPr>
          <w:color w:val="auto"/>
          <w:highlight w:val="none"/>
        </w:rPr>
        <w:fldChar w:fldCharType="begin"/>
      </w:r>
      <w:r>
        <w:rPr>
          <w:color w:val="auto"/>
          <w:highlight w:val="none"/>
        </w:rPr>
        <w:instrText xml:space="preserve"> HYPERLINK \l "_Toc25233" </w:instrText>
      </w:r>
      <w:r>
        <w:rPr>
          <w:color w:val="auto"/>
          <w:highlight w:val="none"/>
        </w:rPr>
        <w:fldChar w:fldCharType="separate"/>
      </w:r>
      <w:r>
        <w:rPr>
          <w:rFonts w:hint="eastAsia"/>
          <w:color w:val="auto"/>
          <w:highlight w:val="none"/>
        </w:rPr>
        <w:t>第六章</w:t>
      </w:r>
      <w:r>
        <w:rPr>
          <w:color w:val="auto"/>
          <w:highlight w:val="none"/>
        </w:rPr>
        <w:t xml:space="preserve"> </w:t>
      </w:r>
      <w:r>
        <w:rPr>
          <w:rFonts w:hint="eastAsia"/>
          <w:color w:val="auto"/>
          <w:highlight w:val="none"/>
        </w:rPr>
        <w:t>工程投资控制</w:t>
      </w:r>
      <w:r>
        <w:rPr>
          <w:color w:val="auto"/>
          <w:highlight w:val="none"/>
        </w:rPr>
        <w:tab/>
      </w:r>
      <w:r>
        <w:rPr>
          <w:color w:val="auto"/>
          <w:highlight w:val="none"/>
        </w:rPr>
        <w:fldChar w:fldCharType="begin"/>
      </w:r>
      <w:r>
        <w:rPr>
          <w:color w:val="auto"/>
          <w:highlight w:val="none"/>
        </w:rPr>
        <w:instrText xml:space="preserve"> PAGEREF _Toc25233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461485D7">
      <w:pPr>
        <w:pStyle w:val="16"/>
        <w:tabs>
          <w:tab w:val="right" w:leader="dot" w:pos="8313"/>
        </w:tabs>
        <w:rPr>
          <w:color w:val="auto"/>
          <w:highlight w:val="none"/>
        </w:rPr>
      </w:pPr>
      <w:r>
        <w:rPr>
          <w:color w:val="auto"/>
          <w:highlight w:val="none"/>
        </w:rPr>
        <w:fldChar w:fldCharType="begin"/>
      </w:r>
      <w:r>
        <w:rPr>
          <w:color w:val="auto"/>
          <w:highlight w:val="none"/>
        </w:rPr>
        <w:instrText xml:space="preserve"> HYPERLINK \l "_Toc5384" </w:instrText>
      </w:r>
      <w:r>
        <w:rPr>
          <w:color w:val="auto"/>
          <w:highlight w:val="none"/>
        </w:rPr>
        <w:fldChar w:fldCharType="separate"/>
      </w:r>
      <w:r>
        <w:rPr>
          <w:rFonts w:hint="eastAsia"/>
          <w:color w:val="auto"/>
          <w:highlight w:val="none"/>
        </w:rPr>
        <w:t>第七章</w:t>
      </w:r>
      <w:r>
        <w:rPr>
          <w:color w:val="auto"/>
          <w:highlight w:val="none"/>
        </w:rPr>
        <w:t xml:space="preserve">  </w:t>
      </w:r>
      <w:r>
        <w:rPr>
          <w:rFonts w:hint="eastAsia"/>
          <w:color w:val="auto"/>
          <w:highlight w:val="none"/>
        </w:rPr>
        <w:t>勘察</w:t>
      </w:r>
      <w:r>
        <w:rPr>
          <w:color w:val="auto"/>
          <w:highlight w:val="none"/>
        </w:rPr>
        <w:tab/>
      </w:r>
      <w:r>
        <w:rPr>
          <w:color w:val="auto"/>
          <w:highlight w:val="none"/>
        </w:rPr>
        <w:fldChar w:fldCharType="begin"/>
      </w:r>
      <w:r>
        <w:rPr>
          <w:color w:val="auto"/>
          <w:highlight w:val="none"/>
        </w:rPr>
        <w:instrText xml:space="preserve"> PAGEREF _Toc5384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7CF002F3">
      <w:pPr>
        <w:pStyle w:val="16"/>
        <w:tabs>
          <w:tab w:val="right" w:leader="dot" w:pos="8313"/>
        </w:tabs>
        <w:rPr>
          <w:color w:val="auto"/>
          <w:highlight w:val="none"/>
        </w:rPr>
      </w:pPr>
      <w:r>
        <w:rPr>
          <w:color w:val="auto"/>
          <w:highlight w:val="none"/>
        </w:rPr>
        <w:fldChar w:fldCharType="begin"/>
      </w:r>
      <w:r>
        <w:rPr>
          <w:color w:val="auto"/>
          <w:highlight w:val="none"/>
        </w:rPr>
        <w:instrText xml:space="preserve"> HYPERLINK \l "_Toc2448" </w:instrText>
      </w:r>
      <w:r>
        <w:rPr>
          <w:color w:val="auto"/>
          <w:highlight w:val="none"/>
        </w:rPr>
        <w:fldChar w:fldCharType="separate"/>
      </w:r>
      <w:r>
        <w:rPr>
          <w:rFonts w:hint="eastAsia"/>
          <w:color w:val="auto"/>
          <w:highlight w:val="none"/>
        </w:rPr>
        <w:t>第八章</w:t>
      </w:r>
      <w:r>
        <w:rPr>
          <w:color w:val="auto"/>
          <w:highlight w:val="none"/>
        </w:rPr>
        <w:t xml:space="preserve">  </w:t>
      </w:r>
      <w:r>
        <w:rPr>
          <w:rFonts w:hint="eastAsia"/>
          <w:color w:val="auto"/>
          <w:highlight w:val="none"/>
        </w:rPr>
        <w:t>双方的权利与义务</w:t>
      </w:r>
      <w:r>
        <w:rPr>
          <w:color w:val="auto"/>
          <w:highlight w:val="none"/>
        </w:rPr>
        <w:tab/>
      </w:r>
      <w:r>
        <w:rPr>
          <w:color w:val="auto"/>
          <w:highlight w:val="none"/>
        </w:rPr>
        <w:fldChar w:fldCharType="begin"/>
      </w:r>
      <w:r>
        <w:rPr>
          <w:color w:val="auto"/>
          <w:highlight w:val="none"/>
        </w:rPr>
        <w:instrText xml:space="preserve"> PAGEREF _Toc2448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586EE52D">
      <w:pPr>
        <w:pStyle w:val="16"/>
        <w:tabs>
          <w:tab w:val="right" w:leader="dot" w:pos="8313"/>
        </w:tabs>
        <w:rPr>
          <w:color w:val="auto"/>
          <w:highlight w:val="none"/>
        </w:rPr>
      </w:pPr>
      <w:r>
        <w:rPr>
          <w:color w:val="auto"/>
          <w:highlight w:val="none"/>
        </w:rPr>
        <w:fldChar w:fldCharType="begin"/>
      </w:r>
      <w:r>
        <w:rPr>
          <w:color w:val="auto"/>
          <w:highlight w:val="none"/>
        </w:rPr>
        <w:instrText xml:space="preserve"> HYPERLINK \l "_Toc1513" </w:instrText>
      </w:r>
      <w:r>
        <w:rPr>
          <w:color w:val="auto"/>
          <w:highlight w:val="none"/>
        </w:rPr>
        <w:fldChar w:fldCharType="separate"/>
      </w:r>
      <w:r>
        <w:rPr>
          <w:rFonts w:hint="eastAsia"/>
          <w:color w:val="auto"/>
          <w:highlight w:val="none"/>
        </w:rPr>
        <w:t>第九章 违约责任</w:t>
      </w:r>
      <w:r>
        <w:rPr>
          <w:color w:val="auto"/>
          <w:highlight w:val="none"/>
        </w:rPr>
        <w:tab/>
      </w:r>
      <w:r>
        <w:rPr>
          <w:color w:val="auto"/>
          <w:highlight w:val="none"/>
        </w:rPr>
        <w:fldChar w:fldCharType="begin"/>
      </w:r>
      <w:r>
        <w:rPr>
          <w:color w:val="auto"/>
          <w:highlight w:val="none"/>
        </w:rPr>
        <w:instrText xml:space="preserve"> PAGEREF _Toc1513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25C5FE5E">
      <w:pPr>
        <w:pStyle w:val="16"/>
        <w:tabs>
          <w:tab w:val="right" w:leader="dot" w:pos="8313"/>
        </w:tabs>
        <w:rPr>
          <w:color w:val="auto"/>
          <w:highlight w:val="none"/>
        </w:rPr>
      </w:pPr>
      <w:r>
        <w:rPr>
          <w:color w:val="auto"/>
          <w:highlight w:val="none"/>
        </w:rPr>
        <w:fldChar w:fldCharType="begin"/>
      </w:r>
      <w:r>
        <w:rPr>
          <w:color w:val="auto"/>
          <w:highlight w:val="none"/>
        </w:rPr>
        <w:instrText xml:space="preserve"> HYPERLINK \l "_Toc9200" </w:instrText>
      </w:r>
      <w:r>
        <w:rPr>
          <w:color w:val="auto"/>
          <w:highlight w:val="none"/>
        </w:rPr>
        <w:fldChar w:fldCharType="separate"/>
      </w:r>
      <w:r>
        <w:rPr>
          <w:rFonts w:hint="eastAsia"/>
          <w:color w:val="auto"/>
          <w:highlight w:val="none"/>
        </w:rPr>
        <w:t>第十章</w:t>
      </w:r>
      <w:r>
        <w:rPr>
          <w:color w:val="auto"/>
          <w:highlight w:val="none"/>
        </w:rPr>
        <w:t xml:space="preserve">  </w:t>
      </w:r>
      <w:r>
        <w:rPr>
          <w:rFonts w:hint="eastAsia"/>
          <w:color w:val="auto"/>
          <w:highlight w:val="none"/>
        </w:rPr>
        <w:t>索赔</w:t>
      </w:r>
      <w:r>
        <w:rPr>
          <w:color w:val="auto"/>
          <w:highlight w:val="none"/>
        </w:rPr>
        <w:tab/>
      </w:r>
      <w:r>
        <w:rPr>
          <w:color w:val="auto"/>
          <w:highlight w:val="none"/>
        </w:rPr>
        <w:fldChar w:fldCharType="begin"/>
      </w:r>
      <w:r>
        <w:rPr>
          <w:color w:val="auto"/>
          <w:highlight w:val="none"/>
        </w:rPr>
        <w:instrText xml:space="preserve"> PAGEREF _Toc9200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6B9155E1">
      <w:pPr>
        <w:pStyle w:val="16"/>
        <w:tabs>
          <w:tab w:val="right" w:leader="dot" w:pos="8313"/>
        </w:tabs>
        <w:rPr>
          <w:color w:val="auto"/>
          <w:highlight w:val="none"/>
        </w:rPr>
      </w:pPr>
      <w:r>
        <w:rPr>
          <w:color w:val="auto"/>
          <w:highlight w:val="none"/>
        </w:rPr>
        <w:fldChar w:fldCharType="begin"/>
      </w:r>
      <w:r>
        <w:rPr>
          <w:color w:val="auto"/>
          <w:highlight w:val="none"/>
        </w:rPr>
        <w:instrText xml:space="preserve"> HYPERLINK \l "_Toc23867" </w:instrText>
      </w:r>
      <w:r>
        <w:rPr>
          <w:color w:val="auto"/>
          <w:highlight w:val="none"/>
        </w:rPr>
        <w:fldChar w:fldCharType="separate"/>
      </w:r>
      <w:r>
        <w:rPr>
          <w:rFonts w:hint="eastAsia"/>
          <w:color w:val="auto"/>
          <w:highlight w:val="none"/>
        </w:rPr>
        <w:t>第十一章</w:t>
      </w:r>
      <w:r>
        <w:rPr>
          <w:color w:val="auto"/>
          <w:highlight w:val="none"/>
        </w:rPr>
        <w:t xml:space="preserve">  </w:t>
      </w:r>
      <w:r>
        <w:rPr>
          <w:rFonts w:hint="eastAsia"/>
          <w:color w:val="auto"/>
          <w:highlight w:val="none"/>
        </w:rPr>
        <w:t>法律适用及仲裁</w:t>
      </w:r>
      <w:r>
        <w:rPr>
          <w:color w:val="auto"/>
          <w:highlight w:val="none"/>
        </w:rPr>
        <w:tab/>
      </w:r>
      <w:r>
        <w:rPr>
          <w:color w:val="auto"/>
          <w:highlight w:val="none"/>
        </w:rPr>
        <w:fldChar w:fldCharType="begin"/>
      </w:r>
      <w:r>
        <w:rPr>
          <w:color w:val="auto"/>
          <w:highlight w:val="none"/>
        </w:rPr>
        <w:instrText xml:space="preserve"> PAGEREF _Toc23867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5D5FEF14">
      <w:pPr>
        <w:pStyle w:val="16"/>
        <w:tabs>
          <w:tab w:val="right" w:leader="dot" w:pos="8313"/>
        </w:tabs>
        <w:rPr>
          <w:color w:val="auto"/>
          <w:highlight w:val="none"/>
        </w:rPr>
      </w:pPr>
      <w:r>
        <w:rPr>
          <w:color w:val="auto"/>
          <w:highlight w:val="none"/>
        </w:rPr>
        <w:fldChar w:fldCharType="begin"/>
      </w:r>
      <w:r>
        <w:rPr>
          <w:color w:val="auto"/>
          <w:highlight w:val="none"/>
        </w:rPr>
        <w:instrText xml:space="preserve"> HYPERLINK \l "_Toc23264" </w:instrText>
      </w:r>
      <w:r>
        <w:rPr>
          <w:color w:val="auto"/>
          <w:highlight w:val="none"/>
        </w:rPr>
        <w:fldChar w:fldCharType="separate"/>
      </w:r>
      <w:r>
        <w:rPr>
          <w:rFonts w:hint="eastAsia"/>
          <w:color w:val="auto"/>
          <w:highlight w:val="none"/>
        </w:rPr>
        <w:t>第十二章</w:t>
      </w:r>
      <w:r>
        <w:rPr>
          <w:color w:val="auto"/>
          <w:highlight w:val="none"/>
        </w:rPr>
        <w:t xml:space="preserve">  </w:t>
      </w:r>
      <w:r>
        <w:rPr>
          <w:rFonts w:hint="eastAsia"/>
          <w:color w:val="auto"/>
          <w:highlight w:val="none"/>
        </w:rPr>
        <w:t>保密、知识产权与专利技术</w:t>
      </w:r>
      <w:r>
        <w:rPr>
          <w:color w:val="auto"/>
          <w:highlight w:val="none"/>
        </w:rPr>
        <w:tab/>
      </w:r>
      <w:r>
        <w:rPr>
          <w:color w:val="auto"/>
          <w:highlight w:val="none"/>
        </w:rPr>
        <w:fldChar w:fldCharType="begin"/>
      </w:r>
      <w:r>
        <w:rPr>
          <w:color w:val="auto"/>
          <w:highlight w:val="none"/>
        </w:rPr>
        <w:instrText xml:space="preserve"> PAGEREF _Toc23264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47802F0F">
      <w:pPr>
        <w:pStyle w:val="16"/>
        <w:tabs>
          <w:tab w:val="right" w:leader="dot" w:pos="8313"/>
        </w:tabs>
        <w:rPr>
          <w:color w:val="auto"/>
          <w:highlight w:val="none"/>
        </w:rPr>
      </w:pPr>
      <w:r>
        <w:rPr>
          <w:color w:val="auto"/>
          <w:highlight w:val="none"/>
        </w:rPr>
        <w:fldChar w:fldCharType="begin"/>
      </w:r>
      <w:r>
        <w:rPr>
          <w:color w:val="auto"/>
          <w:highlight w:val="none"/>
        </w:rPr>
        <w:instrText xml:space="preserve"> HYPERLINK \l "_Toc14877" </w:instrText>
      </w:r>
      <w:r>
        <w:rPr>
          <w:color w:val="auto"/>
          <w:highlight w:val="none"/>
        </w:rPr>
        <w:fldChar w:fldCharType="separate"/>
      </w:r>
      <w:r>
        <w:rPr>
          <w:rFonts w:hint="eastAsia"/>
          <w:color w:val="auto"/>
          <w:highlight w:val="none"/>
        </w:rPr>
        <w:t>第十三章</w:t>
      </w:r>
      <w:r>
        <w:rPr>
          <w:color w:val="auto"/>
          <w:highlight w:val="none"/>
        </w:rPr>
        <w:t xml:space="preserve">  </w:t>
      </w:r>
      <w:r>
        <w:rPr>
          <w:rFonts w:hint="eastAsia"/>
          <w:color w:val="auto"/>
          <w:highlight w:val="none"/>
        </w:rPr>
        <w:t>不可抗力</w:t>
      </w:r>
      <w:r>
        <w:rPr>
          <w:color w:val="auto"/>
          <w:highlight w:val="none"/>
        </w:rPr>
        <w:tab/>
      </w:r>
      <w:r>
        <w:rPr>
          <w:color w:val="auto"/>
          <w:highlight w:val="none"/>
        </w:rPr>
        <w:fldChar w:fldCharType="begin"/>
      </w:r>
      <w:r>
        <w:rPr>
          <w:color w:val="auto"/>
          <w:highlight w:val="none"/>
        </w:rPr>
        <w:instrText xml:space="preserve"> PAGEREF _Toc14877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667E895">
      <w:pPr>
        <w:pStyle w:val="16"/>
        <w:tabs>
          <w:tab w:val="right" w:leader="dot" w:pos="8313"/>
        </w:tabs>
        <w:rPr>
          <w:color w:val="auto"/>
          <w:highlight w:val="none"/>
        </w:rPr>
      </w:pPr>
      <w:r>
        <w:rPr>
          <w:color w:val="auto"/>
          <w:highlight w:val="none"/>
        </w:rPr>
        <w:fldChar w:fldCharType="begin"/>
      </w:r>
      <w:r>
        <w:rPr>
          <w:color w:val="auto"/>
          <w:highlight w:val="none"/>
        </w:rPr>
        <w:instrText xml:space="preserve"> HYPERLINK \l "_Toc10706" </w:instrText>
      </w:r>
      <w:r>
        <w:rPr>
          <w:color w:val="auto"/>
          <w:highlight w:val="none"/>
        </w:rPr>
        <w:fldChar w:fldCharType="separate"/>
      </w:r>
      <w:r>
        <w:rPr>
          <w:rFonts w:hint="eastAsia"/>
          <w:color w:val="auto"/>
          <w:highlight w:val="none"/>
        </w:rPr>
        <w:t>第十四章</w:t>
      </w:r>
      <w:r>
        <w:rPr>
          <w:color w:val="auto"/>
          <w:highlight w:val="none"/>
        </w:rPr>
        <w:t xml:space="preserve">  </w:t>
      </w:r>
      <w:r>
        <w:rPr>
          <w:rFonts w:hint="eastAsia"/>
          <w:color w:val="auto"/>
          <w:highlight w:val="none"/>
        </w:rPr>
        <w:t>合同生效、解除与其他</w:t>
      </w:r>
      <w:r>
        <w:rPr>
          <w:color w:val="auto"/>
          <w:highlight w:val="none"/>
        </w:rPr>
        <w:tab/>
      </w:r>
      <w:r>
        <w:rPr>
          <w:color w:val="auto"/>
          <w:highlight w:val="none"/>
        </w:rPr>
        <w:fldChar w:fldCharType="begin"/>
      </w:r>
      <w:r>
        <w:rPr>
          <w:color w:val="auto"/>
          <w:highlight w:val="none"/>
        </w:rPr>
        <w:instrText xml:space="preserve"> PAGEREF _Toc10706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715E6196">
      <w:pPr>
        <w:pStyle w:val="16"/>
        <w:tabs>
          <w:tab w:val="right" w:leader="dot" w:pos="8313"/>
        </w:tabs>
        <w:rPr>
          <w:color w:val="auto"/>
          <w:highlight w:val="none"/>
        </w:rPr>
      </w:pPr>
      <w:r>
        <w:rPr>
          <w:color w:val="auto"/>
          <w:highlight w:val="none"/>
        </w:rPr>
        <w:fldChar w:fldCharType="begin"/>
      </w:r>
      <w:r>
        <w:rPr>
          <w:color w:val="auto"/>
          <w:highlight w:val="none"/>
        </w:rPr>
        <w:instrText xml:space="preserve"> HYPERLINK \l "_Toc21654" </w:instrText>
      </w:r>
      <w:r>
        <w:rPr>
          <w:color w:val="auto"/>
          <w:highlight w:val="none"/>
        </w:rPr>
        <w:fldChar w:fldCharType="separate"/>
      </w:r>
      <w:r>
        <w:rPr>
          <w:rFonts w:hint="eastAsia"/>
          <w:color w:val="auto"/>
          <w:highlight w:val="none"/>
        </w:rPr>
        <w:t>第三篇</w:t>
      </w:r>
      <w:r>
        <w:rPr>
          <w:color w:val="auto"/>
          <w:highlight w:val="none"/>
        </w:rPr>
        <w:t xml:space="preserve">  </w:t>
      </w:r>
      <w:r>
        <w:rPr>
          <w:rFonts w:hint="eastAsia"/>
          <w:color w:val="auto"/>
          <w:highlight w:val="none"/>
        </w:rPr>
        <w:t>合同附件</w:t>
      </w:r>
      <w:r>
        <w:rPr>
          <w:color w:val="auto"/>
          <w:highlight w:val="none"/>
        </w:rPr>
        <w:tab/>
      </w:r>
      <w:r>
        <w:rPr>
          <w:color w:val="auto"/>
          <w:highlight w:val="none"/>
        </w:rPr>
        <w:fldChar w:fldCharType="begin"/>
      </w:r>
      <w:r>
        <w:rPr>
          <w:color w:val="auto"/>
          <w:highlight w:val="none"/>
        </w:rPr>
        <w:instrText xml:space="preserve"> PAGEREF _Toc21654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544C526B">
      <w:pPr>
        <w:adjustRightInd w:val="0"/>
        <w:snapToGrid w:val="0"/>
        <w:spacing w:line="360" w:lineRule="auto"/>
        <w:ind w:left="1214" w:leftChars="228" w:hanging="735" w:hangingChars="350"/>
        <w:rPr>
          <w:rFonts w:asciiTheme="majorEastAsia" w:hAnsiTheme="majorEastAsia" w:eastAsiaTheme="majorEastAsia"/>
          <w:bCs/>
          <w:snapToGrid w:val="0"/>
          <w:color w:val="auto"/>
          <w:kern w:val="0"/>
          <w:sz w:val="24"/>
          <w:highlight w:val="none"/>
        </w:rPr>
      </w:pPr>
      <w:r>
        <w:rPr>
          <w:rFonts w:asciiTheme="majorEastAsia" w:hAnsiTheme="majorEastAsia" w:eastAsiaTheme="majorEastAsia"/>
          <w:bCs/>
          <w:color w:val="auto"/>
          <w:highlight w:val="none"/>
          <w:lang w:val="zh-CN"/>
        </w:rPr>
        <w:fldChar w:fldCharType="end"/>
      </w:r>
    </w:p>
    <w:p w14:paraId="31B73CD0">
      <w:pPr>
        <w:spacing w:line="360" w:lineRule="auto"/>
        <w:rPr>
          <w:rFonts w:ascii="宋体" w:hAnsi="宋体"/>
          <w:b/>
          <w:bCs/>
          <w:snapToGrid w:val="0"/>
          <w:color w:val="auto"/>
          <w:kern w:val="0"/>
          <w:sz w:val="24"/>
          <w:highlight w:val="none"/>
        </w:rPr>
      </w:pPr>
    </w:p>
    <w:p w14:paraId="54FC273F">
      <w:pPr>
        <w:rPr>
          <w:color w:val="auto"/>
          <w:highlight w:val="none"/>
        </w:rPr>
      </w:pPr>
    </w:p>
    <w:p w14:paraId="0FB58E09">
      <w:pPr>
        <w:adjustRightInd w:val="0"/>
        <w:snapToGrid w:val="0"/>
        <w:spacing w:line="440" w:lineRule="exact"/>
        <w:rPr>
          <w:rFonts w:ascii="宋体" w:hAnsi="宋体"/>
          <w:bCs/>
          <w:snapToGrid w:val="0"/>
          <w:color w:val="auto"/>
          <w:kern w:val="0"/>
          <w:sz w:val="24"/>
          <w:highlight w:val="none"/>
          <w:u w:val="single"/>
        </w:rPr>
      </w:pPr>
    </w:p>
    <w:p w14:paraId="06F57BC0">
      <w:pPr>
        <w:pStyle w:val="8"/>
        <w:rPr>
          <w:color w:val="auto"/>
          <w:highlight w:val="none"/>
        </w:rPr>
      </w:pPr>
    </w:p>
    <w:p w14:paraId="6EC0592D">
      <w:pPr>
        <w:pStyle w:val="8"/>
        <w:rPr>
          <w:color w:val="auto"/>
          <w:highlight w:val="none"/>
        </w:rPr>
      </w:pPr>
    </w:p>
    <w:p w14:paraId="59CD42BC">
      <w:pPr>
        <w:pStyle w:val="8"/>
        <w:rPr>
          <w:color w:val="auto"/>
          <w:highlight w:val="none"/>
        </w:rPr>
      </w:pPr>
    </w:p>
    <w:p w14:paraId="1590422C">
      <w:pPr>
        <w:pStyle w:val="8"/>
        <w:rPr>
          <w:color w:val="auto"/>
          <w:highlight w:val="none"/>
        </w:rPr>
      </w:pPr>
    </w:p>
    <w:p w14:paraId="69315D3F">
      <w:pPr>
        <w:pStyle w:val="8"/>
        <w:rPr>
          <w:color w:val="auto"/>
          <w:highlight w:val="none"/>
        </w:rPr>
      </w:pPr>
    </w:p>
    <w:p w14:paraId="762AE27D">
      <w:pPr>
        <w:pStyle w:val="8"/>
        <w:rPr>
          <w:color w:val="auto"/>
          <w:highlight w:val="none"/>
        </w:rPr>
      </w:pPr>
    </w:p>
    <w:p w14:paraId="2B4797CF">
      <w:pPr>
        <w:pStyle w:val="8"/>
        <w:rPr>
          <w:color w:val="auto"/>
          <w:highlight w:val="none"/>
        </w:rPr>
      </w:pPr>
    </w:p>
    <w:p w14:paraId="04860003">
      <w:pPr>
        <w:pStyle w:val="8"/>
        <w:rPr>
          <w:color w:val="auto"/>
          <w:highlight w:val="none"/>
        </w:rPr>
      </w:pPr>
    </w:p>
    <w:bookmarkEnd w:id="0"/>
    <w:p w14:paraId="0E52D66C">
      <w:pPr>
        <w:pStyle w:val="2"/>
        <w:rPr>
          <w:b w:val="0"/>
          <w:bCs w:val="0"/>
          <w:color w:val="auto"/>
          <w:highlight w:val="none"/>
        </w:rPr>
      </w:pPr>
      <w:bookmarkStart w:id="1" w:name="_Toc374"/>
      <w:bookmarkStart w:id="2" w:name="_Toc115711029"/>
      <w:bookmarkStart w:id="3" w:name="_Toc82141020"/>
      <w:bookmarkStart w:id="4" w:name="_Toc122759214"/>
      <w:bookmarkStart w:id="5" w:name="_Toc24051"/>
      <w:bookmarkStart w:id="6" w:name="_Toc3357"/>
      <w:bookmarkStart w:id="7" w:name="_Toc161761459"/>
      <w:bookmarkStart w:id="8" w:name="_Toc114119681"/>
      <w:r>
        <w:rPr>
          <w:rFonts w:hint="eastAsia"/>
          <w:color w:val="auto"/>
          <w:highlight w:val="none"/>
        </w:rPr>
        <w:t>第一篇</w:t>
      </w:r>
      <w:r>
        <w:rPr>
          <w:color w:val="auto"/>
          <w:highlight w:val="none"/>
        </w:rPr>
        <w:t xml:space="preserve">  </w:t>
      </w:r>
      <w:r>
        <w:rPr>
          <w:rFonts w:hint="eastAsia"/>
          <w:color w:val="auto"/>
          <w:highlight w:val="none"/>
        </w:rPr>
        <w:t>合同协议书</w:t>
      </w:r>
      <w:bookmarkEnd w:id="1"/>
      <w:bookmarkEnd w:id="2"/>
      <w:bookmarkEnd w:id="3"/>
      <w:bookmarkEnd w:id="4"/>
      <w:bookmarkEnd w:id="5"/>
      <w:bookmarkEnd w:id="6"/>
      <w:bookmarkEnd w:id="7"/>
      <w:bookmarkEnd w:id="8"/>
    </w:p>
    <w:p w14:paraId="6A18A559">
      <w:pPr>
        <w:adjustRightInd w:val="0"/>
        <w:snapToGrid w:val="0"/>
        <w:spacing w:line="360" w:lineRule="auto"/>
        <w:ind w:right="11"/>
        <w:rPr>
          <w:rFonts w:ascii="宋体" w:hAnsi="宋体"/>
          <w:snapToGrid w:val="0"/>
          <w:color w:val="auto"/>
          <w:kern w:val="0"/>
          <w:sz w:val="24"/>
          <w:highlight w:val="none"/>
        </w:rPr>
      </w:pPr>
    </w:p>
    <w:p w14:paraId="00BEF12C">
      <w:pPr>
        <w:spacing w:line="324" w:lineRule="auto"/>
        <w:ind w:firstLine="480" w:firstLineChars="200"/>
        <w:rPr>
          <w:rFonts w:ascii="宋体" w:hAnsi="宋体" w:cs="宋体"/>
          <w:b/>
          <w:bCs/>
          <w:snapToGrid w:val="0"/>
          <w:color w:val="auto"/>
          <w:kern w:val="0"/>
          <w:sz w:val="24"/>
          <w:highlight w:val="none"/>
        </w:rPr>
      </w:pPr>
      <w:bookmarkStart w:id="9" w:name="_Toc161761460"/>
      <w:r>
        <w:rPr>
          <w:rFonts w:hint="eastAsia" w:ascii="宋体" w:hAnsi="宋体" w:cs="宋体"/>
          <w:bCs/>
          <w:snapToGrid w:val="0"/>
          <w:color w:val="auto"/>
          <w:kern w:val="0"/>
          <w:sz w:val="24"/>
          <w:highlight w:val="none"/>
        </w:rPr>
        <w:t>甲方</w:t>
      </w:r>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（以下简称甲方）与</w:t>
      </w:r>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以下简称乙方）依照《中华人民共和国民法典》《中华人民共和国建筑法》及其他有关法律、行政法规、部门规章、地方性法规和行政规章的规定，以及国家和广东省、广州市人民政府及有关主管部门关于本项目的有关文件，遵循平等、自愿、公平和诚实信用的原则，双方就本项目</w:t>
      </w:r>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勘察-设计承包事宜协商一致，订立本合同，以资双方共同遵守。</w:t>
      </w:r>
      <w:bookmarkEnd w:id="9"/>
    </w:p>
    <w:p w14:paraId="0E787D3B">
      <w:pPr>
        <w:adjustRightInd w:val="0"/>
        <w:snapToGrid w:val="0"/>
        <w:spacing w:line="324" w:lineRule="auto"/>
        <w:ind w:firstLine="482" w:firstLineChars="200"/>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1、工程概况</w:t>
      </w:r>
    </w:p>
    <w:p w14:paraId="16FE4E37">
      <w:pPr>
        <w:adjustRightInd w:val="0"/>
        <w:snapToGrid w:val="0"/>
        <w:spacing w:line="324" w:lineRule="auto"/>
        <w:ind w:firstLine="480" w:firstLineChars="200"/>
        <w:rPr>
          <w:rFonts w:ascii="宋体" w:hAnsi="宋体" w:cs="宋体"/>
          <w:bCs/>
          <w:snapToGrid w:val="0"/>
          <w:color w:val="auto"/>
          <w:kern w:val="0"/>
          <w:sz w:val="24"/>
          <w:highlight w:val="none"/>
          <w:u w:val="single"/>
        </w:rPr>
      </w:pPr>
      <w:r>
        <w:rPr>
          <w:rFonts w:hint="eastAsia" w:ascii="宋体" w:hAnsi="宋体" w:cs="宋体"/>
          <w:bCs/>
          <w:snapToGrid w:val="0"/>
          <w:color w:val="auto"/>
          <w:kern w:val="0"/>
          <w:sz w:val="24"/>
          <w:highlight w:val="none"/>
        </w:rPr>
        <w:t>（1）工程名称：</w:t>
      </w:r>
      <w:r>
        <w:rPr>
          <w:rFonts w:hint="eastAsia" w:ascii="宋体" w:hAnsi="宋体" w:cs="宋体"/>
          <w:bCs/>
          <w:snapToGrid w:val="0"/>
          <w:color w:val="auto"/>
          <w:kern w:val="0"/>
          <w:sz w:val="24"/>
          <w:highlight w:val="none"/>
          <w:u w:val="single"/>
        </w:rPr>
        <w:t xml:space="preserve">                                。</w:t>
      </w:r>
    </w:p>
    <w:p w14:paraId="3B59BAF1">
      <w:pPr>
        <w:adjustRightInd w:val="0"/>
        <w:snapToGrid w:val="0"/>
        <w:spacing w:line="324"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（2）工程地点：</w:t>
      </w:r>
      <w:r>
        <w:rPr>
          <w:rFonts w:hint="eastAsia" w:ascii="宋体" w:hAnsi="宋体" w:cs="宋体"/>
          <w:bCs/>
          <w:snapToGrid w:val="0"/>
          <w:color w:val="auto"/>
          <w:kern w:val="0"/>
          <w:sz w:val="24"/>
          <w:highlight w:val="none"/>
          <w:u w:val="single"/>
        </w:rPr>
        <w:t xml:space="preserve">                                </w:t>
      </w:r>
      <w:r>
        <w:rPr>
          <w:rFonts w:hint="eastAsia" w:ascii="宋体" w:hAnsi="宋体" w:cs="宋体"/>
          <w:color w:val="auto"/>
          <w:sz w:val="24"/>
          <w:highlight w:val="none"/>
          <w:u w:val="single"/>
        </w:rPr>
        <w:t>。</w:t>
      </w:r>
    </w:p>
    <w:p w14:paraId="750238DA">
      <w:pPr>
        <w:adjustRightInd w:val="0"/>
        <w:snapToGrid w:val="0"/>
        <w:spacing w:line="324"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（3）工程立项批准文号：</w:t>
      </w:r>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w:t>
      </w:r>
    </w:p>
    <w:p w14:paraId="0275C7E4">
      <w:pPr>
        <w:adjustRightInd w:val="0"/>
        <w:snapToGrid w:val="0"/>
        <w:spacing w:line="324"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（4）资金来源：</w:t>
      </w:r>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w:t>
      </w:r>
    </w:p>
    <w:p w14:paraId="2E52D214">
      <w:pPr>
        <w:adjustRightInd w:val="0"/>
        <w:snapToGrid w:val="0"/>
        <w:spacing w:line="324"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（5）本合同工程设计合理使用年限符合现行规范要求。</w:t>
      </w:r>
    </w:p>
    <w:p w14:paraId="4C35F4F8">
      <w:pPr>
        <w:adjustRightInd w:val="0"/>
        <w:snapToGrid w:val="0"/>
        <w:spacing w:line="324" w:lineRule="auto"/>
        <w:ind w:firstLine="482" w:firstLineChars="200"/>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2、勘察-设计承包内容和方式</w:t>
      </w:r>
    </w:p>
    <w:p w14:paraId="781DC2F7">
      <w:pPr>
        <w:pStyle w:val="8"/>
        <w:spacing w:after="0" w:line="324" w:lineRule="auto"/>
        <w:ind w:firstLine="482" w:firstLineChars="200"/>
        <w:rPr>
          <w:rFonts w:ascii="宋体" w:hAnsi="宋体" w:cs="宋体"/>
          <w:color w:val="auto"/>
          <w:sz w:val="24"/>
          <w:highlight w:val="none"/>
        </w:rPr>
      </w:pPr>
      <w:r>
        <w:rPr>
          <w:rFonts w:hint="eastAsia" w:ascii="宋体" w:hAnsi="宋体" w:cs="宋体"/>
          <w:b/>
          <w:bCs/>
          <w:snapToGrid w:val="0"/>
          <w:color w:val="auto"/>
          <w:kern w:val="0"/>
          <w:sz w:val="24"/>
          <w:highlight w:val="none"/>
        </w:rPr>
        <w:t>2.1</w:t>
      </w:r>
      <w:r>
        <w:rPr>
          <w:rFonts w:hint="eastAsia" w:ascii="宋体" w:hAnsi="宋体" w:cs="宋体"/>
          <w:bCs/>
          <w:snapToGrid w:val="0"/>
          <w:color w:val="auto"/>
          <w:kern w:val="0"/>
          <w:sz w:val="24"/>
          <w:highlight w:val="none"/>
        </w:rPr>
        <w:t>工程概况：</w:t>
      </w:r>
    </w:p>
    <w:p w14:paraId="550B1916">
      <w:pPr>
        <w:spacing w:line="324" w:lineRule="auto"/>
        <w:ind w:firstLine="480" w:firstLineChars="200"/>
        <w:jc w:val="left"/>
        <w:rPr>
          <w:rFonts w:ascii="宋体" w:hAnsi="宋体" w:cs="宋体"/>
          <w:color w:val="auto"/>
          <w:kern w:val="0"/>
          <w:sz w:val="24"/>
          <w:highlight w:val="none"/>
          <w:u w:val="single"/>
          <w:lang w:bidi="ar"/>
        </w:rPr>
      </w:pPr>
      <w:r>
        <w:rPr>
          <w:rFonts w:hint="eastAsia" w:ascii="宋体" w:hAnsi="宋体" w:cs="宋体"/>
          <w:color w:val="auto"/>
          <w:kern w:val="0"/>
          <w:sz w:val="24"/>
          <w:highlight w:val="none"/>
          <w:u w:val="single"/>
          <w:lang w:bidi="ar"/>
        </w:rPr>
        <w:t xml:space="preserve">                                                                    。</w:t>
      </w:r>
    </w:p>
    <w:p w14:paraId="35FC58E3">
      <w:pPr>
        <w:spacing w:line="324" w:lineRule="auto"/>
        <w:ind w:firstLine="482" w:firstLineChars="200"/>
        <w:jc w:val="left"/>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2.2</w:t>
      </w:r>
      <w:bookmarkStart w:id="10" w:name="OLE_LINK4"/>
      <w:r>
        <w:rPr>
          <w:rFonts w:hint="eastAsia" w:ascii="宋体" w:hAnsi="宋体" w:cs="宋体"/>
          <w:bCs/>
          <w:snapToGrid w:val="0"/>
          <w:color w:val="auto"/>
          <w:kern w:val="0"/>
          <w:sz w:val="24"/>
          <w:highlight w:val="none"/>
        </w:rPr>
        <w:t>工作内容</w:t>
      </w:r>
      <w:bookmarkEnd w:id="10"/>
      <w:r>
        <w:rPr>
          <w:rFonts w:hint="eastAsia" w:ascii="宋体" w:hAnsi="宋体" w:cs="宋体"/>
          <w:bCs/>
          <w:snapToGrid w:val="0"/>
          <w:color w:val="auto"/>
          <w:kern w:val="0"/>
          <w:sz w:val="24"/>
          <w:highlight w:val="none"/>
        </w:rPr>
        <w:t>：</w:t>
      </w:r>
      <w:r>
        <w:rPr>
          <w:rFonts w:hint="eastAsia" w:ascii="宋体" w:hAnsi="宋体" w:cs="宋体"/>
          <w:color w:val="auto"/>
          <w:sz w:val="24"/>
          <w:highlight w:val="none"/>
        </w:rPr>
        <w:t>具体详见《勘察设计任务书》</w:t>
      </w:r>
    </w:p>
    <w:p w14:paraId="016E1CFF">
      <w:pPr>
        <w:adjustRightInd w:val="0"/>
        <w:snapToGrid w:val="0"/>
        <w:spacing w:line="324" w:lineRule="auto"/>
        <w:ind w:firstLine="482" w:firstLineChars="200"/>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2.3</w:t>
      </w:r>
      <w:r>
        <w:rPr>
          <w:rFonts w:hint="eastAsia" w:ascii="宋体" w:hAnsi="宋体" w:cs="宋体"/>
          <w:bCs/>
          <w:snapToGrid w:val="0"/>
          <w:color w:val="auto"/>
          <w:kern w:val="0"/>
          <w:sz w:val="24"/>
          <w:highlight w:val="none"/>
        </w:rPr>
        <w:t>承包方式</w:t>
      </w:r>
    </w:p>
    <w:p w14:paraId="391745C7">
      <w:pPr>
        <w:adjustRightInd w:val="0"/>
        <w:snapToGrid w:val="0"/>
        <w:spacing w:line="324"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由乙方按照本合同协议书第2.1款约定的范围和内容实行勘察-设计承包的方式，并对</w:t>
      </w:r>
      <w:r>
        <w:rPr>
          <w:rFonts w:hint="eastAsia" w:ascii="宋体" w:hAnsi="宋体" w:cs="宋体"/>
          <w:snapToGrid w:val="0"/>
          <w:color w:val="auto"/>
          <w:kern w:val="0"/>
          <w:sz w:val="24"/>
          <w:highlight w:val="none"/>
        </w:rPr>
        <w:t>勘察-设计的进度、质量、</w:t>
      </w:r>
      <w:r>
        <w:rPr>
          <w:rFonts w:hint="eastAsia" w:ascii="宋体" w:hAnsi="宋体" w:cs="宋体"/>
          <w:bCs/>
          <w:snapToGrid w:val="0"/>
          <w:color w:val="auto"/>
          <w:kern w:val="0"/>
          <w:sz w:val="24"/>
          <w:highlight w:val="none"/>
        </w:rPr>
        <w:t>安全、</w:t>
      </w:r>
      <w:r>
        <w:rPr>
          <w:rFonts w:hint="eastAsia" w:ascii="宋体" w:hAnsi="宋体" w:cs="宋体"/>
          <w:snapToGrid w:val="0"/>
          <w:color w:val="auto"/>
          <w:kern w:val="0"/>
          <w:sz w:val="24"/>
          <w:highlight w:val="none"/>
        </w:rPr>
        <w:t>工程投资控制</w:t>
      </w:r>
      <w:r>
        <w:rPr>
          <w:rFonts w:hint="eastAsia" w:ascii="宋体" w:hAnsi="宋体" w:cs="宋体"/>
          <w:bCs/>
          <w:snapToGrid w:val="0"/>
          <w:color w:val="auto"/>
          <w:kern w:val="0"/>
          <w:sz w:val="24"/>
          <w:highlight w:val="none"/>
        </w:rPr>
        <w:t>、勘察-设计承包管理及设计协调服务（包括技术评审服务、设计协调服务、现场服务等）等全面负责。</w:t>
      </w:r>
    </w:p>
    <w:p w14:paraId="637172BA">
      <w:pPr>
        <w:adjustRightInd w:val="0"/>
        <w:snapToGrid w:val="0"/>
        <w:spacing w:line="324" w:lineRule="auto"/>
        <w:ind w:firstLine="482" w:firstLineChars="200"/>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2.4</w:t>
      </w:r>
      <w:r>
        <w:rPr>
          <w:rFonts w:hint="eastAsia" w:ascii="宋体" w:hAnsi="宋体" w:cs="宋体"/>
          <w:bCs/>
          <w:snapToGrid w:val="0"/>
          <w:color w:val="auto"/>
          <w:kern w:val="0"/>
          <w:sz w:val="24"/>
          <w:highlight w:val="none"/>
        </w:rPr>
        <w:t>工期及成果提交时间</w:t>
      </w:r>
    </w:p>
    <w:p w14:paraId="77506AD6">
      <w:pPr>
        <w:adjustRightInd w:val="0"/>
        <w:snapToGrid w:val="0"/>
        <w:spacing w:line="324"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（1）勘察设计开始实施时间为合同签订时间。</w:t>
      </w:r>
    </w:p>
    <w:p w14:paraId="75B901E9">
      <w:pPr>
        <w:adjustRightInd w:val="0"/>
        <w:snapToGrid w:val="0"/>
        <w:spacing w:line="324"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（2）勘察工期初步约定为：以能满足设计工期要求为准。</w:t>
      </w:r>
    </w:p>
    <w:p w14:paraId="6443F8C2">
      <w:pPr>
        <w:adjustRightInd w:val="0"/>
        <w:snapToGrid w:val="0"/>
        <w:spacing w:line="324"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（3）设计工期初步约定为：</w:t>
      </w:r>
      <w:r>
        <w:rPr>
          <w:rFonts w:hint="eastAsia" w:ascii="宋体" w:hAnsi="宋体" w:cs="宋体"/>
          <w:color w:val="auto"/>
          <w:sz w:val="24"/>
          <w:highlight w:val="none"/>
        </w:rPr>
        <w:t>乙方应在甲方发出中标通知书后</w:t>
      </w:r>
      <w:r>
        <w:rPr>
          <w:rFonts w:hint="eastAsia" w:ascii="宋体" w:hAnsi="宋体" w:cs="宋体"/>
          <w:color w:val="auto"/>
          <w:sz w:val="24"/>
          <w:highlight w:val="none"/>
          <w:u w:val="single"/>
        </w:rPr>
        <w:t xml:space="preserve">     个日历</w:t>
      </w:r>
      <w:r>
        <w:rPr>
          <w:rFonts w:hint="eastAsia" w:ascii="宋体" w:hAnsi="宋体" w:cs="宋体"/>
          <w:color w:val="auto"/>
          <w:sz w:val="24"/>
          <w:highlight w:val="none"/>
        </w:rPr>
        <w:t>天内完成方案设计成果，方案确定后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个日历天内完成初步设计，方案确定后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天内完成施工图设计,施工图设计文件审查发现问题的，应在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天内完成补充、修改，方案确定后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天，按施工图审查单位意见修改并审批通过。</w:t>
      </w:r>
    </w:p>
    <w:p w14:paraId="04457BE0">
      <w:pPr>
        <w:adjustRightInd w:val="0"/>
        <w:snapToGrid w:val="0"/>
        <w:spacing w:line="324" w:lineRule="auto"/>
        <w:ind w:firstLine="482" w:firstLineChars="200"/>
        <w:rPr>
          <w:rFonts w:ascii="宋体" w:hAnsi="宋体" w:cs="宋体"/>
          <w:bCs/>
          <w:strike/>
          <w:snapToGrid w:val="0"/>
          <w:color w:val="auto"/>
          <w:kern w:val="0"/>
          <w:sz w:val="24"/>
          <w:highlight w:val="none"/>
        </w:rPr>
      </w:pPr>
      <w:r>
        <w:rPr>
          <w:rFonts w:hint="eastAsia" w:ascii="宋体" w:hAnsi="宋体" w:cs="宋体"/>
          <w:b/>
          <w:bCs/>
          <w:snapToGrid w:val="0"/>
          <w:color w:val="auto"/>
          <w:kern w:val="0"/>
          <w:sz w:val="24"/>
          <w:highlight w:val="none"/>
        </w:rPr>
        <w:t>2.5</w:t>
      </w:r>
      <w:r>
        <w:rPr>
          <w:rFonts w:hint="eastAsia" w:ascii="宋体" w:hAnsi="宋体" w:cs="宋体"/>
          <w:bCs/>
          <w:snapToGrid w:val="0"/>
          <w:color w:val="auto"/>
          <w:kern w:val="0"/>
          <w:sz w:val="24"/>
          <w:highlight w:val="none"/>
        </w:rPr>
        <w:t>甲方根据工程实施情况，有权对乙方的承包范围及内容进行适当调整，经甲方以书面形式提前通知乙方后，乙方必须无条件服从。</w:t>
      </w:r>
    </w:p>
    <w:p w14:paraId="4F3C8DA2">
      <w:pPr>
        <w:adjustRightInd w:val="0"/>
        <w:snapToGrid w:val="0"/>
        <w:spacing w:line="324" w:lineRule="auto"/>
        <w:ind w:firstLine="482" w:firstLineChars="200"/>
        <w:rPr>
          <w:rFonts w:ascii="宋体" w:hAnsi="宋体" w:cs="宋体"/>
          <w:b/>
          <w:color w:val="auto"/>
          <w:sz w:val="24"/>
          <w:highlight w:val="none"/>
        </w:rPr>
      </w:pPr>
      <w:r>
        <w:rPr>
          <w:rFonts w:hint="eastAsia" w:ascii="宋体" w:hAnsi="宋体" w:cs="宋体"/>
          <w:b/>
          <w:snapToGrid w:val="0"/>
          <w:color w:val="auto"/>
          <w:kern w:val="0"/>
          <w:sz w:val="24"/>
          <w:highlight w:val="none"/>
        </w:rPr>
        <w:t>3、合同价款计取与支付</w:t>
      </w:r>
    </w:p>
    <w:p w14:paraId="78882D27">
      <w:pPr>
        <w:adjustRightInd w:val="0"/>
        <w:snapToGrid w:val="0"/>
        <w:spacing w:line="324" w:lineRule="auto"/>
        <w:ind w:firstLine="482" w:firstLineChars="200"/>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3.1</w:t>
      </w:r>
      <w:r>
        <w:rPr>
          <w:rFonts w:hint="eastAsia" w:ascii="宋体" w:hAnsi="宋体" w:cs="宋体"/>
          <w:bCs/>
          <w:snapToGrid w:val="0"/>
          <w:color w:val="auto"/>
          <w:kern w:val="0"/>
          <w:sz w:val="24"/>
          <w:highlight w:val="none"/>
        </w:rPr>
        <w:t>本合同以人民币为计价和结算货币，除非甲、乙双方另有约定。</w:t>
      </w:r>
    </w:p>
    <w:p w14:paraId="3425A6FE">
      <w:pPr>
        <w:adjustRightInd w:val="0"/>
        <w:snapToGrid w:val="0"/>
        <w:spacing w:line="324" w:lineRule="auto"/>
        <w:ind w:firstLine="482" w:firstLineChars="200"/>
        <w:rPr>
          <w:rFonts w:ascii="宋体" w:hAnsi="宋体" w:cs="宋体"/>
          <w:bCs/>
          <w:snapToGrid w:val="0"/>
          <w:color w:val="auto"/>
          <w:kern w:val="0"/>
          <w:sz w:val="24"/>
          <w:highlight w:val="none"/>
        </w:rPr>
      </w:pPr>
      <w:r>
        <w:rPr>
          <w:rFonts w:hint="eastAsia" w:ascii="宋体" w:hAnsi="宋体" w:cs="宋体"/>
          <w:b/>
          <w:bCs/>
          <w:snapToGrid w:val="0"/>
          <w:color w:val="auto"/>
          <w:kern w:val="0"/>
          <w:sz w:val="24"/>
          <w:highlight w:val="none"/>
        </w:rPr>
        <w:t>3.2</w:t>
      </w:r>
      <w:r>
        <w:rPr>
          <w:rFonts w:hint="eastAsia" w:ascii="宋体" w:hAnsi="宋体" w:cs="宋体"/>
          <w:bCs/>
          <w:snapToGrid w:val="0"/>
          <w:color w:val="auto"/>
          <w:kern w:val="0"/>
          <w:sz w:val="24"/>
          <w:highlight w:val="none"/>
        </w:rPr>
        <w:t>本合同工程勘察设计费含税总额按乙方投标报价暂定为</w:t>
      </w:r>
      <w:r>
        <w:rPr>
          <w:rFonts w:hint="eastAsia" w:ascii="宋体" w:hAnsi="宋体" w:cs="宋体"/>
          <w:b/>
          <w:snapToGrid w:val="0"/>
          <w:color w:val="auto"/>
          <w:kern w:val="0"/>
          <w:sz w:val="24"/>
          <w:highlight w:val="none"/>
          <w:u w:val="single"/>
        </w:rPr>
        <w:t xml:space="preserve">         </w:t>
      </w:r>
      <w:r>
        <w:rPr>
          <w:rFonts w:hint="eastAsia" w:ascii="宋体" w:hAnsi="宋体" w:cs="宋体"/>
          <w:bCs/>
          <w:snapToGrid w:val="0"/>
          <w:color w:val="auto"/>
          <w:kern w:val="0"/>
          <w:sz w:val="24"/>
          <w:highlight w:val="none"/>
        </w:rPr>
        <w:t>万元（大写：</w:t>
      </w:r>
      <w:r>
        <w:rPr>
          <w:rFonts w:hint="eastAsia" w:ascii="宋体" w:hAnsi="宋体" w:cs="宋体"/>
          <w:b/>
          <w:snapToGrid w:val="0"/>
          <w:color w:val="auto"/>
          <w:kern w:val="0"/>
          <w:sz w:val="24"/>
          <w:highlight w:val="none"/>
          <w:u w:val="single"/>
        </w:rPr>
        <w:t xml:space="preserve">         </w:t>
      </w:r>
      <w:r>
        <w:rPr>
          <w:rFonts w:hint="eastAsia" w:ascii="宋体" w:hAnsi="宋体" w:cs="宋体"/>
          <w:bCs/>
          <w:snapToGrid w:val="0"/>
          <w:color w:val="auto"/>
          <w:kern w:val="0"/>
          <w:sz w:val="24"/>
          <w:highlight w:val="none"/>
        </w:rPr>
        <w:t>），具体如下：</w:t>
      </w:r>
    </w:p>
    <w:tbl>
      <w:tblPr>
        <w:tblStyle w:val="20"/>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1401"/>
        <w:gridCol w:w="2238"/>
        <w:gridCol w:w="1449"/>
        <w:gridCol w:w="4398"/>
      </w:tblGrid>
      <w:tr w14:paraId="0F04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1401" w:type="dxa"/>
            <w:vAlign w:val="center"/>
          </w:tcPr>
          <w:p w14:paraId="5619DC79">
            <w:pPr>
              <w:jc w:val="center"/>
              <w:rPr>
                <w:rFonts w:ascii="宋体" w:hAnsi="宋体" w:cs="宋体"/>
                <w:color w:val="auto"/>
                <w:sz w:val="24"/>
                <w:highlight w:val="none"/>
              </w:rPr>
            </w:pPr>
            <w:r>
              <w:rPr>
                <w:rFonts w:hint="eastAsia" w:ascii="宋体" w:hAnsi="宋体" w:cs="宋体"/>
                <w:color w:val="auto"/>
                <w:sz w:val="24"/>
                <w:highlight w:val="none"/>
              </w:rPr>
              <w:t>付费次序</w:t>
            </w:r>
          </w:p>
        </w:tc>
        <w:tc>
          <w:tcPr>
            <w:tcW w:w="2238" w:type="dxa"/>
            <w:vAlign w:val="center"/>
          </w:tcPr>
          <w:p w14:paraId="1623E283">
            <w:pPr>
              <w:jc w:val="center"/>
              <w:rPr>
                <w:rFonts w:ascii="宋体" w:hAnsi="宋体" w:cs="宋体"/>
                <w:color w:val="auto"/>
                <w:sz w:val="24"/>
                <w:highlight w:val="none"/>
              </w:rPr>
            </w:pPr>
            <w:r>
              <w:rPr>
                <w:rFonts w:hint="eastAsia" w:ascii="宋体" w:hAnsi="宋体" w:cs="宋体"/>
                <w:color w:val="auto"/>
                <w:sz w:val="24"/>
                <w:highlight w:val="none"/>
              </w:rPr>
              <w:t>请款占勘察设计费的比重</w:t>
            </w:r>
          </w:p>
        </w:tc>
        <w:tc>
          <w:tcPr>
            <w:tcW w:w="1449" w:type="dxa"/>
            <w:vAlign w:val="center"/>
          </w:tcPr>
          <w:p w14:paraId="32F76D29">
            <w:pPr>
              <w:jc w:val="center"/>
              <w:rPr>
                <w:rFonts w:ascii="宋体" w:hAnsi="宋体" w:cs="宋体"/>
                <w:color w:val="auto"/>
                <w:sz w:val="24"/>
                <w:highlight w:val="none"/>
              </w:rPr>
            </w:pPr>
            <w:r>
              <w:rPr>
                <w:rFonts w:hint="eastAsia" w:ascii="宋体" w:hAnsi="宋体" w:cs="宋体"/>
                <w:color w:val="auto"/>
                <w:sz w:val="24"/>
                <w:highlight w:val="none"/>
              </w:rPr>
              <w:t>付款额（元）</w:t>
            </w:r>
          </w:p>
        </w:tc>
        <w:tc>
          <w:tcPr>
            <w:tcW w:w="4398" w:type="dxa"/>
            <w:vAlign w:val="center"/>
          </w:tcPr>
          <w:p w14:paraId="2929CC39">
            <w:pPr>
              <w:jc w:val="center"/>
              <w:rPr>
                <w:rFonts w:ascii="宋体" w:hAnsi="宋体" w:cs="宋体"/>
                <w:color w:val="auto"/>
                <w:sz w:val="24"/>
                <w:highlight w:val="none"/>
              </w:rPr>
            </w:pPr>
            <w:r>
              <w:rPr>
                <w:rFonts w:hint="eastAsia" w:ascii="宋体" w:hAnsi="宋体" w:cs="宋体"/>
                <w:color w:val="auto"/>
                <w:sz w:val="24"/>
                <w:highlight w:val="none"/>
              </w:rPr>
              <w:t>申请付费时间</w:t>
            </w:r>
          </w:p>
        </w:tc>
      </w:tr>
      <w:tr w14:paraId="77BD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1401" w:type="dxa"/>
            <w:vAlign w:val="center"/>
          </w:tcPr>
          <w:p w14:paraId="343CE633">
            <w:pPr>
              <w:jc w:val="center"/>
              <w:rPr>
                <w:rFonts w:ascii="宋体" w:hAnsi="宋体" w:cs="宋体"/>
                <w:color w:val="auto"/>
                <w:sz w:val="24"/>
                <w:highlight w:val="none"/>
              </w:rPr>
            </w:pPr>
            <w:r>
              <w:rPr>
                <w:rFonts w:hint="eastAsia" w:ascii="宋体" w:hAnsi="宋体" w:cs="宋体"/>
                <w:color w:val="auto"/>
                <w:sz w:val="24"/>
                <w:highlight w:val="none"/>
              </w:rPr>
              <w:t>第一次付费</w:t>
            </w:r>
          </w:p>
        </w:tc>
        <w:tc>
          <w:tcPr>
            <w:tcW w:w="2238" w:type="dxa"/>
            <w:vAlign w:val="center"/>
          </w:tcPr>
          <w:p w14:paraId="01C95E68">
            <w:pPr>
              <w:jc w:val="center"/>
              <w:rPr>
                <w:rFonts w:ascii="宋体" w:hAnsi="宋体" w:cs="宋体"/>
                <w:color w:val="auto"/>
                <w:sz w:val="24"/>
                <w:highlight w:val="none"/>
              </w:rPr>
            </w:pPr>
            <w:r>
              <w:rPr>
                <w:rFonts w:hint="eastAsia" w:ascii="宋体" w:hAnsi="宋体" w:cs="宋体"/>
                <w:color w:val="auto"/>
                <w:sz w:val="24"/>
                <w:highlight w:val="none"/>
              </w:rPr>
              <w:t>支付至勘察设计费合同价（中标价）的20%</w:t>
            </w:r>
          </w:p>
        </w:tc>
        <w:tc>
          <w:tcPr>
            <w:tcW w:w="1449" w:type="dxa"/>
            <w:vAlign w:val="center"/>
          </w:tcPr>
          <w:p w14:paraId="19F5313B">
            <w:pPr>
              <w:jc w:val="center"/>
              <w:rPr>
                <w:rFonts w:ascii="宋体" w:hAnsi="宋体" w:cs="宋体"/>
                <w:color w:val="auto"/>
                <w:sz w:val="24"/>
                <w:highlight w:val="none"/>
              </w:rPr>
            </w:pPr>
          </w:p>
        </w:tc>
        <w:tc>
          <w:tcPr>
            <w:tcW w:w="4398" w:type="dxa"/>
            <w:vAlign w:val="center"/>
          </w:tcPr>
          <w:p w14:paraId="5A5354CA">
            <w:pPr>
              <w:jc w:val="center"/>
              <w:rPr>
                <w:rFonts w:ascii="宋体" w:hAnsi="宋体" w:cs="宋体"/>
                <w:color w:val="auto"/>
                <w:sz w:val="24"/>
                <w:highlight w:val="none"/>
              </w:rPr>
            </w:pPr>
            <w:r>
              <w:rPr>
                <w:rFonts w:hint="eastAsia" w:ascii="宋体" w:hAnsi="宋体" w:cs="宋体"/>
                <w:color w:val="auto"/>
                <w:sz w:val="24"/>
                <w:highlight w:val="none"/>
              </w:rPr>
              <w:t>签订合同并生效之后10个工作日内支付</w:t>
            </w:r>
          </w:p>
        </w:tc>
      </w:tr>
      <w:tr w14:paraId="48F5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688" w:hRule="atLeast"/>
          <w:jc w:val="center"/>
        </w:trPr>
        <w:tc>
          <w:tcPr>
            <w:tcW w:w="1401" w:type="dxa"/>
            <w:vAlign w:val="center"/>
          </w:tcPr>
          <w:p w14:paraId="3DF01FEE">
            <w:pPr>
              <w:jc w:val="center"/>
              <w:rPr>
                <w:rFonts w:ascii="宋体" w:hAnsi="宋体" w:cs="宋体"/>
                <w:color w:val="auto"/>
                <w:sz w:val="24"/>
                <w:highlight w:val="none"/>
              </w:rPr>
            </w:pPr>
            <w:r>
              <w:rPr>
                <w:rFonts w:hint="eastAsia" w:ascii="宋体" w:hAnsi="宋体" w:cs="宋体"/>
                <w:color w:val="auto"/>
                <w:sz w:val="24"/>
                <w:highlight w:val="none"/>
              </w:rPr>
              <w:t>第二次付费</w:t>
            </w:r>
          </w:p>
        </w:tc>
        <w:tc>
          <w:tcPr>
            <w:tcW w:w="2238" w:type="dxa"/>
            <w:vAlign w:val="center"/>
          </w:tcPr>
          <w:p w14:paraId="5E60C90A">
            <w:pPr>
              <w:jc w:val="center"/>
              <w:rPr>
                <w:rFonts w:ascii="宋体" w:hAnsi="宋体" w:cs="宋体"/>
                <w:color w:val="auto"/>
                <w:sz w:val="24"/>
                <w:highlight w:val="none"/>
              </w:rPr>
            </w:pPr>
            <w:r>
              <w:rPr>
                <w:rFonts w:hint="eastAsia" w:ascii="宋体" w:hAnsi="宋体" w:cs="宋体"/>
                <w:color w:val="auto"/>
                <w:sz w:val="24"/>
                <w:highlight w:val="none"/>
              </w:rPr>
              <w:t>支付至按经审定的概算价进行修订的勘察设计费总价的40%</w:t>
            </w:r>
          </w:p>
        </w:tc>
        <w:tc>
          <w:tcPr>
            <w:tcW w:w="1449" w:type="dxa"/>
            <w:vAlign w:val="center"/>
          </w:tcPr>
          <w:p w14:paraId="25343278">
            <w:pPr>
              <w:jc w:val="center"/>
              <w:rPr>
                <w:rFonts w:ascii="宋体" w:hAnsi="宋体" w:cs="宋体"/>
                <w:color w:val="auto"/>
                <w:sz w:val="24"/>
                <w:highlight w:val="none"/>
              </w:rPr>
            </w:pPr>
          </w:p>
        </w:tc>
        <w:tc>
          <w:tcPr>
            <w:tcW w:w="4398" w:type="dxa"/>
            <w:vAlign w:val="center"/>
          </w:tcPr>
          <w:p w14:paraId="368602F5">
            <w:pPr>
              <w:jc w:val="center"/>
              <w:rPr>
                <w:rFonts w:ascii="宋体" w:hAnsi="宋体" w:cs="宋体"/>
                <w:color w:val="auto"/>
                <w:sz w:val="24"/>
                <w:highlight w:val="none"/>
              </w:rPr>
            </w:pPr>
            <w:r>
              <w:rPr>
                <w:rFonts w:hint="eastAsia" w:ascii="宋体" w:hAnsi="宋体" w:cs="宋体"/>
                <w:color w:val="auto"/>
                <w:sz w:val="24"/>
                <w:highlight w:val="none"/>
              </w:rPr>
              <w:t>通过初步设计专家评审会，财政部门完成概算审核之后10个工作日内支付</w:t>
            </w:r>
          </w:p>
        </w:tc>
      </w:tr>
      <w:tr w14:paraId="5716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688" w:hRule="atLeast"/>
          <w:jc w:val="center"/>
        </w:trPr>
        <w:tc>
          <w:tcPr>
            <w:tcW w:w="1401" w:type="dxa"/>
            <w:vAlign w:val="center"/>
          </w:tcPr>
          <w:p w14:paraId="5D4C0C1C">
            <w:pPr>
              <w:jc w:val="center"/>
              <w:rPr>
                <w:rFonts w:ascii="宋体" w:hAnsi="宋体" w:cs="宋体"/>
                <w:color w:val="auto"/>
                <w:sz w:val="24"/>
                <w:highlight w:val="none"/>
              </w:rPr>
            </w:pPr>
            <w:r>
              <w:rPr>
                <w:rFonts w:hint="eastAsia" w:ascii="宋体" w:hAnsi="宋体" w:cs="宋体"/>
                <w:color w:val="auto"/>
                <w:sz w:val="24"/>
                <w:highlight w:val="none"/>
              </w:rPr>
              <w:t>第三次付费</w:t>
            </w:r>
          </w:p>
        </w:tc>
        <w:tc>
          <w:tcPr>
            <w:tcW w:w="2238" w:type="dxa"/>
            <w:vAlign w:val="center"/>
          </w:tcPr>
          <w:p w14:paraId="29D44415">
            <w:pPr>
              <w:jc w:val="center"/>
              <w:rPr>
                <w:color w:val="auto"/>
                <w:highlight w:val="none"/>
              </w:rPr>
            </w:pPr>
            <w:r>
              <w:rPr>
                <w:rFonts w:hint="eastAsia" w:ascii="宋体" w:hAnsi="宋体" w:cs="宋体"/>
                <w:color w:val="auto"/>
                <w:sz w:val="24"/>
                <w:highlight w:val="none"/>
              </w:rPr>
              <w:t>支付至按施工总承包合同中标价中建安费为基数进行修订的勘察设计费总价的50%</w:t>
            </w:r>
          </w:p>
        </w:tc>
        <w:tc>
          <w:tcPr>
            <w:tcW w:w="1449" w:type="dxa"/>
            <w:vAlign w:val="center"/>
          </w:tcPr>
          <w:p w14:paraId="181B7F97">
            <w:pPr>
              <w:jc w:val="center"/>
              <w:rPr>
                <w:rFonts w:ascii="宋体" w:hAnsi="宋体" w:cs="宋体"/>
                <w:color w:val="auto"/>
                <w:sz w:val="24"/>
                <w:highlight w:val="none"/>
              </w:rPr>
            </w:pPr>
          </w:p>
        </w:tc>
        <w:tc>
          <w:tcPr>
            <w:tcW w:w="4398" w:type="dxa"/>
            <w:vAlign w:val="center"/>
          </w:tcPr>
          <w:p w14:paraId="200028E6">
            <w:pPr>
              <w:jc w:val="center"/>
              <w:rPr>
                <w:rFonts w:ascii="宋体" w:hAnsi="宋体" w:cs="宋体"/>
                <w:color w:val="auto"/>
                <w:sz w:val="24"/>
                <w:highlight w:val="none"/>
              </w:rPr>
            </w:pPr>
            <w:r>
              <w:rPr>
                <w:rFonts w:hint="eastAsia" w:ascii="宋体" w:hAnsi="宋体" w:cs="宋体"/>
                <w:color w:val="auto"/>
                <w:sz w:val="24"/>
                <w:highlight w:val="none"/>
              </w:rPr>
              <w:t>签订施工总承包合同之后10个工作日内支付</w:t>
            </w:r>
          </w:p>
        </w:tc>
      </w:tr>
      <w:tr w14:paraId="11BE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688" w:hRule="atLeast"/>
          <w:jc w:val="center"/>
        </w:trPr>
        <w:tc>
          <w:tcPr>
            <w:tcW w:w="1401" w:type="dxa"/>
            <w:vAlign w:val="center"/>
          </w:tcPr>
          <w:p w14:paraId="64FAC6F9">
            <w:pPr>
              <w:jc w:val="center"/>
              <w:rPr>
                <w:rFonts w:ascii="宋体" w:hAnsi="宋体" w:cs="宋体"/>
                <w:color w:val="auto"/>
                <w:sz w:val="24"/>
                <w:highlight w:val="none"/>
              </w:rPr>
            </w:pPr>
            <w:r>
              <w:rPr>
                <w:rFonts w:hint="eastAsia" w:ascii="宋体" w:hAnsi="宋体" w:cs="宋体"/>
                <w:color w:val="auto"/>
                <w:sz w:val="24"/>
                <w:highlight w:val="none"/>
              </w:rPr>
              <w:t>第四次付费</w:t>
            </w:r>
          </w:p>
        </w:tc>
        <w:tc>
          <w:tcPr>
            <w:tcW w:w="2238" w:type="dxa"/>
            <w:vAlign w:val="center"/>
          </w:tcPr>
          <w:p w14:paraId="5415EC1D">
            <w:pPr>
              <w:jc w:val="center"/>
              <w:rPr>
                <w:rFonts w:ascii="宋体" w:hAnsi="宋体" w:cs="宋体"/>
                <w:color w:val="auto"/>
                <w:sz w:val="24"/>
                <w:highlight w:val="none"/>
              </w:rPr>
            </w:pPr>
            <w:r>
              <w:rPr>
                <w:rFonts w:hint="eastAsia" w:ascii="宋体" w:hAnsi="宋体" w:cs="宋体"/>
                <w:color w:val="auto"/>
                <w:sz w:val="24"/>
                <w:highlight w:val="none"/>
              </w:rPr>
              <w:t>支付至按施工总承包合同中标价中建安费为基数进行修订的勘察设计费合同价的60%</w:t>
            </w:r>
          </w:p>
        </w:tc>
        <w:tc>
          <w:tcPr>
            <w:tcW w:w="1449" w:type="dxa"/>
            <w:vAlign w:val="center"/>
          </w:tcPr>
          <w:p w14:paraId="47C2F9EB">
            <w:pPr>
              <w:jc w:val="center"/>
              <w:rPr>
                <w:rFonts w:ascii="宋体" w:hAnsi="宋体" w:cs="宋体"/>
                <w:color w:val="auto"/>
                <w:sz w:val="24"/>
                <w:highlight w:val="none"/>
              </w:rPr>
            </w:pPr>
          </w:p>
          <w:p w14:paraId="7E131001">
            <w:pPr>
              <w:rPr>
                <w:color w:val="auto"/>
                <w:highlight w:val="none"/>
              </w:rPr>
            </w:pPr>
          </w:p>
        </w:tc>
        <w:tc>
          <w:tcPr>
            <w:tcW w:w="4398" w:type="dxa"/>
            <w:vAlign w:val="center"/>
          </w:tcPr>
          <w:p w14:paraId="29707F7E">
            <w:pPr>
              <w:jc w:val="center"/>
              <w:rPr>
                <w:rFonts w:ascii="宋体" w:hAnsi="宋体" w:cs="宋体"/>
                <w:color w:val="auto"/>
                <w:sz w:val="24"/>
                <w:highlight w:val="none"/>
              </w:rPr>
            </w:pPr>
            <w:r>
              <w:rPr>
                <w:rFonts w:hint="eastAsia" w:ascii="宋体" w:hAnsi="宋体" w:cs="宋体"/>
                <w:color w:val="auto"/>
                <w:sz w:val="24"/>
                <w:highlight w:val="none"/>
              </w:rPr>
              <w:t>已完成的工程量达到施工总承包合同价的50%之后10个工作日内支付</w:t>
            </w:r>
          </w:p>
        </w:tc>
      </w:tr>
      <w:tr w14:paraId="1072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688" w:hRule="atLeast"/>
          <w:jc w:val="center"/>
        </w:trPr>
        <w:tc>
          <w:tcPr>
            <w:tcW w:w="1401" w:type="dxa"/>
            <w:shd w:val="clear" w:color="auto" w:fill="auto"/>
            <w:vAlign w:val="center"/>
          </w:tcPr>
          <w:p w14:paraId="6A0064D6">
            <w:pPr>
              <w:jc w:val="center"/>
              <w:rPr>
                <w:rFonts w:ascii="宋体" w:hAnsi="宋体" w:cs="宋体"/>
                <w:color w:val="auto"/>
                <w:sz w:val="24"/>
                <w:highlight w:val="none"/>
              </w:rPr>
            </w:pPr>
            <w:r>
              <w:rPr>
                <w:rFonts w:hint="eastAsia" w:ascii="宋体" w:hAnsi="宋体" w:cs="宋体"/>
                <w:color w:val="auto"/>
                <w:sz w:val="24"/>
                <w:highlight w:val="none"/>
              </w:rPr>
              <w:t>第五次付费</w:t>
            </w:r>
          </w:p>
        </w:tc>
        <w:tc>
          <w:tcPr>
            <w:tcW w:w="2238" w:type="dxa"/>
            <w:shd w:val="clear" w:color="auto" w:fill="auto"/>
            <w:vAlign w:val="center"/>
          </w:tcPr>
          <w:p w14:paraId="1A2414C1">
            <w:pPr>
              <w:jc w:val="center"/>
              <w:rPr>
                <w:rFonts w:ascii="宋体" w:hAnsi="宋体" w:cs="宋体"/>
                <w:color w:val="auto"/>
                <w:sz w:val="24"/>
                <w:highlight w:val="none"/>
              </w:rPr>
            </w:pPr>
            <w:r>
              <w:rPr>
                <w:rFonts w:hint="eastAsia" w:ascii="宋体" w:hAnsi="宋体" w:cs="宋体"/>
                <w:color w:val="auto"/>
                <w:sz w:val="24"/>
                <w:highlight w:val="none"/>
              </w:rPr>
              <w:t>支付至按施工总承包合同中标价中建安费为基数进行修订的勘察设计费合同价的80%</w:t>
            </w:r>
          </w:p>
        </w:tc>
        <w:tc>
          <w:tcPr>
            <w:tcW w:w="1449" w:type="dxa"/>
            <w:shd w:val="clear" w:color="auto" w:fill="auto"/>
            <w:vAlign w:val="center"/>
          </w:tcPr>
          <w:p w14:paraId="382D7085">
            <w:pPr>
              <w:jc w:val="center"/>
              <w:rPr>
                <w:rFonts w:ascii="宋体" w:hAnsi="宋体" w:cs="宋体"/>
                <w:color w:val="auto"/>
                <w:sz w:val="24"/>
                <w:highlight w:val="none"/>
              </w:rPr>
            </w:pPr>
          </w:p>
          <w:p w14:paraId="45A15411">
            <w:pPr>
              <w:rPr>
                <w:color w:val="auto"/>
                <w:highlight w:val="none"/>
              </w:rPr>
            </w:pPr>
          </w:p>
        </w:tc>
        <w:tc>
          <w:tcPr>
            <w:tcW w:w="4398" w:type="dxa"/>
            <w:vAlign w:val="center"/>
          </w:tcPr>
          <w:p w14:paraId="36EFF5EF">
            <w:pPr>
              <w:jc w:val="center"/>
              <w:rPr>
                <w:rFonts w:ascii="宋体" w:hAnsi="宋体" w:cs="宋体"/>
                <w:color w:val="auto"/>
                <w:sz w:val="24"/>
                <w:highlight w:val="none"/>
              </w:rPr>
            </w:pPr>
            <w:r>
              <w:rPr>
                <w:rFonts w:hint="eastAsia" w:ascii="宋体" w:hAnsi="宋体" w:cs="宋体"/>
                <w:color w:val="auto"/>
                <w:sz w:val="24"/>
                <w:highlight w:val="none"/>
              </w:rPr>
              <w:t>项目竣工验收之后10个工作日内支付</w:t>
            </w:r>
          </w:p>
        </w:tc>
      </w:tr>
      <w:tr w14:paraId="2007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618" w:hRule="atLeast"/>
          <w:jc w:val="center"/>
        </w:trPr>
        <w:tc>
          <w:tcPr>
            <w:tcW w:w="1401" w:type="dxa"/>
            <w:vAlign w:val="center"/>
          </w:tcPr>
          <w:p w14:paraId="1A78E2AE">
            <w:pPr>
              <w:jc w:val="center"/>
              <w:rPr>
                <w:rFonts w:ascii="宋体" w:hAnsi="宋体" w:cs="宋体"/>
                <w:color w:val="auto"/>
                <w:sz w:val="24"/>
                <w:highlight w:val="none"/>
              </w:rPr>
            </w:pPr>
            <w:r>
              <w:rPr>
                <w:rFonts w:hint="eastAsia" w:ascii="宋体" w:hAnsi="宋体" w:cs="宋体"/>
                <w:color w:val="auto"/>
                <w:sz w:val="24"/>
                <w:highlight w:val="none"/>
              </w:rPr>
              <w:t>第六次付费</w:t>
            </w:r>
          </w:p>
        </w:tc>
        <w:tc>
          <w:tcPr>
            <w:tcW w:w="2238" w:type="dxa"/>
            <w:vAlign w:val="center"/>
          </w:tcPr>
          <w:p w14:paraId="526B5545">
            <w:pPr>
              <w:jc w:val="center"/>
              <w:rPr>
                <w:rFonts w:ascii="宋体" w:hAnsi="宋体" w:cs="宋体"/>
                <w:color w:val="auto"/>
                <w:sz w:val="24"/>
                <w:highlight w:val="none"/>
              </w:rPr>
            </w:pPr>
            <w:r>
              <w:rPr>
                <w:rFonts w:hint="eastAsia" w:ascii="宋体" w:hAnsi="宋体" w:cs="宋体"/>
                <w:color w:val="auto"/>
                <w:sz w:val="24"/>
                <w:highlight w:val="none"/>
              </w:rPr>
              <w:t>支付至勘察设计费结算价的100%</w:t>
            </w:r>
          </w:p>
        </w:tc>
        <w:tc>
          <w:tcPr>
            <w:tcW w:w="1449" w:type="dxa"/>
            <w:vAlign w:val="center"/>
          </w:tcPr>
          <w:p w14:paraId="419E2C3D">
            <w:pPr>
              <w:jc w:val="center"/>
              <w:rPr>
                <w:rFonts w:ascii="宋体" w:hAnsi="宋体" w:cs="宋体"/>
                <w:color w:val="auto"/>
                <w:sz w:val="24"/>
                <w:highlight w:val="none"/>
              </w:rPr>
            </w:pPr>
          </w:p>
        </w:tc>
        <w:tc>
          <w:tcPr>
            <w:tcW w:w="4398" w:type="dxa"/>
            <w:vAlign w:val="center"/>
          </w:tcPr>
          <w:p w14:paraId="67FEAB1F">
            <w:pPr>
              <w:jc w:val="center"/>
              <w:rPr>
                <w:rFonts w:ascii="宋体" w:hAnsi="宋体" w:cs="宋体"/>
                <w:color w:val="auto"/>
                <w:sz w:val="24"/>
                <w:highlight w:val="none"/>
              </w:rPr>
            </w:pPr>
            <w:r>
              <w:rPr>
                <w:rFonts w:hint="eastAsia" w:ascii="宋体" w:hAnsi="宋体" w:cs="宋体"/>
                <w:color w:val="auto"/>
                <w:sz w:val="24"/>
                <w:highlight w:val="none"/>
              </w:rPr>
              <w:t>完成施工总承包工程结算10个工作日内支付</w:t>
            </w:r>
          </w:p>
        </w:tc>
      </w:tr>
      <w:tr w14:paraId="7A9D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618" w:hRule="atLeast"/>
          <w:jc w:val="center"/>
        </w:trPr>
        <w:tc>
          <w:tcPr>
            <w:tcW w:w="9486" w:type="dxa"/>
            <w:gridSpan w:val="4"/>
            <w:vAlign w:val="center"/>
          </w:tcPr>
          <w:p w14:paraId="737A6F6E">
            <w:pPr>
              <w:jc w:val="left"/>
              <w:rPr>
                <w:rFonts w:ascii="宋体" w:hAnsi="宋体" w:cs="宋体"/>
                <w:color w:val="auto"/>
                <w:sz w:val="24"/>
                <w:highlight w:val="none"/>
              </w:rPr>
            </w:pPr>
            <w:r>
              <w:rPr>
                <w:rFonts w:hint="eastAsia" w:ascii="宋体" w:hAnsi="宋体" w:cs="宋体"/>
                <w:color w:val="auto"/>
                <w:sz w:val="24"/>
                <w:highlight w:val="none"/>
              </w:rPr>
              <w:t>结算方式：</w:t>
            </w:r>
          </w:p>
          <w:p w14:paraId="40BD3963">
            <w:pPr>
              <w:jc w:val="left"/>
              <w:rPr>
                <w:rFonts w:ascii="宋体" w:hAnsi="宋体" w:cs="宋体"/>
                <w:color w:val="auto"/>
                <w:sz w:val="24"/>
                <w:highlight w:val="none"/>
              </w:rPr>
            </w:pPr>
            <w:r>
              <w:rPr>
                <w:rFonts w:hint="eastAsia" w:ascii="宋体" w:hAnsi="宋体" w:cs="宋体"/>
                <w:color w:val="auto"/>
                <w:sz w:val="24"/>
                <w:highlight w:val="none"/>
              </w:rPr>
              <w:t>（1）设计费以区财政部门审定的施工总承包结算价为计费基数，按照《工程勘察设计收费管理规定》（计价格[2002]10号）计取，基本设计费=工程设计收费基价*专业调整系数*工程复杂程度调整系数*附加调整系数，本项目专业调整系数为1.0，附加调整系数取值为1.0、工程复杂程度调整系数取值为1.15；竣工图编制费=基本设计费*8%。勘察费以区财政部门审定的施工总承包结算价为计费基数，按照《广州市本级政府投资项目估算编制指引（房屋建筑类）》计取，勘察费=工程建安费*0.8%。勘察设计费=基本设计费+竣工图编制费+勘察费。</w:t>
            </w:r>
          </w:p>
          <w:p w14:paraId="79A4BC63">
            <w:pPr>
              <w:jc w:val="left"/>
              <w:rPr>
                <w:rFonts w:ascii="宋体" w:hAnsi="宋体" w:cs="宋体"/>
                <w:color w:val="auto"/>
                <w:sz w:val="24"/>
                <w:highlight w:val="none"/>
              </w:rPr>
            </w:pPr>
            <w:r>
              <w:rPr>
                <w:rFonts w:hint="eastAsia" w:ascii="宋体" w:hAnsi="宋体" w:cs="宋体"/>
                <w:color w:val="auto"/>
                <w:sz w:val="24"/>
                <w:highlight w:val="none"/>
              </w:rPr>
              <w:t>（2）上述费用最终以越秀区财政等部门审定为准。</w:t>
            </w:r>
          </w:p>
          <w:p w14:paraId="27F01F0F">
            <w:pPr>
              <w:jc w:val="left"/>
              <w:rPr>
                <w:rFonts w:ascii="宋体" w:hAnsi="宋体" w:cs="宋体"/>
                <w:color w:val="auto"/>
                <w:sz w:val="24"/>
                <w:highlight w:val="none"/>
              </w:rPr>
            </w:pPr>
            <w:r>
              <w:rPr>
                <w:rFonts w:hint="eastAsia" w:ascii="宋体" w:hAnsi="宋体" w:cs="宋体"/>
                <w:color w:val="auto"/>
                <w:sz w:val="24"/>
                <w:highlight w:val="none"/>
              </w:rPr>
              <w:t>（3）若结算金额少于实际已付金额，乙方应无条件退还多出部分。</w:t>
            </w:r>
          </w:p>
        </w:tc>
      </w:tr>
    </w:tbl>
    <w:p w14:paraId="4BF6CB20">
      <w:pPr>
        <w:adjustRightInd w:val="0"/>
        <w:snapToGrid w:val="0"/>
        <w:spacing w:line="324" w:lineRule="auto"/>
        <w:ind w:firstLine="482" w:firstLineChars="200"/>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注：乙方理解并同意，甲方的资金来源为财政部门，甲方在约定的付款时间内办理财政支付手续的（不含政府财政支付部门审核的时间），视为甲方已按期支付。财政拨款不到位、乙方未及时提供合法有效的发票或不可抗力等原因导致乙方收款延误的，甲方不承担迟延付款的责任，并且此情况不能成为乙方中止或拒绝履行本协议项下义务的理由。</w:t>
      </w:r>
    </w:p>
    <w:p w14:paraId="451DA29B">
      <w:pPr>
        <w:adjustRightInd w:val="0"/>
        <w:snapToGrid w:val="0"/>
        <w:spacing w:line="324" w:lineRule="auto"/>
        <w:ind w:firstLine="482" w:firstLineChars="200"/>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3.3 付款方式</w:t>
      </w:r>
    </w:p>
    <w:p w14:paraId="38C12676">
      <w:pPr>
        <w:adjustRightInd w:val="0"/>
        <w:snapToGrid w:val="0"/>
        <w:spacing w:line="324"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(1)工程勘察设计费分期支付，甲方付款前乙方应开具等额、合法、有效的发票。</w:t>
      </w:r>
    </w:p>
    <w:p w14:paraId="2C9820B2">
      <w:pPr>
        <w:adjustRightInd w:val="0"/>
        <w:snapToGrid w:val="0"/>
        <w:spacing w:line="324" w:lineRule="auto"/>
        <w:ind w:firstLine="480" w:firstLineChars="200"/>
        <w:rPr>
          <w:rFonts w:ascii="宋体" w:hAnsi="宋体" w:cs="宋体"/>
          <w:bCs/>
          <w:snapToGrid w:val="0"/>
          <w:color w:val="auto"/>
          <w:kern w:val="0"/>
          <w:sz w:val="24"/>
          <w:highlight w:val="none"/>
          <w:lang w:val="zh-CN"/>
        </w:rPr>
      </w:pPr>
      <w:r>
        <w:rPr>
          <w:rFonts w:hint="eastAsia" w:ascii="宋体" w:hAnsi="宋体" w:cs="宋体"/>
          <w:bCs/>
          <w:snapToGrid w:val="0"/>
          <w:color w:val="auto"/>
          <w:kern w:val="0"/>
          <w:sz w:val="24"/>
          <w:highlight w:val="none"/>
        </w:rPr>
        <w:t>(2)乙方收款账户信息如下：</w:t>
      </w:r>
    </w:p>
    <w:p w14:paraId="49EA0479">
      <w:pPr>
        <w:adjustRightInd w:val="0"/>
        <w:snapToGrid w:val="0"/>
        <w:spacing w:line="324"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账户名称：</w:t>
      </w:r>
    </w:p>
    <w:p w14:paraId="01B96A15">
      <w:pPr>
        <w:adjustRightInd w:val="0"/>
        <w:snapToGrid w:val="0"/>
        <w:spacing w:line="324"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开户银行：</w:t>
      </w:r>
    </w:p>
    <w:p w14:paraId="3FDF81D5">
      <w:pPr>
        <w:adjustRightInd w:val="0"/>
        <w:snapToGrid w:val="0"/>
        <w:spacing w:line="324"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银行账号:</w:t>
      </w:r>
    </w:p>
    <w:p w14:paraId="57E48E87">
      <w:pPr>
        <w:adjustRightInd w:val="0"/>
        <w:snapToGrid w:val="0"/>
        <w:spacing w:line="324" w:lineRule="auto"/>
        <w:ind w:firstLine="482" w:firstLineChars="200"/>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4、组成合同的文件</w:t>
      </w:r>
    </w:p>
    <w:p w14:paraId="2D14FD6F">
      <w:pPr>
        <w:adjustRightInd w:val="0"/>
        <w:snapToGrid w:val="0"/>
        <w:spacing w:line="324" w:lineRule="auto"/>
        <w:ind w:firstLine="482" w:firstLineChars="200"/>
        <w:rPr>
          <w:rFonts w:ascii="宋体" w:hAnsi="宋体" w:cs="宋体"/>
          <w:bCs/>
          <w:snapToGrid w:val="0"/>
          <w:color w:val="auto"/>
          <w:kern w:val="0"/>
          <w:sz w:val="24"/>
          <w:highlight w:val="none"/>
        </w:rPr>
      </w:pPr>
      <w:r>
        <w:rPr>
          <w:rFonts w:hint="eastAsia" w:ascii="宋体" w:hAnsi="宋体" w:cs="宋体"/>
          <w:b/>
          <w:bCs/>
          <w:snapToGrid w:val="0"/>
          <w:color w:val="auto"/>
          <w:kern w:val="0"/>
          <w:sz w:val="24"/>
          <w:highlight w:val="none"/>
        </w:rPr>
        <w:t>4.1</w:t>
      </w:r>
      <w:r>
        <w:rPr>
          <w:rFonts w:hint="eastAsia" w:ascii="宋体" w:hAnsi="宋体" w:cs="宋体"/>
          <w:bCs/>
          <w:snapToGrid w:val="0"/>
          <w:color w:val="auto"/>
          <w:kern w:val="0"/>
          <w:sz w:val="24"/>
          <w:highlight w:val="none"/>
        </w:rPr>
        <w:t>下列文件应被认为是组成本合同的一部分，并互为补充和解释，如各文件存在冲突之处，以如下排列次序在前者优先适用：</w:t>
      </w:r>
    </w:p>
    <w:p w14:paraId="6F5494C3">
      <w:pPr>
        <w:adjustRightInd w:val="0"/>
        <w:snapToGrid w:val="0"/>
        <w:spacing w:line="324"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（1）本合同履行期间甲方与乙方双方签订的补充合同（协议）或修正文件；</w:t>
      </w:r>
    </w:p>
    <w:p w14:paraId="777EFCBF">
      <w:pPr>
        <w:adjustRightInd w:val="0"/>
        <w:snapToGrid w:val="0"/>
        <w:spacing w:line="324"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（2）本合同协议书；</w:t>
      </w:r>
    </w:p>
    <w:p w14:paraId="5AFE8B2C">
      <w:pPr>
        <w:adjustRightInd w:val="0"/>
        <w:snapToGrid w:val="0"/>
        <w:spacing w:line="324"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（3）中标通知书；</w:t>
      </w:r>
    </w:p>
    <w:p w14:paraId="2C22169B">
      <w:pPr>
        <w:adjustRightInd w:val="0"/>
        <w:snapToGrid w:val="0"/>
        <w:spacing w:line="324"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（4）本合同条款；</w:t>
      </w:r>
    </w:p>
    <w:p w14:paraId="7190065B">
      <w:pPr>
        <w:adjustRightInd w:val="0"/>
        <w:snapToGrid w:val="0"/>
        <w:spacing w:line="324"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（5）本合同附件[属本条第（1）项和第（6）项内容的除外]；</w:t>
      </w:r>
    </w:p>
    <w:p w14:paraId="3437897B">
      <w:pPr>
        <w:adjustRightInd w:val="0"/>
        <w:snapToGrid w:val="0"/>
        <w:spacing w:line="324"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（6）招标文件[含招标文件补充文件、招标澄清文件、答疑文件等，属本条第（7）项内容的除外]；</w:t>
      </w:r>
    </w:p>
    <w:p w14:paraId="35423630">
      <w:pPr>
        <w:adjustRightInd w:val="0"/>
        <w:snapToGrid w:val="0"/>
        <w:spacing w:line="324"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（7）乙方投标文件及其附件[含投标文件澄清等，属本条第（7）项内容的除外]；</w:t>
      </w:r>
    </w:p>
    <w:p w14:paraId="4F345E87">
      <w:pPr>
        <w:adjustRightInd w:val="0"/>
        <w:snapToGrid w:val="0"/>
        <w:spacing w:line="324"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（8）组成本合同的其他文件。</w:t>
      </w:r>
    </w:p>
    <w:p w14:paraId="1F70C401">
      <w:pPr>
        <w:adjustRightInd w:val="0"/>
        <w:snapToGrid w:val="0"/>
        <w:spacing w:line="324" w:lineRule="auto"/>
        <w:ind w:firstLine="480" w:firstLineChars="200"/>
        <w:rPr>
          <w:rFonts w:ascii="宋体" w:hAnsi="宋体" w:cs="宋体"/>
          <w:bCs/>
          <w:snapToGrid w:val="0"/>
          <w:color w:val="auto"/>
          <w:kern w:val="0"/>
          <w:sz w:val="24"/>
          <w:highlight w:val="none"/>
        </w:rPr>
      </w:pPr>
      <w:r>
        <w:rPr>
          <w:rFonts w:hint="eastAsia" w:ascii="宋体" w:hAnsi="宋体" w:cs="宋体"/>
          <w:snapToGrid w:val="0"/>
          <w:color w:val="auto"/>
          <w:kern w:val="0"/>
          <w:sz w:val="24"/>
          <w:highlight w:val="none"/>
        </w:rPr>
        <w:t>通过上述顺序解释仍无法明确的事项，由</w:t>
      </w:r>
      <w:r>
        <w:rPr>
          <w:rFonts w:hint="eastAsia" w:ascii="宋体" w:hAnsi="宋体" w:cs="宋体"/>
          <w:bCs/>
          <w:snapToGrid w:val="0"/>
          <w:color w:val="auto"/>
          <w:kern w:val="0"/>
          <w:sz w:val="24"/>
          <w:highlight w:val="none"/>
        </w:rPr>
        <w:t>甲方与乙方</w:t>
      </w:r>
      <w:r>
        <w:rPr>
          <w:rFonts w:hint="eastAsia" w:ascii="宋体" w:hAnsi="宋体" w:cs="宋体"/>
          <w:snapToGrid w:val="0"/>
          <w:color w:val="auto"/>
          <w:kern w:val="0"/>
          <w:sz w:val="24"/>
          <w:highlight w:val="none"/>
        </w:rPr>
        <w:t>协商解决；如协商不成，由</w:t>
      </w:r>
      <w:r>
        <w:rPr>
          <w:rFonts w:hint="eastAsia" w:ascii="宋体" w:hAnsi="宋体" w:cs="宋体"/>
          <w:bCs/>
          <w:snapToGrid w:val="0"/>
          <w:color w:val="auto"/>
          <w:kern w:val="0"/>
          <w:sz w:val="24"/>
          <w:highlight w:val="none"/>
        </w:rPr>
        <w:t>甲方</w:t>
      </w:r>
      <w:r>
        <w:rPr>
          <w:rFonts w:hint="eastAsia" w:ascii="宋体" w:hAnsi="宋体" w:cs="宋体"/>
          <w:snapToGrid w:val="0"/>
          <w:color w:val="auto"/>
          <w:kern w:val="0"/>
          <w:sz w:val="24"/>
          <w:highlight w:val="none"/>
        </w:rPr>
        <w:t>按照公平合理和有利于本合同工程建设的原则作出决定。如</w:t>
      </w:r>
      <w:r>
        <w:rPr>
          <w:rFonts w:hint="eastAsia" w:ascii="宋体" w:hAnsi="宋体" w:cs="宋体"/>
          <w:bCs/>
          <w:snapToGrid w:val="0"/>
          <w:color w:val="auto"/>
          <w:kern w:val="0"/>
          <w:sz w:val="24"/>
          <w:highlight w:val="none"/>
        </w:rPr>
        <w:t>乙方</w:t>
      </w:r>
      <w:r>
        <w:rPr>
          <w:rFonts w:hint="eastAsia" w:ascii="宋体" w:hAnsi="宋体" w:cs="宋体"/>
          <w:snapToGrid w:val="0"/>
          <w:color w:val="auto"/>
          <w:kern w:val="0"/>
          <w:sz w:val="24"/>
          <w:highlight w:val="none"/>
        </w:rPr>
        <w:t>对此决定不服的，应在接到</w:t>
      </w:r>
      <w:r>
        <w:rPr>
          <w:rFonts w:hint="eastAsia" w:ascii="宋体" w:hAnsi="宋体" w:cs="宋体"/>
          <w:bCs/>
          <w:snapToGrid w:val="0"/>
          <w:color w:val="auto"/>
          <w:kern w:val="0"/>
          <w:sz w:val="24"/>
          <w:highlight w:val="none"/>
        </w:rPr>
        <w:t>甲方</w:t>
      </w:r>
      <w:r>
        <w:rPr>
          <w:rFonts w:hint="eastAsia" w:ascii="宋体" w:hAnsi="宋体" w:cs="宋体"/>
          <w:snapToGrid w:val="0"/>
          <w:color w:val="auto"/>
          <w:kern w:val="0"/>
          <w:sz w:val="24"/>
          <w:highlight w:val="none"/>
        </w:rPr>
        <w:t>决定之日起三日内提出书面异议；如期满不提出书面异议的，视为同意</w:t>
      </w:r>
      <w:r>
        <w:rPr>
          <w:rFonts w:hint="eastAsia" w:ascii="宋体" w:hAnsi="宋体" w:cs="宋体"/>
          <w:bCs/>
          <w:snapToGrid w:val="0"/>
          <w:color w:val="auto"/>
          <w:kern w:val="0"/>
          <w:sz w:val="24"/>
          <w:highlight w:val="none"/>
        </w:rPr>
        <w:t>甲方</w:t>
      </w:r>
      <w:r>
        <w:rPr>
          <w:rFonts w:hint="eastAsia" w:ascii="宋体" w:hAnsi="宋体" w:cs="宋体"/>
          <w:snapToGrid w:val="0"/>
          <w:color w:val="auto"/>
          <w:kern w:val="0"/>
          <w:sz w:val="24"/>
          <w:highlight w:val="none"/>
        </w:rPr>
        <w:t>的决定。</w:t>
      </w:r>
      <w:r>
        <w:rPr>
          <w:rFonts w:hint="eastAsia" w:ascii="宋体" w:hAnsi="宋体" w:cs="宋体"/>
          <w:bCs/>
          <w:snapToGrid w:val="0"/>
          <w:color w:val="auto"/>
          <w:kern w:val="0"/>
          <w:sz w:val="24"/>
          <w:highlight w:val="none"/>
        </w:rPr>
        <w:t>甲方</w:t>
      </w:r>
      <w:r>
        <w:rPr>
          <w:rFonts w:hint="eastAsia" w:ascii="宋体" w:hAnsi="宋体" w:cs="宋体"/>
          <w:snapToGrid w:val="0"/>
          <w:color w:val="auto"/>
          <w:kern w:val="0"/>
          <w:sz w:val="24"/>
          <w:highlight w:val="none"/>
        </w:rPr>
        <w:t>收到</w:t>
      </w:r>
      <w:r>
        <w:rPr>
          <w:rFonts w:hint="eastAsia" w:ascii="宋体" w:hAnsi="宋体" w:cs="宋体"/>
          <w:bCs/>
          <w:snapToGrid w:val="0"/>
          <w:color w:val="auto"/>
          <w:kern w:val="0"/>
          <w:sz w:val="24"/>
          <w:highlight w:val="none"/>
        </w:rPr>
        <w:t>乙方</w:t>
      </w:r>
      <w:r>
        <w:rPr>
          <w:rFonts w:hint="eastAsia" w:ascii="宋体" w:hAnsi="宋体" w:cs="宋体"/>
          <w:snapToGrid w:val="0"/>
          <w:color w:val="auto"/>
          <w:kern w:val="0"/>
          <w:sz w:val="24"/>
          <w:highlight w:val="none"/>
        </w:rPr>
        <w:t>的书面异议后应作出进一步的决定，如</w:t>
      </w:r>
      <w:r>
        <w:rPr>
          <w:rFonts w:hint="eastAsia" w:ascii="宋体" w:hAnsi="宋体" w:cs="宋体"/>
          <w:bCs/>
          <w:snapToGrid w:val="0"/>
          <w:color w:val="auto"/>
          <w:kern w:val="0"/>
          <w:sz w:val="24"/>
          <w:highlight w:val="none"/>
        </w:rPr>
        <w:t>乙方</w:t>
      </w:r>
      <w:r>
        <w:rPr>
          <w:rFonts w:hint="eastAsia" w:ascii="宋体" w:hAnsi="宋体" w:cs="宋体"/>
          <w:snapToGrid w:val="0"/>
          <w:color w:val="auto"/>
          <w:kern w:val="0"/>
          <w:sz w:val="24"/>
          <w:highlight w:val="none"/>
        </w:rPr>
        <w:t>仍有异议的，可按本合同</w:t>
      </w:r>
      <w:r>
        <w:rPr>
          <w:rFonts w:hint="eastAsia" w:ascii="宋体" w:hAnsi="宋体" w:cs="宋体"/>
          <w:bCs/>
          <w:snapToGrid w:val="0"/>
          <w:color w:val="auto"/>
          <w:kern w:val="0"/>
          <w:sz w:val="24"/>
          <w:highlight w:val="none"/>
        </w:rPr>
        <w:t>条款第23条的约定处理，但在有关部门没有作出正式裁决之前，乙方必须无条件先行执行甲方的决定。</w:t>
      </w:r>
    </w:p>
    <w:p w14:paraId="5DA5D8E2">
      <w:pPr>
        <w:adjustRightInd w:val="0"/>
        <w:snapToGrid w:val="0"/>
        <w:spacing w:line="324" w:lineRule="auto"/>
        <w:ind w:firstLine="482" w:firstLineChars="200"/>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4.2</w:t>
      </w:r>
      <w:r>
        <w:rPr>
          <w:rFonts w:hint="eastAsia" w:ascii="宋体" w:hAnsi="宋体" w:cs="宋体"/>
          <w:bCs/>
          <w:snapToGrid w:val="0"/>
          <w:color w:val="auto"/>
          <w:kern w:val="0"/>
          <w:sz w:val="24"/>
          <w:highlight w:val="none"/>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14:paraId="20BC484C">
      <w:pPr>
        <w:adjustRightInd w:val="0"/>
        <w:snapToGrid w:val="0"/>
        <w:spacing w:line="324" w:lineRule="auto"/>
        <w:ind w:firstLine="482" w:firstLineChars="200"/>
        <w:rPr>
          <w:rFonts w:ascii="宋体" w:hAnsi="宋体" w:cs="宋体"/>
          <w:bCs/>
          <w:snapToGrid w:val="0"/>
          <w:color w:val="auto"/>
          <w:kern w:val="0"/>
          <w:sz w:val="24"/>
          <w:highlight w:val="none"/>
        </w:rPr>
      </w:pPr>
      <w:r>
        <w:rPr>
          <w:rFonts w:hint="eastAsia" w:ascii="宋体" w:hAnsi="宋体" w:cs="宋体"/>
          <w:b/>
          <w:bCs/>
          <w:snapToGrid w:val="0"/>
          <w:color w:val="auto"/>
          <w:kern w:val="0"/>
          <w:sz w:val="24"/>
          <w:highlight w:val="none"/>
        </w:rPr>
        <w:t>5</w:t>
      </w:r>
      <w:r>
        <w:rPr>
          <w:rFonts w:hint="eastAsia" w:ascii="宋体" w:hAnsi="宋体" w:cs="宋体"/>
          <w:bCs/>
          <w:snapToGrid w:val="0"/>
          <w:color w:val="auto"/>
          <w:kern w:val="0"/>
          <w:sz w:val="24"/>
          <w:highlight w:val="none"/>
        </w:rPr>
        <w:t>、乙方应在收到中标通知书之日起5日内以书面形式向甲方提交其法定代表人、项目负责人的姓名、身份证复印件、职务、职称、联系方式（包括办公电话、手机、传真号码）、通信地址等信息作为合同附件。</w:t>
      </w:r>
    </w:p>
    <w:p w14:paraId="0B0F7498">
      <w:pPr>
        <w:adjustRightInd w:val="0"/>
        <w:snapToGrid w:val="0"/>
        <w:spacing w:line="324" w:lineRule="auto"/>
        <w:ind w:firstLine="482" w:firstLineChars="200"/>
        <w:rPr>
          <w:rFonts w:ascii="宋体" w:hAnsi="宋体" w:cs="宋体"/>
          <w:bCs/>
          <w:snapToGrid w:val="0"/>
          <w:color w:val="auto"/>
          <w:kern w:val="0"/>
          <w:sz w:val="24"/>
          <w:highlight w:val="none"/>
        </w:rPr>
      </w:pPr>
      <w:r>
        <w:rPr>
          <w:rFonts w:hint="eastAsia" w:ascii="宋体" w:hAnsi="宋体" w:cs="宋体"/>
          <w:b/>
          <w:bCs/>
          <w:snapToGrid w:val="0"/>
          <w:color w:val="auto"/>
          <w:kern w:val="0"/>
          <w:sz w:val="24"/>
          <w:highlight w:val="none"/>
        </w:rPr>
        <w:t>6</w:t>
      </w:r>
      <w:r>
        <w:rPr>
          <w:rFonts w:hint="eastAsia" w:ascii="宋体" w:hAnsi="宋体" w:cs="宋体"/>
          <w:bCs/>
          <w:snapToGrid w:val="0"/>
          <w:color w:val="auto"/>
          <w:kern w:val="0"/>
          <w:sz w:val="24"/>
          <w:highlight w:val="none"/>
        </w:rPr>
        <w:t>、在本合同有效期内，乙方的单位名称变更的，应及时以书面形式通知甲方并附上变更登记资料；乙方法定代表人变更的，应在变更后15日内向甲方提交新法定代表人的姓名、身份证复印件、职务、职称、联系电话、通信地址等信息。</w:t>
      </w:r>
    </w:p>
    <w:p w14:paraId="29FCE0C4">
      <w:pPr>
        <w:adjustRightInd w:val="0"/>
        <w:snapToGrid w:val="0"/>
        <w:spacing w:line="324" w:lineRule="auto"/>
        <w:ind w:firstLine="482" w:firstLineChars="200"/>
        <w:rPr>
          <w:rFonts w:ascii="宋体" w:hAnsi="宋体" w:cs="宋体"/>
          <w:bCs/>
          <w:snapToGrid w:val="0"/>
          <w:color w:val="auto"/>
          <w:kern w:val="0"/>
          <w:sz w:val="24"/>
          <w:highlight w:val="none"/>
        </w:rPr>
      </w:pPr>
      <w:r>
        <w:rPr>
          <w:rFonts w:hint="eastAsia" w:ascii="宋体" w:hAnsi="宋体" w:cs="宋体"/>
          <w:b/>
          <w:bCs/>
          <w:snapToGrid w:val="0"/>
          <w:color w:val="auto"/>
          <w:kern w:val="0"/>
          <w:sz w:val="24"/>
          <w:highlight w:val="none"/>
        </w:rPr>
        <w:t>7</w:t>
      </w:r>
      <w:r>
        <w:rPr>
          <w:rFonts w:hint="eastAsia" w:ascii="宋体" w:hAnsi="宋体" w:cs="宋体"/>
          <w:bCs/>
          <w:snapToGrid w:val="0"/>
          <w:color w:val="auto"/>
          <w:kern w:val="0"/>
          <w:sz w:val="24"/>
          <w:highlight w:val="none"/>
        </w:rPr>
        <w:t>、在本合同有效期内，乙方更换项目负责人的，除按合同条款的有关约定承担违约责任外，还应在更换后7日内将新项目负责人的姓名、职务、职称、联系电话、通信地址等信息提交给甲方。</w:t>
      </w:r>
    </w:p>
    <w:p w14:paraId="498795D7">
      <w:pPr>
        <w:adjustRightInd w:val="0"/>
        <w:snapToGrid w:val="0"/>
        <w:spacing w:line="324" w:lineRule="auto"/>
        <w:ind w:firstLine="482" w:firstLineChars="200"/>
        <w:rPr>
          <w:rFonts w:ascii="宋体" w:hAnsi="宋体" w:cs="宋体"/>
          <w:bCs/>
          <w:snapToGrid w:val="0"/>
          <w:color w:val="auto"/>
          <w:kern w:val="0"/>
          <w:sz w:val="24"/>
          <w:highlight w:val="none"/>
        </w:rPr>
      </w:pPr>
      <w:r>
        <w:rPr>
          <w:rFonts w:hint="eastAsia" w:ascii="宋体" w:hAnsi="宋体" w:cs="宋体"/>
          <w:b/>
          <w:bCs/>
          <w:snapToGrid w:val="0"/>
          <w:color w:val="auto"/>
          <w:kern w:val="0"/>
          <w:sz w:val="24"/>
          <w:highlight w:val="none"/>
        </w:rPr>
        <w:t>8、</w:t>
      </w:r>
      <w:r>
        <w:rPr>
          <w:rFonts w:hint="eastAsia" w:ascii="宋体" w:hAnsi="宋体" w:cs="宋体"/>
          <w:bCs/>
          <w:snapToGrid w:val="0"/>
          <w:color w:val="auto"/>
          <w:kern w:val="0"/>
          <w:sz w:val="24"/>
          <w:highlight w:val="none"/>
        </w:rPr>
        <w:t>本合同协议书中有关词语定义与合同条款中分别赋予它们的定义相同。</w:t>
      </w:r>
    </w:p>
    <w:p w14:paraId="65A895F1">
      <w:pPr>
        <w:adjustRightInd w:val="0"/>
        <w:snapToGrid w:val="0"/>
        <w:spacing w:line="324" w:lineRule="auto"/>
        <w:ind w:firstLine="482" w:firstLineChars="200"/>
        <w:rPr>
          <w:rFonts w:ascii="宋体" w:hAnsi="宋体" w:cs="宋体"/>
          <w:bCs/>
          <w:snapToGrid w:val="0"/>
          <w:color w:val="auto"/>
          <w:kern w:val="0"/>
          <w:sz w:val="24"/>
          <w:highlight w:val="none"/>
        </w:rPr>
      </w:pPr>
      <w:r>
        <w:rPr>
          <w:rFonts w:hint="eastAsia" w:ascii="宋体" w:hAnsi="宋体" w:cs="宋体"/>
          <w:b/>
          <w:bCs/>
          <w:snapToGrid w:val="0"/>
          <w:color w:val="auto"/>
          <w:kern w:val="0"/>
          <w:sz w:val="24"/>
          <w:highlight w:val="none"/>
        </w:rPr>
        <w:t>9、</w:t>
      </w:r>
      <w:r>
        <w:rPr>
          <w:rFonts w:hint="eastAsia" w:ascii="宋体" w:hAnsi="宋体" w:cs="宋体"/>
          <w:bCs/>
          <w:snapToGrid w:val="0"/>
          <w:color w:val="auto"/>
          <w:kern w:val="0"/>
          <w:sz w:val="24"/>
          <w:highlight w:val="none"/>
        </w:rPr>
        <w:t>乙方向甲方承诺按照本合同约定履行义务。</w:t>
      </w:r>
    </w:p>
    <w:p w14:paraId="7D298D0C">
      <w:pPr>
        <w:adjustRightInd w:val="0"/>
        <w:snapToGrid w:val="0"/>
        <w:spacing w:line="324" w:lineRule="auto"/>
        <w:ind w:firstLine="482" w:firstLineChars="200"/>
        <w:rPr>
          <w:rFonts w:ascii="宋体" w:hAnsi="宋体" w:cs="宋体"/>
          <w:bCs/>
          <w:snapToGrid w:val="0"/>
          <w:color w:val="auto"/>
          <w:kern w:val="0"/>
          <w:sz w:val="24"/>
          <w:highlight w:val="none"/>
        </w:rPr>
      </w:pPr>
      <w:r>
        <w:rPr>
          <w:rFonts w:hint="eastAsia" w:ascii="宋体" w:hAnsi="宋体" w:cs="宋体"/>
          <w:b/>
          <w:bCs/>
          <w:snapToGrid w:val="0"/>
          <w:color w:val="auto"/>
          <w:kern w:val="0"/>
          <w:sz w:val="24"/>
          <w:highlight w:val="none"/>
        </w:rPr>
        <w:t>10、</w:t>
      </w:r>
      <w:r>
        <w:rPr>
          <w:rFonts w:hint="eastAsia" w:ascii="宋体" w:hAnsi="宋体" w:cs="宋体"/>
          <w:bCs/>
          <w:snapToGrid w:val="0"/>
          <w:color w:val="auto"/>
          <w:kern w:val="0"/>
          <w:sz w:val="24"/>
          <w:highlight w:val="none"/>
        </w:rPr>
        <w:t>甲方向乙方承诺按照本合同约定履行义务，其中招标人的权利、义务、分工与建设单位的权利、义务、分工具体详见《代建协议》。</w:t>
      </w:r>
    </w:p>
    <w:p w14:paraId="7D5F2EFF">
      <w:pPr>
        <w:adjustRightInd w:val="0"/>
        <w:snapToGrid w:val="0"/>
        <w:spacing w:line="324" w:lineRule="auto"/>
        <w:ind w:firstLine="482" w:firstLineChars="200"/>
        <w:rPr>
          <w:rFonts w:ascii="宋体" w:hAnsi="宋体" w:cs="宋体"/>
          <w:bCs/>
          <w:snapToGrid w:val="0"/>
          <w:color w:val="auto"/>
          <w:kern w:val="0"/>
          <w:sz w:val="24"/>
          <w:highlight w:val="none"/>
        </w:rPr>
      </w:pPr>
      <w:r>
        <w:rPr>
          <w:rFonts w:hint="eastAsia" w:ascii="宋体" w:hAnsi="宋体" w:cs="宋体"/>
          <w:b/>
          <w:bCs/>
          <w:snapToGrid w:val="0"/>
          <w:color w:val="auto"/>
          <w:kern w:val="0"/>
          <w:sz w:val="24"/>
          <w:highlight w:val="none"/>
        </w:rPr>
        <w:t>11、</w:t>
      </w:r>
      <w:r>
        <w:rPr>
          <w:rFonts w:hint="eastAsia" w:ascii="宋体" w:hAnsi="宋体" w:cs="宋体"/>
          <w:bCs/>
          <w:snapToGrid w:val="0"/>
          <w:color w:val="auto"/>
          <w:kern w:val="0"/>
          <w:sz w:val="24"/>
          <w:highlight w:val="none"/>
        </w:rPr>
        <w:t>本合同自甲、乙双方</w:t>
      </w:r>
      <w:r>
        <w:rPr>
          <w:rFonts w:hint="eastAsia" w:ascii="宋体" w:hAnsi="宋体" w:cs="宋体"/>
          <w:snapToGrid w:val="0"/>
          <w:color w:val="auto"/>
          <w:kern w:val="0"/>
          <w:sz w:val="24"/>
          <w:highlight w:val="none"/>
        </w:rPr>
        <w:t>法定代表人签字且加盖公章</w:t>
      </w:r>
      <w:r>
        <w:rPr>
          <w:rFonts w:hint="eastAsia" w:ascii="宋体" w:hAnsi="宋体" w:cs="宋体"/>
          <w:bCs/>
          <w:snapToGrid w:val="0"/>
          <w:color w:val="auto"/>
          <w:kern w:val="0"/>
          <w:sz w:val="24"/>
          <w:highlight w:val="none"/>
        </w:rPr>
        <w:t>之日起生效。双方履行完成合同约定义务及责任后，本合同自行终止。</w:t>
      </w:r>
    </w:p>
    <w:p w14:paraId="36A29577">
      <w:pPr>
        <w:adjustRightInd w:val="0"/>
        <w:snapToGrid w:val="0"/>
        <w:spacing w:line="324" w:lineRule="auto"/>
        <w:ind w:firstLine="482" w:firstLineChars="200"/>
        <w:rPr>
          <w:rFonts w:ascii="宋体" w:hAnsi="宋体" w:cs="宋体"/>
          <w:bCs/>
          <w:snapToGrid w:val="0"/>
          <w:color w:val="auto"/>
          <w:kern w:val="0"/>
          <w:sz w:val="24"/>
          <w:highlight w:val="none"/>
        </w:rPr>
      </w:pPr>
      <w:r>
        <w:rPr>
          <w:rFonts w:hint="eastAsia" w:ascii="宋体" w:hAnsi="宋体" w:cs="宋体"/>
          <w:b/>
          <w:bCs/>
          <w:snapToGrid w:val="0"/>
          <w:color w:val="auto"/>
          <w:kern w:val="0"/>
          <w:sz w:val="24"/>
          <w:highlight w:val="none"/>
        </w:rPr>
        <w:t>12、</w:t>
      </w:r>
      <w:r>
        <w:rPr>
          <w:rFonts w:hint="eastAsia" w:ascii="宋体" w:hAnsi="宋体" w:cs="宋体"/>
          <w:bCs/>
          <w:snapToGrid w:val="0"/>
          <w:color w:val="auto"/>
          <w:kern w:val="0"/>
          <w:sz w:val="24"/>
          <w:highlight w:val="none"/>
        </w:rPr>
        <w:t>本合同一式陆份，甲乙双方各执叁份，均</w:t>
      </w:r>
      <w:r>
        <w:rPr>
          <w:rFonts w:hint="eastAsia" w:ascii="宋体" w:hAnsi="宋体" w:cs="宋体"/>
          <w:snapToGrid w:val="0"/>
          <w:color w:val="auto"/>
          <w:kern w:val="0"/>
          <w:sz w:val="24"/>
          <w:highlight w:val="none"/>
        </w:rPr>
        <w:t>具有同等法律效力。</w:t>
      </w:r>
    </w:p>
    <w:p w14:paraId="094968D7">
      <w:pPr>
        <w:tabs>
          <w:tab w:val="left" w:pos="1620"/>
          <w:tab w:val="left" w:pos="4860"/>
          <w:tab w:val="left" w:pos="4920"/>
        </w:tabs>
        <w:adjustRightInd w:val="0"/>
        <w:snapToGrid w:val="0"/>
        <w:spacing w:line="324"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（本页无正文，为签署页）</w:t>
      </w:r>
    </w:p>
    <w:p w14:paraId="76B4B0FC">
      <w:pPr>
        <w:pStyle w:val="8"/>
        <w:spacing w:after="0" w:line="324" w:lineRule="auto"/>
        <w:ind w:firstLine="480" w:firstLineChars="200"/>
        <w:rPr>
          <w:rFonts w:ascii="宋体" w:hAnsi="宋体" w:cs="宋体"/>
          <w:color w:val="auto"/>
          <w:sz w:val="24"/>
          <w:highlight w:val="none"/>
        </w:rPr>
      </w:pPr>
    </w:p>
    <w:p w14:paraId="4629434E">
      <w:pPr>
        <w:pStyle w:val="8"/>
        <w:spacing w:after="0" w:line="324" w:lineRule="auto"/>
        <w:ind w:firstLine="480" w:firstLineChars="200"/>
        <w:rPr>
          <w:rFonts w:ascii="宋体" w:hAnsi="宋体" w:cs="宋体"/>
          <w:color w:val="auto"/>
          <w:sz w:val="24"/>
          <w:highlight w:val="none"/>
        </w:rPr>
      </w:pPr>
    </w:p>
    <w:p w14:paraId="3B615951">
      <w:pPr>
        <w:pStyle w:val="8"/>
        <w:spacing w:after="0" w:line="324" w:lineRule="auto"/>
        <w:ind w:firstLine="480" w:firstLineChars="200"/>
        <w:rPr>
          <w:rFonts w:ascii="宋体" w:hAnsi="宋体" w:cs="宋体"/>
          <w:color w:val="auto"/>
          <w:sz w:val="24"/>
          <w:highlight w:val="none"/>
        </w:rPr>
      </w:pPr>
    </w:p>
    <w:p w14:paraId="7CDCEF3E">
      <w:pPr>
        <w:pStyle w:val="8"/>
        <w:spacing w:after="0" w:line="324" w:lineRule="auto"/>
        <w:ind w:firstLine="480" w:firstLineChars="200"/>
        <w:rPr>
          <w:rFonts w:ascii="宋体" w:hAnsi="宋体" w:cs="宋体"/>
          <w:color w:val="auto"/>
          <w:sz w:val="24"/>
          <w:highlight w:val="none"/>
        </w:rPr>
      </w:pPr>
    </w:p>
    <w:p w14:paraId="03BEB3ED">
      <w:pPr>
        <w:pStyle w:val="8"/>
        <w:spacing w:after="0" w:line="324" w:lineRule="auto"/>
        <w:ind w:firstLine="480" w:firstLineChars="200"/>
        <w:rPr>
          <w:rFonts w:ascii="宋体" w:hAnsi="宋体" w:cs="宋体"/>
          <w:color w:val="auto"/>
          <w:sz w:val="24"/>
          <w:highlight w:val="none"/>
        </w:rPr>
      </w:pPr>
    </w:p>
    <w:p w14:paraId="5E8FFC88">
      <w:pPr>
        <w:pStyle w:val="8"/>
        <w:spacing w:after="0" w:line="324" w:lineRule="auto"/>
        <w:ind w:firstLine="480" w:firstLineChars="200"/>
        <w:rPr>
          <w:rFonts w:ascii="宋体" w:hAnsi="宋体" w:cs="宋体"/>
          <w:color w:val="auto"/>
          <w:sz w:val="24"/>
          <w:highlight w:val="none"/>
        </w:rPr>
      </w:pPr>
    </w:p>
    <w:p w14:paraId="329AC051">
      <w:pPr>
        <w:rPr>
          <w:rFonts w:ascii="宋体" w:hAnsi="宋体" w:cs="宋体"/>
          <w:color w:val="auto"/>
          <w:sz w:val="24"/>
          <w:highlight w:val="none"/>
        </w:rPr>
      </w:pPr>
    </w:p>
    <w:p w14:paraId="65E05B8A">
      <w:pPr>
        <w:rPr>
          <w:rFonts w:ascii="宋体" w:hAnsi="宋体" w:cs="宋体"/>
          <w:color w:val="auto"/>
          <w:sz w:val="24"/>
          <w:highlight w:val="none"/>
        </w:rPr>
      </w:pPr>
    </w:p>
    <w:p w14:paraId="7AA51CCB">
      <w:pPr>
        <w:rPr>
          <w:rFonts w:ascii="宋体" w:hAnsi="宋体" w:cs="宋体"/>
          <w:color w:val="auto"/>
          <w:sz w:val="24"/>
          <w:highlight w:val="none"/>
        </w:rPr>
      </w:pPr>
    </w:p>
    <w:p w14:paraId="4EB4D03A">
      <w:pPr>
        <w:rPr>
          <w:rFonts w:ascii="宋体" w:hAnsi="宋体" w:cs="宋体"/>
          <w:color w:val="auto"/>
          <w:sz w:val="24"/>
          <w:highlight w:val="none"/>
        </w:rPr>
      </w:pPr>
    </w:p>
    <w:p w14:paraId="46945776">
      <w:pPr>
        <w:rPr>
          <w:rFonts w:ascii="宋体" w:hAnsi="宋体" w:cs="宋体"/>
          <w:color w:val="auto"/>
          <w:sz w:val="24"/>
          <w:highlight w:val="none"/>
        </w:rPr>
      </w:pPr>
    </w:p>
    <w:p w14:paraId="3498804B">
      <w:pPr>
        <w:rPr>
          <w:rFonts w:ascii="宋体" w:hAnsi="宋体" w:cs="宋体"/>
          <w:color w:val="auto"/>
          <w:sz w:val="24"/>
          <w:highlight w:val="none"/>
        </w:rPr>
      </w:pPr>
    </w:p>
    <w:p w14:paraId="2DE397A0">
      <w:pPr>
        <w:rPr>
          <w:rFonts w:ascii="宋体" w:hAnsi="宋体" w:cs="宋体"/>
          <w:color w:val="auto"/>
          <w:sz w:val="24"/>
          <w:highlight w:val="none"/>
        </w:rPr>
      </w:pPr>
    </w:p>
    <w:p w14:paraId="5F9ECF52">
      <w:pPr>
        <w:rPr>
          <w:rFonts w:ascii="宋体" w:hAnsi="宋体" w:cs="宋体"/>
          <w:color w:val="auto"/>
          <w:sz w:val="24"/>
          <w:highlight w:val="none"/>
        </w:rPr>
      </w:pPr>
    </w:p>
    <w:p w14:paraId="2A78E9C0">
      <w:pPr>
        <w:rPr>
          <w:rFonts w:ascii="宋体" w:hAnsi="宋体" w:cs="宋体"/>
          <w:color w:val="auto"/>
          <w:sz w:val="24"/>
          <w:highlight w:val="none"/>
        </w:rPr>
      </w:pPr>
    </w:p>
    <w:p w14:paraId="478C0501">
      <w:pPr>
        <w:rPr>
          <w:rFonts w:ascii="宋体" w:hAnsi="宋体" w:cs="宋体"/>
          <w:color w:val="auto"/>
          <w:sz w:val="24"/>
          <w:highlight w:val="none"/>
        </w:rPr>
      </w:pPr>
    </w:p>
    <w:p w14:paraId="3FF6D0FD">
      <w:pPr>
        <w:rPr>
          <w:rFonts w:ascii="宋体" w:hAnsi="宋体" w:cs="宋体"/>
          <w:color w:val="auto"/>
          <w:sz w:val="24"/>
          <w:highlight w:val="none"/>
        </w:rPr>
      </w:pPr>
    </w:p>
    <w:p w14:paraId="3437DA2E">
      <w:pPr>
        <w:rPr>
          <w:rFonts w:ascii="宋体" w:hAnsi="宋体" w:cs="宋体"/>
          <w:color w:val="auto"/>
          <w:sz w:val="24"/>
          <w:highlight w:val="none"/>
        </w:rPr>
      </w:pPr>
    </w:p>
    <w:p w14:paraId="7FBC797F">
      <w:pPr>
        <w:rPr>
          <w:rFonts w:ascii="宋体" w:hAnsi="宋体" w:cs="宋体"/>
          <w:color w:val="auto"/>
          <w:sz w:val="24"/>
          <w:highlight w:val="none"/>
        </w:rPr>
      </w:pPr>
    </w:p>
    <w:p w14:paraId="476E0876">
      <w:pPr>
        <w:rPr>
          <w:rFonts w:ascii="宋体" w:hAnsi="宋体" w:cs="宋体"/>
          <w:color w:val="auto"/>
          <w:sz w:val="24"/>
          <w:highlight w:val="none"/>
        </w:rPr>
      </w:pPr>
    </w:p>
    <w:p w14:paraId="41A5E99B">
      <w:pPr>
        <w:rPr>
          <w:rFonts w:ascii="宋体" w:hAnsi="宋体" w:cs="宋体"/>
          <w:color w:val="auto"/>
          <w:sz w:val="24"/>
          <w:highlight w:val="none"/>
        </w:rPr>
      </w:pPr>
    </w:p>
    <w:p w14:paraId="48D21260">
      <w:pPr>
        <w:rPr>
          <w:rFonts w:ascii="宋体" w:hAnsi="宋体" w:cs="宋体"/>
          <w:color w:val="auto"/>
          <w:sz w:val="24"/>
          <w:highlight w:val="none"/>
        </w:rPr>
      </w:pPr>
    </w:p>
    <w:p w14:paraId="79565AAD">
      <w:pPr>
        <w:rPr>
          <w:rFonts w:ascii="宋体" w:hAnsi="宋体" w:cs="宋体"/>
          <w:color w:val="auto"/>
          <w:sz w:val="24"/>
          <w:highlight w:val="none"/>
        </w:rPr>
      </w:pPr>
    </w:p>
    <w:p w14:paraId="0CF2A7CC">
      <w:pPr>
        <w:rPr>
          <w:rFonts w:ascii="宋体" w:hAnsi="宋体" w:cs="宋体"/>
          <w:color w:val="auto"/>
          <w:sz w:val="24"/>
          <w:highlight w:val="none"/>
        </w:rPr>
      </w:pPr>
    </w:p>
    <w:p w14:paraId="5906524B">
      <w:pPr>
        <w:rPr>
          <w:rFonts w:ascii="宋体" w:hAnsi="宋体" w:cs="宋体"/>
          <w:color w:val="auto"/>
          <w:sz w:val="24"/>
          <w:highlight w:val="none"/>
        </w:rPr>
      </w:pPr>
    </w:p>
    <w:p w14:paraId="41C3C326">
      <w:pPr>
        <w:rPr>
          <w:rFonts w:ascii="宋体" w:hAnsi="宋体" w:cs="宋体"/>
          <w:color w:val="auto"/>
          <w:sz w:val="24"/>
          <w:highlight w:val="none"/>
        </w:rPr>
      </w:pPr>
    </w:p>
    <w:p w14:paraId="43C30609">
      <w:pPr>
        <w:rPr>
          <w:rFonts w:ascii="宋体" w:hAnsi="宋体" w:cs="宋体"/>
          <w:color w:val="auto"/>
          <w:sz w:val="24"/>
          <w:highlight w:val="none"/>
        </w:rPr>
      </w:pPr>
    </w:p>
    <w:p w14:paraId="324161EB">
      <w:pPr>
        <w:rPr>
          <w:rFonts w:ascii="宋体" w:hAnsi="宋体" w:cs="宋体"/>
          <w:color w:val="auto"/>
          <w:sz w:val="24"/>
          <w:highlight w:val="none"/>
        </w:rPr>
      </w:pPr>
    </w:p>
    <w:p w14:paraId="3D7C08AA">
      <w:pPr>
        <w:rPr>
          <w:rFonts w:ascii="宋体" w:hAnsi="宋体" w:cs="宋体"/>
          <w:color w:val="auto"/>
          <w:sz w:val="24"/>
          <w:highlight w:val="none"/>
        </w:rPr>
      </w:pPr>
    </w:p>
    <w:p w14:paraId="54639998">
      <w:pPr>
        <w:pStyle w:val="8"/>
        <w:spacing w:after="0" w:line="324" w:lineRule="auto"/>
        <w:ind w:firstLine="480" w:firstLineChars="200"/>
        <w:rPr>
          <w:rFonts w:ascii="宋体" w:hAnsi="宋体" w:cs="宋体"/>
          <w:color w:val="auto"/>
          <w:sz w:val="24"/>
          <w:highlight w:val="none"/>
        </w:rPr>
      </w:pPr>
    </w:p>
    <w:tbl>
      <w:tblPr>
        <w:tblStyle w:val="21"/>
        <w:tblW w:w="92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3"/>
      </w:tblGrid>
      <w:tr w14:paraId="095B2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3" w:type="dxa"/>
            <w:vAlign w:val="center"/>
          </w:tcPr>
          <w:p w14:paraId="56A14689">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甲方：</w:t>
            </w:r>
          </w:p>
        </w:tc>
        <w:tc>
          <w:tcPr>
            <w:tcW w:w="4643" w:type="dxa"/>
            <w:vAlign w:val="center"/>
          </w:tcPr>
          <w:p w14:paraId="0FB6C85B">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乙方（联合体主体）：</w:t>
            </w:r>
          </w:p>
        </w:tc>
      </w:tr>
      <w:tr w14:paraId="01FE1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3" w:type="dxa"/>
            <w:vAlign w:val="center"/>
          </w:tcPr>
          <w:p w14:paraId="12B01301">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单位名称（盖章）</w:t>
            </w:r>
          </w:p>
        </w:tc>
        <w:tc>
          <w:tcPr>
            <w:tcW w:w="4643" w:type="dxa"/>
            <w:vAlign w:val="center"/>
          </w:tcPr>
          <w:p w14:paraId="54F1166E">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单位名称（盖章）</w:t>
            </w:r>
          </w:p>
        </w:tc>
      </w:tr>
      <w:tr w14:paraId="17EFA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3" w:type="dxa"/>
            <w:vAlign w:val="center"/>
          </w:tcPr>
          <w:p w14:paraId="17D4480C">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法定代表人</w:t>
            </w:r>
          </w:p>
          <w:p w14:paraId="3062A597">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或授权代表（签字或盖章）：</w:t>
            </w:r>
          </w:p>
        </w:tc>
        <w:tc>
          <w:tcPr>
            <w:tcW w:w="4643" w:type="dxa"/>
            <w:vAlign w:val="center"/>
          </w:tcPr>
          <w:p w14:paraId="0F002E6B">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法定代表人</w:t>
            </w:r>
          </w:p>
          <w:p w14:paraId="01500798">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或授权代表（签字或盖章）：</w:t>
            </w:r>
          </w:p>
        </w:tc>
      </w:tr>
      <w:tr w14:paraId="4E934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3" w:type="dxa"/>
            <w:vAlign w:val="center"/>
          </w:tcPr>
          <w:p w14:paraId="1C36EA8D">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地址：</w:t>
            </w:r>
          </w:p>
        </w:tc>
        <w:tc>
          <w:tcPr>
            <w:tcW w:w="4643" w:type="dxa"/>
            <w:vAlign w:val="center"/>
          </w:tcPr>
          <w:p w14:paraId="5434492F">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地址：</w:t>
            </w:r>
          </w:p>
        </w:tc>
      </w:tr>
      <w:tr w14:paraId="335FD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3" w:type="dxa"/>
            <w:vAlign w:val="center"/>
          </w:tcPr>
          <w:p w14:paraId="53E1D7C0">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邮政编码：</w:t>
            </w:r>
          </w:p>
        </w:tc>
        <w:tc>
          <w:tcPr>
            <w:tcW w:w="4643" w:type="dxa"/>
            <w:vAlign w:val="center"/>
          </w:tcPr>
          <w:p w14:paraId="05FF1094">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邮政编码：</w:t>
            </w:r>
          </w:p>
        </w:tc>
      </w:tr>
      <w:tr w14:paraId="5218D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3" w:type="dxa"/>
            <w:vAlign w:val="center"/>
          </w:tcPr>
          <w:p w14:paraId="0A9D3E6A">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电话：</w:t>
            </w:r>
          </w:p>
        </w:tc>
        <w:tc>
          <w:tcPr>
            <w:tcW w:w="4643" w:type="dxa"/>
            <w:vAlign w:val="center"/>
          </w:tcPr>
          <w:p w14:paraId="68AF204C">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电话：</w:t>
            </w:r>
          </w:p>
        </w:tc>
      </w:tr>
      <w:tr w14:paraId="36240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3" w:type="dxa"/>
            <w:vAlign w:val="center"/>
          </w:tcPr>
          <w:p w14:paraId="6EC656BD">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传真：</w:t>
            </w:r>
          </w:p>
        </w:tc>
        <w:tc>
          <w:tcPr>
            <w:tcW w:w="4643" w:type="dxa"/>
            <w:vAlign w:val="center"/>
          </w:tcPr>
          <w:p w14:paraId="2BD55BB0">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传真：</w:t>
            </w:r>
          </w:p>
        </w:tc>
      </w:tr>
      <w:tr w14:paraId="5C197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3" w:type="dxa"/>
            <w:vAlign w:val="center"/>
          </w:tcPr>
          <w:p w14:paraId="72EED299">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开户银行：</w:t>
            </w:r>
          </w:p>
        </w:tc>
        <w:tc>
          <w:tcPr>
            <w:tcW w:w="4643" w:type="dxa"/>
            <w:vAlign w:val="center"/>
          </w:tcPr>
          <w:p w14:paraId="15A87A18">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开户银行：</w:t>
            </w:r>
          </w:p>
        </w:tc>
      </w:tr>
      <w:tr w14:paraId="6BC41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3" w:type="dxa"/>
            <w:vAlign w:val="center"/>
          </w:tcPr>
          <w:p w14:paraId="338B6DA6">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银行账号：</w:t>
            </w:r>
          </w:p>
        </w:tc>
        <w:tc>
          <w:tcPr>
            <w:tcW w:w="4643" w:type="dxa"/>
            <w:vAlign w:val="center"/>
          </w:tcPr>
          <w:p w14:paraId="577B4162">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银行账号：</w:t>
            </w:r>
          </w:p>
        </w:tc>
      </w:tr>
      <w:tr w14:paraId="4BC1E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3" w:type="dxa"/>
            <w:vAlign w:val="center"/>
          </w:tcPr>
          <w:p w14:paraId="63CAB5CB">
            <w:pPr>
              <w:adjustRightInd w:val="0"/>
              <w:snapToGrid w:val="0"/>
              <w:rPr>
                <w:rFonts w:ascii="宋体" w:hAnsi="宋体" w:cs="宋体"/>
                <w:snapToGrid w:val="0"/>
                <w:color w:val="auto"/>
                <w:kern w:val="0"/>
                <w:sz w:val="24"/>
                <w:highlight w:val="none"/>
              </w:rPr>
            </w:pPr>
          </w:p>
        </w:tc>
        <w:tc>
          <w:tcPr>
            <w:tcW w:w="4643" w:type="dxa"/>
            <w:vAlign w:val="center"/>
          </w:tcPr>
          <w:p w14:paraId="298BD482">
            <w:pPr>
              <w:adjustRightInd w:val="0"/>
              <w:snapToGrid w:val="0"/>
              <w:rPr>
                <w:rFonts w:ascii="宋体" w:hAnsi="宋体" w:cs="宋体"/>
                <w:snapToGrid w:val="0"/>
                <w:color w:val="auto"/>
                <w:kern w:val="0"/>
                <w:sz w:val="24"/>
                <w:highlight w:val="none"/>
              </w:rPr>
            </w:pPr>
          </w:p>
        </w:tc>
      </w:tr>
      <w:tr w14:paraId="5B32C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3" w:type="dxa"/>
            <w:vAlign w:val="center"/>
          </w:tcPr>
          <w:p w14:paraId="37C5D205">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乙方（联合体成员）：</w:t>
            </w:r>
          </w:p>
        </w:tc>
        <w:tc>
          <w:tcPr>
            <w:tcW w:w="4643" w:type="dxa"/>
            <w:vAlign w:val="center"/>
          </w:tcPr>
          <w:p w14:paraId="43445329">
            <w:pPr>
              <w:adjustRightInd w:val="0"/>
              <w:snapToGrid w:val="0"/>
              <w:rPr>
                <w:rFonts w:ascii="宋体" w:hAnsi="宋体" w:cs="宋体"/>
                <w:snapToGrid w:val="0"/>
                <w:color w:val="auto"/>
                <w:kern w:val="0"/>
                <w:sz w:val="24"/>
                <w:highlight w:val="none"/>
              </w:rPr>
            </w:pPr>
          </w:p>
        </w:tc>
      </w:tr>
      <w:tr w14:paraId="1A026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3" w:type="dxa"/>
            <w:vAlign w:val="center"/>
          </w:tcPr>
          <w:p w14:paraId="2A62CCCA">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单位名称（盖章）</w:t>
            </w:r>
          </w:p>
        </w:tc>
        <w:tc>
          <w:tcPr>
            <w:tcW w:w="4643" w:type="dxa"/>
            <w:vAlign w:val="center"/>
          </w:tcPr>
          <w:p w14:paraId="051F9226">
            <w:pPr>
              <w:adjustRightInd w:val="0"/>
              <w:snapToGrid w:val="0"/>
              <w:rPr>
                <w:rFonts w:ascii="宋体" w:hAnsi="宋体" w:cs="宋体"/>
                <w:snapToGrid w:val="0"/>
                <w:color w:val="auto"/>
                <w:kern w:val="0"/>
                <w:sz w:val="24"/>
                <w:highlight w:val="none"/>
              </w:rPr>
            </w:pPr>
          </w:p>
        </w:tc>
      </w:tr>
      <w:tr w14:paraId="71D09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3" w:type="dxa"/>
            <w:vAlign w:val="center"/>
          </w:tcPr>
          <w:p w14:paraId="2CD38703">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法定代表人或授权代表：</w:t>
            </w:r>
          </w:p>
        </w:tc>
        <w:tc>
          <w:tcPr>
            <w:tcW w:w="4643" w:type="dxa"/>
            <w:vAlign w:val="center"/>
          </w:tcPr>
          <w:p w14:paraId="708EA32C">
            <w:pPr>
              <w:adjustRightInd w:val="0"/>
              <w:snapToGrid w:val="0"/>
              <w:rPr>
                <w:rFonts w:ascii="宋体" w:hAnsi="宋体" w:cs="宋体"/>
                <w:snapToGrid w:val="0"/>
                <w:color w:val="auto"/>
                <w:kern w:val="0"/>
                <w:sz w:val="24"/>
                <w:highlight w:val="none"/>
              </w:rPr>
            </w:pPr>
          </w:p>
        </w:tc>
      </w:tr>
      <w:tr w14:paraId="2A4CA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3" w:type="dxa"/>
            <w:vAlign w:val="center"/>
          </w:tcPr>
          <w:p w14:paraId="67A615C0">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地址：</w:t>
            </w:r>
          </w:p>
        </w:tc>
        <w:tc>
          <w:tcPr>
            <w:tcW w:w="4643" w:type="dxa"/>
            <w:vAlign w:val="center"/>
          </w:tcPr>
          <w:p w14:paraId="538D4EE7">
            <w:pPr>
              <w:adjustRightInd w:val="0"/>
              <w:snapToGrid w:val="0"/>
              <w:rPr>
                <w:rFonts w:ascii="宋体" w:hAnsi="宋体" w:cs="宋体"/>
                <w:snapToGrid w:val="0"/>
                <w:color w:val="auto"/>
                <w:kern w:val="0"/>
                <w:sz w:val="24"/>
                <w:highlight w:val="none"/>
              </w:rPr>
            </w:pPr>
          </w:p>
        </w:tc>
      </w:tr>
      <w:tr w14:paraId="61BEE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3" w:type="dxa"/>
            <w:vAlign w:val="center"/>
          </w:tcPr>
          <w:p w14:paraId="2E87029D">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邮政编码：</w:t>
            </w:r>
          </w:p>
        </w:tc>
        <w:tc>
          <w:tcPr>
            <w:tcW w:w="4643" w:type="dxa"/>
            <w:vAlign w:val="center"/>
          </w:tcPr>
          <w:p w14:paraId="6915C78C">
            <w:pPr>
              <w:adjustRightInd w:val="0"/>
              <w:snapToGrid w:val="0"/>
              <w:rPr>
                <w:rFonts w:ascii="宋体" w:hAnsi="宋体" w:cs="宋体"/>
                <w:snapToGrid w:val="0"/>
                <w:color w:val="auto"/>
                <w:kern w:val="0"/>
                <w:sz w:val="24"/>
                <w:highlight w:val="none"/>
              </w:rPr>
            </w:pPr>
          </w:p>
        </w:tc>
      </w:tr>
      <w:tr w14:paraId="30560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3" w:type="dxa"/>
            <w:vAlign w:val="center"/>
          </w:tcPr>
          <w:p w14:paraId="743F2F0D">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电话：</w:t>
            </w:r>
          </w:p>
        </w:tc>
        <w:tc>
          <w:tcPr>
            <w:tcW w:w="4643" w:type="dxa"/>
            <w:vAlign w:val="center"/>
          </w:tcPr>
          <w:p w14:paraId="15A05E7C">
            <w:pPr>
              <w:adjustRightInd w:val="0"/>
              <w:snapToGrid w:val="0"/>
              <w:rPr>
                <w:rFonts w:ascii="宋体" w:hAnsi="宋体" w:cs="宋体"/>
                <w:snapToGrid w:val="0"/>
                <w:color w:val="auto"/>
                <w:kern w:val="0"/>
                <w:sz w:val="24"/>
                <w:highlight w:val="none"/>
              </w:rPr>
            </w:pPr>
          </w:p>
        </w:tc>
      </w:tr>
      <w:tr w14:paraId="44C53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3" w:type="dxa"/>
            <w:vAlign w:val="center"/>
          </w:tcPr>
          <w:p w14:paraId="75215536">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传真：</w:t>
            </w:r>
          </w:p>
        </w:tc>
        <w:tc>
          <w:tcPr>
            <w:tcW w:w="4643" w:type="dxa"/>
            <w:vAlign w:val="center"/>
          </w:tcPr>
          <w:p w14:paraId="0892A3E1">
            <w:pPr>
              <w:adjustRightInd w:val="0"/>
              <w:snapToGrid w:val="0"/>
              <w:rPr>
                <w:rFonts w:ascii="宋体" w:hAnsi="宋体" w:cs="宋体"/>
                <w:snapToGrid w:val="0"/>
                <w:color w:val="auto"/>
                <w:kern w:val="0"/>
                <w:sz w:val="24"/>
                <w:highlight w:val="none"/>
              </w:rPr>
            </w:pPr>
          </w:p>
        </w:tc>
      </w:tr>
      <w:tr w14:paraId="50CAF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3" w:type="dxa"/>
            <w:vAlign w:val="center"/>
          </w:tcPr>
          <w:p w14:paraId="398F01EF">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开户银行：</w:t>
            </w:r>
          </w:p>
        </w:tc>
        <w:tc>
          <w:tcPr>
            <w:tcW w:w="4643" w:type="dxa"/>
            <w:vAlign w:val="center"/>
          </w:tcPr>
          <w:p w14:paraId="01022FA6">
            <w:pPr>
              <w:adjustRightInd w:val="0"/>
              <w:snapToGrid w:val="0"/>
              <w:rPr>
                <w:rFonts w:ascii="宋体" w:hAnsi="宋体" w:cs="宋体"/>
                <w:snapToGrid w:val="0"/>
                <w:color w:val="auto"/>
                <w:kern w:val="0"/>
                <w:sz w:val="24"/>
                <w:highlight w:val="none"/>
              </w:rPr>
            </w:pPr>
          </w:p>
        </w:tc>
      </w:tr>
      <w:tr w14:paraId="48172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3" w:type="dxa"/>
            <w:vAlign w:val="center"/>
          </w:tcPr>
          <w:p w14:paraId="0BC09C66">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银行账号：</w:t>
            </w:r>
          </w:p>
        </w:tc>
        <w:tc>
          <w:tcPr>
            <w:tcW w:w="4643" w:type="dxa"/>
            <w:vAlign w:val="center"/>
          </w:tcPr>
          <w:p w14:paraId="0ADCF4EC">
            <w:pPr>
              <w:adjustRightInd w:val="0"/>
              <w:snapToGrid w:val="0"/>
              <w:rPr>
                <w:rFonts w:ascii="宋体" w:hAnsi="宋体" w:cs="宋体"/>
                <w:snapToGrid w:val="0"/>
                <w:color w:val="auto"/>
                <w:kern w:val="0"/>
                <w:sz w:val="24"/>
                <w:highlight w:val="none"/>
              </w:rPr>
            </w:pPr>
          </w:p>
        </w:tc>
      </w:tr>
      <w:tr w14:paraId="44F23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286" w:type="dxa"/>
            <w:gridSpan w:val="2"/>
            <w:vAlign w:val="center"/>
          </w:tcPr>
          <w:p w14:paraId="18F39963">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签约日期：    年  月  日</w:t>
            </w:r>
          </w:p>
        </w:tc>
      </w:tr>
      <w:tr w14:paraId="4EDC3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286" w:type="dxa"/>
            <w:gridSpan w:val="2"/>
            <w:vAlign w:val="center"/>
          </w:tcPr>
          <w:p w14:paraId="46DBFAB5">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签约地点：</w:t>
            </w:r>
          </w:p>
        </w:tc>
      </w:tr>
    </w:tbl>
    <w:p w14:paraId="668524EE">
      <w:pPr>
        <w:pStyle w:val="8"/>
        <w:adjustRightInd w:val="0"/>
        <w:snapToGrid w:val="0"/>
        <w:spacing w:line="360" w:lineRule="auto"/>
        <w:rPr>
          <w:color w:val="auto"/>
          <w:highlight w:val="none"/>
        </w:rPr>
      </w:pPr>
    </w:p>
    <w:p w14:paraId="0C7D880F">
      <w:pPr>
        <w:pStyle w:val="2"/>
        <w:ind w:firstLine="2650" w:firstLineChars="600"/>
        <w:jc w:val="both"/>
        <w:rPr>
          <w:b w:val="0"/>
          <w:bCs w:val="0"/>
          <w:color w:val="auto"/>
          <w:highlight w:val="none"/>
        </w:rPr>
      </w:pPr>
      <w:bookmarkStart w:id="11" w:name="_Toc2286"/>
      <w:bookmarkStart w:id="12" w:name="_Toc8429"/>
      <w:bookmarkStart w:id="13" w:name="_Toc27222"/>
      <w:r>
        <w:rPr>
          <w:rFonts w:hint="eastAsia"/>
          <w:color w:val="auto"/>
          <w:highlight w:val="none"/>
        </w:rPr>
        <w:t>第二篇</w:t>
      </w:r>
      <w:r>
        <w:rPr>
          <w:color w:val="auto"/>
          <w:highlight w:val="none"/>
        </w:rPr>
        <w:t xml:space="preserve">  </w:t>
      </w:r>
      <w:r>
        <w:rPr>
          <w:rFonts w:hint="eastAsia"/>
          <w:color w:val="auto"/>
          <w:highlight w:val="none"/>
        </w:rPr>
        <w:t>合同条款</w:t>
      </w:r>
      <w:bookmarkEnd w:id="11"/>
      <w:bookmarkEnd w:id="12"/>
      <w:bookmarkEnd w:id="13"/>
    </w:p>
    <w:p w14:paraId="216B1CFD">
      <w:pPr>
        <w:adjustRightInd w:val="0"/>
        <w:snapToGrid w:val="0"/>
        <w:spacing w:line="360" w:lineRule="auto"/>
        <w:ind w:right="11"/>
        <w:rPr>
          <w:rFonts w:ascii="宋体" w:hAnsi="宋体"/>
          <w:snapToGrid w:val="0"/>
          <w:color w:val="auto"/>
          <w:kern w:val="0"/>
          <w:sz w:val="24"/>
          <w:highlight w:val="none"/>
        </w:rPr>
      </w:pPr>
    </w:p>
    <w:p w14:paraId="57F2555B">
      <w:pPr>
        <w:pStyle w:val="3"/>
        <w:rPr>
          <w:color w:val="auto"/>
          <w:highlight w:val="none"/>
        </w:rPr>
      </w:pPr>
      <w:bookmarkStart w:id="14" w:name="_Toc16203"/>
      <w:bookmarkStart w:id="15" w:name="_Toc11801"/>
      <w:bookmarkStart w:id="16" w:name="_Toc13504"/>
      <w:r>
        <w:rPr>
          <w:rFonts w:hint="eastAsia"/>
          <w:color w:val="auto"/>
          <w:highlight w:val="none"/>
        </w:rPr>
        <w:t>总</w:t>
      </w:r>
      <w:r>
        <w:rPr>
          <w:color w:val="auto"/>
          <w:highlight w:val="none"/>
        </w:rPr>
        <w:t xml:space="preserve">  </w:t>
      </w:r>
      <w:r>
        <w:rPr>
          <w:rFonts w:hint="eastAsia"/>
          <w:color w:val="auto"/>
          <w:highlight w:val="none"/>
        </w:rPr>
        <w:t>则</w:t>
      </w:r>
      <w:bookmarkEnd w:id="14"/>
      <w:bookmarkEnd w:id="15"/>
      <w:bookmarkEnd w:id="16"/>
    </w:p>
    <w:p w14:paraId="731FC6E5">
      <w:pPr>
        <w:adjustRightInd w:val="0"/>
        <w:snapToGrid w:val="0"/>
        <w:spacing w:line="360" w:lineRule="auto"/>
        <w:ind w:firstLine="480" w:firstLineChars="200"/>
        <w:rPr>
          <w:rFonts w:ascii="宋体" w:hAnsi="宋体"/>
          <w:snapToGrid w:val="0"/>
          <w:color w:val="auto"/>
          <w:kern w:val="0"/>
          <w:sz w:val="24"/>
          <w:highlight w:val="none"/>
        </w:rPr>
      </w:pPr>
    </w:p>
    <w:p w14:paraId="5C70E122">
      <w:pPr>
        <w:adjustRightInd w:val="0"/>
        <w:snapToGrid w:val="0"/>
        <w:spacing w:line="360" w:lineRule="auto"/>
        <w:ind w:firstLine="482" w:firstLineChars="200"/>
        <w:rPr>
          <w:rFonts w:ascii="宋体" w:hAnsi="宋体"/>
          <w:snapToGrid w:val="0"/>
          <w:color w:val="auto"/>
          <w:kern w:val="0"/>
          <w:sz w:val="24"/>
          <w:highlight w:val="none"/>
        </w:rPr>
      </w:pPr>
      <w:r>
        <w:rPr>
          <w:rFonts w:hint="eastAsia" w:ascii="宋体" w:hAnsi="宋体"/>
          <w:b/>
          <w:snapToGrid w:val="0"/>
          <w:color w:val="auto"/>
          <w:kern w:val="0"/>
          <w:sz w:val="24"/>
          <w:highlight w:val="none"/>
        </w:rPr>
        <w:t>一、</w:t>
      </w:r>
      <w:r>
        <w:rPr>
          <w:rFonts w:ascii="宋体" w:hAnsi="宋体"/>
          <w:snapToGrid w:val="0"/>
          <w:color w:val="auto"/>
          <w:kern w:val="0"/>
          <w:sz w:val="24"/>
          <w:highlight w:val="none"/>
        </w:rPr>
        <w:t>根据项目勘察、设计管理相关规定和</w:t>
      </w:r>
      <w:r>
        <w:rPr>
          <w:rFonts w:hint="eastAsia" w:ascii="宋体" w:hAnsi="宋体"/>
          <w:snapToGrid w:val="0"/>
          <w:color w:val="auto"/>
          <w:kern w:val="0"/>
          <w:sz w:val="24"/>
          <w:highlight w:val="none"/>
        </w:rPr>
        <w:t>本</w:t>
      </w:r>
      <w:r>
        <w:rPr>
          <w:rFonts w:ascii="宋体" w:hAnsi="宋体"/>
          <w:snapToGrid w:val="0"/>
          <w:color w:val="auto"/>
          <w:kern w:val="0"/>
          <w:sz w:val="24"/>
          <w:highlight w:val="none"/>
        </w:rPr>
        <w:t>项目</w:t>
      </w:r>
      <w:r>
        <w:rPr>
          <w:rFonts w:hint="eastAsia" w:ascii="宋体" w:hAnsi="宋体"/>
          <w:snapToGrid w:val="0"/>
          <w:color w:val="auto"/>
          <w:kern w:val="0"/>
          <w:sz w:val="24"/>
          <w:highlight w:val="none"/>
        </w:rPr>
        <w:t>管理</w:t>
      </w:r>
      <w:r>
        <w:rPr>
          <w:rFonts w:ascii="宋体" w:hAnsi="宋体"/>
          <w:snapToGrid w:val="0"/>
          <w:color w:val="auto"/>
          <w:kern w:val="0"/>
          <w:sz w:val="24"/>
          <w:highlight w:val="none"/>
        </w:rPr>
        <w:t>实际，本合同工程将实行专业化的管理模式。甲方将委托</w:t>
      </w:r>
      <w:r>
        <w:rPr>
          <w:rFonts w:hint="eastAsia" w:ascii="宋体" w:hAnsi="宋体"/>
          <w:snapToGrid w:val="0"/>
          <w:color w:val="auto"/>
          <w:kern w:val="0"/>
          <w:sz w:val="24"/>
          <w:highlight w:val="none"/>
        </w:rPr>
        <w:t>具有相应资质等级</w:t>
      </w:r>
      <w:r>
        <w:rPr>
          <w:rFonts w:ascii="宋体" w:hAnsi="宋体"/>
          <w:snapToGrid w:val="0"/>
          <w:color w:val="auto"/>
          <w:kern w:val="0"/>
          <w:sz w:val="24"/>
          <w:highlight w:val="none"/>
        </w:rPr>
        <w:t>的施工图审查单位，负责本合同工程施工图审查工作。</w:t>
      </w:r>
    </w:p>
    <w:p w14:paraId="155DFE33">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二、若甲方后续委托代建单位对本建设工程实施建设管理，甲方应在确定代建单位后10个工作日内，向乙方出具书面《代建单位授权通知书》，明确代建单位名称、项目管理范围及管理权限、代建负责人及授权期限等核心信息。自乙方收到上述书面通知书之日起，代建单位即作为甲方在本项目勘察设计阶段的授权管理主体，其在授权范围内发出的与勘察设计相关的工作指令，等同于甲方指令，乙方需遵照执行。</w:t>
      </w:r>
    </w:p>
    <w:p w14:paraId="658F59C5">
      <w:pPr>
        <w:adjustRightInd w:val="0"/>
        <w:snapToGrid w:val="0"/>
        <w:spacing w:line="360" w:lineRule="auto"/>
        <w:ind w:firstLine="482" w:firstLineChars="200"/>
        <w:rPr>
          <w:rFonts w:ascii="宋体" w:hAnsi="宋体"/>
          <w:snapToGrid w:val="0"/>
          <w:color w:val="auto"/>
          <w:kern w:val="0"/>
          <w:sz w:val="24"/>
          <w:highlight w:val="none"/>
        </w:rPr>
      </w:pPr>
      <w:r>
        <w:rPr>
          <w:rFonts w:hint="eastAsia" w:ascii="宋体" w:hAnsi="宋体"/>
          <w:b/>
          <w:snapToGrid w:val="0"/>
          <w:color w:val="auto"/>
          <w:kern w:val="0"/>
          <w:sz w:val="24"/>
          <w:highlight w:val="none"/>
        </w:rPr>
        <w:t>三、</w:t>
      </w:r>
      <w:r>
        <w:rPr>
          <w:rFonts w:ascii="宋体" w:hAnsi="宋体"/>
          <w:snapToGrid w:val="0"/>
          <w:color w:val="auto"/>
          <w:kern w:val="0"/>
          <w:sz w:val="24"/>
          <w:highlight w:val="none"/>
        </w:rPr>
        <w:t>乙方承诺遵守</w:t>
      </w:r>
      <w:r>
        <w:rPr>
          <w:rFonts w:hint="eastAsia" w:ascii="宋体" w:hAnsi="宋体"/>
          <w:snapToGrid w:val="0"/>
          <w:color w:val="auto"/>
          <w:kern w:val="0"/>
          <w:sz w:val="24"/>
          <w:highlight w:val="none"/>
        </w:rPr>
        <w:t>甲方</w:t>
      </w:r>
      <w:r>
        <w:rPr>
          <w:rFonts w:ascii="宋体" w:hAnsi="宋体"/>
          <w:snapToGrid w:val="0"/>
          <w:color w:val="auto"/>
          <w:kern w:val="0"/>
          <w:sz w:val="24"/>
          <w:highlight w:val="none"/>
        </w:rPr>
        <w:t>所制订的针对本合同工程</w:t>
      </w:r>
      <w:r>
        <w:rPr>
          <w:rFonts w:hint="eastAsia" w:ascii="宋体" w:hAnsi="宋体"/>
          <w:snapToGrid w:val="0"/>
          <w:color w:val="auto"/>
          <w:kern w:val="0"/>
          <w:sz w:val="24"/>
          <w:highlight w:val="none"/>
        </w:rPr>
        <w:t>管理</w:t>
      </w:r>
      <w:r>
        <w:rPr>
          <w:rFonts w:ascii="宋体" w:hAnsi="宋体"/>
          <w:snapToGrid w:val="0"/>
          <w:color w:val="auto"/>
          <w:kern w:val="0"/>
          <w:sz w:val="24"/>
          <w:highlight w:val="none"/>
        </w:rPr>
        <w:t>的各项制度、规定，这些管理制度、规定必须符合下列原则：</w:t>
      </w:r>
    </w:p>
    <w:p w14:paraId="2A29D86A">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1）符合国家、广东省、广州市的有关</w:t>
      </w:r>
      <w:r>
        <w:rPr>
          <w:rFonts w:hint="eastAsia" w:ascii="宋体" w:hAnsi="宋体"/>
          <w:snapToGrid w:val="0"/>
          <w:color w:val="auto"/>
          <w:kern w:val="0"/>
          <w:sz w:val="24"/>
          <w:highlight w:val="none"/>
        </w:rPr>
        <w:t>法律</w:t>
      </w:r>
      <w:r>
        <w:rPr>
          <w:rFonts w:ascii="宋体" w:hAnsi="宋体"/>
          <w:snapToGrid w:val="0"/>
          <w:color w:val="auto"/>
          <w:kern w:val="0"/>
          <w:sz w:val="24"/>
          <w:highlight w:val="none"/>
        </w:rPr>
        <w:t>法规、规范和标准；</w:t>
      </w:r>
    </w:p>
    <w:p w14:paraId="2E5A31D9">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2）符合</w:t>
      </w:r>
      <w:r>
        <w:rPr>
          <w:rFonts w:hint="eastAsia" w:ascii="宋体" w:hAnsi="宋体"/>
          <w:snapToGrid w:val="0"/>
          <w:color w:val="auto"/>
          <w:kern w:val="0"/>
          <w:sz w:val="24"/>
          <w:highlight w:val="none"/>
        </w:rPr>
        <w:t>对</w:t>
      </w:r>
      <w:r>
        <w:rPr>
          <w:rFonts w:ascii="宋体" w:hAnsi="宋体"/>
          <w:snapToGrid w:val="0"/>
          <w:color w:val="auto"/>
          <w:kern w:val="0"/>
          <w:sz w:val="24"/>
          <w:highlight w:val="none"/>
        </w:rPr>
        <w:t>本合同</w:t>
      </w:r>
      <w:r>
        <w:rPr>
          <w:rFonts w:hint="eastAsia" w:ascii="宋体" w:hAnsi="宋体"/>
          <w:snapToGrid w:val="0"/>
          <w:color w:val="auto"/>
          <w:kern w:val="0"/>
          <w:sz w:val="24"/>
          <w:highlight w:val="none"/>
        </w:rPr>
        <w:t>工程进行有效管理</w:t>
      </w:r>
      <w:r>
        <w:rPr>
          <w:rFonts w:ascii="宋体" w:hAnsi="宋体"/>
          <w:snapToGrid w:val="0"/>
          <w:color w:val="auto"/>
          <w:kern w:val="0"/>
          <w:sz w:val="24"/>
          <w:highlight w:val="none"/>
        </w:rPr>
        <w:t>的基本精神和要求；</w:t>
      </w:r>
    </w:p>
    <w:p w14:paraId="320F8303">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3）为确保勘察、设计质量、进度、效果所必须；</w:t>
      </w:r>
    </w:p>
    <w:p w14:paraId="399E4FB4">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4）不是针对某一特定的</w:t>
      </w:r>
      <w:r>
        <w:rPr>
          <w:rFonts w:hint="eastAsia" w:ascii="宋体" w:hAnsi="宋体"/>
          <w:snapToGrid w:val="0"/>
          <w:color w:val="auto"/>
          <w:kern w:val="0"/>
          <w:sz w:val="24"/>
          <w:highlight w:val="none"/>
        </w:rPr>
        <w:t>勘察、设计人</w:t>
      </w:r>
      <w:r>
        <w:rPr>
          <w:rFonts w:ascii="宋体" w:hAnsi="宋体"/>
          <w:snapToGrid w:val="0"/>
          <w:color w:val="auto"/>
          <w:kern w:val="0"/>
          <w:sz w:val="24"/>
          <w:highlight w:val="none"/>
        </w:rPr>
        <w:t>。</w:t>
      </w:r>
    </w:p>
    <w:p w14:paraId="1B090E56">
      <w:pPr>
        <w:adjustRightInd w:val="0"/>
        <w:snapToGrid w:val="0"/>
        <w:spacing w:line="360" w:lineRule="auto"/>
        <w:ind w:firstLine="480" w:firstLineChars="200"/>
        <w:rPr>
          <w:rFonts w:ascii="宋体" w:hAnsi="宋体"/>
          <w:snapToGrid w:val="0"/>
          <w:color w:val="auto"/>
          <w:kern w:val="0"/>
          <w:sz w:val="24"/>
          <w:highlight w:val="none"/>
        </w:rPr>
      </w:pPr>
    </w:p>
    <w:p w14:paraId="30CE3257">
      <w:pPr>
        <w:pStyle w:val="3"/>
        <w:rPr>
          <w:color w:val="auto"/>
          <w:highlight w:val="none"/>
        </w:rPr>
      </w:pPr>
      <w:bookmarkStart w:id="17" w:name="_Toc9658"/>
      <w:bookmarkStart w:id="18" w:name="_Toc11540"/>
      <w:bookmarkStart w:id="19" w:name="_Toc22902"/>
      <w:r>
        <w:rPr>
          <w:rFonts w:hint="eastAsia"/>
          <w:color w:val="auto"/>
          <w:highlight w:val="none"/>
        </w:rPr>
        <w:t>第一章</w:t>
      </w:r>
      <w:r>
        <w:rPr>
          <w:color w:val="auto"/>
          <w:highlight w:val="none"/>
        </w:rPr>
        <w:t xml:space="preserve">  </w:t>
      </w:r>
      <w:r>
        <w:rPr>
          <w:rFonts w:hint="eastAsia"/>
          <w:color w:val="auto"/>
          <w:highlight w:val="none"/>
        </w:rPr>
        <w:t>一般规定</w:t>
      </w:r>
      <w:bookmarkEnd w:id="17"/>
      <w:bookmarkEnd w:id="18"/>
      <w:bookmarkEnd w:id="19"/>
    </w:p>
    <w:p w14:paraId="76F28019">
      <w:pPr>
        <w:pStyle w:val="4"/>
        <w:spacing w:line="360" w:lineRule="auto"/>
        <w:ind w:firstLine="482" w:firstLineChars="200"/>
        <w:rPr>
          <w:rFonts w:ascii="宋体" w:hAnsi="宋体" w:cs="宋体"/>
          <w:snapToGrid w:val="0"/>
          <w:color w:val="auto"/>
          <w:szCs w:val="24"/>
          <w:highlight w:val="none"/>
        </w:rPr>
      </w:pPr>
      <w:bookmarkStart w:id="20" w:name="_Toc18768"/>
      <w:bookmarkStart w:id="21" w:name="_Toc25373"/>
      <w:bookmarkStart w:id="22" w:name="_Toc15644"/>
      <w:r>
        <w:rPr>
          <w:rFonts w:hint="eastAsia" w:ascii="宋体" w:hAnsi="宋体" w:cs="宋体"/>
          <w:snapToGrid w:val="0"/>
          <w:color w:val="auto"/>
          <w:szCs w:val="24"/>
          <w:highlight w:val="none"/>
        </w:rPr>
        <w:t>1  词语定义</w:t>
      </w:r>
      <w:bookmarkEnd w:id="20"/>
      <w:bookmarkEnd w:id="21"/>
      <w:bookmarkEnd w:id="22"/>
    </w:p>
    <w:p w14:paraId="1EF4CC0A">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1.1</w:t>
      </w:r>
      <w:r>
        <w:rPr>
          <w:rFonts w:hint="eastAsia" w:ascii="宋体" w:hAnsi="宋体" w:cs="宋体"/>
          <w:snapToGrid w:val="0"/>
          <w:color w:val="auto"/>
          <w:kern w:val="0"/>
          <w:sz w:val="24"/>
          <w:highlight w:val="none"/>
        </w:rPr>
        <w:t>本合同工程：指</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p>
    <w:p w14:paraId="22F0A184">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1.2</w:t>
      </w:r>
      <w:r>
        <w:rPr>
          <w:rFonts w:hint="eastAsia" w:ascii="宋体" w:hAnsi="宋体" w:cs="宋体"/>
          <w:snapToGrid w:val="0"/>
          <w:color w:val="auto"/>
          <w:kern w:val="0"/>
          <w:sz w:val="24"/>
          <w:highlight w:val="none"/>
        </w:rPr>
        <w:t>甲方：指具有本合同工程勘察－设计发包主体资格和支付本合同工程勘察、设计合同价款能力的当事人，在本合同中特指</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p>
    <w:p w14:paraId="246736E9">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1.3</w:t>
      </w:r>
      <w:r>
        <w:rPr>
          <w:rFonts w:hint="eastAsia" w:ascii="宋体" w:hAnsi="宋体" w:cs="宋体"/>
          <w:snapToGrid w:val="0"/>
          <w:color w:val="auto"/>
          <w:kern w:val="0"/>
          <w:sz w:val="24"/>
          <w:highlight w:val="none"/>
        </w:rPr>
        <w:t>乙方：指在本合同中约定，被甲方接受的具有工程勘察－设计承包主体资格的当事人。</w:t>
      </w:r>
    </w:p>
    <w:p w14:paraId="2D32A725">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1.4</w:t>
      </w:r>
      <w:r>
        <w:rPr>
          <w:rFonts w:hint="eastAsia" w:ascii="宋体" w:hAnsi="宋体" w:cs="宋体"/>
          <w:snapToGrid w:val="0"/>
          <w:color w:val="auto"/>
          <w:kern w:val="0"/>
          <w:sz w:val="24"/>
          <w:highlight w:val="none"/>
        </w:rPr>
        <w:t>工程负责人：指乙方委派的负责本合同工程勘察设计管理和履行合同的代表。</w:t>
      </w:r>
    </w:p>
    <w:p w14:paraId="217DD38F">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1.5</w:t>
      </w:r>
      <w:r>
        <w:rPr>
          <w:rFonts w:hint="eastAsia" w:ascii="宋体" w:hAnsi="宋体" w:cs="宋体"/>
          <w:snapToGrid w:val="0"/>
          <w:color w:val="auto"/>
          <w:kern w:val="0"/>
          <w:sz w:val="24"/>
          <w:highlight w:val="none"/>
        </w:rPr>
        <w:t>专职设计管理人员：在甲方</w:t>
      </w:r>
      <w:r>
        <w:rPr>
          <w:rFonts w:hint="eastAsia" w:ascii="宋体" w:hAnsi="宋体" w:cs="宋体"/>
          <w:bCs/>
          <w:snapToGrid w:val="0"/>
          <w:color w:val="auto"/>
          <w:kern w:val="0"/>
          <w:sz w:val="24"/>
          <w:highlight w:val="none"/>
        </w:rPr>
        <w:t>指定地点服务于项目建设的始终，负责统筹协调、报批报建、资料整理、与设计院对接等工作。</w:t>
      </w:r>
    </w:p>
    <w:p w14:paraId="43906C24">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1.6</w:t>
      </w:r>
      <w:r>
        <w:rPr>
          <w:rFonts w:hint="eastAsia" w:ascii="宋体" w:hAnsi="宋体" w:cs="宋体"/>
          <w:snapToGrid w:val="0"/>
          <w:color w:val="auto"/>
          <w:kern w:val="0"/>
          <w:sz w:val="24"/>
          <w:highlight w:val="none"/>
        </w:rPr>
        <w:t>勘察、设计：指乙方在本合同中约定的承包范围内的工程勘察、设计运作和勘察、设计服务。</w:t>
      </w:r>
    </w:p>
    <w:p w14:paraId="4D4966C7">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1.7</w:t>
      </w:r>
      <w:r>
        <w:rPr>
          <w:rFonts w:hint="eastAsia" w:ascii="宋体" w:hAnsi="宋体" w:cs="宋体"/>
          <w:snapToGrid w:val="0"/>
          <w:color w:val="auto"/>
          <w:kern w:val="0"/>
          <w:sz w:val="24"/>
          <w:highlight w:val="none"/>
        </w:rPr>
        <w:t>勘察、设计成果文件：指由乙方提交并通过施工图审查单位的审查，且经甲方及政府相关部门批准后，能满足投资与质量控制要求和作为下阶段勘察、设计依据或能指导施工实施的各阶段勘察、设计图纸、文件、计算书及说明书（含设计变更）、效果图、政府报批所需的模型及存有Autocad、修详通、报建通等软件生成的电子格式文件的光盘、工程估算、概算、配合甲方招标工作而提供的技术规格书等技术资料。</w:t>
      </w:r>
    </w:p>
    <w:p w14:paraId="6B0D0E4C">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1.8</w:t>
      </w:r>
      <w:r>
        <w:rPr>
          <w:rFonts w:hint="eastAsia" w:ascii="宋体" w:hAnsi="宋体" w:cs="宋体"/>
          <w:snapToGrid w:val="0"/>
          <w:color w:val="auto"/>
          <w:kern w:val="0"/>
          <w:sz w:val="24"/>
          <w:highlight w:val="none"/>
        </w:rPr>
        <w:t>工程投资估算：指以方案设计为基础编制而成，且编制深度达到国家有关的编制规定，并经甲方委托的第三方或按政府规定的评审通过的工程造价文件。</w:t>
      </w:r>
    </w:p>
    <w:p w14:paraId="0F2851D8">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1.9</w:t>
      </w:r>
      <w:r>
        <w:rPr>
          <w:rFonts w:hint="eastAsia" w:ascii="宋体" w:hAnsi="宋体" w:cs="宋体"/>
          <w:snapToGrid w:val="0"/>
          <w:color w:val="auto"/>
          <w:kern w:val="0"/>
          <w:sz w:val="24"/>
          <w:highlight w:val="none"/>
        </w:rPr>
        <w:t>工程设计概算：指以初步设计为基础根据财政管理部门关于工程概算文件编制的指引文件相关要求编制而成，且编制深度达到国家有关的编制规定，并经甲方委托的施工图审查单位审核及相关审核部门批准的工程造价文件。</w:t>
      </w:r>
    </w:p>
    <w:p w14:paraId="048C605C">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1.10</w:t>
      </w:r>
      <w:r>
        <w:rPr>
          <w:rFonts w:hint="eastAsia" w:ascii="宋体" w:hAnsi="宋体" w:cs="宋体"/>
          <w:snapToGrid w:val="0"/>
          <w:color w:val="auto"/>
          <w:kern w:val="0"/>
          <w:sz w:val="24"/>
          <w:highlight w:val="none"/>
        </w:rPr>
        <w:t>施工图预算：指以通过甲方及施工图审查单位审查的施工图为基础根据相关管理部门关于工程量清单计价的指引文件相关要求编制而成，且编制深度达到国家有关的编制规定，并经有关方面审查通过的工程造价文件。</w:t>
      </w:r>
    </w:p>
    <w:p w14:paraId="071AE53E">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1.11</w:t>
      </w:r>
      <w:r>
        <w:rPr>
          <w:rFonts w:hint="eastAsia" w:ascii="宋体" w:hAnsi="宋体" w:cs="宋体"/>
          <w:snapToGrid w:val="0"/>
          <w:color w:val="auto"/>
          <w:kern w:val="0"/>
          <w:sz w:val="24"/>
          <w:highlight w:val="none"/>
        </w:rPr>
        <w:t>合同价款：指甲、乙双方在本合同中约定，由甲方用以支付乙方按照合同约定完成勘察、设计承包范围内工程勘察、设计、管理及服务的款项。</w:t>
      </w:r>
    </w:p>
    <w:p w14:paraId="1FBC7B98">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1.12</w:t>
      </w:r>
      <w:r>
        <w:rPr>
          <w:rFonts w:hint="eastAsia" w:ascii="宋体" w:hAnsi="宋体" w:cs="宋体"/>
          <w:snapToGrid w:val="0"/>
          <w:color w:val="auto"/>
          <w:kern w:val="0"/>
          <w:sz w:val="24"/>
          <w:highlight w:val="none"/>
        </w:rPr>
        <w:t>追加合同价款：指在合同履行中发生需要增加合同价款的情况，经甲方根据合同约定书面确认增加的合同价款。</w:t>
      </w:r>
    </w:p>
    <w:p w14:paraId="31F5C4D8">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1.13</w:t>
      </w:r>
      <w:r>
        <w:rPr>
          <w:rFonts w:hint="eastAsia" w:ascii="宋体" w:hAnsi="宋体" w:cs="宋体"/>
          <w:snapToGrid w:val="0"/>
          <w:color w:val="auto"/>
          <w:kern w:val="0"/>
          <w:sz w:val="24"/>
          <w:highlight w:val="none"/>
        </w:rPr>
        <w:t>勘察、设计周期：指甲、乙双方在本合同中约定，按总日历天数（包括法定节假日）计算的提交勘察、设计成果文件的天数。</w:t>
      </w:r>
    </w:p>
    <w:p w14:paraId="7EF2A453">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1.14</w:t>
      </w:r>
      <w:r>
        <w:rPr>
          <w:rFonts w:hint="eastAsia" w:ascii="宋体" w:hAnsi="宋体" w:cs="宋体"/>
          <w:snapToGrid w:val="0"/>
          <w:color w:val="auto"/>
          <w:kern w:val="0"/>
          <w:sz w:val="24"/>
          <w:highlight w:val="none"/>
        </w:rPr>
        <w:t>勘察、设计服务：指乙方在实施本合同工程方案设计、初步设计、施工图设计、勘察、设计现场服务各阶段工作的同时向甲方提供的技术咨询与管理咨询服务以及配合解决施工过程中有关工程勘察、设计问题，协助甲方实施工程、设备与材料的采购招标工作、隐蔽工程的验收、设备与材料的看样定板、技术验收及工程验收等活动（包括乙方派出足够人员到施工现场进行勘察、设计服务）。</w:t>
      </w:r>
    </w:p>
    <w:p w14:paraId="79CF2F11">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 xml:space="preserve">1.15 </w:t>
      </w:r>
      <w:r>
        <w:rPr>
          <w:rFonts w:hint="eastAsia" w:ascii="宋体" w:hAnsi="宋体" w:cs="宋体"/>
          <w:snapToGrid w:val="0"/>
          <w:color w:val="auto"/>
          <w:kern w:val="0"/>
          <w:sz w:val="24"/>
          <w:highlight w:val="none"/>
        </w:rPr>
        <w:t>完整性：指乙方每批次交付的文件是合同及附件中规定的全部文件。</w:t>
      </w:r>
    </w:p>
    <w:p w14:paraId="7235C029">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1.16</w:t>
      </w:r>
      <w:r>
        <w:rPr>
          <w:rFonts w:hint="eastAsia" w:ascii="宋体" w:hAnsi="宋体" w:cs="宋体"/>
          <w:snapToGrid w:val="0"/>
          <w:color w:val="auto"/>
          <w:kern w:val="0"/>
          <w:sz w:val="24"/>
          <w:highlight w:val="none"/>
        </w:rPr>
        <w:t>有效性：指乙方每批次交付的文件均符合合同约定并符合现行相关规范和标准规定的要求。</w:t>
      </w:r>
    </w:p>
    <w:p w14:paraId="58F4F5E7">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1.17</w:t>
      </w:r>
      <w:r>
        <w:rPr>
          <w:rFonts w:hint="eastAsia" w:ascii="宋体" w:hAnsi="宋体" w:cs="宋体"/>
          <w:snapToGrid w:val="0"/>
          <w:color w:val="auto"/>
          <w:kern w:val="0"/>
          <w:sz w:val="24"/>
          <w:highlight w:val="none"/>
        </w:rPr>
        <w:t xml:space="preserve"> 正确性：指乙方每批次交付的文件均符本合同的有关约定，同时保证勘察、设计输入的基础资料完整、正确，勘察、设计方法、计算方法与结果、技术参数的选用正确、合理，构造合理，图面表达清楚、文字叙述准确，各专业勘察、设计协调统一。</w:t>
      </w:r>
    </w:p>
    <w:p w14:paraId="506C466A">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1.18</w:t>
      </w:r>
      <w:r>
        <w:rPr>
          <w:rFonts w:hint="eastAsia" w:ascii="宋体" w:hAnsi="宋体" w:cs="宋体"/>
          <w:snapToGrid w:val="0"/>
          <w:color w:val="auto"/>
          <w:kern w:val="0"/>
          <w:sz w:val="24"/>
          <w:highlight w:val="none"/>
        </w:rPr>
        <w:t>经济合理性：指乙方提交的设计成果文件是在符合有效性要求的基础上，采用方案经济比选、价值工程等评价手段，经过评审产生确定的。</w:t>
      </w:r>
    </w:p>
    <w:p w14:paraId="2CC46525">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1.19</w:t>
      </w:r>
      <w:r>
        <w:rPr>
          <w:rFonts w:hint="eastAsia" w:ascii="宋体" w:hAnsi="宋体" w:cs="宋体"/>
          <w:snapToGrid w:val="0"/>
          <w:color w:val="auto"/>
          <w:kern w:val="0"/>
          <w:sz w:val="24"/>
          <w:highlight w:val="none"/>
        </w:rPr>
        <w:t xml:space="preserve">可靠性：指根据乙方的设计成果文件明示的条件情况投入的设备，所采用的工艺、工法满足技术控制指标要求，之后所形成的已完工程及投入使用的系统、生产工艺满足合同约定且能够在设计年限内充分、正常地实现其设计功能。 </w:t>
      </w:r>
    </w:p>
    <w:p w14:paraId="0995FBF4">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1.20</w:t>
      </w:r>
      <w:r>
        <w:rPr>
          <w:rFonts w:hint="eastAsia" w:ascii="宋体" w:hAnsi="宋体" w:cs="宋体"/>
          <w:snapToGrid w:val="0"/>
          <w:color w:val="auto"/>
          <w:kern w:val="0"/>
          <w:sz w:val="24"/>
          <w:highlight w:val="none"/>
        </w:rPr>
        <w:t xml:space="preserve"> 先进性：指乙方的设计成果文件采用国际上先进和适用的施工方案、技术、工艺、工法、设备</w:t>
      </w:r>
      <w:r>
        <w:rPr>
          <w:rFonts w:hint="eastAsia" w:ascii="宋体" w:hAnsi="宋体" w:cs="宋体"/>
          <w:color w:val="auto"/>
          <w:sz w:val="24"/>
          <w:highlight w:val="none"/>
        </w:rPr>
        <w:t>，或所采用的施工</w:t>
      </w:r>
      <w:r>
        <w:rPr>
          <w:rFonts w:hint="eastAsia" w:ascii="宋体" w:hAnsi="宋体" w:cs="宋体"/>
          <w:snapToGrid w:val="0"/>
          <w:color w:val="auto"/>
          <w:kern w:val="0"/>
          <w:sz w:val="24"/>
          <w:highlight w:val="none"/>
        </w:rPr>
        <w:t>方案、技术、工艺、工法、设备为国内领先。</w:t>
      </w:r>
    </w:p>
    <w:p w14:paraId="1AEC1C4A">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snapToGrid w:val="0"/>
          <w:color w:val="auto"/>
          <w:kern w:val="0"/>
          <w:sz w:val="24"/>
          <w:highlight w:val="none"/>
        </w:rPr>
        <w:t xml:space="preserve">1.21 </w:t>
      </w:r>
      <w:r>
        <w:rPr>
          <w:rFonts w:hint="eastAsia" w:ascii="宋体" w:hAnsi="宋体" w:cs="宋体"/>
          <w:snapToGrid w:val="0"/>
          <w:color w:val="auto"/>
          <w:kern w:val="0"/>
          <w:sz w:val="24"/>
          <w:highlight w:val="none"/>
        </w:rPr>
        <w:t>清晰：是指每次交付的勘察、设计成果文件中的图样、线条、术语、符号、尺寸标准、文字说明等清楚准确。</w:t>
      </w:r>
    </w:p>
    <w:p w14:paraId="663A3902">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1.22</w:t>
      </w:r>
      <w:r>
        <w:rPr>
          <w:rFonts w:hint="eastAsia" w:ascii="宋体" w:hAnsi="宋体" w:cs="宋体"/>
          <w:snapToGrid w:val="0"/>
          <w:color w:val="auto"/>
          <w:kern w:val="0"/>
          <w:sz w:val="24"/>
          <w:highlight w:val="none"/>
        </w:rPr>
        <w:t>违约责任：指合同任何一方不履行或不完全履行合同约定的义务或者履行义务不符合合同约定所应承担的责任。</w:t>
      </w:r>
    </w:p>
    <w:p w14:paraId="03B52F7B">
      <w:pPr>
        <w:pStyle w:val="17"/>
        <w:adjustRightInd w:val="0"/>
        <w:snapToGrid w:val="0"/>
        <w:spacing w:before="0" w:beforeAutospacing="0" w:after="0" w:afterAutospacing="0" w:line="360" w:lineRule="auto"/>
        <w:ind w:firstLine="480" w:firstLineChars="200"/>
        <w:rPr>
          <w:rFonts w:cs="宋体"/>
          <w:snapToGrid w:val="0"/>
          <w:color w:val="auto"/>
          <w:highlight w:val="none"/>
        </w:rPr>
      </w:pPr>
      <w:r>
        <w:rPr>
          <w:rFonts w:hint="eastAsia" w:cs="宋体"/>
          <w:snapToGrid w:val="0"/>
          <w:color w:val="auto"/>
          <w:highlight w:val="none"/>
        </w:rPr>
        <w:t>（1）一般违约责任：指虽然违反本合同的约定，但其违约行为不对本合同的履行造成严重影响而应承担的责任。</w:t>
      </w:r>
    </w:p>
    <w:p w14:paraId="192E9FC8">
      <w:pPr>
        <w:pStyle w:val="17"/>
        <w:adjustRightInd w:val="0"/>
        <w:snapToGrid w:val="0"/>
        <w:spacing w:before="0" w:beforeAutospacing="0" w:after="0" w:afterAutospacing="0" w:line="360" w:lineRule="auto"/>
        <w:ind w:firstLine="480" w:firstLineChars="200"/>
        <w:rPr>
          <w:rFonts w:cs="宋体"/>
          <w:snapToGrid w:val="0"/>
          <w:color w:val="auto"/>
          <w:highlight w:val="none"/>
        </w:rPr>
      </w:pPr>
      <w:r>
        <w:rPr>
          <w:rFonts w:hint="eastAsia" w:cs="宋体"/>
          <w:snapToGrid w:val="0"/>
          <w:color w:val="auto"/>
          <w:highlight w:val="none"/>
        </w:rPr>
        <w:t>（2）严重违约责任。指违反本合同的约定且其违约行为足以对本合同的履行造成严重或实质性的影响而应承担的责任。</w:t>
      </w:r>
    </w:p>
    <w:p w14:paraId="37E0483C">
      <w:pPr>
        <w:pStyle w:val="17"/>
        <w:adjustRightInd w:val="0"/>
        <w:snapToGrid w:val="0"/>
        <w:spacing w:before="0" w:beforeAutospacing="0" w:after="0" w:afterAutospacing="0" w:line="360" w:lineRule="auto"/>
        <w:ind w:firstLine="482" w:firstLineChars="200"/>
        <w:rPr>
          <w:rFonts w:cs="宋体"/>
          <w:snapToGrid w:val="0"/>
          <w:color w:val="auto"/>
          <w:highlight w:val="none"/>
        </w:rPr>
      </w:pPr>
      <w:r>
        <w:rPr>
          <w:rFonts w:hint="eastAsia" w:cs="宋体"/>
          <w:b/>
          <w:snapToGrid w:val="0"/>
          <w:color w:val="auto"/>
          <w:highlight w:val="none"/>
        </w:rPr>
        <w:t xml:space="preserve">1.23 </w:t>
      </w:r>
      <w:r>
        <w:rPr>
          <w:rFonts w:hint="eastAsia" w:cs="宋体"/>
          <w:snapToGrid w:val="0"/>
          <w:color w:val="auto"/>
          <w:highlight w:val="none"/>
        </w:rPr>
        <w:t>设计事故： 指因乙方不履行或不完全履行合同约定的义务或履行的义务不符合合同约定，对本合同项目造成极其严重恶劣影响的行为。</w:t>
      </w:r>
    </w:p>
    <w:p w14:paraId="0F37C459">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1.24</w:t>
      </w:r>
      <w:r>
        <w:rPr>
          <w:rFonts w:hint="eastAsia" w:ascii="宋体" w:hAnsi="宋体" w:cs="宋体"/>
          <w:snapToGrid w:val="0"/>
          <w:color w:val="auto"/>
          <w:kern w:val="0"/>
          <w:sz w:val="24"/>
          <w:highlight w:val="none"/>
        </w:rPr>
        <w:t>索赔：指在合同履行过程中，对于并非自己的过错，而由对方造成的实际损失，根据合同的约定，向对方提出经济补偿或其它形式的补偿要求。</w:t>
      </w:r>
    </w:p>
    <w:p w14:paraId="2E576BA1">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1.25</w:t>
      </w:r>
      <w:r>
        <w:rPr>
          <w:rFonts w:hint="eastAsia" w:ascii="宋体" w:hAnsi="宋体" w:cs="宋体"/>
          <w:snapToGrid w:val="0"/>
          <w:color w:val="auto"/>
          <w:kern w:val="0"/>
          <w:sz w:val="24"/>
          <w:highlight w:val="none"/>
        </w:rPr>
        <w:t>书面材料：指合同书、信件和数据电文（电报、电传、传真、电子数据交换、电子邮件）等可以有形地表现所载内容的文件。</w:t>
      </w:r>
    </w:p>
    <w:p w14:paraId="638A9593">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1.26</w:t>
      </w:r>
      <w:r>
        <w:rPr>
          <w:rFonts w:hint="eastAsia" w:ascii="宋体" w:hAnsi="宋体" w:cs="宋体"/>
          <w:snapToGrid w:val="0"/>
          <w:color w:val="auto"/>
          <w:kern w:val="0"/>
          <w:sz w:val="24"/>
          <w:highlight w:val="none"/>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24时。月指日历月。</w:t>
      </w:r>
    </w:p>
    <w:p w14:paraId="4D31AE8E">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1.27</w:t>
      </w:r>
      <w:r>
        <w:rPr>
          <w:rFonts w:hint="eastAsia" w:ascii="宋体" w:hAnsi="宋体" w:cs="宋体"/>
          <w:snapToGrid w:val="0"/>
          <w:color w:val="auto"/>
          <w:kern w:val="0"/>
          <w:sz w:val="24"/>
          <w:highlight w:val="none"/>
        </w:rPr>
        <w:t>中国或国家：指中华人民共和国。</w:t>
      </w:r>
    </w:p>
    <w:p w14:paraId="2DB41FC5">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1.28</w:t>
      </w:r>
      <w:r>
        <w:rPr>
          <w:rFonts w:hint="eastAsia" w:ascii="宋体" w:hAnsi="宋体" w:cs="宋体"/>
          <w:bCs/>
          <w:snapToGrid w:val="0"/>
          <w:color w:val="auto"/>
          <w:kern w:val="0"/>
          <w:sz w:val="24"/>
          <w:highlight w:val="none"/>
        </w:rPr>
        <w:t>元：指人民币元。</w:t>
      </w:r>
    </w:p>
    <w:p w14:paraId="0D145142">
      <w:pPr>
        <w:pStyle w:val="4"/>
        <w:spacing w:line="360" w:lineRule="auto"/>
        <w:ind w:firstLine="482" w:firstLineChars="200"/>
        <w:rPr>
          <w:rFonts w:ascii="宋体" w:hAnsi="宋体" w:cs="宋体"/>
          <w:snapToGrid w:val="0"/>
          <w:color w:val="auto"/>
          <w:szCs w:val="24"/>
          <w:highlight w:val="none"/>
        </w:rPr>
      </w:pPr>
      <w:bookmarkStart w:id="23" w:name="_Toc19941"/>
      <w:bookmarkStart w:id="24" w:name="_Toc289"/>
      <w:bookmarkStart w:id="25" w:name="_Toc10515"/>
      <w:r>
        <w:rPr>
          <w:rFonts w:hint="eastAsia" w:ascii="宋体" w:hAnsi="宋体" w:cs="宋体"/>
          <w:snapToGrid w:val="0"/>
          <w:color w:val="auto"/>
          <w:szCs w:val="24"/>
          <w:highlight w:val="none"/>
        </w:rPr>
        <w:t>2  语言文字和适用法律、标准及规范</w:t>
      </w:r>
      <w:bookmarkEnd w:id="23"/>
      <w:bookmarkEnd w:id="24"/>
      <w:bookmarkEnd w:id="25"/>
    </w:p>
    <w:p w14:paraId="565A005C">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2.1</w:t>
      </w:r>
      <w:r>
        <w:rPr>
          <w:rFonts w:hint="eastAsia" w:ascii="宋体" w:hAnsi="宋体" w:cs="宋体"/>
          <w:snapToGrid w:val="0"/>
          <w:color w:val="auto"/>
          <w:kern w:val="0"/>
          <w:sz w:val="24"/>
          <w:highlight w:val="none"/>
        </w:rPr>
        <w:t>语言文字：本合同及其补充协议、甲、乙双方来往文件、本合同工程的所有勘察、设计文件和资料等均使用中文书写、解释和说明。使用其他文字书写的对双方均不具有法律约束力，但如翻译成中文并经双方签字（盖章）确认的，则对双方均具有法律约束力。</w:t>
      </w:r>
    </w:p>
    <w:p w14:paraId="0E0D0F29">
      <w:pPr>
        <w:adjustRightInd w:val="0"/>
        <w:snapToGrid w:val="0"/>
        <w:spacing w:line="360" w:lineRule="auto"/>
        <w:ind w:firstLine="482" w:firstLineChars="2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2.2</w:t>
      </w:r>
      <w:r>
        <w:rPr>
          <w:rFonts w:hint="eastAsia" w:ascii="宋体" w:hAnsi="宋体" w:cs="宋体"/>
          <w:snapToGrid w:val="0"/>
          <w:color w:val="auto"/>
          <w:kern w:val="0"/>
          <w:sz w:val="24"/>
          <w:highlight w:val="none"/>
        </w:rPr>
        <w:t>适用法律、标准及规范。乙方交付的勘察、设计成果文件应符合中国的有关法律、法规、规章的规定和相关的工程勘察、设计技术规范、规定及标准的要求。勘察、设计中如遇国家和地方无相应规范、标准、依据的，由乙方提出建议，由甲方报送有关主管部门审查确认所采用的标准、规定、依据或其解释。</w:t>
      </w:r>
    </w:p>
    <w:p w14:paraId="3AF88DC1">
      <w:pPr>
        <w:pStyle w:val="4"/>
        <w:spacing w:line="360" w:lineRule="auto"/>
        <w:ind w:firstLine="482" w:firstLineChars="200"/>
        <w:rPr>
          <w:rFonts w:ascii="宋体" w:hAnsi="宋体" w:cs="宋体"/>
          <w:snapToGrid w:val="0"/>
          <w:color w:val="auto"/>
          <w:szCs w:val="24"/>
          <w:highlight w:val="none"/>
        </w:rPr>
      </w:pPr>
      <w:bookmarkStart w:id="26" w:name="_Toc8082"/>
      <w:bookmarkStart w:id="27" w:name="_Toc1479"/>
      <w:bookmarkStart w:id="28" w:name="_Toc2057"/>
      <w:r>
        <w:rPr>
          <w:rFonts w:hint="eastAsia" w:ascii="宋体" w:hAnsi="宋体" w:cs="宋体"/>
          <w:snapToGrid w:val="0"/>
          <w:color w:val="auto"/>
          <w:szCs w:val="24"/>
          <w:highlight w:val="none"/>
        </w:rPr>
        <w:t>3  本合同签订依据</w:t>
      </w:r>
      <w:bookmarkEnd w:id="26"/>
      <w:bookmarkEnd w:id="27"/>
      <w:bookmarkEnd w:id="28"/>
      <w:r>
        <w:rPr>
          <w:rFonts w:hint="eastAsia"/>
          <w:color w:val="auto"/>
          <w:highlight w:val="none"/>
        </w:rPr>
        <w:t>（如有最新的规范要求的，按新的规范要求执行。）</w:t>
      </w:r>
    </w:p>
    <w:p w14:paraId="0771DC24">
      <w:pPr>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（1）中华人民共和国民法典；</w:t>
      </w:r>
    </w:p>
    <w:p w14:paraId="1EE1769D">
      <w:pPr>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（2）中华人民共和国建筑法；</w:t>
      </w:r>
    </w:p>
    <w:p w14:paraId="0E9AE16F">
      <w:pPr>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（3）中华人民共和国城乡规划法；</w:t>
      </w:r>
    </w:p>
    <w:p w14:paraId="3D7C3CE4">
      <w:pPr>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（4）建设工程勘察设计管理条例；</w:t>
      </w:r>
    </w:p>
    <w:p w14:paraId="3E1FBA45">
      <w:pPr>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（5）建设工程质量管理条例；</w:t>
      </w:r>
    </w:p>
    <w:p w14:paraId="7B2C4D89">
      <w:pPr>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（6）《建筑工程设计文件编制深度规定》（2016年版）；</w:t>
      </w:r>
    </w:p>
    <w:p w14:paraId="300D14D9">
      <w:pPr>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w:t>
      </w:r>
      <w:r>
        <w:rPr>
          <w:rFonts w:ascii="宋体" w:hAnsi="宋体" w:cs="宋体"/>
          <w:snapToGrid w:val="0"/>
          <w:color w:val="auto"/>
          <w:kern w:val="0"/>
          <w:sz w:val="24"/>
          <w:highlight w:val="none"/>
        </w:rPr>
        <w:t>7）</w:t>
      </w:r>
      <w:r>
        <w:rPr>
          <w:rFonts w:hint="eastAsia" w:ascii="宋体" w:hAnsi="宋体" w:cs="宋体"/>
          <w:snapToGrid w:val="0"/>
          <w:color w:val="auto"/>
          <w:kern w:val="0"/>
          <w:sz w:val="24"/>
          <w:highlight w:val="none"/>
        </w:rPr>
        <w:t>《市政公用工程设计文件编制深度规定》（2013年版）</w:t>
      </w:r>
      <w:r>
        <w:rPr>
          <w:rFonts w:hint="eastAsia" w:ascii="宋体" w:hAnsi="宋体" w:cs="宋体"/>
          <w:bCs w:val="0"/>
          <w:snapToGrid w:val="0"/>
          <w:color w:val="auto"/>
          <w:kern w:val="0"/>
          <w:sz w:val="24"/>
          <w:highlight w:val="none"/>
        </w:rPr>
        <w:t>；</w:t>
      </w:r>
    </w:p>
    <w:p w14:paraId="043CC63B">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snapToGrid w:val="0"/>
          <w:color w:val="auto"/>
          <w:kern w:val="0"/>
          <w:sz w:val="24"/>
          <w:highlight w:val="none"/>
        </w:rPr>
        <w:t>（8）本合同协议书第</w:t>
      </w:r>
      <w:r>
        <w:rPr>
          <w:rFonts w:hint="eastAsia" w:ascii="宋体" w:hAnsi="宋体" w:cs="宋体"/>
          <w:bCs/>
          <w:snapToGrid w:val="0"/>
          <w:color w:val="auto"/>
          <w:kern w:val="0"/>
          <w:sz w:val="24"/>
          <w:highlight w:val="none"/>
        </w:rPr>
        <w:t>4.1款所约定的有关文件；</w:t>
      </w:r>
    </w:p>
    <w:p w14:paraId="5832FA54">
      <w:pPr>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（9）建设项目批准文件（包括但不限于立项批复文件、规划部门认可的用地红线和地形图、规划建设主管部门对本合同约定项目的规划设计要点）；</w:t>
      </w:r>
    </w:p>
    <w:p w14:paraId="65263C93">
      <w:pPr>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（10）勘察设计任务书；</w:t>
      </w:r>
    </w:p>
    <w:p w14:paraId="771BA8BC">
      <w:pPr>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（11）本合同约定的项目基础资料，包括用地红线坐标(表)、场地标高、现有市政设施图的资料（绿化、道路、管线、建构筑物等）、地质勘察资料等；</w:t>
      </w:r>
    </w:p>
    <w:p w14:paraId="2A1D96D8">
      <w:pPr>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（12）设计和建设过程中的政府审批意见，政府或甲方委托或组织的评审机构（会议）提出的或甲方发出的阶段性书面意见，双方来往的与双方权利义务有关的各类书面文件、会议纪要等；</w:t>
      </w:r>
    </w:p>
    <w:p w14:paraId="6EA99FC7">
      <w:pPr>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（13）乙方参加投标的方案、评标委员会的意见、甲方提出的修改意见，和版权属于甲方的其他投标方案。</w:t>
      </w:r>
    </w:p>
    <w:p w14:paraId="2B691486">
      <w:pPr>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上述法律法规及有关文件应是现行有效的，如国家或有关部门对上述法律法规及有关文件进行修改或补充并提出新的要求，双方均应按新的要求执行，必要时另行签订补充合同。</w:t>
      </w:r>
    </w:p>
    <w:p w14:paraId="7603B9C3">
      <w:pPr>
        <w:adjustRightInd w:val="0"/>
        <w:snapToGrid w:val="0"/>
        <w:spacing w:line="360" w:lineRule="auto"/>
        <w:ind w:firstLine="570"/>
        <w:rPr>
          <w:rFonts w:ascii="宋体" w:hAnsi="宋体"/>
          <w:snapToGrid w:val="0"/>
          <w:color w:val="auto"/>
          <w:kern w:val="0"/>
          <w:sz w:val="24"/>
          <w:highlight w:val="none"/>
        </w:rPr>
      </w:pPr>
    </w:p>
    <w:p w14:paraId="5E930172">
      <w:pPr>
        <w:pStyle w:val="3"/>
        <w:rPr>
          <w:color w:val="auto"/>
          <w:highlight w:val="none"/>
        </w:rPr>
      </w:pPr>
      <w:bookmarkStart w:id="29" w:name="_Toc1830"/>
      <w:bookmarkStart w:id="30" w:name="_Toc5896"/>
      <w:bookmarkStart w:id="31" w:name="_Toc28740"/>
      <w:r>
        <w:rPr>
          <w:rFonts w:hint="eastAsia"/>
          <w:color w:val="auto"/>
          <w:highlight w:val="none"/>
        </w:rPr>
        <w:t>第二章</w:t>
      </w:r>
      <w:r>
        <w:rPr>
          <w:color w:val="auto"/>
          <w:highlight w:val="none"/>
        </w:rPr>
        <w:t xml:space="preserve"> </w:t>
      </w:r>
      <w:r>
        <w:rPr>
          <w:rFonts w:hint="eastAsia"/>
          <w:color w:val="auto"/>
          <w:highlight w:val="none"/>
        </w:rPr>
        <w:t>勘察－设计承包</w:t>
      </w:r>
      <w:bookmarkEnd w:id="29"/>
      <w:bookmarkEnd w:id="30"/>
      <w:bookmarkEnd w:id="31"/>
    </w:p>
    <w:p w14:paraId="5EF39765">
      <w:pPr>
        <w:pStyle w:val="4"/>
        <w:spacing w:line="360" w:lineRule="auto"/>
        <w:ind w:firstLine="482" w:firstLineChars="200"/>
        <w:rPr>
          <w:snapToGrid w:val="0"/>
          <w:color w:val="auto"/>
          <w:highlight w:val="none"/>
        </w:rPr>
      </w:pPr>
      <w:bookmarkStart w:id="32" w:name="_Toc26903"/>
      <w:bookmarkStart w:id="33" w:name="_Toc16654"/>
      <w:bookmarkStart w:id="34" w:name="_Toc4838"/>
      <w:r>
        <w:rPr>
          <w:snapToGrid w:val="0"/>
          <w:color w:val="auto"/>
          <w:highlight w:val="none"/>
        </w:rPr>
        <w:t xml:space="preserve">4  </w:t>
      </w:r>
      <w:r>
        <w:rPr>
          <w:rFonts w:hint="eastAsia"/>
          <w:snapToGrid w:val="0"/>
          <w:color w:val="auto"/>
          <w:highlight w:val="none"/>
        </w:rPr>
        <w:t>勘察设计承包管理</w:t>
      </w:r>
      <w:bookmarkEnd w:id="32"/>
      <w:bookmarkEnd w:id="33"/>
      <w:bookmarkEnd w:id="34"/>
    </w:p>
    <w:p w14:paraId="3464149E">
      <w:pPr>
        <w:adjustRightInd w:val="0"/>
        <w:snapToGrid w:val="0"/>
        <w:spacing w:line="360" w:lineRule="auto"/>
        <w:ind w:firstLine="482" w:firstLineChars="200"/>
        <w:rPr>
          <w:rFonts w:ascii="宋体" w:hAnsi="宋体"/>
          <w:b/>
          <w:snapToGrid w:val="0"/>
          <w:color w:val="auto"/>
          <w:kern w:val="0"/>
          <w:sz w:val="24"/>
          <w:highlight w:val="none"/>
        </w:rPr>
      </w:pPr>
      <w:r>
        <w:rPr>
          <w:rFonts w:ascii="宋体" w:hAnsi="宋体"/>
          <w:b/>
          <w:snapToGrid w:val="0"/>
          <w:color w:val="auto"/>
          <w:kern w:val="0"/>
          <w:sz w:val="24"/>
          <w:highlight w:val="none"/>
        </w:rPr>
        <w:t xml:space="preserve">4.1 </w:t>
      </w:r>
      <w:r>
        <w:rPr>
          <w:rFonts w:hint="eastAsia" w:ascii="宋体" w:hAnsi="宋体"/>
          <w:snapToGrid w:val="0"/>
          <w:color w:val="auto"/>
          <w:kern w:val="0"/>
          <w:sz w:val="24"/>
          <w:highlight w:val="none"/>
        </w:rPr>
        <w:t>如乙方为联合体（由</w:t>
      </w:r>
      <w:r>
        <w:rPr>
          <w:rFonts w:ascii="宋体" w:hAnsi="宋体"/>
          <w:snapToGrid w:val="0"/>
          <w:color w:val="auto"/>
          <w:kern w:val="0"/>
          <w:sz w:val="24"/>
          <w:highlight w:val="none"/>
        </w:rPr>
        <w:t>设计单位与勘察单位联合组成），则设计单</w:t>
      </w:r>
      <w:r>
        <w:rPr>
          <w:rFonts w:hint="eastAsia" w:ascii="宋体" w:hAnsi="宋体"/>
          <w:snapToGrid w:val="0"/>
          <w:color w:val="auto"/>
          <w:kern w:val="0"/>
          <w:sz w:val="24"/>
          <w:highlight w:val="none"/>
        </w:rPr>
        <w:t>位为联合体主办人，联合体主办人代表乙方承担责任和接受甲方指令、指示和通知，并根据本合同条款的约定进行勘察－设计承包及配合协调服务工作。</w:t>
      </w:r>
    </w:p>
    <w:p w14:paraId="1A217D5D">
      <w:pPr>
        <w:adjustRightInd w:val="0"/>
        <w:snapToGrid w:val="0"/>
        <w:spacing w:line="360" w:lineRule="auto"/>
        <w:ind w:firstLine="482" w:firstLineChars="200"/>
        <w:rPr>
          <w:rFonts w:ascii="宋体" w:hAnsi="宋体"/>
          <w:snapToGrid w:val="0"/>
          <w:color w:val="auto"/>
          <w:kern w:val="0"/>
          <w:sz w:val="24"/>
          <w:highlight w:val="none"/>
        </w:rPr>
      </w:pPr>
      <w:r>
        <w:rPr>
          <w:rFonts w:ascii="宋体" w:hAnsi="宋体"/>
          <w:b/>
          <w:snapToGrid w:val="0"/>
          <w:color w:val="auto"/>
          <w:kern w:val="0"/>
          <w:sz w:val="24"/>
          <w:highlight w:val="none"/>
        </w:rPr>
        <w:t>4.2</w:t>
      </w:r>
      <w:r>
        <w:rPr>
          <w:rFonts w:hint="eastAsia" w:ascii="宋体" w:hAnsi="宋体"/>
          <w:snapToGrid w:val="0"/>
          <w:color w:val="auto"/>
          <w:kern w:val="0"/>
          <w:sz w:val="24"/>
          <w:highlight w:val="none"/>
        </w:rPr>
        <w:t>乙方应按合同约定及项目建设管理需要做好下列勘察</w:t>
      </w:r>
      <w:r>
        <w:rPr>
          <w:rFonts w:ascii="宋体" w:hAnsi="宋体"/>
          <w:snapToGrid w:val="0"/>
          <w:color w:val="auto"/>
          <w:kern w:val="0"/>
          <w:sz w:val="24"/>
          <w:highlight w:val="none"/>
        </w:rPr>
        <w:t>-设计承包管理及配合协调服务工作（包括但不限于）：</w:t>
      </w:r>
    </w:p>
    <w:p w14:paraId="4F4B7B1D">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1）乙方应在实施本合同工程方案优化设计、初步设计、施工图设计、</w:t>
      </w:r>
      <w:r>
        <w:rPr>
          <w:rFonts w:hint="eastAsia" w:ascii="宋体" w:hAnsi="宋体"/>
          <w:snapToGrid w:val="0"/>
          <w:color w:val="auto"/>
          <w:kern w:val="0"/>
          <w:sz w:val="24"/>
          <w:highlight w:val="none"/>
        </w:rPr>
        <w:t>竣工图设计、勘察、设计现场服务各阶段向甲方提供技术咨询与管理咨询，配合解决施工过程中有关工程勘察、设计问题，并协助甲方的工程实施、设备与材料的采购招标工作、隐蔽工程的验收、设备与材料的看样定板、技术验收及工程验收等活动。</w:t>
      </w:r>
    </w:p>
    <w:p w14:paraId="0688F145">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2）乙方须</w:t>
      </w:r>
      <w:r>
        <w:rPr>
          <w:rFonts w:hint="eastAsia" w:ascii="宋体" w:hAnsi="宋体"/>
          <w:snapToGrid w:val="0"/>
          <w:color w:val="auto"/>
          <w:kern w:val="0"/>
          <w:sz w:val="24"/>
          <w:highlight w:val="none"/>
        </w:rPr>
        <w:t>确保</w:t>
      </w:r>
      <w:r>
        <w:rPr>
          <w:rFonts w:ascii="宋体" w:hAnsi="宋体"/>
          <w:snapToGrid w:val="0"/>
          <w:color w:val="auto"/>
          <w:kern w:val="0"/>
          <w:sz w:val="24"/>
          <w:highlight w:val="none"/>
        </w:rPr>
        <w:t>提交给甲方的勘察、设计成果文件的完整性、有效性，须积极配合相关的设计工作，提供相关的勘察、设计成果文件（包括但不限于报告、数据、图表、设计图纸、设计说明、相关的计算原理和方法等），不得以专利和知识产权为借口拒绝配合。</w:t>
      </w:r>
    </w:p>
    <w:p w14:paraId="05FE587E">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3）乙方应积极主动进行与项目有关的内、外协调工作，积极配合与规划、市政、交通、水利、电力、</w:t>
      </w:r>
      <w:r>
        <w:rPr>
          <w:rFonts w:hint="eastAsia" w:ascii="宋体" w:hAnsi="宋体"/>
          <w:snapToGrid w:val="0"/>
          <w:color w:val="auto"/>
          <w:kern w:val="0"/>
          <w:sz w:val="24"/>
          <w:highlight w:val="none"/>
        </w:rPr>
        <w:t>环保、消防、卫生、燃气、人防等部门和单位的协调，并配合项目相关的报建和审批工作，保证勘察、设计文件通过主管部门的审查。</w:t>
      </w:r>
    </w:p>
    <w:p w14:paraId="3236FB8B">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4）</w:t>
      </w:r>
      <w:r>
        <w:rPr>
          <w:rFonts w:hint="eastAsia" w:ascii="宋体" w:hAnsi="宋体"/>
          <w:snapToGrid w:val="0"/>
          <w:color w:val="auto"/>
          <w:kern w:val="0"/>
          <w:sz w:val="24"/>
          <w:highlight w:val="none"/>
        </w:rPr>
        <w:t>乙方应编制勘察设计总进度计划，年度（季度）计划，并负责审核专业勘察、设计单位的实施性计划、月度（旬度）计划，定期进行月度（旬度）计划检查。</w:t>
      </w:r>
    </w:p>
    <w:p w14:paraId="28129654">
      <w:pPr>
        <w:adjustRightInd w:val="0"/>
        <w:snapToGrid w:val="0"/>
        <w:spacing w:line="360" w:lineRule="auto"/>
        <w:ind w:firstLine="480" w:firstLineChars="200"/>
        <w:rPr>
          <w:color w:val="auto"/>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5）</w:t>
      </w:r>
      <w:r>
        <w:rPr>
          <w:rFonts w:hint="eastAsia" w:ascii="宋体" w:hAnsi="宋体"/>
          <w:snapToGrid w:val="0"/>
          <w:color w:val="auto"/>
          <w:kern w:val="0"/>
          <w:sz w:val="24"/>
          <w:highlight w:val="none"/>
        </w:rPr>
        <w:t>承包方须在建设工程勘察、设计资质证书规定的资质等级和业务范围内承揽建设工程的勘察、设计业务。</w:t>
      </w:r>
    </w:p>
    <w:p w14:paraId="7B28C7C7">
      <w:pPr>
        <w:adjustRightInd w:val="0"/>
        <w:snapToGrid w:val="0"/>
        <w:spacing w:line="360" w:lineRule="auto"/>
        <w:ind w:firstLine="480" w:firstLineChars="200"/>
        <w:rPr>
          <w:rFonts w:ascii="宋体" w:hAnsi="宋体"/>
          <w:snapToGrid w:val="0"/>
          <w:color w:val="auto"/>
          <w:kern w:val="0"/>
          <w:sz w:val="24"/>
          <w:highlight w:val="none"/>
        </w:rPr>
      </w:pPr>
      <w:bookmarkStart w:id="35" w:name="_Toc28989"/>
      <w:bookmarkStart w:id="36" w:name="_Toc24380"/>
      <w:bookmarkStart w:id="37" w:name="_Toc11699"/>
    </w:p>
    <w:p w14:paraId="7E335455">
      <w:pPr>
        <w:adjustRightInd w:val="0"/>
        <w:snapToGrid w:val="0"/>
        <w:spacing w:line="360" w:lineRule="auto"/>
        <w:ind w:firstLine="480" w:firstLineChars="200"/>
        <w:rPr>
          <w:rFonts w:ascii="宋体" w:hAnsi="宋体"/>
          <w:snapToGrid w:val="0"/>
          <w:color w:val="auto"/>
          <w:kern w:val="0"/>
          <w:sz w:val="24"/>
          <w:highlight w:val="none"/>
        </w:rPr>
      </w:pPr>
    </w:p>
    <w:p w14:paraId="22BCAF96">
      <w:pPr>
        <w:adjustRightInd w:val="0"/>
        <w:snapToGrid w:val="0"/>
        <w:spacing w:line="360" w:lineRule="auto"/>
        <w:ind w:firstLine="480" w:firstLineChars="200"/>
        <w:rPr>
          <w:rFonts w:ascii="宋体" w:hAnsi="宋体"/>
          <w:snapToGrid w:val="0"/>
          <w:color w:val="auto"/>
          <w:kern w:val="0"/>
          <w:sz w:val="24"/>
          <w:highlight w:val="none"/>
        </w:rPr>
      </w:pPr>
    </w:p>
    <w:p w14:paraId="4D98B7A2">
      <w:pPr>
        <w:adjustRightInd w:val="0"/>
        <w:snapToGrid w:val="0"/>
        <w:spacing w:line="360" w:lineRule="auto"/>
        <w:ind w:firstLine="480" w:firstLineChars="200"/>
        <w:rPr>
          <w:rFonts w:ascii="宋体" w:hAnsi="宋体"/>
          <w:snapToGrid w:val="0"/>
          <w:color w:val="auto"/>
          <w:kern w:val="0"/>
          <w:sz w:val="24"/>
          <w:highlight w:val="none"/>
        </w:rPr>
      </w:pPr>
    </w:p>
    <w:p w14:paraId="7A5DCA85">
      <w:pPr>
        <w:rPr>
          <w:color w:val="auto"/>
          <w:highlight w:val="none"/>
        </w:rPr>
      </w:pPr>
    </w:p>
    <w:p w14:paraId="78E49C57">
      <w:pPr>
        <w:pStyle w:val="3"/>
        <w:rPr>
          <w:color w:val="auto"/>
          <w:highlight w:val="none"/>
        </w:rPr>
      </w:pPr>
      <w:r>
        <w:rPr>
          <w:rFonts w:hint="eastAsia"/>
          <w:color w:val="auto"/>
          <w:highlight w:val="none"/>
        </w:rPr>
        <w:t>第三章</w:t>
      </w:r>
      <w:r>
        <w:rPr>
          <w:color w:val="auto"/>
          <w:highlight w:val="none"/>
        </w:rPr>
        <w:t xml:space="preserve">  </w:t>
      </w:r>
      <w:r>
        <w:rPr>
          <w:rFonts w:hint="eastAsia"/>
          <w:color w:val="auto"/>
          <w:highlight w:val="none"/>
        </w:rPr>
        <w:t>设计工作内容</w:t>
      </w:r>
      <w:bookmarkEnd w:id="35"/>
      <w:bookmarkEnd w:id="36"/>
      <w:bookmarkEnd w:id="37"/>
    </w:p>
    <w:p w14:paraId="75BF19AA">
      <w:pPr>
        <w:pStyle w:val="4"/>
        <w:spacing w:line="360" w:lineRule="auto"/>
        <w:ind w:firstLine="482" w:firstLineChars="200"/>
        <w:rPr>
          <w:snapToGrid w:val="0"/>
          <w:color w:val="auto"/>
          <w:highlight w:val="none"/>
        </w:rPr>
      </w:pPr>
      <w:bookmarkStart w:id="38" w:name="_Toc18357"/>
      <w:bookmarkStart w:id="39" w:name="_Toc3560"/>
      <w:bookmarkStart w:id="40" w:name="_Toc30587"/>
      <w:r>
        <w:rPr>
          <w:rFonts w:hint="eastAsia"/>
          <w:snapToGrid w:val="0"/>
          <w:color w:val="auto"/>
          <w:highlight w:val="none"/>
        </w:rPr>
        <w:t>5</w:t>
      </w:r>
      <w:r>
        <w:rPr>
          <w:snapToGrid w:val="0"/>
          <w:color w:val="auto"/>
          <w:highlight w:val="none"/>
        </w:rPr>
        <w:t xml:space="preserve">  </w:t>
      </w:r>
      <w:r>
        <w:rPr>
          <w:rFonts w:hint="eastAsia"/>
          <w:snapToGrid w:val="0"/>
          <w:color w:val="auto"/>
          <w:highlight w:val="none"/>
        </w:rPr>
        <w:t>设计范围</w:t>
      </w:r>
      <w:bookmarkEnd w:id="38"/>
      <w:bookmarkEnd w:id="39"/>
      <w:bookmarkEnd w:id="40"/>
    </w:p>
    <w:p w14:paraId="16FB9881">
      <w:pPr>
        <w:spacing w:line="360" w:lineRule="auto"/>
        <w:ind w:firstLine="482" w:firstLineChars="200"/>
        <w:rPr>
          <w:rFonts w:ascii="宋体" w:hAnsi="宋体" w:cs="宋体"/>
          <w:snapToGrid w:val="0"/>
          <w:color w:val="auto"/>
          <w:kern w:val="0"/>
          <w:sz w:val="24"/>
          <w:highlight w:val="none"/>
        </w:rPr>
      </w:pPr>
      <w:r>
        <w:rPr>
          <w:rFonts w:hint="eastAsia" w:ascii="宋体" w:hAnsi="宋体"/>
          <w:b/>
          <w:snapToGrid w:val="0"/>
          <w:color w:val="auto"/>
          <w:kern w:val="0"/>
          <w:sz w:val="24"/>
          <w:highlight w:val="none"/>
        </w:rPr>
        <w:t>完成立项（含可研）批复范围内所有建设内容的设计，</w:t>
      </w:r>
      <w:bookmarkStart w:id="41" w:name="_Toc24458"/>
      <w:bookmarkStart w:id="42" w:name="_Toc14746"/>
      <w:bookmarkStart w:id="43" w:name="_Toc25876"/>
      <w:r>
        <w:rPr>
          <w:rFonts w:hint="eastAsia" w:ascii="宋体" w:hAnsi="宋体" w:cs="宋体"/>
          <w:color w:val="auto"/>
          <w:sz w:val="24"/>
          <w:highlight w:val="none"/>
        </w:rPr>
        <w:t>详见《勘察设计任务书》。</w:t>
      </w:r>
    </w:p>
    <w:p w14:paraId="4E8AE7AA">
      <w:pPr>
        <w:pStyle w:val="4"/>
        <w:spacing w:line="360" w:lineRule="auto"/>
        <w:ind w:firstLine="482" w:firstLineChars="200"/>
        <w:rPr>
          <w:snapToGrid w:val="0"/>
          <w:color w:val="auto"/>
          <w:highlight w:val="none"/>
        </w:rPr>
      </w:pPr>
      <w:r>
        <w:rPr>
          <w:rFonts w:hint="eastAsia"/>
          <w:snapToGrid w:val="0"/>
          <w:color w:val="auto"/>
          <w:highlight w:val="none"/>
        </w:rPr>
        <w:t>6</w:t>
      </w:r>
      <w:r>
        <w:rPr>
          <w:snapToGrid w:val="0"/>
          <w:color w:val="auto"/>
          <w:highlight w:val="none"/>
        </w:rPr>
        <w:t xml:space="preserve">  </w:t>
      </w:r>
      <w:r>
        <w:rPr>
          <w:rFonts w:hint="eastAsia"/>
          <w:snapToGrid w:val="0"/>
          <w:color w:val="auto"/>
          <w:highlight w:val="none"/>
        </w:rPr>
        <w:t>设计服务</w:t>
      </w:r>
      <w:bookmarkEnd w:id="41"/>
      <w:bookmarkEnd w:id="42"/>
      <w:bookmarkEnd w:id="43"/>
    </w:p>
    <w:p w14:paraId="773B4B38">
      <w:pPr>
        <w:adjustRightInd w:val="0"/>
        <w:snapToGrid w:val="0"/>
        <w:spacing w:line="360" w:lineRule="auto"/>
        <w:ind w:firstLine="480" w:firstLineChars="200"/>
        <w:rPr>
          <w:rFonts w:ascii="宋体" w:hAnsi="宋体"/>
          <w:b/>
          <w:bCs/>
          <w:snapToGrid w:val="0"/>
          <w:color w:val="auto"/>
          <w:kern w:val="0"/>
          <w:sz w:val="24"/>
          <w:highlight w:val="none"/>
        </w:rPr>
      </w:pPr>
      <w:r>
        <w:rPr>
          <w:rFonts w:hint="eastAsia" w:ascii="宋体" w:hAnsi="宋体"/>
          <w:snapToGrid w:val="0"/>
          <w:color w:val="auto"/>
          <w:kern w:val="0"/>
          <w:sz w:val="24"/>
          <w:highlight w:val="none"/>
        </w:rPr>
        <w:t>乙方的服务应符合国际通用的</w:t>
      </w:r>
      <w:r>
        <w:rPr>
          <w:rFonts w:ascii="宋体" w:hAnsi="宋体"/>
          <w:snapToGrid w:val="0"/>
          <w:color w:val="auto"/>
          <w:kern w:val="0"/>
          <w:sz w:val="24"/>
          <w:highlight w:val="none"/>
        </w:rPr>
        <w:t>ISO—</w:t>
      </w:r>
      <w:r>
        <w:rPr>
          <w:rFonts w:hint="eastAsia" w:ascii="宋体" w:hAnsi="宋体"/>
          <w:snapToGrid w:val="0"/>
          <w:color w:val="auto"/>
          <w:kern w:val="0"/>
          <w:sz w:val="24"/>
          <w:highlight w:val="none"/>
        </w:rPr>
        <w:t>9</w:t>
      </w:r>
      <w:r>
        <w:rPr>
          <w:rFonts w:ascii="宋体" w:hAnsi="宋体"/>
          <w:snapToGrid w:val="0"/>
          <w:color w:val="auto"/>
          <w:kern w:val="0"/>
          <w:sz w:val="24"/>
          <w:highlight w:val="none"/>
        </w:rPr>
        <w:t>000质量管理体系对于工程设计所规定的标准及质量要求。乙方应及时地提供服务，满足甲方在时间上的要求。</w:t>
      </w:r>
    </w:p>
    <w:p w14:paraId="7ED0A9F0">
      <w:pPr>
        <w:adjustRightInd w:val="0"/>
        <w:snapToGrid w:val="0"/>
        <w:spacing w:line="360" w:lineRule="auto"/>
        <w:ind w:firstLine="482" w:firstLineChars="200"/>
        <w:rPr>
          <w:rFonts w:ascii="宋体" w:hAnsi="宋体"/>
          <w:b/>
          <w:snapToGrid w:val="0"/>
          <w:color w:val="auto"/>
          <w:kern w:val="0"/>
          <w:sz w:val="24"/>
          <w:highlight w:val="none"/>
        </w:rPr>
      </w:pPr>
      <w:r>
        <w:rPr>
          <w:rFonts w:hint="eastAsia" w:ascii="宋体" w:hAnsi="宋体"/>
          <w:b/>
          <w:snapToGrid w:val="0"/>
          <w:color w:val="auto"/>
          <w:kern w:val="0"/>
          <w:sz w:val="24"/>
          <w:highlight w:val="none"/>
        </w:rPr>
        <w:t>6</w:t>
      </w:r>
      <w:r>
        <w:rPr>
          <w:rFonts w:ascii="宋体" w:hAnsi="宋体"/>
          <w:b/>
          <w:snapToGrid w:val="0"/>
          <w:color w:val="auto"/>
          <w:kern w:val="0"/>
          <w:sz w:val="24"/>
          <w:highlight w:val="none"/>
        </w:rPr>
        <w:t>.</w:t>
      </w:r>
      <w:r>
        <w:rPr>
          <w:rFonts w:hint="eastAsia" w:ascii="宋体" w:hAnsi="宋体"/>
          <w:b/>
          <w:snapToGrid w:val="0"/>
          <w:color w:val="auto"/>
          <w:kern w:val="0"/>
          <w:sz w:val="24"/>
          <w:highlight w:val="none"/>
        </w:rPr>
        <w:t>1</w:t>
      </w:r>
      <w:r>
        <w:rPr>
          <w:rFonts w:ascii="宋体" w:hAnsi="宋体"/>
          <w:b/>
          <w:snapToGrid w:val="0"/>
          <w:color w:val="auto"/>
          <w:kern w:val="0"/>
          <w:sz w:val="24"/>
          <w:highlight w:val="none"/>
        </w:rPr>
        <w:t>报审报建配合服务</w:t>
      </w:r>
    </w:p>
    <w:p w14:paraId="2516A677">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6</w:t>
      </w:r>
      <w:r>
        <w:rPr>
          <w:rFonts w:ascii="宋体" w:hAnsi="宋体"/>
          <w:snapToGrid w:val="0"/>
          <w:color w:val="auto"/>
          <w:kern w:val="0"/>
          <w:sz w:val="24"/>
          <w:highlight w:val="none"/>
        </w:rPr>
        <w:t>.</w:t>
      </w:r>
      <w:r>
        <w:rPr>
          <w:rFonts w:hint="eastAsia" w:ascii="宋体" w:hAnsi="宋体"/>
          <w:snapToGrid w:val="0"/>
          <w:color w:val="auto"/>
          <w:kern w:val="0"/>
          <w:sz w:val="24"/>
          <w:highlight w:val="none"/>
        </w:rPr>
        <w:t>1</w:t>
      </w:r>
      <w:r>
        <w:rPr>
          <w:rFonts w:ascii="宋体" w:hAnsi="宋体"/>
          <w:snapToGrid w:val="0"/>
          <w:color w:val="auto"/>
          <w:kern w:val="0"/>
          <w:sz w:val="24"/>
          <w:highlight w:val="none"/>
        </w:rPr>
        <w:t>.1乙方应在设计过程各阶段按照本项目报审报建的要求，提交所有必需的文件、图纸及其相应的电子文件（刻制成光盘），并配合报审报建过程中必要的技术协调、送审技术性文件等工作，直至完成所有审批手续。</w:t>
      </w:r>
    </w:p>
    <w:p w14:paraId="31E079AB">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6</w:t>
      </w:r>
      <w:r>
        <w:rPr>
          <w:rFonts w:ascii="宋体" w:hAnsi="宋体"/>
          <w:snapToGrid w:val="0"/>
          <w:color w:val="auto"/>
          <w:kern w:val="0"/>
          <w:sz w:val="24"/>
          <w:highlight w:val="none"/>
        </w:rPr>
        <w:t>.</w:t>
      </w:r>
      <w:r>
        <w:rPr>
          <w:rFonts w:hint="eastAsia" w:ascii="宋体" w:hAnsi="宋体"/>
          <w:snapToGrid w:val="0"/>
          <w:color w:val="auto"/>
          <w:kern w:val="0"/>
          <w:sz w:val="24"/>
          <w:highlight w:val="none"/>
        </w:rPr>
        <w:t>1</w:t>
      </w:r>
      <w:r>
        <w:rPr>
          <w:rFonts w:ascii="宋体" w:hAnsi="宋体"/>
          <w:snapToGrid w:val="0"/>
          <w:color w:val="auto"/>
          <w:kern w:val="0"/>
          <w:sz w:val="24"/>
          <w:highlight w:val="none"/>
        </w:rPr>
        <w:t>.2对乙方提交报审报建资料的要求：提交的文件、图纸及其相应的电子文件按照相关报审报建职能部门或主管部门的提交要求和份数要求。</w:t>
      </w:r>
    </w:p>
    <w:p w14:paraId="5B6A31DD">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6</w:t>
      </w:r>
      <w:r>
        <w:rPr>
          <w:rFonts w:ascii="宋体" w:hAnsi="宋体"/>
          <w:snapToGrid w:val="0"/>
          <w:color w:val="auto"/>
          <w:kern w:val="0"/>
          <w:sz w:val="24"/>
          <w:highlight w:val="none"/>
        </w:rPr>
        <w:t>.</w:t>
      </w:r>
      <w:r>
        <w:rPr>
          <w:rFonts w:hint="eastAsia" w:ascii="宋体" w:hAnsi="宋体"/>
          <w:snapToGrid w:val="0"/>
          <w:color w:val="auto"/>
          <w:kern w:val="0"/>
          <w:sz w:val="24"/>
          <w:highlight w:val="none"/>
        </w:rPr>
        <w:t>1</w:t>
      </w:r>
      <w:r>
        <w:rPr>
          <w:rFonts w:ascii="宋体" w:hAnsi="宋体"/>
          <w:snapToGrid w:val="0"/>
          <w:color w:val="auto"/>
          <w:kern w:val="0"/>
          <w:sz w:val="24"/>
          <w:highlight w:val="none"/>
        </w:rPr>
        <w:t>.3报审报建配合服务：乙方应安排专人（1名）全面配合跟进所有报审报建工作（包括提供甲方报审报建所需的交通便利，相关费用已包含在勘察设计费中）。</w:t>
      </w:r>
    </w:p>
    <w:p w14:paraId="6AA9F1A1">
      <w:pPr>
        <w:pStyle w:val="4"/>
        <w:spacing w:line="360" w:lineRule="auto"/>
        <w:ind w:firstLine="482" w:firstLineChars="200"/>
        <w:rPr>
          <w:snapToGrid w:val="0"/>
          <w:color w:val="auto"/>
          <w:highlight w:val="none"/>
        </w:rPr>
      </w:pPr>
      <w:bookmarkStart w:id="44" w:name="_Toc18340"/>
      <w:bookmarkStart w:id="45" w:name="_Toc3389"/>
      <w:bookmarkStart w:id="46" w:name="_Toc32218"/>
      <w:r>
        <w:rPr>
          <w:rFonts w:hint="eastAsia"/>
          <w:snapToGrid w:val="0"/>
          <w:color w:val="auto"/>
          <w:highlight w:val="none"/>
        </w:rPr>
        <w:t>7</w:t>
      </w:r>
      <w:r>
        <w:rPr>
          <w:snapToGrid w:val="0"/>
          <w:color w:val="auto"/>
          <w:highlight w:val="none"/>
        </w:rPr>
        <w:t xml:space="preserve">  </w:t>
      </w:r>
      <w:r>
        <w:rPr>
          <w:rFonts w:hint="eastAsia"/>
          <w:snapToGrid w:val="0"/>
          <w:color w:val="auto"/>
          <w:highlight w:val="none"/>
        </w:rPr>
        <w:t>设计人员</w:t>
      </w:r>
      <w:bookmarkEnd w:id="44"/>
      <w:bookmarkEnd w:id="45"/>
      <w:bookmarkEnd w:id="46"/>
    </w:p>
    <w:p w14:paraId="66990D76">
      <w:pPr>
        <w:adjustRightInd w:val="0"/>
        <w:snapToGrid w:val="0"/>
        <w:spacing w:line="360" w:lineRule="auto"/>
        <w:ind w:firstLine="482" w:firstLineChars="200"/>
        <w:rPr>
          <w:rFonts w:ascii="宋体" w:hAnsi="宋体"/>
          <w:snapToGrid w:val="0"/>
          <w:color w:val="auto"/>
          <w:kern w:val="0"/>
          <w:sz w:val="24"/>
          <w:highlight w:val="none"/>
        </w:rPr>
      </w:pPr>
      <w:r>
        <w:rPr>
          <w:rFonts w:hint="eastAsia" w:ascii="宋体" w:hAnsi="宋体"/>
          <w:b/>
          <w:snapToGrid w:val="0"/>
          <w:color w:val="auto"/>
          <w:kern w:val="0"/>
          <w:sz w:val="24"/>
          <w:highlight w:val="none"/>
        </w:rPr>
        <w:t>7</w:t>
      </w:r>
      <w:r>
        <w:rPr>
          <w:rFonts w:ascii="宋体" w:hAnsi="宋体"/>
          <w:b/>
          <w:snapToGrid w:val="0"/>
          <w:color w:val="auto"/>
          <w:kern w:val="0"/>
          <w:sz w:val="24"/>
          <w:highlight w:val="none"/>
        </w:rPr>
        <w:t>.1</w:t>
      </w:r>
      <w:r>
        <w:rPr>
          <w:rFonts w:hint="eastAsia" w:ascii="宋体" w:hAnsi="宋体"/>
          <w:snapToGrid w:val="0"/>
          <w:color w:val="auto"/>
          <w:kern w:val="0"/>
          <w:sz w:val="24"/>
          <w:highlight w:val="none"/>
        </w:rPr>
        <w:t>为确保本合同工程的设计质量，在明确分工各负其责的基础上，乙方在本合同履行期内为本合同工程派出的设计总负责人、各专业设计负责人、</w:t>
      </w:r>
      <w:r>
        <w:rPr>
          <w:rFonts w:hint="eastAsia" w:ascii="宋体" w:hAnsi="宋体"/>
          <w:bCs/>
          <w:snapToGrid w:val="0"/>
          <w:color w:val="auto"/>
          <w:kern w:val="0"/>
          <w:sz w:val="24"/>
          <w:highlight w:val="none"/>
        </w:rPr>
        <w:t>专职设计管理人员</w:t>
      </w:r>
      <w:r>
        <w:rPr>
          <w:rFonts w:hint="eastAsia" w:ascii="宋体" w:hAnsi="宋体"/>
          <w:snapToGrid w:val="0"/>
          <w:color w:val="auto"/>
          <w:kern w:val="0"/>
          <w:sz w:val="24"/>
          <w:highlight w:val="none"/>
        </w:rPr>
        <w:t>的职务、资历、资格须满足招标文件及合同约定</w:t>
      </w:r>
      <w:r>
        <w:rPr>
          <w:rFonts w:ascii="宋体" w:hAnsi="宋体"/>
          <w:snapToGrid w:val="0"/>
          <w:color w:val="auto"/>
          <w:kern w:val="0"/>
          <w:sz w:val="24"/>
          <w:highlight w:val="none"/>
        </w:rPr>
        <w:t xml:space="preserve">, </w:t>
      </w:r>
      <w:r>
        <w:rPr>
          <w:rFonts w:hint="eastAsia" w:ascii="宋体" w:hAnsi="宋体"/>
          <w:snapToGrid w:val="0"/>
          <w:color w:val="auto"/>
          <w:kern w:val="0"/>
          <w:sz w:val="24"/>
          <w:highlight w:val="none"/>
        </w:rPr>
        <w:t>在本合同履行期间，非经过甲方同意，不得更换或再参与本合同项目以外的其他工作。</w:t>
      </w:r>
    </w:p>
    <w:p w14:paraId="1571FB08">
      <w:pPr>
        <w:adjustRightInd w:val="0"/>
        <w:snapToGrid w:val="0"/>
        <w:spacing w:line="360" w:lineRule="auto"/>
        <w:ind w:firstLine="482" w:firstLineChars="200"/>
        <w:rPr>
          <w:rFonts w:ascii="宋体" w:hAnsi="宋体"/>
          <w:snapToGrid w:val="0"/>
          <w:color w:val="auto"/>
          <w:kern w:val="0"/>
          <w:sz w:val="24"/>
          <w:highlight w:val="none"/>
        </w:rPr>
      </w:pPr>
      <w:r>
        <w:rPr>
          <w:rFonts w:hint="eastAsia" w:ascii="宋体" w:hAnsi="宋体"/>
          <w:b/>
          <w:snapToGrid w:val="0"/>
          <w:color w:val="auto"/>
          <w:kern w:val="0"/>
          <w:sz w:val="24"/>
          <w:highlight w:val="none"/>
        </w:rPr>
        <w:t>7</w:t>
      </w:r>
      <w:r>
        <w:rPr>
          <w:rFonts w:ascii="宋体" w:hAnsi="宋体"/>
          <w:b/>
          <w:snapToGrid w:val="0"/>
          <w:color w:val="auto"/>
          <w:kern w:val="0"/>
          <w:sz w:val="24"/>
          <w:highlight w:val="none"/>
        </w:rPr>
        <w:t>.2</w:t>
      </w:r>
      <w:r>
        <w:rPr>
          <w:rFonts w:hint="eastAsia" w:ascii="宋体" w:hAnsi="宋体"/>
          <w:snapToGrid w:val="0"/>
          <w:color w:val="auto"/>
          <w:kern w:val="0"/>
          <w:sz w:val="24"/>
          <w:highlight w:val="none"/>
        </w:rPr>
        <w:t>设计单位应根据设计任务建立项目组，从组织上保证投入的人力、物力能满足设计开展的需要，保证不同设计时段设计工作的连续性和外部条件接口衔接的连贯性。</w:t>
      </w:r>
    </w:p>
    <w:p w14:paraId="16672162">
      <w:pPr>
        <w:adjustRightInd w:val="0"/>
        <w:snapToGrid w:val="0"/>
        <w:spacing w:line="360" w:lineRule="auto"/>
        <w:ind w:firstLine="482" w:firstLineChars="200"/>
        <w:rPr>
          <w:rFonts w:ascii="宋体" w:hAnsi="宋体"/>
          <w:b/>
          <w:snapToGrid w:val="0"/>
          <w:color w:val="auto"/>
          <w:kern w:val="0"/>
          <w:sz w:val="24"/>
          <w:highlight w:val="none"/>
        </w:rPr>
      </w:pPr>
      <w:r>
        <w:rPr>
          <w:rFonts w:hint="eastAsia" w:ascii="宋体" w:hAnsi="宋体"/>
          <w:b/>
          <w:snapToGrid w:val="0"/>
          <w:color w:val="auto"/>
          <w:kern w:val="0"/>
          <w:sz w:val="24"/>
          <w:highlight w:val="none"/>
        </w:rPr>
        <w:t>7</w:t>
      </w:r>
      <w:r>
        <w:rPr>
          <w:rFonts w:ascii="宋体" w:hAnsi="宋体"/>
          <w:b/>
          <w:snapToGrid w:val="0"/>
          <w:color w:val="auto"/>
          <w:kern w:val="0"/>
          <w:sz w:val="24"/>
          <w:highlight w:val="none"/>
        </w:rPr>
        <w:t>.3</w:t>
      </w:r>
      <w:r>
        <w:rPr>
          <w:rFonts w:hint="eastAsia" w:ascii="宋体" w:hAnsi="宋体"/>
          <w:b/>
          <w:snapToGrid w:val="0"/>
          <w:color w:val="auto"/>
          <w:kern w:val="0"/>
          <w:sz w:val="24"/>
          <w:highlight w:val="none"/>
        </w:rPr>
        <w:t>乙方如为境外机构，必须自行配备专业翻译一名。</w:t>
      </w:r>
    </w:p>
    <w:p w14:paraId="53531C5A">
      <w:pPr>
        <w:adjustRightInd w:val="0"/>
        <w:snapToGrid w:val="0"/>
        <w:spacing w:line="360" w:lineRule="auto"/>
        <w:ind w:firstLine="482" w:firstLineChars="200"/>
        <w:rPr>
          <w:rFonts w:ascii="宋体" w:hAnsi="宋体"/>
          <w:snapToGrid w:val="0"/>
          <w:color w:val="auto"/>
          <w:kern w:val="0"/>
          <w:sz w:val="24"/>
          <w:highlight w:val="none"/>
        </w:rPr>
      </w:pPr>
      <w:r>
        <w:rPr>
          <w:rFonts w:hint="eastAsia" w:ascii="宋体" w:hAnsi="宋体"/>
          <w:b/>
          <w:snapToGrid w:val="0"/>
          <w:color w:val="auto"/>
          <w:kern w:val="0"/>
          <w:sz w:val="24"/>
          <w:highlight w:val="none"/>
        </w:rPr>
        <w:t>7</w:t>
      </w:r>
      <w:r>
        <w:rPr>
          <w:rFonts w:ascii="宋体" w:hAnsi="宋体"/>
          <w:b/>
          <w:snapToGrid w:val="0"/>
          <w:color w:val="auto"/>
          <w:kern w:val="0"/>
          <w:sz w:val="24"/>
          <w:highlight w:val="none"/>
        </w:rPr>
        <w:t>.4</w:t>
      </w:r>
      <w:r>
        <w:rPr>
          <w:rFonts w:hint="eastAsia" w:ascii="宋体" w:hAnsi="宋体"/>
          <w:b/>
          <w:snapToGrid w:val="0"/>
          <w:color w:val="auto"/>
          <w:kern w:val="0"/>
          <w:sz w:val="24"/>
          <w:highlight w:val="none"/>
        </w:rPr>
        <w:t>专</w:t>
      </w:r>
      <w:r>
        <w:rPr>
          <w:rFonts w:hint="eastAsia" w:ascii="宋体" w:hAnsi="宋体"/>
          <w:snapToGrid w:val="0"/>
          <w:color w:val="auto"/>
          <w:kern w:val="0"/>
          <w:sz w:val="24"/>
          <w:highlight w:val="none"/>
        </w:rPr>
        <w:t>业设计单位必须成立设计项目组按照甲方的指令在规定的时间和指定的场所，在</w:t>
      </w:r>
      <w:r>
        <w:rPr>
          <w:rFonts w:ascii="宋体" w:hAnsi="宋体"/>
          <w:snapToGrid w:val="0"/>
          <w:color w:val="auto"/>
          <w:kern w:val="0"/>
          <w:sz w:val="24"/>
          <w:highlight w:val="none"/>
        </w:rPr>
        <w:t>勘察、设计</w:t>
      </w:r>
      <w:r>
        <w:rPr>
          <w:rFonts w:hint="eastAsia" w:ascii="宋体" w:hAnsi="宋体"/>
          <w:snapToGrid w:val="0"/>
          <w:color w:val="auto"/>
          <w:kern w:val="0"/>
          <w:sz w:val="24"/>
          <w:highlight w:val="none"/>
        </w:rPr>
        <w:t>承包单位的统一管理和协调下开展各项设计工作，确保设计进度和质量。设计项目组人员组成必须满足招标文件及合同约定的要求。</w:t>
      </w:r>
    </w:p>
    <w:p w14:paraId="777491B0">
      <w:pPr>
        <w:adjustRightInd w:val="0"/>
        <w:snapToGrid w:val="0"/>
        <w:spacing w:line="360" w:lineRule="auto"/>
        <w:ind w:firstLine="482" w:firstLineChars="200"/>
        <w:rPr>
          <w:rFonts w:ascii="宋体" w:hAnsi="宋体"/>
          <w:snapToGrid w:val="0"/>
          <w:color w:val="auto"/>
          <w:kern w:val="0"/>
          <w:sz w:val="24"/>
          <w:highlight w:val="none"/>
        </w:rPr>
      </w:pPr>
      <w:r>
        <w:rPr>
          <w:rFonts w:hint="eastAsia" w:ascii="宋体" w:hAnsi="宋体"/>
          <w:b/>
          <w:snapToGrid w:val="0"/>
          <w:color w:val="auto"/>
          <w:kern w:val="0"/>
          <w:sz w:val="24"/>
          <w:highlight w:val="none"/>
        </w:rPr>
        <w:t>7</w:t>
      </w:r>
      <w:r>
        <w:rPr>
          <w:rFonts w:ascii="宋体" w:hAnsi="宋体"/>
          <w:b/>
          <w:snapToGrid w:val="0"/>
          <w:color w:val="auto"/>
          <w:kern w:val="0"/>
          <w:sz w:val="24"/>
          <w:highlight w:val="none"/>
        </w:rPr>
        <w:t>.5</w:t>
      </w:r>
      <w:r>
        <w:rPr>
          <w:rFonts w:hint="eastAsia" w:ascii="宋体" w:hAnsi="宋体"/>
          <w:snapToGrid w:val="0"/>
          <w:color w:val="auto"/>
          <w:kern w:val="0"/>
          <w:sz w:val="24"/>
          <w:highlight w:val="none"/>
        </w:rPr>
        <w:t>甲方认为设计总负责人、各专业设计负责人、</w:t>
      </w:r>
      <w:r>
        <w:rPr>
          <w:rFonts w:hint="eastAsia" w:ascii="宋体" w:hAnsi="宋体"/>
          <w:bCs/>
          <w:snapToGrid w:val="0"/>
          <w:color w:val="auto"/>
          <w:kern w:val="0"/>
          <w:sz w:val="24"/>
          <w:highlight w:val="none"/>
        </w:rPr>
        <w:t>专职设计管理人员</w:t>
      </w:r>
      <w:r>
        <w:rPr>
          <w:rFonts w:hint="eastAsia" w:ascii="宋体" w:hAnsi="宋体"/>
          <w:snapToGrid w:val="0"/>
          <w:color w:val="auto"/>
          <w:kern w:val="0"/>
          <w:sz w:val="24"/>
          <w:highlight w:val="none"/>
        </w:rPr>
        <w:t>不称职时，有权向乙方发出书面更换人员通知，乙方应当在收到甲方的书面通知后</w:t>
      </w:r>
      <w:r>
        <w:rPr>
          <w:rFonts w:ascii="宋体" w:hAnsi="宋体"/>
          <w:snapToGrid w:val="0"/>
          <w:color w:val="auto"/>
          <w:kern w:val="0"/>
          <w:sz w:val="24"/>
          <w:highlight w:val="none"/>
        </w:rPr>
        <w:t>5天内更换，更换人员的职务、资历、资格不得低于本合同相应条款的要求，且更换人员须先经过甲方确认。若乙方对甲方要求更换人员有异议时，可申请复议一次，若经复议后甲方仍然要求更换，则乙方应无条件进行更换，否则视乙方该人员从甲方发出更换通知的时间开始擅自离岗。</w:t>
      </w:r>
    </w:p>
    <w:p w14:paraId="39FD4D17">
      <w:pPr>
        <w:adjustRightInd w:val="0"/>
        <w:snapToGrid w:val="0"/>
        <w:spacing w:line="360" w:lineRule="auto"/>
        <w:ind w:firstLine="482" w:firstLineChars="200"/>
        <w:rPr>
          <w:rFonts w:ascii="宋体" w:hAnsi="宋体"/>
          <w:snapToGrid w:val="0"/>
          <w:color w:val="auto"/>
          <w:kern w:val="0"/>
          <w:sz w:val="24"/>
          <w:highlight w:val="none"/>
        </w:rPr>
      </w:pPr>
      <w:r>
        <w:rPr>
          <w:rFonts w:hint="eastAsia" w:ascii="宋体" w:hAnsi="宋体"/>
          <w:b/>
          <w:snapToGrid w:val="0"/>
          <w:color w:val="auto"/>
          <w:kern w:val="0"/>
          <w:sz w:val="24"/>
          <w:highlight w:val="none"/>
        </w:rPr>
        <w:t>7</w:t>
      </w:r>
      <w:r>
        <w:rPr>
          <w:rFonts w:ascii="宋体" w:hAnsi="宋体"/>
          <w:b/>
          <w:snapToGrid w:val="0"/>
          <w:color w:val="auto"/>
          <w:kern w:val="0"/>
          <w:sz w:val="24"/>
          <w:highlight w:val="none"/>
        </w:rPr>
        <w:t>.6</w:t>
      </w:r>
      <w:r>
        <w:rPr>
          <w:rFonts w:hint="eastAsia" w:ascii="宋体" w:hAnsi="宋体"/>
          <w:snapToGrid w:val="0"/>
          <w:color w:val="auto"/>
          <w:kern w:val="0"/>
          <w:sz w:val="24"/>
          <w:highlight w:val="none"/>
        </w:rPr>
        <w:t>当甲方认为乙方设计人员、</w:t>
      </w:r>
      <w:r>
        <w:rPr>
          <w:rFonts w:hint="eastAsia" w:ascii="宋体" w:hAnsi="宋体"/>
          <w:bCs/>
          <w:snapToGrid w:val="0"/>
          <w:color w:val="auto"/>
          <w:kern w:val="0"/>
          <w:sz w:val="24"/>
          <w:highlight w:val="none"/>
        </w:rPr>
        <w:t>专职设计管理人员</w:t>
      </w:r>
      <w:r>
        <w:rPr>
          <w:rFonts w:hint="eastAsia" w:ascii="宋体" w:hAnsi="宋体"/>
          <w:snapToGrid w:val="0"/>
          <w:color w:val="auto"/>
          <w:kern w:val="0"/>
          <w:sz w:val="24"/>
          <w:highlight w:val="none"/>
        </w:rPr>
        <w:t>的数量、专业水平、专业配套等达不到设计所需时，甲方有权要求乙方更换及补充相关人员，直至满足设计工作要求为止，否则甲方有权扣减设计费直至解除合同等。</w:t>
      </w:r>
    </w:p>
    <w:p w14:paraId="78F279BE">
      <w:pPr>
        <w:pStyle w:val="4"/>
        <w:ind w:firstLine="482"/>
        <w:rPr>
          <w:snapToGrid w:val="0"/>
          <w:color w:val="auto"/>
          <w:highlight w:val="none"/>
        </w:rPr>
      </w:pPr>
      <w:bookmarkStart w:id="47" w:name="_Toc22147"/>
      <w:bookmarkStart w:id="48" w:name="_Toc11284"/>
      <w:bookmarkStart w:id="49" w:name="_Toc5691"/>
      <w:r>
        <w:rPr>
          <w:rFonts w:hint="eastAsia"/>
          <w:snapToGrid w:val="0"/>
          <w:color w:val="auto"/>
          <w:highlight w:val="none"/>
        </w:rPr>
        <w:t>8  勘察设计成果文件的提交</w:t>
      </w:r>
      <w:bookmarkEnd w:id="47"/>
      <w:bookmarkEnd w:id="48"/>
      <w:bookmarkEnd w:id="49"/>
    </w:p>
    <w:p w14:paraId="5323CEE9">
      <w:pPr>
        <w:spacing w:line="360" w:lineRule="auto"/>
        <w:ind w:firstLine="482" w:firstLineChars="200"/>
        <w:rPr>
          <w:color w:val="auto"/>
          <w:sz w:val="24"/>
          <w:highlight w:val="none"/>
        </w:rPr>
      </w:pPr>
      <w:bookmarkStart w:id="50" w:name="_Toc924912331"/>
      <w:bookmarkStart w:id="51" w:name="_Toc387398880"/>
      <w:bookmarkStart w:id="52" w:name="_Toc9925"/>
      <w:bookmarkStart w:id="53" w:name="_Toc452558339"/>
      <w:bookmarkStart w:id="54" w:name="_Toc170282029"/>
      <w:bookmarkStart w:id="55" w:name="_Toc1256104853"/>
      <w:bookmarkStart w:id="56" w:name="_Toc1517043843"/>
      <w:bookmarkStart w:id="57" w:name="_Toc452558109"/>
      <w:bookmarkStart w:id="58" w:name="_Toc2105160748"/>
      <w:bookmarkStart w:id="59" w:name="_Toc447612892"/>
      <w:bookmarkStart w:id="60" w:name="_Toc452973748"/>
      <w:bookmarkStart w:id="61" w:name="_Toc878660225"/>
      <w:bookmarkStart w:id="62" w:name="_Toc447612413"/>
      <w:r>
        <w:rPr>
          <w:rFonts w:hint="eastAsia" w:ascii="宋体" w:hAnsi="宋体"/>
          <w:b/>
          <w:snapToGrid w:val="0"/>
          <w:color w:val="auto"/>
          <w:kern w:val="0"/>
          <w:sz w:val="24"/>
          <w:highlight w:val="none"/>
        </w:rPr>
        <w:t>8.1具体详见《勘察设计任务书》</w:t>
      </w:r>
      <w:bookmarkEnd w:id="50"/>
      <w:bookmarkEnd w:id="51"/>
      <w:bookmarkEnd w:id="52"/>
      <w:bookmarkEnd w:id="53"/>
      <w:bookmarkEnd w:id="54"/>
      <w:bookmarkEnd w:id="55"/>
      <w:bookmarkEnd w:id="56"/>
      <w:bookmarkEnd w:id="57"/>
      <w:bookmarkEnd w:id="58"/>
      <w:bookmarkEnd w:id="59"/>
      <w:bookmarkEnd w:id="60"/>
      <w:bookmarkEnd w:id="61"/>
      <w:bookmarkEnd w:id="62"/>
      <w:bookmarkStart w:id="63" w:name="_Toc1544844803"/>
      <w:bookmarkStart w:id="64" w:name="_Toc553620920"/>
      <w:bookmarkStart w:id="65" w:name="_Toc452558340"/>
      <w:bookmarkStart w:id="66" w:name="_Toc2030012117"/>
      <w:bookmarkStart w:id="67" w:name="_Toc170282030"/>
      <w:bookmarkStart w:id="68" w:name="_Toc948028836"/>
      <w:bookmarkStart w:id="69" w:name="_Toc447612893"/>
      <w:bookmarkStart w:id="70" w:name="_Toc452973749"/>
      <w:bookmarkStart w:id="71" w:name="_Toc17025"/>
      <w:bookmarkStart w:id="72" w:name="_Toc447612414"/>
      <w:bookmarkStart w:id="73" w:name="_Toc1643607311"/>
      <w:bookmarkStart w:id="74" w:name="_Toc387398882"/>
      <w:bookmarkStart w:id="75" w:name="_Toc452558110"/>
    </w:p>
    <w:p w14:paraId="79A2C69C">
      <w:pPr>
        <w:pStyle w:val="3"/>
        <w:spacing w:line="300" w:lineRule="auto"/>
        <w:jc w:val="both"/>
        <w:rPr>
          <w:color w:val="auto"/>
          <w:highlight w:val="none"/>
        </w:rPr>
      </w:pPr>
      <w:r>
        <w:rPr>
          <w:rFonts w:hint="eastAsia"/>
          <w:color w:val="auto"/>
          <w:highlight w:val="none"/>
        </w:rPr>
        <w:t>8</w:t>
      </w:r>
      <w:r>
        <w:rPr>
          <w:color w:val="auto"/>
          <w:highlight w:val="none"/>
        </w:rPr>
        <w:t>.</w:t>
      </w:r>
      <w:r>
        <w:rPr>
          <w:rFonts w:hint="eastAsia"/>
          <w:color w:val="auto"/>
          <w:highlight w:val="none"/>
        </w:rPr>
        <w:t>2提交设计资料要求</w:t>
      </w:r>
      <w:bookmarkEnd w:id="63"/>
      <w:bookmarkEnd w:id="64"/>
      <w:bookmarkEnd w:id="65"/>
      <w:bookmarkEnd w:id="66"/>
      <w:bookmarkEnd w:id="67"/>
      <w:bookmarkEnd w:id="68"/>
      <w:bookmarkEnd w:id="69"/>
      <w:bookmarkEnd w:id="70"/>
      <w:bookmarkEnd w:id="71"/>
      <w:bookmarkEnd w:id="72"/>
      <w:bookmarkEnd w:id="73"/>
      <w:bookmarkEnd w:id="74"/>
      <w:bookmarkEnd w:id="75"/>
    </w:p>
    <w:p w14:paraId="6435DC73">
      <w:pPr>
        <w:spacing w:line="300" w:lineRule="auto"/>
        <w:ind w:firstLine="480" w:firstLineChars="200"/>
        <w:rPr>
          <w:rFonts w:ascii="宋体" w:hAnsi="宋体" w:cs="Courier New"/>
          <w:color w:val="auto"/>
          <w:sz w:val="24"/>
          <w:szCs w:val="21"/>
          <w:highlight w:val="none"/>
        </w:rPr>
      </w:pPr>
      <w:r>
        <w:rPr>
          <w:rFonts w:hint="eastAsia" w:ascii="宋体" w:hAnsi="宋体" w:cs="Courier New"/>
          <w:color w:val="auto"/>
          <w:sz w:val="24"/>
          <w:szCs w:val="21"/>
          <w:highlight w:val="none"/>
        </w:rPr>
        <w:t>1、中标设计单位设计成果文件的提交时间以符合合同约定质量的设计成果文件的提交时间为准。设计成果文件提交的时间及份数如下</w:t>
      </w:r>
    </w:p>
    <w:p w14:paraId="7411D263">
      <w:pPr>
        <w:spacing w:line="300" w:lineRule="auto"/>
        <w:jc w:val="center"/>
        <w:rPr>
          <w:rFonts w:ascii="宋体" w:hAnsi="宋体" w:cs="Courier New"/>
          <w:snapToGrid w:val="0"/>
          <w:color w:val="auto"/>
          <w:sz w:val="24"/>
          <w:szCs w:val="21"/>
          <w:highlight w:val="none"/>
        </w:rPr>
      </w:pPr>
      <w:r>
        <w:rPr>
          <w:rFonts w:hint="eastAsia" w:ascii="宋体" w:hAnsi="宋体" w:cs="Courier New"/>
          <w:snapToGrid w:val="0"/>
          <w:color w:val="auto"/>
          <w:sz w:val="24"/>
          <w:szCs w:val="21"/>
          <w:highlight w:val="none"/>
        </w:rPr>
        <w:t>表6-1 设计各阶段提交时间控制表</w:t>
      </w:r>
    </w:p>
    <w:tbl>
      <w:tblPr>
        <w:tblStyle w:val="20"/>
        <w:tblW w:w="9531" w:type="dxa"/>
        <w:jc w:val="center"/>
        <w:tblLayout w:type="fixed"/>
        <w:tblCellMar>
          <w:top w:w="0" w:type="dxa"/>
          <w:left w:w="108" w:type="dxa"/>
          <w:bottom w:w="0" w:type="dxa"/>
          <w:right w:w="108" w:type="dxa"/>
        </w:tblCellMar>
      </w:tblPr>
      <w:tblGrid>
        <w:gridCol w:w="783"/>
        <w:gridCol w:w="1685"/>
        <w:gridCol w:w="2038"/>
        <w:gridCol w:w="1511"/>
        <w:gridCol w:w="1511"/>
        <w:gridCol w:w="2003"/>
      </w:tblGrid>
      <w:tr w14:paraId="35214E8E">
        <w:tblPrEx>
          <w:tblCellMar>
            <w:top w:w="0" w:type="dxa"/>
            <w:left w:w="108" w:type="dxa"/>
            <w:bottom w:w="0" w:type="dxa"/>
            <w:right w:w="108" w:type="dxa"/>
          </w:tblCellMar>
        </w:tblPrEx>
        <w:trPr>
          <w:trHeight w:val="28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21121252">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序号</w:t>
            </w:r>
          </w:p>
        </w:tc>
        <w:tc>
          <w:tcPr>
            <w:tcW w:w="3723" w:type="dxa"/>
            <w:gridSpan w:val="2"/>
            <w:tcBorders>
              <w:top w:val="single" w:color="auto" w:sz="4" w:space="0"/>
              <w:left w:val="nil"/>
              <w:bottom w:val="single" w:color="auto" w:sz="4" w:space="0"/>
              <w:right w:val="single" w:color="auto" w:sz="4" w:space="0"/>
            </w:tcBorders>
            <w:vAlign w:val="center"/>
          </w:tcPr>
          <w:p w14:paraId="3A03326D">
            <w:pPr>
              <w:spacing w:line="300" w:lineRule="auto"/>
              <w:ind w:firstLine="480" w:firstLineChars="200"/>
              <w:jc w:val="center"/>
              <w:rPr>
                <w:rFonts w:ascii="宋体" w:hAnsi="宋体" w:cs="Courier New"/>
                <w:color w:val="auto"/>
                <w:sz w:val="24"/>
                <w:highlight w:val="none"/>
              </w:rPr>
            </w:pPr>
            <w:r>
              <w:rPr>
                <w:rFonts w:hint="eastAsia" w:ascii="宋体" w:hAnsi="宋体" w:cs="Courier New"/>
                <w:color w:val="auto"/>
                <w:sz w:val="24"/>
                <w:highlight w:val="none"/>
              </w:rPr>
              <w:t>资料及文件名称</w:t>
            </w:r>
          </w:p>
        </w:tc>
        <w:tc>
          <w:tcPr>
            <w:tcW w:w="1511" w:type="dxa"/>
            <w:tcBorders>
              <w:top w:val="single" w:color="auto" w:sz="4" w:space="0"/>
              <w:left w:val="nil"/>
              <w:bottom w:val="single" w:color="auto" w:sz="4" w:space="0"/>
              <w:right w:val="single" w:color="auto" w:sz="4" w:space="0"/>
            </w:tcBorders>
            <w:vAlign w:val="center"/>
          </w:tcPr>
          <w:p w14:paraId="76521F25">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提交日期</w:t>
            </w:r>
          </w:p>
        </w:tc>
        <w:tc>
          <w:tcPr>
            <w:tcW w:w="1511" w:type="dxa"/>
            <w:tcBorders>
              <w:top w:val="single" w:color="auto" w:sz="4" w:space="0"/>
              <w:left w:val="nil"/>
              <w:bottom w:val="single" w:color="auto" w:sz="4" w:space="0"/>
              <w:right w:val="single" w:color="auto" w:sz="4" w:space="0"/>
            </w:tcBorders>
            <w:vAlign w:val="center"/>
          </w:tcPr>
          <w:p w14:paraId="517D5367">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份数</w:t>
            </w:r>
          </w:p>
        </w:tc>
        <w:tc>
          <w:tcPr>
            <w:tcW w:w="2003" w:type="dxa"/>
            <w:tcBorders>
              <w:top w:val="single" w:color="auto" w:sz="4" w:space="0"/>
              <w:left w:val="nil"/>
              <w:bottom w:val="single" w:color="auto" w:sz="4" w:space="0"/>
              <w:right w:val="single" w:color="auto" w:sz="4" w:space="0"/>
            </w:tcBorders>
            <w:vAlign w:val="center"/>
          </w:tcPr>
          <w:p w14:paraId="48D82657">
            <w:pPr>
              <w:spacing w:line="300" w:lineRule="auto"/>
              <w:ind w:firstLine="480" w:firstLineChars="200"/>
              <w:jc w:val="center"/>
              <w:rPr>
                <w:rFonts w:ascii="宋体" w:hAnsi="宋体" w:cs="Courier New"/>
                <w:color w:val="auto"/>
                <w:sz w:val="24"/>
                <w:highlight w:val="none"/>
              </w:rPr>
            </w:pPr>
            <w:r>
              <w:rPr>
                <w:rFonts w:hint="eastAsia" w:ascii="宋体" w:hAnsi="宋体" w:cs="Courier New"/>
                <w:color w:val="auto"/>
                <w:sz w:val="24"/>
                <w:highlight w:val="none"/>
              </w:rPr>
              <w:t>备注</w:t>
            </w:r>
          </w:p>
        </w:tc>
      </w:tr>
      <w:tr w14:paraId="7F7059AD">
        <w:tblPrEx>
          <w:tblCellMar>
            <w:top w:w="0" w:type="dxa"/>
            <w:left w:w="108" w:type="dxa"/>
            <w:bottom w:w="0" w:type="dxa"/>
            <w:right w:w="108" w:type="dxa"/>
          </w:tblCellMar>
        </w:tblPrEx>
        <w:trPr>
          <w:trHeight w:val="28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783D5D73">
            <w:pPr>
              <w:spacing w:line="300" w:lineRule="auto"/>
              <w:jc w:val="center"/>
              <w:rPr>
                <w:rFonts w:ascii="宋体" w:hAnsi="宋体" w:cs="Courier New"/>
                <w:color w:val="auto"/>
                <w:sz w:val="24"/>
                <w:highlight w:val="none"/>
              </w:rPr>
            </w:pPr>
            <w:r>
              <w:rPr>
                <w:rFonts w:ascii="宋体" w:hAnsi="宋体" w:cs="Courier New"/>
                <w:color w:val="auto"/>
                <w:sz w:val="24"/>
                <w:highlight w:val="none"/>
              </w:rPr>
              <w:t>1</w:t>
            </w:r>
          </w:p>
        </w:tc>
        <w:tc>
          <w:tcPr>
            <w:tcW w:w="3723" w:type="dxa"/>
            <w:gridSpan w:val="2"/>
            <w:tcBorders>
              <w:top w:val="single" w:color="auto" w:sz="4" w:space="0"/>
              <w:left w:val="nil"/>
              <w:bottom w:val="single" w:color="auto" w:sz="4" w:space="0"/>
              <w:right w:val="single" w:color="auto" w:sz="4" w:space="0"/>
            </w:tcBorders>
            <w:vAlign w:val="center"/>
          </w:tcPr>
          <w:p w14:paraId="1A9692A1">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方案设计成果文件</w:t>
            </w:r>
          </w:p>
        </w:tc>
        <w:tc>
          <w:tcPr>
            <w:tcW w:w="1511" w:type="dxa"/>
            <w:tcBorders>
              <w:top w:val="single" w:color="auto" w:sz="4" w:space="0"/>
              <w:left w:val="nil"/>
              <w:bottom w:val="single" w:color="auto" w:sz="4" w:space="0"/>
              <w:right w:val="single" w:color="auto" w:sz="4" w:space="0"/>
            </w:tcBorders>
            <w:vAlign w:val="center"/>
          </w:tcPr>
          <w:p w14:paraId="3B040C53">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中标后15</w:t>
            </w:r>
            <w:bookmarkStart w:id="152" w:name="_GoBack"/>
            <w:bookmarkEnd w:id="152"/>
            <w:r>
              <w:rPr>
                <w:rFonts w:hint="eastAsia" w:ascii="宋体" w:hAnsi="宋体" w:cs="Courier New"/>
                <w:color w:val="auto"/>
                <w:sz w:val="24"/>
                <w:highlight w:val="none"/>
              </w:rPr>
              <w:t>天内</w:t>
            </w:r>
          </w:p>
        </w:tc>
        <w:tc>
          <w:tcPr>
            <w:tcW w:w="1511" w:type="dxa"/>
            <w:tcBorders>
              <w:top w:val="single" w:color="auto" w:sz="4" w:space="0"/>
              <w:left w:val="nil"/>
              <w:bottom w:val="single" w:color="auto" w:sz="4" w:space="0"/>
              <w:right w:val="single" w:color="auto" w:sz="4" w:space="0"/>
            </w:tcBorders>
            <w:vAlign w:val="center"/>
          </w:tcPr>
          <w:p w14:paraId="37963A1C">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6，或按甲方要求提供</w:t>
            </w:r>
          </w:p>
        </w:tc>
        <w:tc>
          <w:tcPr>
            <w:tcW w:w="2003" w:type="dxa"/>
            <w:tcBorders>
              <w:top w:val="single" w:color="auto" w:sz="4" w:space="0"/>
              <w:left w:val="nil"/>
              <w:bottom w:val="single" w:color="auto" w:sz="4" w:space="0"/>
              <w:right w:val="single" w:color="auto" w:sz="4" w:space="0"/>
            </w:tcBorders>
            <w:vAlign w:val="center"/>
          </w:tcPr>
          <w:p w14:paraId="0B60A0CA">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电子文档2份</w:t>
            </w:r>
          </w:p>
        </w:tc>
      </w:tr>
      <w:tr w14:paraId="0C673D31">
        <w:tblPrEx>
          <w:tblCellMar>
            <w:top w:w="0" w:type="dxa"/>
            <w:left w:w="108" w:type="dxa"/>
            <w:bottom w:w="0" w:type="dxa"/>
            <w:right w:w="108" w:type="dxa"/>
          </w:tblCellMar>
        </w:tblPrEx>
        <w:trPr>
          <w:trHeight w:val="28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60DDE33">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2</w:t>
            </w:r>
          </w:p>
        </w:tc>
        <w:tc>
          <w:tcPr>
            <w:tcW w:w="3723" w:type="dxa"/>
            <w:gridSpan w:val="2"/>
            <w:tcBorders>
              <w:top w:val="single" w:color="auto" w:sz="4" w:space="0"/>
              <w:left w:val="nil"/>
              <w:bottom w:val="single" w:color="auto" w:sz="4" w:space="0"/>
              <w:right w:val="single" w:color="auto" w:sz="4" w:space="0"/>
            </w:tcBorders>
            <w:vAlign w:val="center"/>
          </w:tcPr>
          <w:p w14:paraId="31B4D276">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初步设计成果文件（含概算）</w:t>
            </w:r>
          </w:p>
        </w:tc>
        <w:tc>
          <w:tcPr>
            <w:tcW w:w="1511" w:type="dxa"/>
            <w:tcBorders>
              <w:top w:val="single" w:color="auto" w:sz="4" w:space="0"/>
              <w:left w:val="nil"/>
              <w:bottom w:val="single" w:color="auto" w:sz="4" w:space="0"/>
              <w:right w:val="single" w:color="auto" w:sz="4" w:space="0"/>
            </w:tcBorders>
            <w:vAlign w:val="center"/>
          </w:tcPr>
          <w:p w14:paraId="568B80E6">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方案确定后30天内</w:t>
            </w:r>
          </w:p>
        </w:tc>
        <w:tc>
          <w:tcPr>
            <w:tcW w:w="1511" w:type="dxa"/>
            <w:tcBorders>
              <w:top w:val="single" w:color="auto" w:sz="4" w:space="0"/>
              <w:left w:val="nil"/>
              <w:bottom w:val="single" w:color="auto" w:sz="4" w:space="0"/>
              <w:right w:val="single" w:color="auto" w:sz="4" w:space="0"/>
            </w:tcBorders>
            <w:vAlign w:val="center"/>
          </w:tcPr>
          <w:p w14:paraId="787E1395">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10，或按甲方要求提供</w:t>
            </w:r>
          </w:p>
        </w:tc>
        <w:tc>
          <w:tcPr>
            <w:tcW w:w="2003" w:type="dxa"/>
            <w:tcBorders>
              <w:top w:val="single" w:color="auto" w:sz="4" w:space="0"/>
              <w:left w:val="nil"/>
              <w:bottom w:val="single" w:color="auto" w:sz="4" w:space="0"/>
              <w:right w:val="single" w:color="auto" w:sz="4" w:space="0"/>
            </w:tcBorders>
            <w:vAlign w:val="center"/>
          </w:tcPr>
          <w:p w14:paraId="5EC29014">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电子文档2份（含符合评审要求的软件版）</w:t>
            </w:r>
          </w:p>
        </w:tc>
      </w:tr>
      <w:tr w14:paraId="75BCA47B">
        <w:tblPrEx>
          <w:tblCellMar>
            <w:top w:w="0" w:type="dxa"/>
            <w:left w:w="108" w:type="dxa"/>
            <w:bottom w:w="0" w:type="dxa"/>
            <w:right w:w="108" w:type="dxa"/>
          </w:tblCellMar>
        </w:tblPrEx>
        <w:trPr>
          <w:trHeight w:val="630"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1E8DD05">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3</w:t>
            </w:r>
          </w:p>
        </w:tc>
        <w:tc>
          <w:tcPr>
            <w:tcW w:w="3723" w:type="dxa"/>
            <w:gridSpan w:val="2"/>
            <w:tcBorders>
              <w:top w:val="single" w:color="auto" w:sz="4" w:space="0"/>
              <w:left w:val="nil"/>
              <w:bottom w:val="single" w:color="auto" w:sz="4" w:space="0"/>
              <w:right w:val="single" w:color="auto" w:sz="4" w:space="0"/>
            </w:tcBorders>
            <w:vAlign w:val="center"/>
          </w:tcPr>
          <w:p w14:paraId="44C12378">
            <w:pPr>
              <w:spacing w:line="300" w:lineRule="auto"/>
              <w:jc w:val="center"/>
              <w:rPr>
                <w:rFonts w:ascii="宋体" w:hAnsi="宋体" w:cs="Courier New"/>
                <w:b/>
                <w:color w:val="auto"/>
                <w:sz w:val="24"/>
                <w:highlight w:val="none"/>
              </w:rPr>
            </w:pPr>
            <w:r>
              <w:rPr>
                <w:rFonts w:hint="eastAsia" w:ascii="宋体" w:hAnsi="宋体" w:cs="Courier New"/>
                <w:color w:val="auto"/>
                <w:sz w:val="24"/>
                <w:highlight w:val="none"/>
              </w:rPr>
              <w:t>初步设计阶段相关报建、报批成果文件</w:t>
            </w:r>
          </w:p>
        </w:tc>
        <w:tc>
          <w:tcPr>
            <w:tcW w:w="1511" w:type="dxa"/>
            <w:tcBorders>
              <w:top w:val="single" w:color="auto" w:sz="4" w:space="0"/>
              <w:left w:val="nil"/>
              <w:bottom w:val="single" w:color="auto" w:sz="4" w:space="0"/>
              <w:right w:val="single" w:color="auto" w:sz="4" w:space="0"/>
            </w:tcBorders>
            <w:vAlign w:val="center"/>
          </w:tcPr>
          <w:p w14:paraId="7FCFEF5F">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方案确定后35天内</w:t>
            </w:r>
          </w:p>
        </w:tc>
        <w:tc>
          <w:tcPr>
            <w:tcW w:w="1511" w:type="dxa"/>
            <w:tcBorders>
              <w:top w:val="single" w:color="auto" w:sz="4" w:space="0"/>
              <w:left w:val="nil"/>
              <w:bottom w:val="single" w:color="auto" w:sz="4" w:space="0"/>
              <w:right w:val="single" w:color="auto" w:sz="4" w:space="0"/>
            </w:tcBorders>
            <w:vAlign w:val="center"/>
          </w:tcPr>
          <w:p w14:paraId="7C105A5C">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按报建要求或甲方要求提供</w:t>
            </w:r>
          </w:p>
        </w:tc>
        <w:tc>
          <w:tcPr>
            <w:tcW w:w="2003" w:type="dxa"/>
            <w:tcBorders>
              <w:top w:val="single" w:color="auto" w:sz="4" w:space="0"/>
              <w:left w:val="nil"/>
              <w:bottom w:val="single" w:color="auto" w:sz="4" w:space="0"/>
              <w:right w:val="single" w:color="auto" w:sz="4" w:space="0"/>
            </w:tcBorders>
            <w:vAlign w:val="center"/>
          </w:tcPr>
          <w:p w14:paraId="2CFCB215">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电子文档2份</w:t>
            </w:r>
          </w:p>
        </w:tc>
      </w:tr>
      <w:tr w14:paraId="5ACD4B0C">
        <w:tblPrEx>
          <w:tblCellMar>
            <w:top w:w="0" w:type="dxa"/>
            <w:left w:w="108" w:type="dxa"/>
            <w:bottom w:w="0" w:type="dxa"/>
            <w:right w:w="108" w:type="dxa"/>
          </w:tblCellMar>
        </w:tblPrEx>
        <w:trPr>
          <w:trHeight w:val="28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68D1F53D">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4</w:t>
            </w:r>
          </w:p>
        </w:tc>
        <w:tc>
          <w:tcPr>
            <w:tcW w:w="3723" w:type="dxa"/>
            <w:gridSpan w:val="2"/>
            <w:tcBorders>
              <w:top w:val="single" w:color="auto" w:sz="4" w:space="0"/>
              <w:left w:val="nil"/>
              <w:bottom w:val="single" w:color="auto" w:sz="4" w:space="0"/>
              <w:right w:val="single" w:color="auto" w:sz="4" w:space="0"/>
            </w:tcBorders>
            <w:vAlign w:val="center"/>
          </w:tcPr>
          <w:p w14:paraId="224C97C5">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施工图设计成果文件（送施工图审查单位审查、主要设备材料技术要求书）</w:t>
            </w:r>
          </w:p>
        </w:tc>
        <w:tc>
          <w:tcPr>
            <w:tcW w:w="1511" w:type="dxa"/>
            <w:tcBorders>
              <w:top w:val="single" w:color="auto" w:sz="4" w:space="0"/>
              <w:left w:val="nil"/>
              <w:bottom w:val="single" w:color="auto" w:sz="4" w:space="0"/>
              <w:right w:val="single" w:color="auto" w:sz="4" w:space="0"/>
            </w:tcBorders>
            <w:vAlign w:val="center"/>
          </w:tcPr>
          <w:p w14:paraId="23053363">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方案确定后45天内</w:t>
            </w:r>
          </w:p>
        </w:tc>
        <w:tc>
          <w:tcPr>
            <w:tcW w:w="1511" w:type="dxa"/>
            <w:tcBorders>
              <w:top w:val="single" w:color="auto" w:sz="4" w:space="0"/>
              <w:left w:val="nil"/>
              <w:bottom w:val="single" w:color="auto" w:sz="4" w:space="0"/>
              <w:right w:val="single" w:color="auto" w:sz="4" w:space="0"/>
            </w:tcBorders>
            <w:vAlign w:val="center"/>
          </w:tcPr>
          <w:p w14:paraId="01EEDE17">
            <w:pPr>
              <w:spacing w:line="300" w:lineRule="auto"/>
              <w:jc w:val="center"/>
              <w:rPr>
                <w:rFonts w:ascii="宋体" w:hAnsi="宋体" w:cs="Courier New"/>
                <w:color w:val="auto"/>
                <w:sz w:val="24"/>
                <w:highlight w:val="none"/>
              </w:rPr>
            </w:pPr>
            <w:r>
              <w:rPr>
                <w:rFonts w:ascii="宋体" w:hAnsi="宋体" w:cs="Courier New"/>
                <w:color w:val="auto"/>
                <w:sz w:val="24"/>
                <w:highlight w:val="none"/>
              </w:rPr>
              <w:t>1</w:t>
            </w:r>
            <w:r>
              <w:rPr>
                <w:rFonts w:hint="eastAsia" w:ascii="宋体" w:hAnsi="宋体" w:cs="Courier New"/>
                <w:color w:val="auto"/>
                <w:sz w:val="24"/>
                <w:highlight w:val="none"/>
              </w:rPr>
              <w:t>0，或按甲方要求提供</w:t>
            </w:r>
          </w:p>
        </w:tc>
        <w:tc>
          <w:tcPr>
            <w:tcW w:w="2003" w:type="dxa"/>
            <w:tcBorders>
              <w:top w:val="single" w:color="auto" w:sz="4" w:space="0"/>
              <w:left w:val="nil"/>
              <w:bottom w:val="single" w:color="auto" w:sz="4" w:space="0"/>
              <w:right w:val="single" w:color="auto" w:sz="4" w:space="0"/>
            </w:tcBorders>
            <w:vAlign w:val="center"/>
          </w:tcPr>
          <w:p w14:paraId="65A06F26">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电子文档2份</w:t>
            </w:r>
          </w:p>
        </w:tc>
      </w:tr>
      <w:tr w14:paraId="4715798B">
        <w:tblPrEx>
          <w:tblCellMar>
            <w:top w:w="0" w:type="dxa"/>
            <w:left w:w="108" w:type="dxa"/>
            <w:bottom w:w="0" w:type="dxa"/>
            <w:right w:w="108" w:type="dxa"/>
          </w:tblCellMar>
        </w:tblPrEx>
        <w:trPr>
          <w:trHeight w:val="660" w:hRule="atLeast"/>
          <w:jc w:val="center"/>
        </w:trPr>
        <w:tc>
          <w:tcPr>
            <w:tcW w:w="783" w:type="dxa"/>
            <w:vMerge w:val="restart"/>
            <w:tcBorders>
              <w:top w:val="single" w:color="auto" w:sz="4" w:space="0"/>
              <w:left w:val="single" w:color="auto" w:sz="4" w:space="0"/>
              <w:bottom w:val="single" w:color="auto" w:sz="4" w:space="0"/>
              <w:right w:val="single" w:color="auto" w:sz="4" w:space="0"/>
            </w:tcBorders>
            <w:vAlign w:val="center"/>
          </w:tcPr>
          <w:p w14:paraId="7336EA77">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5</w:t>
            </w:r>
          </w:p>
        </w:tc>
        <w:tc>
          <w:tcPr>
            <w:tcW w:w="1685" w:type="dxa"/>
            <w:vMerge w:val="restart"/>
            <w:tcBorders>
              <w:top w:val="single" w:color="auto" w:sz="4" w:space="0"/>
              <w:left w:val="single" w:color="auto" w:sz="4" w:space="0"/>
              <w:bottom w:val="single" w:color="auto" w:sz="4" w:space="0"/>
              <w:right w:val="single" w:color="auto" w:sz="4" w:space="0"/>
            </w:tcBorders>
            <w:vAlign w:val="center"/>
          </w:tcPr>
          <w:p w14:paraId="5FFDC6F9">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施工图（按施工图审查单位意见修改并审批通过</w:t>
            </w:r>
          </w:p>
        </w:tc>
        <w:tc>
          <w:tcPr>
            <w:tcW w:w="2038" w:type="dxa"/>
            <w:tcBorders>
              <w:top w:val="single" w:color="auto" w:sz="4" w:space="0"/>
              <w:left w:val="single" w:color="auto" w:sz="4" w:space="0"/>
              <w:bottom w:val="single" w:color="auto" w:sz="4" w:space="0"/>
              <w:right w:val="single" w:color="auto" w:sz="4" w:space="0"/>
            </w:tcBorders>
            <w:vAlign w:val="center"/>
          </w:tcPr>
          <w:p w14:paraId="678CB041">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施工报建的成果文件</w:t>
            </w:r>
          </w:p>
        </w:tc>
        <w:tc>
          <w:tcPr>
            <w:tcW w:w="1511" w:type="dxa"/>
            <w:tcBorders>
              <w:top w:val="single" w:color="auto" w:sz="4" w:space="0"/>
              <w:left w:val="single" w:color="auto" w:sz="4" w:space="0"/>
              <w:bottom w:val="single" w:color="auto" w:sz="4" w:space="0"/>
              <w:right w:val="single" w:color="auto" w:sz="4" w:space="0"/>
            </w:tcBorders>
            <w:vAlign w:val="center"/>
          </w:tcPr>
          <w:p w14:paraId="73CA1891">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方案确定后50天内</w:t>
            </w:r>
          </w:p>
        </w:tc>
        <w:tc>
          <w:tcPr>
            <w:tcW w:w="1511" w:type="dxa"/>
            <w:tcBorders>
              <w:top w:val="single" w:color="auto" w:sz="4" w:space="0"/>
              <w:left w:val="single" w:color="auto" w:sz="4" w:space="0"/>
              <w:bottom w:val="single" w:color="auto" w:sz="4" w:space="0"/>
              <w:right w:val="single" w:color="auto" w:sz="4" w:space="0"/>
            </w:tcBorders>
            <w:vAlign w:val="center"/>
          </w:tcPr>
          <w:p w14:paraId="561F5EA6">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按报建要求或甲方要求提供</w:t>
            </w:r>
          </w:p>
        </w:tc>
        <w:tc>
          <w:tcPr>
            <w:tcW w:w="2003" w:type="dxa"/>
            <w:tcBorders>
              <w:top w:val="single" w:color="auto" w:sz="4" w:space="0"/>
              <w:left w:val="single" w:color="auto" w:sz="4" w:space="0"/>
              <w:bottom w:val="single" w:color="auto" w:sz="4" w:space="0"/>
              <w:right w:val="single" w:color="auto" w:sz="4" w:space="0"/>
            </w:tcBorders>
            <w:vAlign w:val="center"/>
          </w:tcPr>
          <w:p w14:paraId="3920CE60">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电子文档2份</w:t>
            </w:r>
          </w:p>
        </w:tc>
      </w:tr>
      <w:tr w14:paraId="0A5AF763">
        <w:tblPrEx>
          <w:tblCellMar>
            <w:top w:w="0" w:type="dxa"/>
            <w:left w:w="108" w:type="dxa"/>
            <w:bottom w:w="0" w:type="dxa"/>
            <w:right w:w="108" w:type="dxa"/>
          </w:tblCellMar>
        </w:tblPrEx>
        <w:trPr>
          <w:trHeight w:val="840" w:hRule="atLeast"/>
          <w:jc w:val="center"/>
        </w:trPr>
        <w:tc>
          <w:tcPr>
            <w:tcW w:w="783" w:type="dxa"/>
            <w:vMerge w:val="continue"/>
            <w:tcBorders>
              <w:top w:val="single" w:color="auto" w:sz="4" w:space="0"/>
              <w:left w:val="single" w:color="auto" w:sz="4" w:space="0"/>
              <w:bottom w:val="single" w:color="auto" w:sz="4" w:space="0"/>
              <w:right w:val="single" w:color="auto" w:sz="4" w:space="0"/>
            </w:tcBorders>
            <w:vAlign w:val="center"/>
          </w:tcPr>
          <w:p w14:paraId="3FCE5845">
            <w:pPr>
              <w:widowControl/>
              <w:spacing w:line="300" w:lineRule="auto"/>
              <w:jc w:val="center"/>
              <w:rPr>
                <w:rFonts w:ascii="宋体" w:hAnsi="宋体" w:cs="Courier New"/>
                <w:color w:val="auto"/>
                <w:sz w:val="24"/>
                <w:highlight w:val="none"/>
              </w:rPr>
            </w:pPr>
          </w:p>
        </w:tc>
        <w:tc>
          <w:tcPr>
            <w:tcW w:w="1685" w:type="dxa"/>
            <w:vMerge w:val="continue"/>
            <w:tcBorders>
              <w:top w:val="single" w:color="auto" w:sz="4" w:space="0"/>
              <w:left w:val="single" w:color="auto" w:sz="4" w:space="0"/>
              <w:bottom w:val="single" w:color="auto" w:sz="4" w:space="0"/>
              <w:right w:val="single" w:color="auto" w:sz="4" w:space="0"/>
            </w:tcBorders>
            <w:vAlign w:val="center"/>
          </w:tcPr>
          <w:p w14:paraId="58DEE71C">
            <w:pPr>
              <w:widowControl/>
              <w:spacing w:line="300" w:lineRule="auto"/>
              <w:jc w:val="center"/>
              <w:rPr>
                <w:rFonts w:ascii="宋体" w:hAnsi="宋体" w:cs="Courier New"/>
                <w:color w:val="auto"/>
                <w:sz w:val="24"/>
                <w:highlight w:val="none"/>
              </w:rPr>
            </w:pPr>
          </w:p>
        </w:tc>
        <w:tc>
          <w:tcPr>
            <w:tcW w:w="2038" w:type="dxa"/>
            <w:tcBorders>
              <w:top w:val="single" w:color="auto" w:sz="4" w:space="0"/>
              <w:left w:val="single" w:color="auto" w:sz="4" w:space="0"/>
              <w:bottom w:val="single" w:color="auto" w:sz="4" w:space="0"/>
              <w:right w:val="single" w:color="auto" w:sz="4" w:space="0"/>
            </w:tcBorders>
            <w:vAlign w:val="center"/>
          </w:tcPr>
          <w:p w14:paraId="30317154">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施工图（含管线综合平衡施工图）</w:t>
            </w:r>
          </w:p>
        </w:tc>
        <w:tc>
          <w:tcPr>
            <w:tcW w:w="1511" w:type="dxa"/>
            <w:tcBorders>
              <w:top w:val="single" w:color="auto" w:sz="4" w:space="0"/>
              <w:left w:val="single" w:color="auto" w:sz="4" w:space="0"/>
              <w:bottom w:val="single" w:color="auto" w:sz="4" w:space="0"/>
              <w:right w:val="single" w:color="auto" w:sz="4" w:space="0"/>
            </w:tcBorders>
            <w:vAlign w:val="center"/>
          </w:tcPr>
          <w:p w14:paraId="74A31BE0">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方案确定后60天内</w:t>
            </w:r>
          </w:p>
        </w:tc>
        <w:tc>
          <w:tcPr>
            <w:tcW w:w="1511" w:type="dxa"/>
            <w:tcBorders>
              <w:top w:val="single" w:color="auto" w:sz="4" w:space="0"/>
              <w:left w:val="single" w:color="auto" w:sz="4" w:space="0"/>
              <w:bottom w:val="single" w:color="auto" w:sz="4" w:space="0"/>
              <w:right w:val="single" w:color="auto" w:sz="4" w:space="0"/>
            </w:tcBorders>
            <w:vAlign w:val="center"/>
          </w:tcPr>
          <w:p w14:paraId="1C387D67">
            <w:pPr>
              <w:spacing w:line="300" w:lineRule="auto"/>
              <w:jc w:val="center"/>
              <w:rPr>
                <w:rFonts w:ascii="宋体" w:hAnsi="宋体" w:cs="Courier New"/>
                <w:color w:val="auto"/>
                <w:sz w:val="24"/>
                <w:highlight w:val="none"/>
              </w:rPr>
            </w:pPr>
            <w:r>
              <w:rPr>
                <w:rFonts w:ascii="宋体" w:hAnsi="宋体" w:cs="Courier New"/>
                <w:color w:val="auto"/>
                <w:sz w:val="24"/>
                <w:highlight w:val="none"/>
              </w:rPr>
              <w:t>1</w:t>
            </w:r>
            <w:r>
              <w:rPr>
                <w:rFonts w:hint="eastAsia" w:ascii="宋体" w:hAnsi="宋体" w:cs="Courier New"/>
                <w:color w:val="auto"/>
                <w:sz w:val="24"/>
                <w:highlight w:val="none"/>
              </w:rPr>
              <w:t>0，或按甲方要求提供</w:t>
            </w:r>
          </w:p>
        </w:tc>
        <w:tc>
          <w:tcPr>
            <w:tcW w:w="2003" w:type="dxa"/>
            <w:tcBorders>
              <w:top w:val="single" w:color="auto" w:sz="4" w:space="0"/>
              <w:left w:val="single" w:color="auto" w:sz="4" w:space="0"/>
              <w:bottom w:val="single" w:color="auto" w:sz="4" w:space="0"/>
              <w:right w:val="single" w:color="auto" w:sz="4" w:space="0"/>
            </w:tcBorders>
            <w:vAlign w:val="center"/>
          </w:tcPr>
          <w:p w14:paraId="16720FF2">
            <w:pPr>
              <w:spacing w:line="300" w:lineRule="auto"/>
              <w:jc w:val="center"/>
              <w:rPr>
                <w:rFonts w:ascii="宋体" w:hAnsi="宋体" w:cs="Courier New"/>
                <w:color w:val="auto"/>
                <w:sz w:val="24"/>
                <w:highlight w:val="none"/>
              </w:rPr>
            </w:pPr>
            <w:r>
              <w:rPr>
                <w:rFonts w:hint="eastAsia" w:ascii="宋体" w:hAnsi="宋体" w:cs="Courier New"/>
                <w:color w:val="auto"/>
                <w:sz w:val="24"/>
                <w:highlight w:val="none"/>
              </w:rPr>
              <w:t>电子文档2份</w:t>
            </w:r>
          </w:p>
        </w:tc>
      </w:tr>
    </w:tbl>
    <w:p w14:paraId="7DC7B71E">
      <w:pPr>
        <w:spacing w:line="360" w:lineRule="auto"/>
        <w:ind w:firstLine="480" w:firstLineChars="200"/>
        <w:rPr>
          <w:rFonts w:ascii="宋体" w:hAnsi="宋体" w:cs="Courier New"/>
          <w:snapToGrid w:val="0"/>
          <w:color w:val="auto"/>
          <w:sz w:val="24"/>
          <w:szCs w:val="21"/>
          <w:highlight w:val="none"/>
        </w:rPr>
      </w:pPr>
      <w:r>
        <w:rPr>
          <w:rFonts w:hint="eastAsia" w:ascii="宋体" w:hAnsi="宋体" w:cs="Courier New"/>
          <w:color w:val="auto"/>
          <w:sz w:val="24"/>
          <w:szCs w:val="21"/>
          <w:highlight w:val="none"/>
        </w:rPr>
        <w:t>（备注：上述各阶段成果提交时间由建设单位控制，可根据实际情况调整。）</w:t>
      </w:r>
    </w:p>
    <w:p w14:paraId="110BCF01">
      <w:pPr>
        <w:spacing w:line="360" w:lineRule="auto"/>
        <w:ind w:firstLine="480" w:firstLineChars="200"/>
        <w:rPr>
          <w:rFonts w:ascii="宋体" w:hAnsi="宋体" w:cs="Courier New"/>
          <w:snapToGrid w:val="0"/>
          <w:color w:val="auto"/>
          <w:sz w:val="24"/>
          <w:szCs w:val="21"/>
          <w:highlight w:val="none"/>
        </w:rPr>
      </w:pPr>
      <w:r>
        <w:rPr>
          <w:rFonts w:hint="eastAsia" w:ascii="宋体" w:hAnsi="宋体" w:cs="Courier New"/>
          <w:color w:val="auto"/>
          <w:sz w:val="24"/>
          <w:szCs w:val="21"/>
          <w:highlight w:val="none"/>
        </w:rPr>
        <w:t>2、各阶段所有提供的资料要求：详见《勘察设计任务书》</w:t>
      </w:r>
    </w:p>
    <w:p w14:paraId="5D1E8E03">
      <w:pPr>
        <w:spacing w:line="360" w:lineRule="auto"/>
        <w:ind w:firstLine="480" w:firstLineChars="200"/>
        <w:jc w:val="left"/>
        <w:rPr>
          <w:rFonts w:ascii="宋体" w:hAnsi="宋体" w:cs="Courier New"/>
          <w:color w:val="auto"/>
          <w:sz w:val="24"/>
          <w:szCs w:val="21"/>
          <w:highlight w:val="none"/>
        </w:rPr>
        <w:sectPr>
          <w:headerReference r:id="rId3" w:type="default"/>
          <w:footerReference r:id="rId4" w:type="default"/>
          <w:footnotePr>
            <w:numRestart w:val="eachPage"/>
          </w:footnotePr>
          <w:pgSz w:w="11906" w:h="16838"/>
          <w:pgMar w:top="1418" w:right="1418" w:bottom="1418" w:left="1418" w:header="851" w:footer="992" w:gutter="0"/>
          <w:pgNumType w:start="1"/>
          <w:cols w:space="720" w:num="1"/>
          <w:docGrid w:type="lines" w:linePitch="312" w:charSpace="0"/>
        </w:sectPr>
      </w:pPr>
    </w:p>
    <w:p w14:paraId="1D4F4DA4">
      <w:pPr>
        <w:pStyle w:val="3"/>
        <w:rPr>
          <w:color w:val="auto"/>
          <w:highlight w:val="none"/>
        </w:rPr>
      </w:pPr>
      <w:bookmarkStart w:id="76" w:name="_Toc31190"/>
      <w:bookmarkStart w:id="77" w:name="_Toc17641"/>
      <w:bookmarkStart w:id="78" w:name="_Toc2827"/>
      <w:r>
        <w:rPr>
          <w:rFonts w:hint="eastAsia"/>
          <w:color w:val="auto"/>
          <w:highlight w:val="none"/>
        </w:rPr>
        <w:t>第四章</w:t>
      </w:r>
      <w:r>
        <w:rPr>
          <w:color w:val="auto"/>
          <w:highlight w:val="none"/>
        </w:rPr>
        <w:t xml:space="preserve"> </w:t>
      </w:r>
      <w:r>
        <w:rPr>
          <w:rFonts w:hint="eastAsia"/>
          <w:color w:val="auto"/>
          <w:highlight w:val="none"/>
        </w:rPr>
        <w:t>设计质量</w:t>
      </w:r>
      <w:bookmarkEnd w:id="76"/>
      <w:bookmarkEnd w:id="77"/>
      <w:bookmarkEnd w:id="78"/>
    </w:p>
    <w:p w14:paraId="0F80BDF5">
      <w:pPr>
        <w:pStyle w:val="4"/>
        <w:spacing w:line="360" w:lineRule="auto"/>
        <w:ind w:firstLine="480" w:firstLineChars="200"/>
        <w:rPr>
          <w:rFonts w:ascii="宋体" w:hAnsi="宋体" w:cs="宋体"/>
          <w:b w:val="0"/>
          <w:bCs w:val="0"/>
          <w:snapToGrid w:val="0"/>
          <w:color w:val="auto"/>
          <w:szCs w:val="24"/>
          <w:highlight w:val="none"/>
        </w:rPr>
      </w:pPr>
      <w:bookmarkStart w:id="79" w:name="_Toc30562"/>
      <w:bookmarkStart w:id="80" w:name="_Toc7135"/>
      <w:bookmarkStart w:id="81" w:name="_Toc28604"/>
      <w:r>
        <w:rPr>
          <w:rFonts w:hint="eastAsia" w:ascii="宋体" w:hAnsi="宋体" w:cs="宋体"/>
          <w:b w:val="0"/>
          <w:bCs w:val="0"/>
          <w:snapToGrid w:val="0"/>
          <w:color w:val="auto"/>
          <w:szCs w:val="24"/>
          <w:highlight w:val="none"/>
        </w:rPr>
        <w:t>9 设计的质量要求</w:t>
      </w:r>
      <w:bookmarkEnd w:id="79"/>
      <w:bookmarkEnd w:id="80"/>
      <w:bookmarkEnd w:id="81"/>
    </w:p>
    <w:p w14:paraId="0262BCA9">
      <w:pPr>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9.1设计应体现甲方的建设意图，应符合有关法律、法规的规定，符合建设工程质量、安全标准，符合建设工程勘察设计的技术规范（尤其是强制性规范），达到设计任务书的要求，满足本合同工程的功能需求。在控制投资的同时，做到美观、适用、安全、经济，并具备良好的节能环保特性，取得良好的社会效益。</w:t>
      </w:r>
    </w:p>
    <w:p w14:paraId="6D68B67F">
      <w:pPr>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9.2乙方的设计成果文件应满足(《建筑工程设计文件编制深度规定》（2016年版）,《市政公用工程设计文件编制深度规定》（2013年版）,□ 其他设计文件编制深度要求：____</w:t>
      </w:r>
      <w:r>
        <w:rPr>
          <w:rFonts w:hint="eastAsia" w:ascii="宋体" w:hAnsi="宋体" w:cs="宋体"/>
          <w:snapToGrid w:val="0"/>
          <w:color w:val="auto"/>
          <w:kern w:val="0"/>
          <w:sz w:val="24"/>
          <w:highlight w:val="none"/>
          <w:u w:val="single"/>
        </w:rPr>
        <w:t>/</w:t>
      </w:r>
      <w:r>
        <w:rPr>
          <w:rFonts w:hint="eastAsia" w:ascii="宋体" w:hAnsi="宋体" w:cs="宋体"/>
          <w:snapToGrid w:val="0"/>
          <w:color w:val="auto"/>
          <w:kern w:val="0"/>
          <w:sz w:val="24"/>
          <w:highlight w:val="none"/>
        </w:rPr>
        <w:t>_____)、甲方管理规定中的相关要求，并按照专家评审意见和甲方要求对设计进行深化、优化。乙方对本合同范围内的勘察、设计成果文件达到合同约定的相应设计深度负总体责任。</w:t>
      </w:r>
    </w:p>
    <w:p w14:paraId="5C75080B">
      <w:pPr>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9.3 乙方在设计过程中应考虑工程实施的可操作性，对工序方案提出相应的技术要求，应明确提出关键工序的工艺要求、质量控制要求及安全技术措施方案。</w:t>
      </w:r>
    </w:p>
    <w:p w14:paraId="384D85FA">
      <w:pPr>
        <w:adjustRightInd w:val="0"/>
        <w:snapToGrid w:val="0"/>
        <w:spacing w:line="360" w:lineRule="auto"/>
        <w:ind w:firstLine="480" w:firstLineChars="200"/>
        <w:rPr>
          <w:rFonts w:ascii="宋体" w:hAnsi="宋体" w:cs="宋体"/>
          <w:strike/>
          <w:snapToGrid w:val="0"/>
          <w:color w:val="auto"/>
          <w:kern w:val="0"/>
          <w:sz w:val="24"/>
          <w:highlight w:val="none"/>
        </w:rPr>
      </w:pPr>
      <w:r>
        <w:rPr>
          <w:rFonts w:hint="eastAsia" w:ascii="宋体" w:hAnsi="宋体" w:cs="宋体"/>
          <w:snapToGrid w:val="0"/>
          <w:color w:val="auto"/>
          <w:kern w:val="0"/>
          <w:sz w:val="24"/>
          <w:highlight w:val="none"/>
        </w:rPr>
        <w:t>9.4勘察、设计成果文件的计量单位均应采用国际标准计量单位。</w:t>
      </w:r>
    </w:p>
    <w:p w14:paraId="585EB795">
      <w:pPr>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9.5设计图纸必须按照国家对工程图纸规格的规定绘制，保持同类图纸规格统一。</w:t>
      </w:r>
    </w:p>
    <w:p w14:paraId="644CDA1B">
      <w:pPr>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9.6乙方应根据政府主管部门、甲方及甲方委托的第三方对勘察、设计成果文件的审核意见对勘察、设计进行必要的修改。当乙方提交的勘察、设计成果文件不符合本合同所约定的质量要求时，乙方应在收到政府主管部门、甲方、甲方委托的第三方的通知后5天内将经过修改的符合规定的勘察、设计文件交付甲方。</w:t>
      </w:r>
    </w:p>
    <w:p w14:paraId="42265544">
      <w:pPr>
        <w:widowControl/>
        <w:wordWrap w:val="0"/>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0"/>
          <w:sz w:val="24"/>
          <w:highlight w:val="none"/>
        </w:rPr>
        <w:t>9.7勘察人所提交的地形图测量等成果资料需满足规划报建、办理用地预审手续及规划国土部门的审批要求，否则勘察人应将地形图测量工作分包给具备相应资质并能办理上述手续的勘察测量单位负责实施，如果因为资料不合格而导致的返工测量、补充测量、完善资料、修改资料等工作及费用由勘察人承担。</w:t>
      </w:r>
    </w:p>
    <w:p w14:paraId="7D57CB05">
      <w:pPr>
        <w:pStyle w:val="17"/>
        <w:adjustRightInd w:val="0"/>
        <w:snapToGrid w:val="0"/>
        <w:spacing w:before="0" w:beforeAutospacing="0" w:after="0" w:afterAutospacing="0" w:line="360" w:lineRule="auto"/>
        <w:ind w:firstLine="480" w:firstLineChars="200"/>
        <w:rPr>
          <w:rFonts w:cs="宋体"/>
          <w:snapToGrid w:val="0"/>
          <w:color w:val="auto"/>
          <w:highlight w:val="none"/>
        </w:rPr>
      </w:pPr>
      <w:r>
        <w:rPr>
          <w:rFonts w:hint="eastAsia" w:cs="宋体"/>
          <w:snapToGrid w:val="0"/>
          <w:color w:val="auto"/>
          <w:highlight w:val="none"/>
        </w:rPr>
        <w:t>9.8乙方应提供国际权威机构或国内有关部门对新材料及特殊结构的试验报告，并提供相应新材料及特殊结构在工程中应用的经验供甲方参考。</w:t>
      </w:r>
    </w:p>
    <w:p w14:paraId="4A2C8B2B">
      <w:pPr>
        <w:adjustRightInd w:val="0"/>
        <w:snapToGrid w:val="0"/>
        <w:spacing w:line="360" w:lineRule="auto"/>
        <w:ind w:firstLine="480" w:firstLineChars="200"/>
        <w:rPr>
          <w:rFonts w:ascii="宋体" w:hAnsi="宋体" w:cs="宋体"/>
          <w:snapToGrid w:val="0"/>
          <w:color w:val="auto"/>
          <w:sz w:val="24"/>
          <w:highlight w:val="none"/>
        </w:rPr>
      </w:pPr>
      <w:r>
        <w:rPr>
          <w:rFonts w:hint="eastAsia" w:ascii="宋体" w:hAnsi="宋体" w:cs="宋体"/>
          <w:snapToGrid w:val="0"/>
          <w:color w:val="auto"/>
          <w:sz w:val="24"/>
          <w:highlight w:val="none"/>
        </w:rPr>
        <w:t>9.9如有最新的规范要求的，按新的规范要求执行。</w:t>
      </w:r>
    </w:p>
    <w:p w14:paraId="7AC08D85">
      <w:pPr>
        <w:adjustRightInd w:val="0"/>
        <w:snapToGrid w:val="0"/>
        <w:spacing w:line="360" w:lineRule="auto"/>
        <w:ind w:firstLine="480" w:firstLineChars="200"/>
        <w:rPr>
          <w:rFonts w:ascii="宋体" w:hAnsi="宋体" w:cs="宋体"/>
          <w:snapToGrid w:val="0"/>
          <w:color w:val="auto"/>
          <w:kern w:val="0"/>
          <w:sz w:val="24"/>
          <w:highlight w:val="none"/>
        </w:rPr>
      </w:pPr>
    </w:p>
    <w:p w14:paraId="57F5AC97">
      <w:pPr>
        <w:pStyle w:val="3"/>
        <w:rPr>
          <w:color w:val="auto"/>
          <w:highlight w:val="none"/>
        </w:rPr>
      </w:pPr>
      <w:bookmarkStart w:id="82" w:name="_Toc17736"/>
      <w:bookmarkStart w:id="83" w:name="_Toc22364"/>
      <w:bookmarkStart w:id="84" w:name="_Toc4912"/>
      <w:r>
        <w:rPr>
          <w:rFonts w:hint="eastAsia"/>
          <w:color w:val="auto"/>
          <w:highlight w:val="none"/>
        </w:rPr>
        <w:t>第五章</w:t>
      </w:r>
      <w:r>
        <w:rPr>
          <w:color w:val="auto"/>
          <w:highlight w:val="none"/>
        </w:rPr>
        <w:t xml:space="preserve"> </w:t>
      </w:r>
      <w:r>
        <w:rPr>
          <w:rFonts w:hint="eastAsia"/>
          <w:color w:val="auto"/>
          <w:highlight w:val="none"/>
        </w:rPr>
        <w:t>设计变更</w:t>
      </w:r>
      <w:bookmarkEnd w:id="82"/>
      <w:bookmarkEnd w:id="83"/>
      <w:bookmarkEnd w:id="84"/>
    </w:p>
    <w:p w14:paraId="5A9366D7">
      <w:pPr>
        <w:pStyle w:val="4"/>
        <w:spacing w:line="360" w:lineRule="auto"/>
        <w:ind w:firstLine="480" w:firstLineChars="200"/>
        <w:rPr>
          <w:rFonts w:ascii="宋体" w:hAnsi="宋体" w:cs="宋体"/>
          <w:b w:val="0"/>
          <w:bCs w:val="0"/>
          <w:snapToGrid w:val="0"/>
          <w:color w:val="auto"/>
          <w:highlight w:val="none"/>
        </w:rPr>
      </w:pPr>
      <w:bookmarkStart w:id="85" w:name="_Toc7914"/>
      <w:bookmarkStart w:id="86" w:name="_Toc27140"/>
      <w:bookmarkStart w:id="87" w:name="_Toc6835"/>
      <w:r>
        <w:rPr>
          <w:rFonts w:hint="eastAsia" w:ascii="宋体" w:hAnsi="宋体" w:cs="宋体"/>
          <w:b w:val="0"/>
          <w:bCs w:val="0"/>
          <w:snapToGrid w:val="0"/>
          <w:color w:val="auto"/>
          <w:highlight w:val="none"/>
        </w:rPr>
        <w:t>10 设计变更</w:t>
      </w:r>
      <w:bookmarkEnd w:id="85"/>
      <w:bookmarkEnd w:id="86"/>
      <w:bookmarkEnd w:id="87"/>
    </w:p>
    <w:p w14:paraId="26915668">
      <w:pPr>
        <w:pStyle w:val="17"/>
        <w:adjustRightInd w:val="0"/>
        <w:snapToGrid w:val="0"/>
        <w:spacing w:before="0" w:beforeAutospacing="0" w:after="0" w:afterAutospacing="0" w:line="360" w:lineRule="auto"/>
        <w:ind w:firstLine="480" w:firstLineChars="200"/>
        <w:rPr>
          <w:rFonts w:cs="宋体"/>
          <w:snapToGrid w:val="0"/>
          <w:color w:val="auto"/>
          <w:highlight w:val="none"/>
        </w:rPr>
      </w:pPr>
      <w:r>
        <w:rPr>
          <w:rFonts w:hint="eastAsia" w:cs="宋体"/>
          <w:snapToGrid w:val="0"/>
          <w:color w:val="auto"/>
          <w:highlight w:val="none"/>
        </w:rPr>
        <w:t>10.1 乙方</w:t>
      </w:r>
      <w:r>
        <w:rPr>
          <w:rFonts w:hint="eastAsia" w:cs="宋体"/>
          <w:color w:val="auto"/>
          <w:highlight w:val="none"/>
        </w:rPr>
        <w:t>应本着对工程质量、工期、投资等三大控制相结合的原则及甲方设计变更管理办法</w:t>
      </w:r>
      <w:r>
        <w:rPr>
          <w:rFonts w:hint="eastAsia" w:cs="宋体"/>
          <w:snapToGrid w:val="0"/>
          <w:color w:val="auto"/>
          <w:highlight w:val="none"/>
        </w:rPr>
        <w:t>中的相关规定</w:t>
      </w:r>
      <w:r>
        <w:rPr>
          <w:rFonts w:hint="eastAsia" w:cs="宋体"/>
          <w:color w:val="auto"/>
          <w:highlight w:val="none"/>
        </w:rPr>
        <w:t>对设计变更进行管理。</w:t>
      </w:r>
    </w:p>
    <w:p w14:paraId="2DD8459F">
      <w:pPr>
        <w:pStyle w:val="17"/>
        <w:adjustRightInd w:val="0"/>
        <w:snapToGrid w:val="0"/>
        <w:spacing w:before="0" w:beforeAutospacing="0" w:after="0" w:afterAutospacing="0" w:line="360" w:lineRule="auto"/>
        <w:ind w:firstLine="480" w:firstLineChars="200"/>
        <w:rPr>
          <w:rFonts w:cs="宋体"/>
          <w:snapToGrid w:val="0"/>
          <w:color w:val="auto"/>
          <w:highlight w:val="none"/>
        </w:rPr>
      </w:pPr>
      <w:r>
        <w:rPr>
          <w:rFonts w:hint="eastAsia" w:cs="宋体"/>
          <w:snapToGrid w:val="0"/>
          <w:color w:val="auto"/>
          <w:highlight w:val="none"/>
        </w:rPr>
        <w:t>10.2由于乙方的成果文件的完整性及有效性问题、设计错误、对设计基础资料选用不当、专业间接口出现矛盾等造成的设计更改（包括因此而发生的甲方另外发包的专项工程设计变更），乙方应按照甲方规定的时间提交设计变更。</w:t>
      </w:r>
    </w:p>
    <w:p w14:paraId="7DF572C4">
      <w:pPr>
        <w:pStyle w:val="17"/>
        <w:adjustRightInd w:val="0"/>
        <w:snapToGrid w:val="0"/>
        <w:spacing w:before="0" w:beforeAutospacing="0" w:after="0" w:afterAutospacing="0" w:line="360" w:lineRule="auto"/>
        <w:ind w:firstLine="480" w:firstLineChars="200"/>
        <w:rPr>
          <w:rFonts w:cs="宋体"/>
          <w:snapToGrid w:val="0"/>
          <w:color w:val="auto"/>
          <w:highlight w:val="none"/>
        </w:rPr>
      </w:pPr>
      <w:r>
        <w:rPr>
          <w:rFonts w:hint="eastAsia" w:cs="宋体"/>
          <w:snapToGrid w:val="0"/>
          <w:color w:val="auto"/>
          <w:highlight w:val="none"/>
        </w:rPr>
        <w:t>10.3乙方应充分考虑中国的施工安装条件和水平、材料供应的条件（即充分考虑设计与施工的衔接），若由于设计错误导致无法施工或采购材料，乙方应无条件修改或重新设计。</w:t>
      </w:r>
    </w:p>
    <w:p w14:paraId="7B1BFB32">
      <w:pPr>
        <w:pStyle w:val="17"/>
        <w:adjustRightInd w:val="0"/>
        <w:snapToGrid w:val="0"/>
        <w:spacing w:before="0" w:beforeAutospacing="0" w:after="0" w:afterAutospacing="0" w:line="360" w:lineRule="auto"/>
        <w:ind w:firstLine="480" w:firstLineChars="200"/>
        <w:rPr>
          <w:rFonts w:cs="宋体"/>
          <w:snapToGrid w:val="0"/>
          <w:color w:val="auto"/>
          <w:highlight w:val="none"/>
        </w:rPr>
      </w:pPr>
      <w:r>
        <w:rPr>
          <w:rFonts w:hint="eastAsia" w:cs="宋体"/>
          <w:snapToGrid w:val="0"/>
          <w:color w:val="auto"/>
          <w:highlight w:val="none"/>
        </w:rPr>
        <w:t>10.4乙方负责根据国家及地方的相关规范、规定及</w:t>
      </w:r>
      <w:r>
        <w:rPr>
          <w:rFonts w:hint="eastAsia" w:cs="宋体"/>
          <w:color w:val="auto"/>
          <w:highlight w:val="none"/>
        </w:rPr>
        <w:t>甲方设计变更管理办法</w:t>
      </w:r>
      <w:r>
        <w:rPr>
          <w:rFonts w:hint="eastAsia" w:cs="宋体"/>
          <w:snapToGrid w:val="0"/>
          <w:color w:val="auto"/>
          <w:highlight w:val="none"/>
        </w:rPr>
        <w:t>对本合同实施过程中产生的图纸会审记录进行审核；图纸会审记录中的内容须乙方核准并转化为设计变更后方可作为正式的设计文件执行。</w:t>
      </w:r>
    </w:p>
    <w:p w14:paraId="37BB0787">
      <w:pPr>
        <w:pStyle w:val="17"/>
        <w:adjustRightInd w:val="0"/>
        <w:snapToGrid w:val="0"/>
        <w:spacing w:before="0" w:beforeAutospacing="0" w:after="0" w:afterAutospacing="0" w:line="360" w:lineRule="auto"/>
        <w:ind w:firstLine="480" w:firstLineChars="200"/>
        <w:rPr>
          <w:rFonts w:cs="宋体"/>
          <w:snapToGrid w:val="0"/>
          <w:color w:val="auto"/>
          <w:highlight w:val="none"/>
        </w:rPr>
      </w:pPr>
      <w:r>
        <w:rPr>
          <w:rFonts w:hint="eastAsia" w:cs="宋体"/>
          <w:snapToGrid w:val="0"/>
          <w:color w:val="auto"/>
          <w:highlight w:val="none"/>
        </w:rPr>
        <w:t>10.5乙方应在设计变更正式发出前对可能的方案进行比选，综合考虑工期、质量、造价等方面的因素，确保设计变更的经济性及有效性。</w:t>
      </w:r>
    </w:p>
    <w:p w14:paraId="6A0D371B">
      <w:pPr>
        <w:pStyle w:val="17"/>
        <w:adjustRightInd w:val="0"/>
        <w:snapToGrid w:val="0"/>
        <w:spacing w:before="0" w:beforeAutospacing="0" w:after="0" w:afterAutospacing="0" w:line="360" w:lineRule="auto"/>
        <w:ind w:firstLine="480" w:firstLineChars="200"/>
        <w:rPr>
          <w:rFonts w:cs="宋体"/>
          <w:snapToGrid w:val="0"/>
          <w:color w:val="auto"/>
          <w:highlight w:val="none"/>
        </w:rPr>
      </w:pPr>
      <w:r>
        <w:rPr>
          <w:rFonts w:hint="eastAsia" w:cs="宋体"/>
          <w:snapToGrid w:val="0"/>
          <w:color w:val="auto"/>
          <w:highlight w:val="none"/>
        </w:rPr>
        <w:t>10.6乙方应对本合同范围内的设计变更进行预审把关，确保本合同工程设计的总体性、完整性及相关专项设计满足工程投资控制的要求。</w:t>
      </w:r>
    </w:p>
    <w:p w14:paraId="39691DC1">
      <w:pPr>
        <w:pStyle w:val="17"/>
        <w:adjustRightInd w:val="0"/>
        <w:snapToGrid w:val="0"/>
        <w:spacing w:before="0" w:beforeAutospacing="0" w:after="0" w:afterAutospacing="0" w:line="360" w:lineRule="auto"/>
        <w:ind w:firstLine="480" w:firstLineChars="200"/>
        <w:rPr>
          <w:rFonts w:cs="宋体"/>
          <w:snapToGrid w:val="0"/>
          <w:color w:val="auto"/>
          <w:highlight w:val="none"/>
        </w:rPr>
      </w:pPr>
      <w:r>
        <w:rPr>
          <w:rFonts w:hint="eastAsia" w:cs="宋体"/>
          <w:snapToGrid w:val="0"/>
          <w:color w:val="auto"/>
          <w:highlight w:val="none"/>
        </w:rPr>
        <w:t>10.7 乙方应对本合同范围内的设计变更的完整性、有效性、正确性、可靠性、可操作性、经济性负总体责任，乙方应按甲方设计变更管理办法的相关要求对设计变更进行管理，不得随意分拆、合并设计变更。</w:t>
      </w:r>
    </w:p>
    <w:p w14:paraId="166E1F5C">
      <w:pPr>
        <w:pStyle w:val="17"/>
        <w:adjustRightInd w:val="0"/>
        <w:snapToGrid w:val="0"/>
        <w:spacing w:before="0" w:beforeAutospacing="0" w:after="0" w:afterAutospacing="0" w:line="360" w:lineRule="auto"/>
        <w:ind w:firstLine="480" w:firstLineChars="200"/>
        <w:rPr>
          <w:rFonts w:cs="宋体"/>
          <w:color w:val="auto"/>
          <w:highlight w:val="none"/>
        </w:rPr>
      </w:pPr>
      <w:r>
        <w:rPr>
          <w:rFonts w:hint="eastAsia" w:cs="宋体"/>
          <w:snapToGrid w:val="0"/>
          <w:color w:val="auto"/>
          <w:highlight w:val="none"/>
        </w:rPr>
        <w:t>10.8</w:t>
      </w:r>
      <w:r>
        <w:rPr>
          <w:rFonts w:hint="eastAsia" w:cs="宋体"/>
          <w:color w:val="auto"/>
          <w:highlight w:val="none"/>
        </w:rPr>
        <w:t>乙方应准确判定设计变更的类别，对因设计变更而引起的工程造价变化须提出概算造价分析，提交设计变更对工期影响评估的书面意见。</w:t>
      </w:r>
    </w:p>
    <w:p w14:paraId="40424554">
      <w:pPr>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10.9 乙方有关设计的任何修改、变动或由于修改设计所引起的工艺、技术、材料、设备的变更均须经过甲方的同意。</w:t>
      </w:r>
    </w:p>
    <w:p w14:paraId="41649F80">
      <w:pPr>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10.10 乙方承诺能够根据工程需要修改设计，且修改设计完成时限满足工程建设需要并符合本合同要求。</w:t>
      </w:r>
    </w:p>
    <w:p w14:paraId="317D3330">
      <w:pPr>
        <w:pStyle w:val="17"/>
        <w:adjustRightInd w:val="0"/>
        <w:snapToGrid w:val="0"/>
        <w:spacing w:before="0" w:beforeAutospacing="0" w:after="0" w:afterAutospacing="0" w:line="360" w:lineRule="auto"/>
        <w:ind w:firstLine="600" w:firstLineChars="200"/>
        <w:rPr>
          <w:rFonts w:cs="宋体"/>
          <w:snapToGrid w:val="0"/>
          <w:color w:val="auto"/>
          <w:sz w:val="30"/>
          <w:szCs w:val="30"/>
          <w:highlight w:val="none"/>
        </w:rPr>
      </w:pPr>
    </w:p>
    <w:p w14:paraId="12FE8F8A">
      <w:pPr>
        <w:pStyle w:val="3"/>
        <w:rPr>
          <w:color w:val="auto"/>
          <w:highlight w:val="none"/>
        </w:rPr>
      </w:pPr>
      <w:bookmarkStart w:id="88" w:name="_Toc19409"/>
      <w:bookmarkStart w:id="89" w:name="_Toc25233"/>
      <w:bookmarkStart w:id="90" w:name="_Toc21198"/>
      <w:r>
        <w:rPr>
          <w:rFonts w:hint="eastAsia"/>
          <w:color w:val="auto"/>
          <w:highlight w:val="none"/>
        </w:rPr>
        <w:t>第六章</w:t>
      </w:r>
      <w:r>
        <w:rPr>
          <w:color w:val="auto"/>
          <w:highlight w:val="none"/>
        </w:rPr>
        <w:t xml:space="preserve"> </w:t>
      </w:r>
      <w:r>
        <w:rPr>
          <w:rFonts w:hint="eastAsia"/>
          <w:color w:val="auto"/>
          <w:highlight w:val="none"/>
        </w:rPr>
        <w:t>工程投资控制</w:t>
      </w:r>
      <w:bookmarkEnd w:id="88"/>
      <w:bookmarkEnd w:id="89"/>
      <w:bookmarkEnd w:id="90"/>
    </w:p>
    <w:p w14:paraId="4C76CBCC">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bookmarkStart w:id="91" w:name="_Toc7302"/>
      <w:bookmarkStart w:id="92" w:name="_Toc938"/>
      <w:bookmarkStart w:id="93" w:name="_Toc31423"/>
      <w:r>
        <w:rPr>
          <w:rFonts w:hint="eastAsia" w:asciiTheme="minorEastAsia" w:hAnsiTheme="minorEastAsia" w:eastAsiaTheme="minorEastAsia" w:cstheme="minorEastAsia"/>
          <w:b w:val="0"/>
          <w:bCs w:val="0"/>
          <w:snapToGrid w:val="0"/>
          <w:color w:val="auto"/>
          <w:highlight w:val="none"/>
        </w:rPr>
        <w:t>11 工程投资控制</w:t>
      </w:r>
      <w:bookmarkEnd w:id="91"/>
      <w:bookmarkEnd w:id="92"/>
      <w:bookmarkEnd w:id="93"/>
    </w:p>
    <w:p w14:paraId="6ED007A9">
      <w:pPr>
        <w:adjustRightInd w:val="0"/>
        <w:snapToGrid w:val="0"/>
        <w:spacing w:line="360" w:lineRule="auto"/>
        <w:ind w:firstLine="480" w:firstLineChars="200"/>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11.1乙方承诺在不降低设计任务书中的主要设计指标的前提下，确保工程设计概算不超过政府主管部门核准的工程投资估算总额，施工图预算不超过有权审核部门审定工程设计概算中的建安工程费总额。</w:t>
      </w:r>
    </w:p>
    <w:p w14:paraId="2065A2DC">
      <w:pPr>
        <w:adjustRightInd w:val="0"/>
        <w:snapToGrid w:val="0"/>
        <w:spacing w:line="360" w:lineRule="auto"/>
        <w:ind w:firstLine="480" w:firstLineChars="200"/>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11.2乙方应保证所提供的初步设计成果文件中的工程设计概算的准确性。工程设计概算应是依据初步设计中主要材料及设备的量、价清单编制的，是客观、准确、可行的，并已包括依据国家、广东省、广州市有关法律、行政法规和政策性造价管理文件所规定的所有计费内容。甲方及时提供与本合同工程有关的资料和协助。如编制过程中图纸发生调整，乙方应据此相应对造价编制成果进行调整并及时报送甲方，确保招标计划的顺利实施。</w:t>
      </w:r>
    </w:p>
    <w:p w14:paraId="48301D4C">
      <w:pPr>
        <w:adjustRightInd w:val="0"/>
        <w:snapToGrid w:val="0"/>
        <w:spacing w:line="360" w:lineRule="auto"/>
        <w:ind w:firstLine="480" w:firstLineChars="200"/>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11.3乙方须保证造价编制成果与</w:t>
      </w:r>
      <w:r>
        <w:rPr>
          <w:rFonts w:hint="eastAsia" w:asciiTheme="minorEastAsia" w:hAnsiTheme="minorEastAsia" w:eastAsiaTheme="minorEastAsia" w:cstheme="minorEastAsia"/>
          <w:color w:val="auto"/>
          <w:sz w:val="24"/>
          <w:highlight w:val="none"/>
        </w:rPr>
        <w:t>甲方（或其委托的复核人）或财政、审计等部门审核（或复核）结果</w:t>
      </w:r>
      <w:r>
        <w:rPr>
          <w:rFonts w:hint="eastAsia" w:asciiTheme="minorEastAsia" w:hAnsiTheme="minorEastAsia" w:eastAsiaTheme="minorEastAsia" w:cstheme="minorEastAsia"/>
          <w:snapToGrid w:val="0"/>
          <w:color w:val="auto"/>
          <w:kern w:val="0"/>
          <w:sz w:val="24"/>
          <w:highlight w:val="none"/>
        </w:rPr>
        <w:t>的误差不超过±10%，确保满足甲方对工程投资控制的要求。</w:t>
      </w:r>
    </w:p>
    <w:p w14:paraId="02FB5CF9">
      <w:pPr>
        <w:adjustRightInd w:val="0"/>
        <w:snapToGrid w:val="0"/>
        <w:spacing w:line="360" w:lineRule="auto"/>
        <w:ind w:firstLine="480" w:firstLineChars="200"/>
        <w:rPr>
          <w:rFonts w:asciiTheme="minorEastAsia" w:hAnsiTheme="minorEastAsia" w:eastAsiaTheme="minorEastAsia" w:cstheme="minorEastAsia"/>
          <w:snapToGrid w:val="0"/>
          <w:color w:val="auto"/>
          <w:kern w:val="0"/>
          <w:sz w:val="24"/>
          <w:highlight w:val="none"/>
          <w:u w:val="single"/>
        </w:rPr>
      </w:pPr>
    </w:p>
    <w:p w14:paraId="2733A568">
      <w:pPr>
        <w:adjustRightInd w:val="0"/>
        <w:snapToGrid w:val="0"/>
        <w:spacing w:line="360" w:lineRule="auto"/>
        <w:jc w:val="center"/>
        <w:rPr>
          <w:rFonts w:ascii="宋体" w:hAnsi="宋体"/>
          <w:b/>
          <w:snapToGrid w:val="0"/>
          <w:color w:val="auto"/>
          <w:kern w:val="0"/>
          <w:sz w:val="30"/>
          <w:szCs w:val="30"/>
          <w:highlight w:val="none"/>
        </w:rPr>
      </w:pPr>
    </w:p>
    <w:p w14:paraId="07EF8D8C">
      <w:pPr>
        <w:pStyle w:val="3"/>
        <w:rPr>
          <w:color w:val="auto"/>
          <w:highlight w:val="none"/>
        </w:rPr>
      </w:pPr>
      <w:bookmarkStart w:id="94" w:name="_Toc13472"/>
      <w:bookmarkStart w:id="95" w:name="_Toc10221"/>
      <w:bookmarkStart w:id="96" w:name="_Toc5384"/>
      <w:r>
        <w:rPr>
          <w:rFonts w:hint="eastAsia"/>
          <w:color w:val="auto"/>
          <w:highlight w:val="none"/>
        </w:rPr>
        <w:t>第七章</w:t>
      </w:r>
      <w:r>
        <w:rPr>
          <w:color w:val="auto"/>
          <w:highlight w:val="none"/>
        </w:rPr>
        <w:t xml:space="preserve">  </w:t>
      </w:r>
      <w:r>
        <w:rPr>
          <w:rFonts w:hint="eastAsia"/>
          <w:color w:val="auto"/>
          <w:highlight w:val="none"/>
        </w:rPr>
        <w:t>勘察</w:t>
      </w:r>
      <w:bookmarkEnd w:id="94"/>
      <w:bookmarkEnd w:id="95"/>
      <w:bookmarkEnd w:id="96"/>
    </w:p>
    <w:p w14:paraId="0F1F99EC">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bookmarkStart w:id="97" w:name="_Hlk132659654"/>
      <w:r>
        <w:rPr>
          <w:rFonts w:hint="eastAsia" w:asciiTheme="minorEastAsia" w:hAnsiTheme="minorEastAsia" w:eastAsiaTheme="minorEastAsia" w:cstheme="minorEastAsia"/>
          <w:b w:val="0"/>
          <w:bCs w:val="0"/>
          <w:snapToGrid w:val="0"/>
          <w:color w:val="auto"/>
          <w:highlight w:val="none"/>
        </w:rPr>
        <w:t>12.1．地质勘察阶段包括建设内容对应的初勘、详勘、施工勘察、超前钻（若有）四阶段，各阶段地质勘察内容与要求执行现行的《岩土工程勘察规范》及国家现行有关标准、规范的要求。</w:t>
      </w:r>
    </w:p>
    <w:p w14:paraId="104BA984">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12.2．设计单位需对勘察成果予以分析，提出是否需要验证的建议和意见。</w:t>
      </w:r>
    </w:p>
    <w:p w14:paraId="2026D8E4">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12.3．设计和施工配合时，勘察应当参与施工验槽，及时解决工程设计和施工中与勘察工作有关的问题，施工过程中对桩型收桩判断过程中，如有必要应派人员驻场参与收桩验收（以甲方要求为准）；应当参与建设工程质量事故的分析，并对因勘察原因造成的质量事故，提出相应的技术处理方案。</w:t>
      </w:r>
    </w:p>
    <w:p w14:paraId="20CADDAD">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12.4．针对项目场地采用的勘察技术方案（包括勘察手段、方法、工艺及原位测试、土工试验等），提出本次勘察工作的难点及建议。</w:t>
      </w:r>
    </w:p>
    <w:p w14:paraId="54A0C858">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12.5．满足设计工期要求，如果延误工期，严格按照合同专用条款的约定承担违约责任。</w:t>
      </w:r>
    </w:p>
    <w:p w14:paraId="7F4A12BB">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12.6．原始资料记录应当在勘察过程中及时整理、核对，确保取样、记录的真实、准确和完整，严禁离开现场追记或者补记。记录员对记录数据的真实性负责，并承担相应的法律责任，记录员不在现场不得开钻施工。原始记录按相关表格要求填写，钻孔结束后当天提交原始记录表格。记录员在开钻时、终孔时对现场进行拍照记录及全过程作业现场录像，并对勘察机械设备进出场时间记录，拍照记录按相关表格要求填写。</w:t>
      </w:r>
    </w:p>
    <w:p w14:paraId="40997249">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12.7．勘察设计单位应当按照《广东省建设工程勘察设计管理条例》和相关标准开展勘察设计工作，应当建立和健全勘察设计质量保证体系，建立完善的勘察报告和设计文件的内部审查制度，加强勘察设计全过程的质量控制，明确各阶段的责任人</w:t>
      </w:r>
      <w:bookmarkEnd w:id="97"/>
      <w:r>
        <w:rPr>
          <w:rFonts w:hint="eastAsia" w:asciiTheme="minorEastAsia" w:hAnsiTheme="minorEastAsia" w:eastAsiaTheme="minorEastAsia" w:cstheme="minorEastAsia"/>
          <w:b w:val="0"/>
          <w:bCs w:val="0"/>
          <w:snapToGrid w:val="0"/>
          <w:color w:val="auto"/>
          <w:highlight w:val="none"/>
        </w:rPr>
        <w:t>。</w:t>
      </w:r>
    </w:p>
    <w:p w14:paraId="460CD63D">
      <w:pPr>
        <w:ind w:firstLine="480" w:firstLineChars="200"/>
        <w:rPr>
          <w:rFonts w:asciiTheme="minorEastAsia" w:hAnsiTheme="minorEastAsia" w:eastAsiaTheme="minorEastAsia" w:cstheme="minorEastAsia"/>
          <w:snapToGrid w:val="0"/>
          <w:color w:val="auto"/>
          <w:sz w:val="24"/>
          <w:szCs w:val="32"/>
          <w:highlight w:val="none"/>
        </w:rPr>
      </w:pPr>
      <w:r>
        <w:rPr>
          <w:rFonts w:hint="eastAsia" w:asciiTheme="minorEastAsia" w:hAnsiTheme="minorEastAsia" w:eastAsiaTheme="minorEastAsia" w:cstheme="minorEastAsia"/>
          <w:snapToGrid w:val="0"/>
          <w:color w:val="auto"/>
          <w:sz w:val="24"/>
          <w:szCs w:val="32"/>
          <w:highlight w:val="none"/>
        </w:rPr>
        <w:t>12.8如有最新的规范要求的，按新的规范要求执行。</w:t>
      </w:r>
    </w:p>
    <w:p w14:paraId="0D0E529F">
      <w:pPr>
        <w:adjustRightInd w:val="0"/>
        <w:snapToGrid w:val="0"/>
        <w:spacing w:line="360" w:lineRule="auto"/>
        <w:ind w:firstLine="480" w:firstLineChars="200"/>
        <w:rPr>
          <w:rFonts w:ascii="宋体" w:hAnsi="宋体"/>
          <w:snapToGrid w:val="0"/>
          <w:color w:val="auto"/>
          <w:kern w:val="0"/>
          <w:sz w:val="24"/>
          <w:highlight w:val="none"/>
        </w:rPr>
      </w:pPr>
    </w:p>
    <w:p w14:paraId="4251BEBC">
      <w:pPr>
        <w:adjustRightInd w:val="0"/>
        <w:snapToGrid w:val="0"/>
        <w:spacing w:line="360" w:lineRule="auto"/>
        <w:ind w:firstLine="480" w:firstLineChars="200"/>
        <w:rPr>
          <w:rFonts w:ascii="宋体" w:hAnsi="宋体"/>
          <w:snapToGrid w:val="0"/>
          <w:color w:val="auto"/>
          <w:kern w:val="0"/>
          <w:sz w:val="24"/>
          <w:highlight w:val="none"/>
        </w:rPr>
      </w:pPr>
    </w:p>
    <w:p w14:paraId="0631EFC9">
      <w:pPr>
        <w:adjustRightInd w:val="0"/>
        <w:snapToGrid w:val="0"/>
        <w:spacing w:line="360" w:lineRule="auto"/>
        <w:ind w:firstLine="480" w:firstLineChars="200"/>
        <w:rPr>
          <w:rFonts w:ascii="宋体" w:hAnsi="宋体"/>
          <w:snapToGrid w:val="0"/>
          <w:color w:val="auto"/>
          <w:kern w:val="0"/>
          <w:sz w:val="24"/>
          <w:highlight w:val="none"/>
        </w:rPr>
      </w:pPr>
    </w:p>
    <w:p w14:paraId="5A8FCDE9">
      <w:pPr>
        <w:adjustRightInd w:val="0"/>
        <w:snapToGrid w:val="0"/>
        <w:spacing w:line="360" w:lineRule="auto"/>
        <w:ind w:firstLine="480" w:firstLineChars="200"/>
        <w:rPr>
          <w:rFonts w:ascii="宋体" w:hAnsi="宋体"/>
          <w:snapToGrid w:val="0"/>
          <w:color w:val="auto"/>
          <w:kern w:val="0"/>
          <w:sz w:val="24"/>
          <w:highlight w:val="none"/>
        </w:rPr>
      </w:pPr>
    </w:p>
    <w:p w14:paraId="4ED87287">
      <w:pPr>
        <w:pStyle w:val="3"/>
        <w:rPr>
          <w:color w:val="auto"/>
          <w:highlight w:val="none"/>
        </w:rPr>
      </w:pPr>
      <w:bookmarkStart w:id="98" w:name="_Toc25106"/>
      <w:bookmarkStart w:id="99" w:name="_Toc10749"/>
      <w:bookmarkStart w:id="100" w:name="_Toc2448"/>
      <w:r>
        <w:rPr>
          <w:rFonts w:hint="eastAsia"/>
          <w:color w:val="auto"/>
          <w:highlight w:val="none"/>
        </w:rPr>
        <w:t>第八章</w:t>
      </w:r>
      <w:r>
        <w:rPr>
          <w:color w:val="auto"/>
          <w:highlight w:val="none"/>
        </w:rPr>
        <w:t xml:space="preserve">  </w:t>
      </w:r>
      <w:r>
        <w:rPr>
          <w:rFonts w:hint="eastAsia"/>
          <w:color w:val="auto"/>
          <w:highlight w:val="none"/>
        </w:rPr>
        <w:t>双方的权利与义务</w:t>
      </w:r>
      <w:bookmarkEnd w:id="98"/>
      <w:bookmarkEnd w:id="99"/>
      <w:bookmarkEnd w:id="100"/>
    </w:p>
    <w:p w14:paraId="0BE99642">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bookmarkStart w:id="101" w:name="_Toc13642"/>
      <w:bookmarkStart w:id="102" w:name="_Toc16261"/>
      <w:bookmarkStart w:id="103" w:name="_Toc20833"/>
      <w:r>
        <w:rPr>
          <w:rFonts w:hint="eastAsia" w:asciiTheme="minorEastAsia" w:hAnsiTheme="minorEastAsia" w:eastAsiaTheme="minorEastAsia" w:cstheme="minorEastAsia"/>
          <w:b w:val="0"/>
          <w:bCs w:val="0"/>
          <w:snapToGrid w:val="0"/>
          <w:color w:val="auto"/>
          <w:highlight w:val="none"/>
        </w:rPr>
        <w:t>13甲方的权利与义务</w:t>
      </w:r>
      <w:bookmarkEnd w:id="101"/>
      <w:bookmarkEnd w:id="102"/>
      <w:bookmarkEnd w:id="103"/>
    </w:p>
    <w:p w14:paraId="6F2248A6">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13.1甲方的权利：</w:t>
      </w:r>
    </w:p>
    <w:p w14:paraId="36B8B661">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（1）享有乙方勘察、设计文件的版权和全部使用权。</w:t>
      </w:r>
    </w:p>
    <w:p w14:paraId="4C9EDE3E">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2）乙方在勘察-设计进度、勘察-设计质量、指派人员、提供服务、协作等方面义务的履行不符合本合同约定时，甲方有追究违约责任、要求赔偿损失、直至解除合同等权利；同时，甲方还有权将乙方存在的上述违约事实公诸于众和向有关部门反映情况。</w:t>
      </w:r>
    </w:p>
    <w:p w14:paraId="1249FABE">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（3） 甲方有权聘请施工图审查单位作为本合同工程的勘察、设计咨询单位，乙方应接受该施工图审查单位按照相关勘察、设计咨询法规和甲方赋予的权利所进行的咨询工作。</w:t>
      </w:r>
    </w:p>
    <w:p w14:paraId="2450A59F">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（4）勘察、设计变更的审批权，勘察、设计进度的监督权。</w:t>
      </w:r>
    </w:p>
    <w:p w14:paraId="6D2C6570">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（5）其他依据合同和法律规定属于甲方的权利。</w:t>
      </w:r>
    </w:p>
    <w:p w14:paraId="4E0145E2">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19.2甲方的义务：</w:t>
      </w:r>
    </w:p>
    <w:p w14:paraId="24F7A4B5">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（1）按本合同约定及时向乙方提供有关资料及文件，甲方提供的资料及文件具体包括但不限于如下内容：</w:t>
      </w:r>
    </w:p>
    <w:p w14:paraId="6562C99E">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 方案阶段提供的资料</w:t>
      </w:r>
    </w:p>
    <w:p w14:paraId="2FA806D1">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①勘察设计任务书；</w:t>
      </w:r>
    </w:p>
    <w:p w14:paraId="349514D3">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②立项批复文件；</w:t>
      </w:r>
    </w:p>
    <w:p w14:paraId="6543C4B0">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③规划建设主管部门对本合同约定项目的规划设计要点；</w:t>
      </w:r>
    </w:p>
    <w:p w14:paraId="2228F891">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④由规划部门认可的用地红线和地形图；</w:t>
      </w:r>
    </w:p>
    <w:p w14:paraId="05696091">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⑤于设计、图档、图文、工程等相关管理办法，具体见附件；</w:t>
      </w:r>
    </w:p>
    <w:p w14:paraId="224F9264">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⑥标委员会的意见、甲方提出的修改意见，和版权属于甲方的其他投标方案。</w:t>
      </w:r>
    </w:p>
    <w:p w14:paraId="2E7C8F08">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2) 初步设计及施工图设计阶段提供的资料</w:t>
      </w:r>
    </w:p>
    <w:p w14:paraId="10705417">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①甲方对于设计方案的修改意见；</w:t>
      </w:r>
    </w:p>
    <w:p w14:paraId="7414BF34">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②政府部门、职能部门审批意见；</w:t>
      </w:r>
    </w:p>
    <w:p w14:paraId="367E0784">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③政府或甲方委托，或组织的评审机构（会议）提出的阶段性书面意见。</w:t>
      </w:r>
    </w:p>
    <w:p w14:paraId="6ABAE606">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3)提供勘察相关的文件、资料</w:t>
      </w:r>
    </w:p>
    <w:p w14:paraId="20C3243B">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①甲方提供的勘察任务书；</w:t>
      </w:r>
    </w:p>
    <w:p w14:paraId="7392638A">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②本项目工程勘察许可等批文(复印件)；</w:t>
      </w:r>
    </w:p>
    <w:p w14:paraId="75B4B3F9">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③勘察范围的建筑总平面布置图（如有），勘察技术要求、技术资料；</w:t>
      </w:r>
    </w:p>
    <w:p w14:paraId="4797D304">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④甲方关于设计、图档、图文、工程等相关管理办法，具体见附件；</w:t>
      </w:r>
    </w:p>
    <w:p w14:paraId="3873D496">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⑤设计和建设过程中的政府审批意见，政府或甲方委托或组织的评审机构（会议）提出的或甲方发出的阶段性书面意见，双方来往的各类书面文件、会议纪要等。</w:t>
      </w:r>
    </w:p>
    <w:p w14:paraId="0322C2A9">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（2）按本合同约定按时支付勘察、设计费。</w:t>
      </w:r>
    </w:p>
    <w:p w14:paraId="1885C870">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（3）甲方变更委托勘察、设计项目、规模、条件或所提交资料作较大修改，以致造成乙方勘察、设计返工时，双方应酌情签订补充协议。</w:t>
      </w:r>
    </w:p>
    <w:p w14:paraId="6F322106">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（4）工程实施前，若甲方负责提供材料的，应根据乙方提出的工程用料计划，按时提供各种材料及其产品合格证明，派人与乙方的人员一起验收。</w:t>
      </w:r>
    </w:p>
    <w:p w14:paraId="1C55E4E9">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（5）按本合同约定的勘察、设计进度和阶段及时将乙方提交的所有勘察、设计文件转送相关部门审批，并根据时间表的规定将必要的审批件交付乙方。</w:t>
      </w:r>
    </w:p>
    <w:p w14:paraId="7E87F2C9">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（6）甲方要求乙方比合同约定时间提前交付勘察、设计文件时，须征得乙方同意，并不得严重背离合理勘察、设计周期。</w:t>
      </w:r>
    </w:p>
    <w:p w14:paraId="4E82435D">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（7）甲方及施工图审查单位在收到乙方有关勘察、设计问题及确认问题的函件后，应在5个工作日内给予书面答复，每次勘察、设计会议纪要应在该次会议结束后两日内书面交付乙方或于相关网站上公布。</w:t>
      </w:r>
    </w:p>
    <w:p w14:paraId="01DC205C">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（8）甲方应在施工现场免费给乙方提供必要的办公用房（不含办公设备）。</w:t>
      </w:r>
    </w:p>
    <w:p w14:paraId="21C11C78">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bookmarkStart w:id="104" w:name="_Toc19691"/>
      <w:bookmarkStart w:id="105" w:name="_Toc2590"/>
      <w:bookmarkStart w:id="106" w:name="_Toc3048"/>
      <w:r>
        <w:rPr>
          <w:rFonts w:hint="eastAsia" w:asciiTheme="minorEastAsia" w:hAnsiTheme="minorEastAsia" w:eastAsiaTheme="minorEastAsia" w:cstheme="minorEastAsia"/>
          <w:b w:val="0"/>
          <w:bCs w:val="0"/>
          <w:snapToGrid w:val="0"/>
          <w:color w:val="auto"/>
          <w:highlight w:val="none"/>
        </w:rPr>
        <w:t>14 乙方的权利与义务</w:t>
      </w:r>
      <w:bookmarkEnd w:id="104"/>
      <w:bookmarkEnd w:id="105"/>
      <w:bookmarkEnd w:id="106"/>
    </w:p>
    <w:p w14:paraId="1E7E4A84">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14.1乙方的权利：</w:t>
      </w:r>
    </w:p>
    <w:p w14:paraId="4B56B4FE">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（1）根据合同约定收取勘察费、设计费。</w:t>
      </w:r>
    </w:p>
    <w:p w14:paraId="7E76D41E">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（2）拥有勘察、设计成果文件的署名权。</w:t>
      </w:r>
    </w:p>
    <w:p w14:paraId="780D28E7">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（3）设计方案、图纸未审批之前，在不影响工期及合同约定的提交成果文件的时间的情况下，有权提出修改方案、图纸的建议。</w:t>
      </w:r>
    </w:p>
    <w:p w14:paraId="30FA8530">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（4）有权依据甲方的意图和本合同工程勘察、设计工作进展情况指令各专业勘察、设计单位按时、按质、按量完成本合同专项工程的勘察、设计工作。</w:t>
      </w:r>
    </w:p>
    <w:p w14:paraId="4B220D19">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14.2 除根据本合同约定的完成勘察、设计工作外，乙方义务还包括但不限于：</w:t>
      </w:r>
    </w:p>
    <w:p w14:paraId="2D93438F">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在勘察、设计及施工过程中，乙方应充分尊重和理解甲方、代表甲方的施工图审查单位对勘察、设计提出的书面意见与要求，如无充分的否定理由应尽快予以处理和实施。对合同没有约定的部分和没有描述的部分，双方应另行协商。</w:t>
      </w:r>
    </w:p>
    <w:p w14:paraId="21CAE5D4">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（2）在勘察、设计各阶段，乙方应根据甲方或有权审核部门的意见，及时修改、完善勘察、设计，负责完成由于勘察、设计失误未获有权审核部门批准而出现的反复修改的工作。</w:t>
      </w:r>
    </w:p>
    <w:p w14:paraId="1615D79A">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（3）乙方不享有对勘察、设计文件的留置权，由乙方完成的勘察、设计文件应依据本合同约定的时间提交给甲方的，不得拒绝或拖延向甲方提交。</w:t>
      </w:r>
    </w:p>
    <w:p w14:paraId="7C7C9B5A">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（4）乙方应加强对勘察、设计和管理服务人员职业操守的教育，恪守职业道德守则，并严格遵守下列规定：</w:t>
      </w:r>
    </w:p>
    <w:p w14:paraId="65B6BE36">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1）严防重产值、轻质量倾向，确保公众人身及财产安全；</w:t>
      </w:r>
    </w:p>
    <w:p w14:paraId="0BDB34FC">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2）强化勘察设计安全管理工作，避免因乙方人员自身原因造成合同双方及第三方人身伤害或财产损失，如造成前述后果的，乙方应自行承担由此引发的全部经济和法律责任；</w:t>
      </w:r>
    </w:p>
    <w:p w14:paraId="47DED497">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3）禁止与材料、设备供应商串通，设计中选用价高质次的材料、设备；</w:t>
      </w:r>
    </w:p>
    <w:p w14:paraId="0A83B576">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4）禁止与材料、设备供应商串通，在材料、设备的监造或调试过程中对不合格材料、设备产品进行包庇或以次充好，提高产品验收级别；</w:t>
      </w:r>
    </w:p>
    <w:p w14:paraId="509D9F9A">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5）禁止与施工单位串通，对不合格材料、设备、产品、工程进行包庇及验收；</w:t>
      </w:r>
    </w:p>
    <w:p w14:paraId="2DF1C8B6">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6）禁止与施工单位串通，对材料用量、工程量进行虚假签认；</w:t>
      </w:r>
    </w:p>
    <w:p w14:paraId="7B478752">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7）禁止与施工单位串通，不合理提高施工难度及增加材料用量，以增大施工费用，获取不正当收益。</w:t>
      </w:r>
    </w:p>
    <w:p w14:paraId="49961981">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（5）其他依据法律规定和本合同约定应由乙方履行的义务。</w:t>
      </w:r>
    </w:p>
    <w:p w14:paraId="6CDF9920">
      <w:pPr>
        <w:adjustRightInd w:val="0"/>
        <w:snapToGrid w:val="0"/>
        <w:spacing w:line="360" w:lineRule="auto"/>
        <w:ind w:firstLine="480" w:firstLineChars="200"/>
        <w:rPr>
          <w:rFonts w:ascii="宋体" w:hAnsi="宋体"/>
          <w:snapToGrid w:val="0"/>
          <w:color w:val="auto"/>
          <w:kern w:val="0"/>
          <w:sz w:val="24"/>
          <w:highlight w:val="none"/>
        </w:rPr>
      </w:pPr>
      <w:bookmarkStart w:id="107" w:name="_Toc15198"/>
      <w:bookmarkStart w:id="108" w:name="_Toc1513"/>
      <w:bookmarkStart w:id="109" w:name="_Toc2132"/>
    </w:p>
    <w:p w14:paraId="1471CEA7">
      <w:pPr>
        <w:adjustRightInd w:val="0"/>
        <w:snapToGrid w:val="0"/>
        <w:spacing w:line="360" w:lineRule="auto"/>
        <w:ind w:firstLine="480" w:firstLineChars="200"/>
        <w:rPr>
          <w:rFonts w:ascii="宋体" w:hAnsi="宋体"/>
          <w:snapToGrid w:val="0"/>
          <w:color w:val="auto"/>
          <w:kern w:val="0"/>
          <w:sz w:val="24"/>
          <w:highlight w:val="none"/>
        </w:rPr>
      </w:pPr>
    </w:p>
    <w:p w14:paraId="7C6A4747">
      <w:pPr>
        <w:adjustRightInd w:val="0"/>
        <w:snapToGrid w:val="0"/>
        <w:spacing w:line="360" w:lineRule="auto"/>
        <w:ind w:firstLine="480" w:firstLineChars="200"/>
        <w:rPr>
          <w:rFonts w:ascii="宋体" w:hAnsi="宋体"/>
          <w:snapToGrid w:val="0"/>
          <w:color w:val="auto"/>
          <w:kern w:val="0"/>
          <w:sz w:val="24"/>
          <w:highlight w:val="none"/>
        </w:rPr>
      </w:pPr>
    </w:p>
    <w:p w14:paraId="22D1E863">
      <w:pPr>
        <w:rPr>
          <w:color w:val="auto"/>
          <w:highlight w:val="none"/>
        </w:rPr>
      </w:pPr>
    </w:p>
    <w:p w14:paraId="73FEF1C5">
      <w:pPr>
        <w:pStyle w:val="25"/>
        <w:rPr>
          <w:color w:val="auto"/>
          <w:highlight w:val="none"/>
        </w:rPr>
      </w:pPr>
    </w:p>
    <w:p w14:paraId="0FDFE113">
      <w:pPr>
        <w:widowControl/>
        <w:jc w:val="left"/>
        <w:rPr>
          <w:color w:val="auto"/>
          <w:highlight w:val="none"/>
        </w:rPr>
      </w:pPr>
      <w:r>
        <w:rPr>
          <w:color w:val="auto"/>
          <w:highlight w:val="none"/>
        </w:rPr>
        <w:br w:type="page"/>
      </w:r>
    </w:p>
    <w:p w14:paraId="2B92F8F0">
      <w:pPr>
        <w:pStyle w:val="3"/>
        <w:rPr>
          <w:rFonts w:asciiTheme="minorEastAsia" w:hAnsiTheme="minorEastAsia" w:eastAsiaTheme="minorEastAsia" w:cstheme="minorEastAsia"/>
          <w:b w:val="0"/>
          <w:bCs w:val="0"/>
          <w:color w:val="auto"/>
          <w:highlight w:val="none"/>
        </w:rPr>
      </w:pPr>
      <w:r>
        <w:rPr>
          <w:rFonts w:hint="eastAsia"/>
          <w:color w:val="auto"/>
          <w:highlight w:val="none"/>
        </w:rPr>
        <w:t>第九章  违约责任</w:t>
      </w:r>
      <w:bookmarkEnd w:id="107"/>
      <w:bookmarkEnd w:id="108"/>
      <w:bookmarkEnd w:id="109"/>
    </w:p>
    <w:p w14:paraId="07CF60E0">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15 双方违约责任</w:t>
      </w:r>
    </w:p>
    <w:p w14:paraId="141C8939">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15.1 发包人、代建单位违约责任</w:t>
      </w:r>
    </w:p>
    <w:p w14:paraId="173B4DE9">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15.1.1 发包人支付设计人的违约金：</w:t>
      </w:r>
    </w:p>
    <w:p w14:paraId="2F7272C7">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在合同履行期间，发包人、代建单位要求终止或解除合同，设计人未开始设计工作的，需退还发包人已支付的预付款；已开始设计工作的，发包人、代建单位应根据设计人已进行的实际工作量，不足一半时，按该阶段设计费的一半支付；超过一半时，按该阶段设计费的全部支付。</w:t>
      </w:r>
    </w:p>
    <w:p w14:paraId="331705AA">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（2）发包人的上级、代建单位或设计审批部门对设计文件不审批或本合同项目停缓建，发包人均按15.1.1中（1）条规定支付设计费。</w:t>
      </w:r>
    </w:p>
    <w:p w14:paraId="6DD97538">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15.2 设计人违约责任</w:t>
      </w:r>
    </w:p>
    <w:p w14:paraId="04BDDE7B">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15.2.1 设计人支付发包人的违约金：</w:t>
      </w:r>
    </w:p>
    <w:p w14:paraId="47B36801">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由于设计人原因造成勘察成果资料质量不合格，不能满足技术要求时，设计人应负责无偿给予补充完善使其达到质量合格；若设计人无力补充完善，需另委托其他单位时，设计人应承担全部勘察费用；或因勘察质量造成重大经济损失或工程事故时，设计人除应负法律责任和免收直接受损失部分的勘察费，并根据损失程度向发包人支付赔偿金，赔偿金由发包人、设计人商定为不超本合同总价款30%的实际损失金额。</w:t>
      </w:r>
    </w:p>
    <w:p w14:paraId="5F35DC52">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2）发包人、代建单位要求勘察设计人必须派代表（主要勘察、设计人员、概算编制人员以上）参加工地例会及准时参加发包人、代建单位临时通知的各种会议，无故缺席（需书面请假）或代表不满足要求的按每次处罚2000元，在当期应付款中扣除；如无故缺席或代表不满足要求的次数超过5次，按每次4000元予以处罚，在当期应付款中扣除。</w:t>
      </w:r>
    </w:p>
    <w:p w14:paraId="453A2567">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（3）合同生效后，设计人要求终止或解除合同，设计人应返还发包人已支付款项并赔偿因此为发包人带来的误期、重新招标等各项实际损失。</w:t>
      </w:r>
    </w:p>
    <w:p w14:paraId="15B4993C">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4）设计人对设计资料及文件出现的遗漏或错误负责修改或补充。由于设计人员错误造成工程质量事故损失，设计人除负责采取补救措施外，应免收直接受损失部分的设计费，损失严重（超过2万）的根据损失的程度和设计人责任大小向发包人支付赔偿金，赔偿金由双方商定不超过实际损失的金额。</w:t>
      </w:r>
    </w:p>
    <w:p w14:paraId="1D424339">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15.2.2 设计人逾期交付工程设计文件的违约金：</w:t>
      </w:r>
    </w:p>
    <w:p w14:paraId="082D8F2E">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（1）由于设计人原因未按合同规定时间（日期）提交勘察成果资料，每超过一日，应减收勘察费千分之三 ，发包人有权从未支付款项中直接扣除违约金，误期损害赔偿费的最高限额为最终勘察合同价格的30%。</w:t>
      </w:r>
    </w:p>
    <w:p w14:paraId="24AF37B6">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 xml:space="preserve">（2）由于设计人自身原因，延误了按本合同专用条款6.1,专用条款7.1的设计资料及设计文件的交付时间，设计人向发包人支付的误期损害赔偿费每天为最终设计合同价格的千分之三 ，误期损害赔偿费的最高限额为最终设计合同价格的30%。     </w:t>
      </w:r>
    </w:p>
    <w:p w14:paraId="365611C0">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15.2.4 设计人工程设计文件超出主要技术指标控制值比例的违约责任：本项目实行限额设计。在初步设计阶段，若发现概算超出可研报告批复中工程费用限额，设计人应负责修改设计。设计人未经发包人同意突破合同约定的投资控制要求的，设计人承担一次严重违约责任1次，向发包人交纳违约金30000元/次；设计人应负责修改设计，保证工程总投资控制在合同约定的投资控制要求内。</w:t>
      </w:r>
    </w:p>
    <w:p w14:paraId="0DB1BCE3">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违约金 = A ×（B / C）× 2</w:t>
      </w:r>
    </w:p>
    <w:p w14:paraId="79027DBB">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其中：A - 实际增加的建安工程费；</w:t>
      </w:r>
    </w:p>
    <w:p w14:paraId="4586D769">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B - 本合同设计收费（包括工程设计费及其它设计收费）总额；</w:t>
      </w:r>
    </w:p>
    <w:p w14:paraId="01FF09E4">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C - 本合同工程审定工程设计概算建安工程费总额。</w:t>
      </w:r>
    </w:p>
    <w:p w14:paraId="7016DBEF">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违约金不足以弥补发包人损失的，设计人应继续赔偿。</w:t>
      </w:r>
    </w:p>
    <w:p w14:paraId="5F75215D">
      <w:pPr>
        <w:pStyle w:val="4"/>
        <w:spacing w:line="360" w:lineRule="auto"/>
        <w:ind w:firstLine="480" w:firstLineChars="200"/>
        <w:rPr>
          <w:rFonts w:asciiTheme="minorEastAsia" w:hAnsiTheme="minorEastAsia" w:eastAsiaTheme="minorEastAsia" w:cstheme="minorEastAsia"/>
          <w:b w:val="0"/>
          <w:bCs w:val="0"/>
          <w:snapToGrid w:val="0"/>
          <w:color w:val="auto"/>
          <w:highlight w:val="none"/>
          <w:lang w:val="zh-CN"/>
        </w:rPr>
      </w:pPr>
      <w:r>
        <w:rPr>
          <w:rFonts w:hint="eastAsia" w:asciiTheme="minorEastAsia" w:hAnsiTheme="minorEastAsia" w:eastAsiaTheme="minorEastAsia" w:cstheme="minorEastAsia"/>
          <w:b w:val="0"/>
          <w:bCs w:val="0"/>
          <w:snapToGrid w:val="0"/>
          <w:color w:val="auto"/>
          <w:highlight w:val="none"/>
        </w:rPr>
        <w:t>15.2.5 设计人未经发包人、代建单位同意禁止对工程设计进行分包，擅自对工程设计进行分包的违约责任： 发包人扣除该部分工程的设计费用。</w:t>
      </w:r>
    </w:p>
    <w:p w14:paraId="2B4BA8F1">
      <w:pPr>
        <w:adjustRightInd w:val="0"/>
        <w:snapToGrid w:val="0"/>
        <w:spacing w:line="360" w:lineRule="auto"/>
        <w:ind w:firstLine="470" w:firstLineChars="196"/>
        <w:rPr>
          <w:rFonts w:ascii="宋体" w:hAnsi="宋体" w:cs="宋体"/>
          <w:snapToGrid w:val="0"/>
          <w:color w:val="auto"/>
          <w:kern w:val="0"/>
          <w:sz w:val="24"/>
          <w:highlight w:val="none"/>
          <w:lang w:val="zh-CN"/>
        </w:rPr>
      </w:pPr>
    </w:p>
    <w:p w14:paraId="626100C9">
      <w:pPr>
        <w:adjustRightInd w:val="0"/>
        <w:snapToGrid w:val="0"/>
        <w:spacing w:line="360" w:lineRule="auto"/>
        <w:ind w:right="11"/>
        <w:rPr>
          <w:rFonts w:ascii="宋体" w:hAnsi="宋体"/>
          <w:b/>
          <w:bCs/>
          <w:snapToGrid w:val="0"/>
          <w:color w:val="auto"/>
          <w:kern w:val="0"/>
          <w:sz w:val="24"/>
          <w:highlight w:val="none"/>
        </w:rPr>
      </w:pPr>
    </w:p>
    <w:p w14:paraId="6DB1975F">
      <w:pPr>
        <w:pStyle w:val="3"/>
        <w:rPr>
          <w:color w:val="auto"/>
          <w:highlight w:val="none"/>
        </w:rPr>
      </w:pPr>
      <w:bookmarkStart w:id="110" w:name="_Toc6272"/>
      <w:bookmarkStart w:id="111" w:name="_Toc3740"/>
      <w:bookmarkStart w:id="112" w:name="_Toc9200"/>
      <w:r>
        <w:rPr>
          <w:rFonts w:hint="eastAsia"/>
          <w:color w:val="auto"/>
          <w:highlight w:val="none"/>
        </w:rPr>
        <w:t>第十章</w:t>
      </w:r>
      <w:r>
        <w:rPr>
          <w:color w:val="auto"/>
          <w:highlight w:val="none"/>
        </w:rPr>
        <w:t xml:space="preserve">  </w:t>
      </w:r>
      <w:r>
        <w:rPr>
          <w:rFonts w:hint="eastAsia"/>
          <w:color w:val="auto"/>
          <w:highlight w:val="none"/>
        </w:rPr>
        <w:t>索赔</w:t>
      </w:r>
      <w:bookmarkEnd w:id="110"/>
      <w:bookmarkEnd w:id="111"/>
      <w:bookmarkEnd w:id="112"/>
    </w:p>
    <w:p w14:paraId="1089E51A">
      <w:pPr>
        <w:pStyle w:val="4"/>
        <w:spacing w:line="360" w:lineRule="auto"/>
        <w:ind w:firstLine="480" w:firstLineChars="200"/>
        <w:rPr>
          <w:rFonts w:asciiTheme="minorEastAsia" w:hAnsiTheme="minorEastAsia" w:eastAsiaTheme="minorEastAsia" w:cstheme="minorEastAsia"/>
          <w:b w:val="0"/>
          <w:bCs w:val="0"/>
          <w:snapToGrid w:val="0"/>
          <w:color w:val="auto"/>
          <w:highlight w:val="none"/>
          <w:lang w:val="zh-CN"/>
        </w:rPr>
      </w:pPr>
      <w:bookmarkStart w:id="113" w:name="_Toc21974"/>
      <w:bookmarkStart w:id="114" w:name="_Toc8047"/>
      <w:bookmarkStart w:id="115" w:name="_Toc30677"/>
      <w:r>
        <w:rPr>
          <w:rFonts w:hint="eastAsia" w:asciiTheme="minorEastAsia" w:hAnsiTheme="minorEastAsia" w:eastAsiaTheme="minorEastAsia" w:cstheme="minorEastAsia"/>
          <w:b w:val="0"/>
          <w:bCs w:val="0"/>
          <w:snapToGrid w:val="0"/>
          <w:color w:val="auto"/>
          <w:highlight w:val="none"/>
        </w:rPr>
        <w:t>16</w:t>
      </w:r>
      <w:r>
        <w:rPr>
          <w:rFonts w:hint="eastAsia" w:asciiTheme="minorEastAsia" w:hAnsiTheme="minorEastAsia" w:eastAsiaTheme="minorEastAsia" w:cstheme="minorEastAsia"/>
          <w:b w:val="0"/>
          <w:bCs w:val="0"/>
          <w:snapToGrid w:val="0"/>
          <w:color w:val="auto"/>
          <w:highlight w:val="none"/>
          <w:lang w:val="zh-CN"/>
        </w:rPr>
        <w:t>索赔</w:t>
      </w:r>
      <w:bookmarkEnd w:id="113"/>
      <w:bookmarkEnd w:id="114"/>
      <w:bookmarkEnd w:id="115"/>
    </w:p>
    <w:p w14:paraId="08B0C341">
      <w:pPr>
        <w:pStyle w:val="4"/>
        <w:spacing w:line="360" w:lineRule="auto"/>
        <w:ind w:firstLine="480" w:firstLineChars="200"/>
        <w:rPr>
          <w:rFonts w:asciiTheme="minorEastAsia" w:hAnsiTheme="minorEastAsia" w:eastAsiaTheme="minorEastAsia" w:cstheme="minorEastAsia"/>
          <w:b w:val="0"/>
          <w:bCs w:val="0"/>
          <w:snapToGrid w:val="0"/>
          <w:color w:val="auto"/>
          <w:highlight w:val="none"/>
          <w:lang w:val="zh-CN"/>
        </w:rPr>
      </w:pPr>
      <w:r>
        <w:rPr>
          <w:rFonts w:hint="eastAsia" w:asciiTheme="minorEastAsia" w:hAnsiTheme="minorEastAsia" w:eastAsiaTheme="minorEastAsia" w:cstheme="minorEastAsia"/>
          <w:b w:val="0"/>
          <w:bCs w:val="0"/>
          <w:snapToGrid w:val="0"/>
          <w:color w:val="auto"/>
          <w:highlight w:val="none"/>
        </w:rPr>
        <w:t>16.</w:t>
      </w:r>
      <w:r>
        <w:rPr>
          <w:rFonts w:hint="eastAsia" w:asciiTheme="minorEastAsia" w:hAnsiTheme="minorEastAsia" w:eastAsiaTheme="minorEastAsia" w:cstheme="minorEastAsia"/>
          <w:b w:val="0"/>
          <w:bCs w:val="0"/>
          <w:snapToGrid w:val="0"/>
          <w:color w:val="auto"/>
          <w:highlight w:val="none"/>
          <w:lang w:val="zh-CN"/>
        </w:rPr>
        <w:t>1乙方未能按合同约定履行自己的各项义务或发生错误，甲方按如下约定向乙方索赔：</w:t>
      </w:r>
    </w:p>
    <w:p w14:paraId="1BD635DE">
      <w:pPr>
        <w:pStyle w:val="4"/>
        <w:spacing w:line="360" w:lineRule="auto"/>
        <w:ind w:firstLine="480" w:firstLineChars="200"/>
        <w:rPr>
          <w:rFonts w:asciiTheme="minorEastAsia" w:hAnsiTheme="minorEastAsia" w:eastAsiaTheme="minorEastAsia" w:cstheme="minorEastAsia"/>
          <w:b w:val="0"/>
          <w:bCs w:val="0"/>
          <w:snapToGrid w:val="0"/>
          <w:color w:val="auto"/>
          <w:highlight w:val="none"/>
          <w:lang w:val="zh-CN"/>
        </w:rPr>
      </w:pPr>
      <w:r>
        <w:rPr>
          <w:rFonts w:hint="eastAsia" w:asciiTheme="minorEastAsia" w:hAnsiTheme="minorEastAsia" w:eastAsiaTheme="minorEastAsia" w:cstheme="minorEastAsia"/>
          <w:b w:val="0"/>
          <w:bCs w:val="0"/>
          <w:snapToGrid w:val="0"/>
          <w:color w:val="auto"/>
          <w:highlight w:val="none"/>
          <w:lang w:val="zh-CN"/>
        </w:rPr>
        <w:t>（1）甲方将自己的索赔意向书面通知乙方，并要求乙方在限期内纠正自己的违约行为，否则，甲方将考虑启用履约担保。</w:t>
      </w:r>
    </w:p>
    <w:p w14:paraId="12BF8046">
      <w:pPr>
        <w:pStyle w:val="4"/>
        <w:spacing w:line="360" w:lineRule="auto"/>
        <w:ind w:firstLine="480" w:firstLineChars="200"/>
        <w:rPr>
          <w:rFonts w:asciiTheme="minorEastAsia" w:hAnsiTheme="minorEastAsia" w:eastAsiaTheme="minorEastAsia" w:cstheme="minorEastAsia"/>
          <w:b w:val="0"/>
          <w:bCs w:val="0"/>
          <w:snapToGrid w:val="0"/>
          <w:color w:val="auto"/>
          <w:highlight w:val="none"/>
          <w:lang w:val="zh-CN"/>
        </w:rPr>
      </w:pPr>
      <w:r>
        <w:rPr>
          <w:rFonts w:hint="eastAsia" w:asciiTheme="minorEastAsia" w:hAnsiTheme="minorEastAsia" w:eastAsiaTheme="minorEastAsia" w:cstheme="minorEastAsia"/>
          <w:b w:val="0"/>
          <w:bCs w:val="0"/>
          <w:snapToGrid w:val="0"/>
          <w:color w:val="auto"/>
          <w:highlight w:val="none"/>
          <w:lang w:val="zh-CN"/>
        </w:rPr>
        <w:t>（2）限期届满，乙方没有采取纠正行为或者纠正行为不能使甲方满意的，甲方将索赔意向书面通知乙方。</w:t>
      </w:r>
    </w:p>
    <w:p w14:paraId="5D4F463C">
      <w:pPr>
        <w:pStyle w:val="4"/>
        <w:spacing w:line="360" w:lineRule="auto"/>
        <w:ind w:firstLine="480" w:firstLineChars="200"/>
        <w:rPr>
          <w:rFonts w:asciiTheme="minorEastAsia" w:hAnsiTheme="minorEastAsia" w:eastAsiaTheme="minorEastAsia" w:cstheme="minorEastAsia"/>
          <w:b w:val="0"/>
          <w:bCs w:val="0"/>
          <w:snapToGrid w:val="0"/>
          <w:color w:val="auto"/>
          <w:highlight w:val="none"/>
          <w:lang w:val="zh-CN"/>
        </w:rPr>
      </w:pPr>
      <w:r>
        <w:rPr>
          <w:rFonts w:hint="eastAsia" w:asciiTheme="minorEastAsia" w:hAnsiTheme="minorEastAsia" w:eastAsiaTheme="minorEastAsia" w:cstheme="minorEastAsia"/>
          <w:b w:val="0"/>
          <w:bCs w:val="0"/>
          <w:snapToGrid w:val="0"/>
          <w:color w:val="auto"/>
          <w:highlight w:val="none"/>
          <w:lang w:val="zh-CN"/>
        </w:rPr>
        <w:t>（3）甲方向担保机构发出书面索赔意向七天内，乙方依然没有用实际行动纠正自己的违约行为或者纠正行为不能使甲方满意或者纠正行为无法弥补甲方的损失，则甲方直接向担保机构发出正式书面索赔通知。</w:t>
      </w:r>
    </w:p>
    <w:p w14:paraId="0C6FF6D6">
      <w:pPr>
        <w:pStyle w:val="4"/>
        <w:spacing w:line="360" w:lineRule="auto"/>
        <w:ind w:firstLine="480" w:firstLineChars="200"/>
        <w:rPr>
          <w:rFonts w:asciiTheme="minorEastAsia" w:hAnsiTheme="minorEastAsia" w:eastAsiaTheme="minorEastAsia" w:cstheme="minorEastAsia"/>
          <w:b w:val="0"/>
          <w:bCs w:val="0"/>
          <w:snapToGrid w:val="0"/>
          <w:color w:val="auto"/>
          <w:highlight w:val="none"/>
          <w:lang w:val="zh-CN"/>
        </w:rPr>
      </w:pPr>
      <w:r>
        <w:rPr>
          <w:rFonts w:hint="eastAsia" w:asciiTheme="minorEastAsia" w:hAnsiTheme="minorEastAsia" w:eastAsiaTheme="minorEastAsia" w:cstheme="minorEastAsia"/>
          <w:b w:val="0"/>
          <w:bCs w:val="0"/>
          <w:snapToGrid w:val="0"/>
          <w:color w:val="auto"/>
          <w:highlight w:val="none"/>
          <w:lang w:val="zh-CN"/>
        </w:rPr>
        <w:t>（4）如果通过向担保机构索赔的方式依然不能完全弥补甲方的损失，则甲方有权在应支付给乙方的勘察、设计费中直接扣取。同时甲方有权要求乙方在规定时间内按本合同条款的约定向甲方补充提交履约担保。</w:t>
      </w:r>
    </w:p>
    <w:p w14:paraId="241C0C69">
      <w:pPr>
        <w:pStyle w:val="4"/>
        <w:spacing w:line="360" w:lineRule="auto"/>
        <w:ind w:firstLine="480" w:firstLineChars="200"/>
        <w:rPr>
          <w:rFonts w:asciiTheme="minorEastAsia" w:hAnsiTheme="minorEastAsia" w:eastAsiaTheme="minorEastAsia" w:cstheme="minorEastAsia"/>
          <w:b w:val="0"/>
          <w:bCs w:val="0"/>
          <w:snapToGrid w:val="0"/>
          <w:color w:val="auto"/>
          <w:highlight w:val="none"/>
          <w:lang w:val="zh-CN"/>
        </w:rPr>
      </w:pPr>
      <w:r>
        <w:rPr>
          <w:rFonts w:hint="eastAsia" w:asciiTheme="minorEastAsia" w:hAnsiTheme="minorEastAsia" w:eastAsiaTheme="minorEastAsia" w:cstheme="minorEastAsia"/>
          <w:b w:val="0"/>
          <w:bCs w:val="0"/>
          <w:snapToGrid w:val="0"/>
          <w:color w:val="auto"/>
          <w:highlight w:val="none"/>
          <w:lang w:val="zh-CN"/>
        </w:rPr>
        <w:t>（5）如果通过向担保机构索赔以及直接扣取勘察、设计费等方式依然不能完全弥补甲方损失的，乙方必须在甲方规定的时间内以现金形式支付剩余索赔额。</w:t>
      </w:r>
    </w:p>
    <w:p w14:paraId="6E89B2C5">
      <w:pPr>
        <w:pStyle w:val="4"/>
        <w:spacing w:line="360" w:lineRule="auto"/>
        <w:ind w:firstLine="480" w:firstLineChars="200"/>
        <w:rPr>
          <w:rFonts w:asciiTheme="minorEastAsia" w:hAnsiTheme="minorEastAsia" w:eastAsiaTheme="minorEastAsia" w:cstheme="minorEastAsia"/>
          <w:b w:val="0"/>
          <w:bCs w:val="0"/>
          <w:snapToGrid w:val="0"/>
          <w:color w:val="auto"/>
          <w:highlight w:val="none"/>
          <w:lang w:val="zh-CN"/>
        </w:rPr>
      </w:pPr>
      <w:r>
        <w:rPr>
          <w:rFonts w:hint="eastAsia" w:asciiTheme="minorEastAsia" w:hAnsiTheme="minorEastAsia" w:eastAsiaTheme="minorEastAsia" w:cstheme="minorEastAsia"/>
          <w:b w:val="0"/>
          <w:bCs w:val="0"/>
          <w:snapToGrid w:val="0"/>
          <w:color w:val="auto"/>
          <w:highlight w:val="none"/>
          <w:lang w:val="zh-CN"/>
        </w:rPr>
        <w:t xml:space="preserve">   </w:t>
      </w:r>
      <w:r>
        <w:rPr>
          <w:rFonts w:hint="eastAsia" w:asciiTheme="minorEastAsia" w:hAnsiTheme="minorEastAsia" w:eastAsiaTheme="minorEastAsia" w:cstheme="minorEastAsia"/>
          <w:b w:val="0"/>
          <w:bCs w:val="0"/>
          <w:snapToGrid w:val="0"/>
          <w:color w:val="auto"/>
          <w:highlight w:val="none"/>
        </w:rPr>
        <w:t>16</w:t>
      </w:r>
      <w:r>
        <w:rPr>
          <w:rFonts w:hint="eastAsia" w:asciiTheme="minorEastAsia" w:hAnsiTheme="minorEastAsia" w:eastAsiaTheme="minorEastAsia" w:cstheme="minorEastAsia"/>
          <w:b w:val="0"/>
          <w:bCs w:val="0"/>
          <w:snapToGrid w:val="0"/>
          <w:color w:val="auto"/>
          <w:highlight w:val="none"/>
          <w:lang w:val="zh-CN"/>
        </w:rPr>
        <w:t>.2在任何索赔期间，不论索赔是否有据，均不能免除乙方按合同约定应履行的合同义务。乙方不得以此为借口，拒不履行或拖延合同的履行，否则甲方有权终止合同并要求乙方赔偿由此而给甲方造成的全部损失。</w:t>
      </w:r>
    </w:p>
    <w:p w14:paraId="69C91CEB">
      <w:pPr>
        <w:adjustRightInd w:val="0"/>
        <w:snapToGrid w:val="0"/>
        <w:spacing w:line="360" w:lineRule="auto"/>
        <w:ind w:firstLine="480" w:firstLineChars="200"/>
        <w:rPr>
          <w:rFonts w:ascii="宋体" w:hAnsi="宋体"/>
          <w:snapToGrid w:val="0"/>
          <w:color w:val="auto"/>
          <w:kern w:val="0"/>
          <w:sz w:val="24"/>
          <w:highlight w:val="none"/>
        </w:rPr>
      </w:pPr>
    </w:p>
    <w:p w14:paraId="4B1D6C81">
      <w:pPr>
        <w:adjustRightInd w:val="0"/>
        <w:snapToGrid w:val="0"/>
        <w:spacing w:line="360" w:lineRule="auto"/>
        <w:ind w:firstLine="480" w:firstLineChars="200"/>
        <w:rPr>
          <w:rFonts w:ascii="宋体" w:hAnsi="宋体"/>
          <w:snapToGrid w:val="0"/>
          <w:color w:val="auto"/>
          <w:kern w:val="0"/>
          <w:sz w:val="24"/>
          <w:highlight w:val="none"/>
        </w:rPr>
      </w:pPr>
    </w:p>
    <w:p w14:paraId="17DDA791">
      <w:pPr>
        <w:pStyle w:val="3"/>
        <w:rPr>
          <w:color w:val="auto"/>
          <w:highlight w:val="none"/>
        </w:rPr>
      </w:pPr>
      <w:bookmarkStart w:id="116" w:name="_Toc23867"/>
      <w:r>
        <w:rPr>
          <w:rFonts w:hint="eastAsia"/>
          <w:color w:val="auto"/>
          <w:highlight w:val="none"/>
        </w:rPr>
        <w:t>第十一章</w:t>
      </w:r>
      <w:r>
        <w:rPr>
          <w:color w:val="auto"/>
          <w:highlight w:val="none"/>
        </w:rPr>
        <w:t xml:space="preserve">  </w:t>
      </w:r>
      <w:r>
        <w:rPr>
          <w:rFonts w:hint="eastAsia"/>
          <w:color w:val="auto"/>
          <w:highlight w:val="none"/>
        </w:rPr>
        <w:t>法律适用及仲裁</w:t>
      </w:r>
      <w:bookmarkEnd w:id="116"/>
    </w:p>
    <w:p w14:paraId="2471C59F">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bookmarkStart w:id="117" w:name="_Toc132"/>
      <w:bookmarkStart w:id="118" w:name="_Toc1064"/>
      <w:r>
        <w:rPr>
          <w:rFonts w:hint="eastAsia" w:asciiTheme="minorEastAsia" w:hAnsiTheme="minorEastAsia" w:eastAsiaTheme="minorEastAsia" w:cstheme="minorEastAsia"/>
          <w:b w:val="0"/>
          <w:bCs w:val="0"/>
          <w:snapToGrid w:val="0"/>
          <w:color w:val="auto"/>
          <w:highlight w:val="none"/>
        </w:rPr>
        <w:t>17 法律适用及仲裁</w:t>
      </w:r>
      <w:bookmarkEnd w:id="117"/>
      <w:bookmarkEnd w:id="118"/>
    </w:p>
    <w:p w14:paraId="5C9B28ED">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17.1本合同的订立、效力、解释、履行和争议等的解决均适用于中华人民共和国法律。</w:t>
      </w:r>
    </w:p>
    <w:p w14:paraId="6ED09929">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17.2凡因履行本合同或与其有关的任何争议或权利主张，应由甲、乙双方先行友好协商解决；协商不成的，任何一方均有权向甲方所在地有管辖权的人民法院提起诉讼。</w:t>
      </w:r>
    </w:p>
    <w:p w14:paraId="1DF34CEC">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17.3在争议解决过程中，除提交争议事项的部分之外，甲、乙双方均应继续履行合同的其他条款。对于甲方依据本合同有关约定单方面解除合同的，乙方应及时移交资料和退场，同时不得妨碍甲方另行委托其他单位实施本合同工程的勘察、设计工作。</w:t>
      </w:r>
    </w:p>
    <w:p w14:paraId="7FD21074">
      <w:pPr>
        <w:adjustRightInd w:val="0"/>
        <w:snapToGrid w:val="0"/>
        <w:spacing w:line="360" w:lineRule="auto"/>
        <w:ind w:left="1199" w:leftChars="228" w:hanging="720" w:hangingChars="300"/>
        <w:rPr>
          <w:rFonts w:ascii="宋体" w:hAnsi="宋体"/>
          <w:snapToGrid w:val="0"/>
          <w:color w:val="auto"/>
          <w:kern w:val="0"/>
          <w:sz w:val="24"/>
          <w:highlight w:val="none"/>
        </w:rPr>
      </w:pPr>
    </w:p>
    <w:p w14:paraId="2B1D37C1">
      <w:pPr>
        <w:pStyle w:val="3"/>
        <w:rPr>
          <w:color w:val="auto"/>
          <w:highlight w:val="none"/>
        </w:rPr>
      </w:pPr>
      <w:bookmarkStart w:id="119" w:name="_Toc29249"/>
      <w:bookmarkStart w:id="120" w:name="_Toc19473"/>
      <w:bookmarkStart w:id="121" w:name="_Toc23264"/>
      <w:r>
        <w:rPr>
          <w:rFonts w:hint="eastAsia"/>
          <w:color w:val="auto"/>
          <w:highlight w:val="none"/>
        </w:rPr>
        <w:t>第十二章</w:t>
      </w:r>
      <w:r>
        <w:rPr>
          <w:color w:val="auto"/>
          <w:highlight w:val="none"/>
        </w:rPr>
        <w:t xml:space="preserve">  </w:t>
      </w:r>
      <w:bookmarkEnd w:id="119"/>
      <w:r>
        <w:rPr>
          <w:rFonts w:hint="eastAsia"/>
          <w:color w:val="auto"/>
          <w:highlight w:val="none"/>
        </w:rPr>
        <w:t>保密、知识产权与专利技术</w:t>
      </w:r>
      <w:bookmarkEnd w:id="120"/>
      <w:bookmarkEnd w:id="121"/>
    </w:p>
    <w:p w14:paraId="614739D8">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bookmarkStart w:id="122" w:name="_Toc25529"/>
      <w:bookmarkStart w:id="123" w:name="_Toc28396"/>
      <w:r>
        <w:rPr>
          <w:rFonts w:hint="eastAsia" w:asciiTheme="minorEastAsia" w:hAnsiTheme="minorEastAsia" w:eastAsiaTheme="minorEastAsia" w:cstheme="minorEastAsia"/>
          <w:b w:val="0"/>
          <w:bCs w:val="0"/>
          <w:snapToGrid w:val="0"/>
          <w:color w:val="auto"/>
          <w:highlight w:val="none"/>
        </w:rPr>
        <w:t>18、保密、知识产权与专利技术</w:t>
      </w:r>
      <w:bookmarkEnd w:id="122"/>
      <w:bookmarkEnd w:id="123"/>
    </w:p>
    <w:p w14:paraId="10236F5E">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18.1甲、乙双方均应保护对方的知识产权，未经对方同意，任何一方都不得对对方的资料及文件擅自修改、复制或向他人转让。如发生以上情况，泄密方应承担由此引起的一切后果并承担赔偿责任。</w:t>
      </w:r>
    </w:p>
    <w:p w14:paraId="0EA43034">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18.2本合同工程的知识产权归甲方所有。乙方享有本合同工程勘察、设计成果文件的设计署名权，并可在展览或书刊中进行展示、介绍及讨论其设计模型、外观图片、装饰效果图，但不享有知识产权中的其他权利。乙方承诺自本合同签订之日起，为本合同工程所做的全部工作的成果，包括方案设计、初步设计、施工图设计及其他勘察、设计文件、资料等不再用于其他任何项目的勘察、设计，否则甲方有权向乙方追究相关责任。</w:t>
      </w:r>
    </w:p>
    <w:p w14:paraId="530D5189">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18.3乙方保证本合同工程的设计文件、资料等均未侵犯第三方的知识产权及其他权利，否则必须承担由此而引起的全部法律责任。</w:t>
      </w:r>
    </w:p>
    <w:p w14:paraId="0E7E09D6">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18.4甲方拥有乙方为本合同工程勘察、设计且按本合同要求所提交的全部勘察、设计文件、资料等的完全使用权，并在本合同执行完毕后继续拥有合法使用以上勘察、设计文件、资料等的权利（包括但限于用作本项目宣传及工程建设学术研究交流之用等）。</w:t>
      </w:r>
    </w:p>
    <w:p w14:paraId="56331B7F">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18.5如工程需要使用专利技术，应先征得甲方的书面认可。甲方负责办理相应的法律手续，因此而涉及的申报、试验、使用等费用列入工程建设其他费用。</w:t>
      </w:r>
    </w:p>
    <w:p w14:paraId="1D26885E">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18.6擅自使用专利技术侵犯他人专利权的，由责任方依法承担有关责任。</w:t>
      </w:r>
    </w:p>
    <w:p w14:paraId="4949BD8D">
      <w:pPr>
        <w:adjustRightInd w:val="0"/>
        <w:snapToGrid w:val="0"/>
        <w:spacing w:line="360" w:lineRule="auto"/>
        <w:ind w:right="11" w:firstLine="460" w:firstLineChars="192"/>
        <w:rPr>
          <w:rFonts w:ascii="宋体" w:hAnsi="宋体"/>
          <w:snapToGrid w:val="0"/>
          <w:color w:val="auto"/>
          <w:kern w:val="0"/>
          <w:sz w:val="24"/>
          <w:highlight w:val="none"/>
        </w:rPr>
      </w:pPr>
    </w:p>
    <w:p w14:paraId="28D481FE">
      <w:pPr>
        <w:pStyle w:val="3"/>
        <w:rPr>
          <w:color w:val="auto"/>
          <w:highlight w:val="none"/>
        </w:rPr>
      </w:pPr>
      <w:bookmarkStart w:id="124" w:name="_Toc14877"/>
      <w:bookmarkStart w:id="125" w:name="_Toc20742"/>
      <w:bookmarkStart w:id="126" w:name="_Toc21630"/>
      <w:r>
        <w:rPr>
          <w:rFonts w:hint="eastAsia"/>
          <w:color w:val="auto"/>
          <w:highlight w:val="none"/>
        </w:rPr>
        <w:t>第十三章</w:t>
      </w:r>
      <w:r>
        <w:rPr>
          <w:color w:val="auto"/>
          <w:highlight w:val="none"/>
        </w:rPr>
        <w:t xml:space="preserve">  </w:t>
      </w:r>
      <w:r>
        <w:rPr>
          <w:rFonts w:hint="eastAsia"/>
          <w:color w:val="auto"/>
          <w:highlight w:val="none"/>
        </w:rPr>
        <w:t>不可抗力</w:t>
      </w:r>
      <w:bookmarkEnd w:id="124"/>
      <w:bookmarkEnd w:id="125"/>
      <w:bookmarkEnd w:id="126"/>
    </w:p>
    <w:p w14:paraId="15AB9754">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bookmarkStart w:id="127" w:name="_Toc18217"/>
      <w:bookmarkStart w:id="128" w:name="_Toc4791"/>
      <w:bookmarkStart w:id="129" w:name="_Toc17093"/>
      <w:r>
        <w:rPr>
          <w:rFonts w:hint="eastAsia" w:asciiTheme="minorEastAsia" w:hAnsiTheme="minorEastAsia" w:eastAsiaTheme="minorEastAsia" w:cstheme="minorEastAsia"/>
          <w:b w:val="0"/>
          <w:bCs w:val="0"/>
          <w:snapToGrid w:val="0"/>
          <w:color w:val="auto"/>
          <w:highlight w:val="none"/>
        </w:rPr>
        <w:t>19 不可抗力</w:t>
      </w:r>
      <w:bookmarkEnd w:id="127"/>
      <w:bookmarkEnd w:id="128"/>
      <w:bookmarkEnd w:id="129"/>
    </w:p>
    <w:p w14:paraId="6F547D55">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19.1不可抗力，是指不能预见、不能避免并不能克服、对本合同的勘察、设计或服务工作造成实质性影响的自然灾害和战争、动乱（不包括乙方内部的任何纠纷和纷争）等社会事件。</w:t>
      </w:r>
    </w:p>
    <w:p w14:paraId="60C8C91D">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19.2自然灾害的范围及其认定方式，按如下约定执行：</w:t>
      </w:r>
    </w:p>
    <w:p w14:paraId="3BE3E17E">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异常天气：仅指50年（含50年）一遇以上的洪水或10级（含10级）以上的台风。因异常天气袭击工地为确保安全而停工的，乙方应于台风、洪水天气结束之日起七日内，向当地气象部门索取工程所在地台风、暴雨天气资料或报告（含气象实况及对此分析的内容），连同工作日志、现场照片办理证据保全公证，方可认定为是不可抗力。</w:t>
      </w:r>
    </w:p>
    <w:p w14:paraId="06BAE2CA">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（2）里氏5级（含5级）以上的地震。</w:t>
      </w:r>
    </w:p>
    <w:p w14:paraId="7E42CB9F">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19.3政府关于本项目政策的重大调整或本项目建设规划方案重大功能性调整，也属不可抗力。</w:t>
      </w:r>
    </w:p>
    <w:p w14:paraId="18A2C4F2">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19.4因不可抗力事件导致的费用损失，由甲、乙双方各自承担自己的损失。对不可抗力事件导致的乙方勘察、设计成果文件提交时间的延误，由双方协商确定乙方提交勘察、设计成果的提交时间。</w:t>
      </w:r>
    </w:p>
    <w:p w14:paraId="5236823E">
      <w:pPr>
        <w:adjustRightInd w:val="0"/>
        <w:snapToGrid w:val="0"/>
        <w:spacing w:line="360" w:lineRule="auto"/>
        <w:ind w:firstLine="480" w:firstLineChars="200"/>
        <w:rPr>
          <w:rFonts w:ascii="宋体" w:hAnsi="宋体"/>
          <w:snapToGrid w:val="0"/>
          <w:color w:val="auto"/>
          <w:kern w:val="0"/>
          <w:sz w:val="24"/>
          <w:highlight w:val="none"/>
        </w:rPr>
      </w:pPr>
    </w:p>
    <w:p w14:paraId="6BC18063">
      <w:pPr>
        <w:adjustRightInd w:val="0"/>
        <w:snapToGrid w:val="0"/>
        <w:spacing w:line="360" w:lineRule="auto"/>
        <w:ind w:firstLine="480" w:firstLineChars="200"/>
        <w:rPr>
          <w:rFonts w:ascii="宋体" w:hAnsi="宋体"/>
          <w:snapToGrid w:val="0"/>
          <w:color w:val="auto"/>
          <w:kern w:val="0"/>
          <w:sz w:val="24"/>
          <w:highlight w:val="none"/>
        </w:rPr>
      </w:pPr>
      <w:bookmarkStart w:id="130" w:name="_Toc8882"/>
      <w:bookmarkStart w:id="131" w:name="_Toc32066"/>
      <w:bookmarkStart w:id="132" w:name="_Toc10706"/>
    </w:p>
    <w:p w14:paraId="03880DF6">
      <w:pPr>
        <w:adjustRightInd w:val="0"/>
        <w:snapToGrid w:val="0"/>
        <w:spacing w:line="360" w:lineRule="auto"/>
        <w:ind w:firstLine="480" w:firstLineChars="200"/>
        <w:rPr>
          <w:rFonts w:ascii="宋体" w:hAnsi="宋体"/>
          <w:snapToGrid w:val="0"/>
          <w:color w:val="auto"/>
          <w:kern w:val="0"/>
          <w:sz w:val="24"/>
          <w:highlight w:val="none"/>
        </w:rPr>
      </w:pPr>
    </w:p>
    <w:p w14:paraId="44EB43BB">
      <w:pPr>
        <w:adjustRightInd w:val="0"/>
        <w:snapToGrid w:val="0"/>
        <w:spacing w:line="360" w:lineRule="auto"/>
        <w:ind w:firstLine="480" w:firstLineChars="200"/>
        <w:rPr>
          <w:rFonts w:ascii="宋体" w:hAnsi="宋体"/>
          <w:snapToGrid w:val="0"/>
          <w:color w:val="auto"/>
          <w:kern w:val="0"/>
          <w:sz w:val="24"/>
          <w:highlight w:val="none"/>
        </w:rPr>
      </w:pPr>
    </w:p>
    <w:p w14:paraId="504A0EAB">
      <w:pPr>
        <w:adjustRightInd w:val="0"/>
        <w:snapToGrid w:val="0"/>
        <w:spacing w:line="360" w:lineRule="auto"/>
        <w:ind w:firstLine="480" w:firstLineChars="200"/>
        <w:rPr>
          <w:rFonts w:ascii="宋体" w:hAnsi="宋体"/>
          <w:snapToGrid w:val="0"/>
          <w:color w:val="auto"/>
          <w:kern w:val="0"/>
          <w:sz w:val="24"/>
          <w:highlight w:val="none"/>
        </w:rPr>
      </w:pPr>
    </w:p>
    <w:p w14:paraId="4FDDA255">
      <w:pPr>
        <w:adjustRightInd w:val="0"/>
        <w:snapToGrid w:val="0"/>
        <w:spacing w:line="360" w:lineRule="auto"/>
        <w:ind w:firstLine="480" w:firstLineChars="200"/>
        <w:rPr>
          <w:rFonts w:ascii="宋体" w:hAnsi="宋体"/>
          <w:snapToGrid w:val="0"/>
          <w:color w:val="auto"/>
          <w:kern w:val="0"/>
          <w:sz w:val="24"/>
          <w:highlight w:val="none"/>
        </w:rPr>
      </w:pPr>
    </w:p>
    <w:p w14:paraId="3E92B00C">
      <w:pPr>
        <w:adjustRightInd w:val="0"/>
        <w:snapToGrid w:val="0"/>
        <w:spacing w:line="360" w:lineRule="auto"/>
        <w:ind w:firstLine="480" w:firstLineChars="200"/>
        <w:rPr>
          <w:rFonts w:ascii="宋体" w:hAnsi="宋体"/>
          <w:snapToGrid w:val="0"/>
          <w:color w:val="auto"/>
          <w:kern w:val="0"/>
          <w:sz w:val="24"/>
          <w:highlight w:val="none"/>
        </w:rPr>
      </w:pPr>
    </w:p>
    <w:p w14:paraId="5CF5B1A0">
      <w:pPr>
        <w:adjustRightInd w:val="0"/>
        <w:snapToGrid w:val="0"/>
        <w:spacing w:line="360" w:lineRule="auto"/>
        <w:ind w:firstLine="480" w:firstLineChars="200"/>
        <w:rPr>
          <w:rFonts w:ascii="宋体" w:hAnsi="宋体"/>
          <w:snapToGrid w:val="0"/>
          <w:color w:val="auto"/>
          <w:kern w:val="0"/>
          <w:sz w:val="24"/>
          <w:highlight w:val="none"/>
        </w:rPr>
      </w:pPr>
    </w:p>
    <w:p w14:paraId="67875832">
      <w:pPr>
        <w:adjustRightInd w:val="0"/>
        <w:snapToGrid w:val="0"/>
        <w:spacing w:line="360" w:lineRule="auto"/>
        <w:ind w:firstLine="480" w:firstLineChars="200"/>
        <w:rPr>
          <w:rFonts w:ascii="宋体" w:hAnsi="宋体"/>
          <w:snapToGrid w:val="0"/>
          <w:color w:val="auto"/>
          <w:kern w:val="0"/>
          <w:sz w:val="24"/>
          <w:highlight w:val="none"/>
        </w:rPr>
      </w:pPr>
    </w:p>
    <w:p w14:paraId="3BF67393">
      <w:pPr>
        <w:adjustRightInd w:val="0"/>
        <w:snapToGrid w:val="0"/>
        <w:spacing w:line="360" w:lineRule="auto"/>
        <w:ind w:firstLine="480" w:firstLineChars="200"/>
        <w:rPr>
          <w:rFonts w:ascii="宋体" w:hAnsi="宋体"/>
          <w:snapToGrid w:val="0"/>
          <w:color w:val="auto"/>
          <w:kern w:val="0"/>
          <w:sz w:val="24"/>
          <w:highlight w:val="none"/>
        </w:rPr>
      </w:pPr>
    </w:p>
    <w:p w14:paraId="4E115FDA">
      <w:pPr>
        <w:pStyle w:val="3"/>
        <w:rPr>
          <w:color w:val="auto"/>
          <w:highlight w:val="none"/>
        </w:rPr>
      </w:pPr>
      <w:r>
        <w:rPr>
          <w:rFonts w:hint="eastAsia"/>
          <w:color w:val="auto"/>
          <w:highlight w:val="none"/>
        </w:rPr>
        <w:t>第十四章</w:t>
      </w:r>
      <w:r>
        <w:rPr>
          <w:color w:val="auto"/>
          <w:highlight w:val="none"/>
        </w:rPr>
        <w:t xml:space="preserve">  </w:t>
      </w:r>
      <w:bookmarkEnd w:id="130"/>
      <w:r>
        <w:rPr>
          <w:rFonts w:hint="eastAsia"/>
          <w:color w:val="auto"/>
          <w:highlight w:val="none"/>
        </w:rPr>
        <w:t>合同生效、解除与其他</w:t>
      </w:r>
      <w:bookmarkEnd w:id="131"/>
      <w:bookmarkEnd w:id="132"/>
    </w:p>
    <w:p w14:paraId="51A656E5">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bookmarkStart w:id="133" w:name="_Toc10381"/>
      <w:bookmarkStart w:id="134" w:name="_Toc21367"/>
      <w:r>
        <w:rPr>
          <w:rFonts w:hint="eastAsia" w:asciiTheme="minorEastAsia" w:hAnsiTheme="minorEastAsia" w:eastAsiaTheme="minorEastAsia" w:cstheme="minorEastAsia"/>
          <w:b w:val="0"/>
          <w:bCs w:val="0"/>
          <w:snapToGrid w:val="0"/>
          <w:color w:val="auto"/>
          <w:highlight w:val="none"/>
        </w:rPr>
        <w:t>20 合同生效、解除及其他</w:t>
      </w:r>
      <w:bookmarkEnd w:id="133"/>
      <w:bookmarkEnd w:id="134"/>
    </w:p>
    <w:p w14:paraId="73F32B8A">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20.1本合同附件均为本合同不可分割的组成部分。</w:t>
      </w:r>
    </w:p>
    <w:p w14:paraId="485153CC">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20.2甲、双方经协商一致，可以解除合同。</w:t>
      </w:r>
    </w:p>
    <w:p w14:paraId="215E48E3">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20.3由于不可抗力因素致使合同无法履行时，双方应及时协商解决。</w:t>
      </w:r>
    </w:p>
    <w:p w14:paraId="11D8BB37">
      <w:pPr>
        <w:pStyle w:val="4"/>
        <w:spacing w:line="360" w:lineRule="auto"/>
        <w:ind w:firstLine="480" w:firstLineChars="200"/>
        <w:rPr>
          <w:rFonts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20.4本合同发生争议，双方当事人应协商解决。协商无法解决的，可向发包人所在地人民法院起诉。</w:t>
      </w:r>
    </w:p>
    <w:p w14:paraId="61602464">
      <w:pPr>
        <w:adjustRightInd w:val="0"/>
        <w:snapToGrid w:val="0"/>
        <w:spacing w:line="360" w:lineRule="auto"/>
        <w:ind w:firstLine="480" w:firstLineChars="200"/>
        <w:rPr>
          <w:rFonts w:ascii="宋体" w:hAnsi="宋体"/>
          <w:snapToGrid w:val="0"/>
          <w:color w:val="auto"/>
          <w:kern w:val="0"/>
          <w:sz w:val="24"/>
          <w:highlight w:val="none"/>
        </w:rPr>
      </w:pPr>
    </w:p>
    <w:p w14:paraId="22743277">
      <w:pPr>
        <w:adjustRightInd w:val="0"/>
        <w:snapToGrid w:val="0"/>
        <w:spacing w:line="360" w:lineRule="auto"/>
        <w:ind w:firstLine="480" w:firstLineChars="200"/>
        <w:rPr>
          <w:rFonts w:ascii="宋体" w:hAnsi="宋体"/>
          <w:snapToGrid w:val="0"/>
          <w:color w:val="auto"/>
          <w:kern w:val="0"/>
          <w:sz w:val="24"/>
          <w:highlight w:val="none"/>
        </w:rPr>
      </w:pPr>
      <w:bookmarkStart w:id="135" w:name="_Toc21654"/>
      <w:bookmarkStart w:id="136" w:name="_Toc7555"/>
      <w:bookmarkStart w:id="137" w:name="_Toc14484"/>
    </w:p>
    <w:p w14:paraId="5A63FD41">
      <w:pPr>
        <w:pStyle w:val="3"/>
        <w:jc w:val="both"/>
        <w:rPr>
          <w:color w:val="auto"/>
          <w:highlight w:val="none"/>
        </w:rPr>
        <w:sectPr>
          <w:footerReference r:id="rId6" w:type="first"/>
          <w:footerReference r:id="rId5" w:type="default"/>
          <w:pgSz w:w="11907" w:h="16840"/>
          <w:pgMar w:top="1417" w:right="1417" w:bottom="1417" w:left="1417" w:header="851" w:footer="992" w:gutter="0"/>
          <w:cols w:space="720" w:num="1"/>
          <w:titlePg/>
          <w:docGrid w:type="lines" w:linePitch="312" w:charSpace="0"/>
        </w:sectPr>
      </w:pPr>
    </w:p>
    <w:p w14:paraId="7F5A6A84">
      <w:pPr>
        <w:pStyle w:val="3"/>
        <w:rPr>
          <w:color w:val="auto"/>
          <w:highlight w:val="none"/>
        </w:rPr>
      </w:pPr>
      <w:r>
        <w:rPr>
          <w:rFonts w:hint="eastAsia"/>
          <w:color w:val="auto"/>
          <w:highlight w:val="none"/>
        </w:rPr>
        <w:t>第三篇</w:t>
      </w:r>
      <w:r>
        <w:rPr>
          <w:color w:val="auto"/>
          <w:highlight w:val="none"/>
        </w:rPr>
        <w:t xml:space="preserve">  </w:t>
      </w:r>
      <w:r>
        <w:rPr>
          <w:rFonts w:hint="eastAsia"/>
          <w:color w:val="auto"/>
          <w:highlight w:val="none"/>
        </w:rPr>
        <w:t>合同附件</w:t>
      </w:r>
      <w:bookmarkEnd w:id="135"/>
      <w:bookmarkEnd w:id="136"/>
      <w:bookmarkEnd w:id="137"/>
    </w:p>
    <w:p w14:paraId="25EA96BB">
      <w:pPr>
        <w:pStyle w:val="4"/>
        <w:rPr>
          <w:snapToGrid w:val="0"/>
          <w:color w:val="auto"/>
          <w:highlight w:val="none"/>
        </w:rPr>
      </w:pPr>
      <w:bookmarkStart w:id="138" w:name="_Toc11319"/>
      <w:bookmarkStart w:id="139" w:name="_Toc6115"/>
      <w:bookmarkStart w:id="140" w:name="_Toc13888"/>
      <w:r>
        <w:rPr>
          <w:snapToGrid w:val="0"/>
          <w:color w:val="auto"/>
          <w:highlight w:val="none"/>
        </w:rPr>
        <w:t xml:space="preserve">1 </w:t>
      </w:r>
      <w:r>
        <w:rPr>
          <w:rFonts w:hint="eastAsia"/>
          <w:snapToGrid w:val="0"/>
          <w:color w:val="auto"/>
          <w:highlight w:val="none"/>
        </w:rPr>
        <w:t>本项目拟投入人员配备表</w:t>
      </w:r>
      <w:bookmarkEnd w:id="138"/>
      <w:bookmarkEnd w:id="139"/>
      <w:bookmarkEnd w:id="140"/>
    </w:p>
    <w:p w14:paraId="6905A5C1">
      <w:pPr>
        <w:adjustRightInd w:val="0"/>
        <w:snapToGrid w:val="0"/>
        <w:spacing w:line="360" w:lineRule="auto"/>
        <w:jc w:val="left"/>
        <w:rPr>
          <w:rFonts w:ascii="宋体" w:hAnsi="宋体"/>
          <w:b/>
          <w:bCs/>
          <w:snapToGrid w:val="0"/>
          <w:color w:val="auto"/>
          <w:kern w:val="0"/>
          <w:sz w:val="24"/>
          <w:highlight w:val="none"/>
        </w:rPr>
      </w:pPr>
      <w:r>
        <w:rPr>
          <w:rFonts w:hint="eastAsia" w:ascii="宋体" w:hAnsi="宋体"/>
          <w:b/>
          <w:bCs/>
          <w:snapToGrid w:val="0"/>
          <w:color w:val="auto"/>
          <w:kern w:val="0"/>
          <w:sz w:val="24"/>
          <w:highlight w:val="none"/>
        </w:rPr>
        <w:t>工程名称：</w:t>
      </w:r>
      <w:r>
        <w:rPr>
          <w:rFonts w:ascii="宋体" w:hAnsi="宋体"/>
          <w:b/>
          <w:bCs/>
          <w:snapToGrid w:val="0"/>
          <w:color w:val="auto"/>
          <w:kern w:val="0"/>
          <w:sz w:val="24"/>
          <w:highlight w:val="none"/>
          <w:u w:val="single"/>
        </w:rPr>
        <w:t xml:space="preserve">                         </w:t>
      </w:r>
      <w:r>
        <w:rPr>
          <w:rFonts w:hint="eastAsia" w:ascii="宋体" w:hAnsi="宋体"/>
          <w:b/>
          <w:bCs/>
          <w:snapToGrid w:val="0"/>
          <w:color w:val="auto"/>
          <w:kern w:val="0"/>
          <w:sz w:val="24"/>
          <w:highlight w:val="none"/>
        </w:rPr>
        <w:t>勘察设计</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101"/>
        <w:gridCol w:w="1275"/>
        <w:gridCol w:w="993"/>
        <w:gridCol w:w="1134"/>
        <w:gridCol w:w="1701"/>
        <w:gridCol w:w="1100"/>
        <w:gridCol w:w="1218"/>
      </w:tblGrid>
      <w:tr w14:paraId="4E46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FFFFFF" w:themeFill="background1"/>
            <w:vAlign w:val="center"/>
          </w:tcPr>
          <w:p w14:paraId="686E5E28">
            <w:pPr>
              <w:adjustRightInd w:val="0"/>
              <w:snapToGrid w:val="0"/>
              <w:spacing w:line="360" w:lineRule="auto"/>
              <w:jc w:val="center"/>
              <w:rPr>
                <w:rFonts w:ascii="宋体" w:hAnsi="宋体" w:cs="Times New Roman"/>
                <w:b/>
                <w:bCs/>
                <w:snapToGrid w:val="0"/>
                <w:color w:val="auto"/>
                <w:kern w:val="0"/>
                <w:sz w:val="24"/>
                <w:highlight w:val="none"/>
              </w:rPr>
            </w:pPr>
            <w:r>
              <w:rPr>
                <w:rFonts w:hint="eastAsia" w:ascii="宋体" w:hAnsi="宋体" w:cs="Times New Roman"/>
                <w:b/>
                <w:bCs/>
                <w:snapToGrid w:val="0"/>
                <w:color w:val="auto"/>
                <w:kern w:val="0"/>
                <w:sz w:val="24"/>
                <w:highlight w:val="none"/>
              </w:rPr>
              <w:t>姓名</w:t>
            </w:r>
          </w:p>
        </w:tc>
        <w:tc>
          <w:tcPr>
            <w:tcW w:w="1275" w:type="dxa"/>
            <w:shd w:val="clear" w:color="auto" w:fill="FFFFFF" w:themeFill="background1"/>
            <w:vAlign w:val="center"/>
          </w:tcPr>
          <w:p w14:paraId="0A63C468">
            <w:pPr>
              <w:adjustRightInd w:val="0"/>
              <w:snapToGrid w:val="0"/>
              <w:spacing w:line="360" w:lineRule="auto"/>
              <w:jc w:val="center"/>
              <w:rPr>
                <w:rFonts w:ascii="宋体" w:hAnsi="宋体" w:cs="Times New Roman"/>
                <w:b/>
                <w:bCs/>
                <w:snapToGrid w:val="0"/>
                <w:color w:val="auto"/>
                <w:kern w:val="0"/>
                <w:sz w:val="24"/>
                <w:highlight w:val="none"/>
              </w:rPr>
            </w:pPr>
            <w:r>
              <w:rPr>
                <w:rFonts w:hint="eastAsia" w:ascii="宋体" w:hAnsi="宋体" w:cs="Times New Roman"/>
                <w:b/>
                <w:bCs/>
                <w:snapToGrid w:val="0"/>
                <w:color w:val="auto"/>
                <w:kern w:val="0"/>
                <w:sz w:val="24"/>
                <w:highlight w:val="none"/>
              </w:rPr>
              <w:t>职务</w:t>
            </w:r>
          </w:p>
        </w:tc>
        <w:tc>
          <w:tcPr>
            <w:tcW w:w="993" w:type="dxa"/>
            <w:shd w:val="clear" w:color="auto" w:fill="FFFFFF" w:themeFill="background1"/>
            <w:vAlign w:val="center"/>
          </w:tcPr>
          <w:p w14:paraId="21472F57">
            <w:pPr>
              <w:adjustRightInd w:val="0"/>
              <w:snapToGrid w:val="0"/>
              <w:spacing w:line="360" w:lineRule="auto"/>
              <w:jc w:val="center"/>
              <w:rPr>
                <w:rFonts w:ascii="宋体" w:hAnsi="宋体" w:cs="Times New Roman"/>
                <w:b/>
                <w:bCs/>
                <w:snapToGrid w:val="0"/>
                <w:color w:val="auto"/>
                <w:kern w:val="0"/>
                <w:sz w:val="24"/>
                <w:highlight w:val="none"/>
              </w:rPr>
            </w:pPr>
            <w:r>
              <w:rPr>
                <w:rFonts w:hint="eastAsia" w:ascii="宋体" w:hAnsi="宋体" w:cs="Times New Roman"/>
                <w:b/>
                <w:bCs/>
                <w:snapToGrid w:val="0"/>
                <w:color w:val="auto"/>
                <w:kern w:val="0"/>
                <w:sz w:val="24"/>
                <w:highlight w:val="none"/>
              </w:rPr>
              <w:t>学历</w:t>
            </w:r>
          </w:p>
        </w:tc>
        <w:tc>
          <w:tcPr>
            <w:tcW w:w="1134" w:type="dxa"/>
            <w:shd w:val="clear" w:color="auto" w:fill="FFFFFF" w:themeFill="background1"/>
            <w:vAlign w:val="center"/>
          </w:tcPr>
          <w:p w14:paraId="7754C9E7">
            <w:pPr>
              <w:adjustRightInd w:val="0"/>
              <w:snapToGrid w:val="0"/>
              <w:spacing w:line="360" w:lineRule="auto"/>
              <w:jc w:val="center"/>
              <w:rPr>
                <w:rFonts w:ascii="宋体" w:hAnsi="宋体" w:cs="Times New Roman"/>
                <w:b/>
                <w:bCs/>
                <w:snapToGrid w:val="0"/>
                <w:color w:val="auto"/>
                <w:kern w:val="0"/>
                <w:sz w:val="24"/>
                <w:highlight w:val="none"/>
              </w:rPr>
            </w:pPr>
            <w:r>
              <w:rPr>
                <w:rFonts w:hint="eastAsia" w:ascii="宋体" w:hAnsi="宋体" w:cs="Times New Roman"/>
                <w:b/>
                <w:bCs/>
                <w:snapToGrid w:val="0"/>
                <w:color w:val="auto"/>
                <w:kern w:val="0"/>
                <w:sz w:val="24"/>
                <w:highlight w:val="none"/>
              </w:rPr>
              <w:t>职称</w:t>
            </w:r>
          </w:p>
        </w:tc>
        <w:tc>
          <w:tcPr>
            <w:tcW w:w="1701" w:type="dxa"/>
            <w:shd w:val="clear" w:color="auto" w:fill="FFFFFF" w:themeFill="background1"/>
            <w:vAlign w:val="center"/>
          </w:tcPr>
          <w:p w14:paraId="2E5EABF5">
            <w:pPr>
              <w:adjustRightInd w:val="0"/>
              <w:snapToGrid w:val="0"/>
              <w:spacing w:line="360" w:lineRule="auto"/>
              <w:jc w:val="center"/>
              <w:rPr>
                <w:rFonts w:ascii="宋体" w:hAnsi="宋体" w:cs="Times New Roman"/>
                <w:b/>
                <w:bCs/>
                <w:snapToGrid w:val="0"/>
                <w:color w:val="auto"/>
                <w:kern w:val="0"/>
                <w:sz w:val="24"/>
                <w:highlight w:val="none"/>
              </w:rPr>
            </w:pPr>
            <w:r>
              <w:rPr>
                <w:rFonts w:hint="eastAsia" w:ascii="宋体" w:hAnsi="宋体" w:cs="Times New Roman"/>
                <w:b/>
                <w:bCs/>
                <w:snapToGrid w:val="0"/>
                <w:color w:val="auto"/>
                <w:kern w:val="0"/>
                <w:sz w:val="24"/>
                <w:highlight w:val="none"/>
              </w:rPr>
              <w:t>专业资格</w:t>
            </w:r>
          </w:p>
        </w:tc>
        <w:tc>
          <w:tcPr>
            <w:tcW w:w="1100" w:type="dxa"/>
            <w:shd w:val="clear" w:color="auto" w:fill="FFFFFF" w:themeFill="background1"/>
            <w:vAlign w:val="center"/>
          </w:tcPr>
          <w:p w14:paraId="2E3918AA">
            <w:pPr>
              <w:adjustRightInd w:val="0"/>
              <w:snapToGrid w:val="0"/>
              <w:spacing w:line="360" w:lineRule="auto"/>
              <w:jc w:val="center"/>
              <w:rPr>
                <w:rFonts w:ascii="宋体" w:hAnsi="宋体" w:cs="Times New Roman"/>
                <w:b/>
                <w:bCs/>
                <w:snapToGrid w:val="0"/>
                <w:color w:val="auto"/>
                <w:kern w:val="0"/>
                <w:sz w:val="24"/>
                <w:highlight w:val="none"/>
              </w:rPr>
            </w:pPr>
            <w:r>
              <w:rPr>
                <w:rFonts w:hint="eastAsia" w:ascii="宋体" w:hAnsi="宋体" w:cs="Times New Roman"/>
                <w:b/>
                <w:bCs/>
                <w:snapToGrid w:val="0"/>
                <w:color w:val="auto"/>
                <w:kern w:val="0"/>
                <w:sz w:val="24"/>
                <w:highlight w:val="none"/>
              </w:rPr>
              <w:t>从事本工作年限</w:t>
            </w:r>
          </w:p>
        </w:tc>
        <w:tc>
          <w:tcPr>
            <w:tcW w:w="1218" w:type="dxa"/>
            <w:shd w:val="clear" w:color="auto" w:fill="FFFFFF" w:themeFill="background1"/>
            <w:vAlign w:val="center"/>
          </w:tcPr>
          <w:p w14:paraId="3E74D1C9">
            <w:pPr>
              <w:adjustRightInd w:val="0"/>
              <w:snapToGrid w:val="0"/>
              <w:spacing w:line="360" w:lineRule="auto"/>
              <w:jc w:val="center"/>
              <w:rPr>
                <w:rFonts w:ascii="宋体" w:hAnsi="宋体" w:cs="Times New Roman"/>
                <w:b/>
                <w:bCs/>
                <w:snapToGrid w:val="0"/>
                <w:color w:val="auto"/>
                <w:kern w:val="0"/>
                <w:sz w:val="24"/>
                <w:highlight w:val="none"/>
              </w:rPr>
            </w:pPr>
            <w:r>
              <w:rPr>
                <w:rFonts w:hint="eastAsia" w:ascii="宋体" w:hAnsi="宋体" w:cs="Times New Roman"/>
                <w:b/>
                <w:bCs/>
                <w:snapToGrid w:val="0"/>
                <w:color w:val="auto"/>
                <w:kern w:val="0"/>
                <w:sz w:val="24"/>
                <w:highlight w:val="none"/>
              </w:rPr>
              <w:t>备注</w:t>
            </w:r>
          </w:p>
        </w:tc>
      </w:tr>
      <w:tr w14:paraId="69C6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FFFFFF" w:themeFill="background1"/>
            <w:vAlign w:val="center"/>
          </w:tcPr>
          <w:p w14:paraId="0E374F58">
            <w:pPr>
              <w:adjustRightInd w:val="0"/>
              <w:snapToGrid w:val="0"/>
              <w:jc w:val="center"/>
              <w:rPr>
                <w:rFonts w:ascii="宋体" w:hAnsi="宋体" w:cs="Times New Roman"/>
                <w:snapToGrid w:val="0"/>
                <w:color w:val="auto"/>
                <w:kern w:val="0"/>
                <w:sz w:val="24"/>
                <w:highlight w:val="none"/>
              </w:rPr>
            </w:pPr>
          </w:p>
        </w:tc>
        <w:tc>
          <w:tcPr>
            <w:tcW w:w="1275" w:type="dxa"/>
            <w:shd w:val="clear" w:color="auto" w:fill="FFFFFF" w:themeFill="background1"/>
            <w:vAlign w:val="center"/>
          </w:tcPr>
          <w:p w14:paraId="002B9F12">
            <w:pPr>
              <w:adjustRightInd w:val="0"/>
              <w:snapToGrid w:val="0"/>
              <w:jc w:val="center"/>
              <w:rPr>
                <w:rFonts w:ascii="宋体" w:hAnsi="宋体" w:cs="Times New Roman"/>
                <w:snapToGrid w:val="0"/>
                <w:color w:val="auto"/>
                <w:kern w:val="0"/>
                <w:sz w:val="24"/>
                <w:highlight w:val="none"/>
              </w:rPr>
            </w:pPr>
          </w:p>
        </w:tc>
        <w:tc>
          <w:tcPr>
            <w:tcW w:w="993" w:type="dxa"/>
            <w:shd w:val="clear" w:color="auto" w:fill="FFFFFF" w:themeFill="background1"/>
            <w:vAlign w:val="center"/>
          </w:tcPr>
          <w:p w14:paraId="37EADF77">
            <w:pPr>
              <w:adjustRightInd w:val="0"/>
              <w:snapToGrid w:val="0"/>
              <w:jc w:val="center"/>
              <w:rPr>
                <w:rFonts w:ascii="宋体" w:hAnsi="宋体" w:cs="Times New Roman"/>
                <w:snapToGrid w:val="0"/>
                <w:color w:val="auto"/>
                <w:kern w:val="0"/>
                <w:sz w:val="24"/>
                <w:highlight w:val="none"/>
              </w:rPr>
            </w:pPr>
          </w:p>
        </w:tc>
        <w:tc>
          <w:tcPr>
            <w:tcW w:w="1134" w:type="dxa"/>
            <w:shd w:val="clear" w:color="auto" w:fill="FFFFFF" w:themeFill="background1"/>
            <w:vAlign w:val="center"/>
          </w:tcPr>
          <w:p w14:paraId="3D1F1172">
            <w:pPr>
              <w:adjustRightInd w:val="0"/>
              <w:snapToGrid w:val="0"/>
              <w:jc w:val="center"/>
              <w:rPr>
                <w:rFonts w:ascii="宋体" w:hAnsi="宋体" w:cs="Times New Roman"/>
                <w:snapToGrid w:val="0"/>
                <w:color w:val="auto"/>
                <w:kern w:val="0"/>
                <w:sz w:val="24"/>
                <w:highlight w:val="none"/>
              </w:rPr>
            </w:pPr>
          </w:p>
        </w:tc>
        <w:tc>
          <w:tcPr>
            <w:tcW w:w="1701" w:type="dxa"/>
            <w:shd w:val="clear" w:color="auto" w:fill="FFFFFF" w:themeFill="background1"/>
            <w:vAlign w:val="center"/>
          </w:tcPr>
          <w:p w14:paraId="2983D590">
            <w:pPr>
              <w:adjustRightInd w:val="0"/>
              <w:snapToGrid w:val="0"/>
              <w:jc w:val="center"/>
              <w:rPr>
                <w:rFonts w:ascii="宋体" w:hAnsi="宋体" w:cs="Times New Roman"/>
                <w:snapToGrid w:val="0"/>
                <w:color w:val="auto"/>
                <w:kern w:val="0"/>
                <w:sz w:val="24"/>
                <w:highlight w:val="none"/>
              </w:rPr>
            </w:pPr>
          </w:p>
        </w:tc>
        <w:tc>
          <w:tcPr>
            <w:tcW w:w="1100" w:type="dxa"/>
            <w:shd w:val="clear" w:color="auto" w:fill="FFFFFF" w:themeFill="background1"/>
            <w:vAlign w:val="center"/>
          </w:tcPr>
          <w:p w14:paraId="00D56B6A">
            <w:pPr>
              <w:adjustRightInd w:val="0"/>
              <w:snapToGrid w:val="0"/>
              <w:jc w:val="center"/>
              <w:rPr>
                <w:rFonts w:ascii="宋体" w:hAnsi="宋体" w:cs="Times New Roman"/>
                <w:snapToGrid w:val="0"/>
                <w:color w:val="auto"/>
                <w:kern w:val="0"/>
                <w:sz w:val="24"/>
                <w:highlight w:val="none"/>
              </w:rPr>
            </w:pPr>
          </w:p>
        </w:tc>
        <w:tc>
          <w:tcPr>
            <w:tcW w:w="1218" w:type="dxa"/>
            <w:shd w:val="clear" w:color="auto" w:fill="FFFFFF" w:themeFill="background1"/>
            <w:vAlign w:val="center"/>
          </w:tcPr>
          <w:p w14:paraId="5130464F">
            <w:pPr>
              <w:adjustRightInd w:val="0"/>
              <w:snapToGrid w:val="0"/>
              <w:jc w:val="center"/>
              <w:rPr>
                <w:rFonts w:ascii="宋体" w:hAnsi="宋体" w:cs="Times New Roman"/>
                <w:snapToGrid w:val="0"/>
                <w:color w:val="auto"/>
                <w:kern w:val="0"/>
                <w:sz w:val="24"/>
                <w:highlight w:val="none"/>
              </w:rPr>
            </w:pPr>
          </w:p>
        </w:tc>
      </w:tr>
      <w:tr w14:paraId="38BA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FFFFFF" w:themeFill="background1"/>
            <w:vAlign w:val="center"/>
          </w:tcPr>
          <w:p w14:paraId="5B4BE590">
            <w:pPr>
              <w:adjustRightInd w:val="0"/>
              <w:snapToGrid w:val="0"/>
              <w:jc w:val="center"/>
              <w:rPr>
                <w:rFonts w:ascii="宋体" w:hAnsi="宋体" w:cs="Times New Roman"/>
                <w:snapToGrid w:val="0"/>
                <w:color w:val="auto"/>
                <w:kern w:val="0"/>
                <w:sz w:val="24"/>
                <w:highlight w:val="none"/>
              </w:rPr>
            </w:pPr>
          </w:p>
        </w:tc>
        <w:tc>
          <w:tcPr>
            <w:tcW w:w="1275" w:type="dxa"/>
            <w:shd w:val="clear" w:color="auto" w:fill="FFFFFF" w:themeFill="background1"/>
            <w:vAlign w:val="center"/>
          </w:tcPr>
          <w:p w14:paraId="6C04AE86">
            <w:pPr>
              <w:adjustRightInd w:val="0"/>
              <w:snapToGrid w:val="0"/>
              <w:jc w:val="center"/>
              <w:rPr>
                <w:rFonts w:ascii="宋体" w:hAnsi="宋体" w:cs="Times New Roman"/>
                <w:snapToGrid w:val="0"/>
                <w:color w:val="auto"/>
                <w:kern w:val="0"/>
                <w:sz w:val="24"/>
                <w:highlight w:val="none"/>
              </w:rPr>
            </w:pPr>
          </w:p>
        </w:tc>
        <w:tc>
          <w:tcPr>
            <w:tcW w:w="993" w:type="dxa"/>
            <w:shd w:val="clear" w:color="auto" w:fill="FFFFFF" w:themeFill="background1"/>
            <w:vAlign w:val="center"/>
          </w:tcPr>
          <w:p w14:paraId="23F3B1D8">
            <w:pPr>
              <w:adjustRightInd w:val="0"/>
              <w:snapToGrid w:val="0"/>
              <w:jc w:val="center"/>
              <w:rPr>
                <w:rFonts w:ascii="宋体" w:hAnsi="宋体" w:cs="Times New Roman"/>
                <w:snapToGrid w:val="0"/>
                <w:color w:val="auto"/>
                <w:kern w:val="0"/>
                <w:sz w:val="24"/>
                <w:highlight w:val="none"/>
              </w:rPr>
            </w:pPr>
          </w:p>
        </w:tc>
        <w:tc>
          <w:tcPr>
            <w:tcW w:w="1134" w:type="dxa"/>
            <w:shd w:val="clear" w:color="auto" w:fill="FFFFFF" w:themeFill="background1"/>
            <w:vAlign w:val="center"/>
          </w:tcPr>
          <w:p w14:paraId="275B292C">
            <w:pPr>
              <w:adjustRightInd w:val="0"/>
              <w:snapToGrid w:val="0"/>
              <w:jc w:val="center"/>
              <w:rPr>
                <w:rFonts w:ascii="宋体" w:hAnsi="宋体" w:cs="Times New Roman"/>
                <w:snapToGrid w:val="0"/>
                <w:color w:val="auto"/>
                <w:kern w:val="0"/>
                <w:sz w:val="24"/>
                <w:highlight w:val="none"/>
              </w:rPr>
            </w:pPr>
          </w:p>
        </w:tc>
        <w:tc>
          <w:tcPr>
            <w:tcW w:w="1701" w:type="dxa"/>
            <w:shd w:val="clear" w:color="auto" w:fill="FFFFFF" w:themeFill="background1"/>
            <w:vAlign w:val="center"/>
          </w:tcPr>
          <w:p w14:paraId="0F608FEB">
            <w:pPr>
              <w:adjustRightInd w:val="0"/>
              <w:snapToGrid w:val="0"/>
              <w:jc w:val="center"/>
              <w:rPr>
                <w:rFonts w:ascii="宋体" w:hAnsi="宋体" w:cs="Times New Roman"/>
                <w:snapToGrid w:val="0"/>
                <w:color w:val="auto"/>
                <w:kern w:val="0"/>
                <w:sz w:val="24"/>
                <w:highlight w:val="none"/>
              </w:rPr>
            </w:pPr>
          </w:p>
        </w:tc>
        <w:tc>
          <w:tcPr>
            <w:tcW w:w="1100" w:type="dxa"/>
            <w:shd w:val="clear" w:color="auto" w:fill="FFFFFF" w:themeFill="background1"/>
            <w:vAlign w:val="center"/>
          </w:tcPr>
          <w:p w14:paraId="3A6C8F31">
            <w:pPr>
              <w:adjustRightInd w:val="0"/>
              <w:snapToGrid w:val="0"/>
              <w:jc w:val="center"/>
              <w:rPr>
                <w:rFonts w:ascii="宋体" w:hAnsi="宋体" w:cs="Times New Roman"/>
                <w:snapToGrid w:val="0"/>
                <w:color w:val="auto"/>
                <w:kern w:val="0"/>
                <w:sz w:val="24"/>
                <w:highlight w:val="none"/>
              </w:rPr>
            </w:pPr>
          </w:p>
        </w:tc>
        <w:tc>
          <w:tcPr>
            <w:tcW w:w="1218" w:type="dxa"/>
            <w:shd w:val="clear" w:color="auto" w:fill="FFFFFF" w:themeFill="background1"/>
            <w:vAlign w:val="center"/>
          </w:tcPr>
          <w:p w14:paraId="39445728">
            <w:pPr>
              <w:adjustRightInd w:val="0"/>
              <w:snapToGrid w:val="0"/>
              <w:jc w:val="center"/>
              <w:rPr>
                <w:rFonts w:ascii="宋体" w:hAnsi="宋体" w:cs="Times New Roman"/>
                <w:snapToGrid w:val="0"/>
                <w:color w:val="auto"/>
                <w:kern w:val="0"/>
                <w:sz w:val="24"/>
                <w:highlight w:val="none"/>
              </w:rPr>
            </w:pPr>
          </w:p>
        </w:tc>
      </w:tr>
      <w:tr w14:paraId="27F7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FFFFFF" w:themeFill="background1"/>
            <w:vAlign w:val="center"/>
          </w:tcPr>
          <w:p w14:paraId="4E30F5DD">
            <w:pPr>
              <w:adjustRightInd w:val="0"/>
              <w:snapToGrid w:val="0"/>
              <w:jc w:val="center"/>
              <w:rPr>
                <w:rFonts w:ascii="宋体" w:hAnsi="宋体" w:cs="Times New Roman"/>
                <w:snapToGrid w:val="0"/>
                <w:color w:val="auto"/>
                <w:kern w:val="0"/>
                <w:sz w:val="24"/>
                <w:highlight w:val="none"/>
              </w:rPr>
            </w:pPr>
          </w:p>
        </w:tc>
        <w:tc>
          <w:tcPr>
            <w:tcW w:w="1275" w:type="dxa"/>
            <w:shd w:val="clear" w:color="auto" w:fill="FFFFFF" w:themeFill="background1"/>
            <w:vAlign w:val="center"/>
          </w:tcPr>
          <w:p w14:paraId="3759AE3E">
            <w:pPr>
              <w:adjustRightInd w:val="0"/>
              <w:snapToGrid w:val="0"/>
              <w:jc w:val="center"/>
              <w:rPr>
                <w:rFonts w:ascii="宋体" w:hAnsi="宋体" w:cs="Times New Roman"/>
                <w:snapToGrid w:val="0"/>
                <w:color w:val="auto"/>
                <w:kern w:val="0"/>
                <w:sz w:val="24"/>
                <w:highlight w:val="none"/>
              </w:rPr>
            </w:pPr>
          </w:p>
        </w:tc>
        <w:tc>
          <w:tcPr>
            <w:tcW w:w="993" w:type="dxa"/>
            <w:shd w:val="clear" w:color="auto" w:fill="FFFFFF" w:themeFill="background1"/>
            <w:vAlign w:val="center"/>
          </w:tcPr>
          <w:p w14:paraId="493B7E4D">
            <w:pPr>
              <w:adjustRightInd w:val="0"/>
              <w:snapToGrid w:val="0"/>
              <w:jc w:val="center"/>
              <w:rPr>
                <w:rFonts w:ascii="宋体" w:hAnsi="宋体" w:cs="Times New Roman"/>
                <w:snapToGrid w:val="0"/>
                <w:color w:val="auto"/>
                <w:kern w:val="0"/>
                <w:sz w:val="24"/>
                <w:highlight w:val="none"/>
              </w:rPr>
            </w:pPr>
          </w:p>
        </w:tc>
        <w:tc>
          <w:tcPr>
            <w:tcW w:w="1134" w:type="dxa"/>
            <w:shd w:val="clear" w:color="auto" w:fill="FFFFFF" w:themeFill="background1"/>
            <w:vAlign w:val="center"/>
          </w:tcPr>
          <w:p w14:paraId="2870691B">
            <w:pPr>
              <w:adjustRightInd w:val="0"/>
              <w:snapToGrid w:val="0"/>
              <w:jc w:val="center"/>
              <w:rPr>
                <w:rFonts w:ascii="宋体" w:hAnsi="宋体" w:cs="Times New Roman"/>
                <w:snapToGrid w:val="0"/>
                <w:color w:val="auto"/>
                <w:kern w:val="0"/>
                <w:sz w:val="24"/>
                <w:highlight w:val="none"/>
              </w:rPr>
            </w:pPr>
          </w:p>
        </w:tc>
        <w:tc>
          <w:tcPr>
            <w:tcW w:w="1701" w:type="dxa"/>
            <w:shd w:val="clear" w:color="auto" w:fill="FFFFFF" w:themeFill="background1"/>
            <w:vAlign w:val="center"/>
          </w:tcPr>
          <w:p w14:paraId="5CF0C72E">
            <w:pPr>
              <w:adjustRightInd w:val="0"/>
              <w:snapToGrid w:val="0"/>
              <w:jc w:val="center"/>
              <w:rPr>
                <w:rFonts w:ascii="宋体" w:hAnsi="宋体" w:cs="Times New Roman"/>
                <w:snapToGrid w:val="0"/>
                <w:color w:val="auto"/>
                <w:kern w:val="0"/>
                <w:sz w:val="24"/>
                <w:highlight w:val="none"/>
              </w:rPr>
            </w:pPr>
          </w:p>
        </w:tc>
        <w:tc>
          <w:tcPr>
            <w:tcW w:w="1100" w:type="dxa"/>
            <w:shd w:val="clear" w:color="auto" w:fill="FFFFFF" w:themeFill="background1"/>
            <w:vAlign w:val="center"/>
          </w:tcPr>
          <w:p w14:paraId="3BB24F83">
            <w:pPr>
              <w:adjustRightInd w:val="0"/>
              <w:snapToGrid w:val="0"/>
              <w:jc w:val="center"/>
              <w:rPr>
                <w:rFonts w:ascii="宋体" w:hAnsi="宋体" w:cs="Times New Roman"/>
                <w:snapToGrid w:val="0"/>
                <w:color w:val="auto"/>
                <w:kern w:val="0"/>
                <w:sz w:val="24"/>
                <w:highlight w:val="none"/>
              </w:rPr>
            </w:pPr>
          </w:p>
        </w:tc>
        <w:tc>
          <w:tcPr>
            <w:tcW w:w="1218" w:type="dxa"/>
            <w:shd w:val="clear" w:color="auto" w:fill="FFFFFF" w:themeFill="background1"/>
            <w:vAlign w:val="center"/>
          </w:tcPr>
          <w:p w14:paraId="00AC5BB3">
            <w:pPr>
              <w:adjustRightInd w:val="0"/>
              <w:snapToGrid w:val="0"/>
              <w:jc w:val="center"/>
              <w:rPr>
                <w:rFonts w:ascii="宋体" w:hAnsi="宋体" w:cs="Times New Roman"/>
                <w:snapToGrid w:val="0"/>
                <w:color w:val="auto"/>
                <w:kern w:val="0"/>
                <w:sz w:val="24"/>
                <w:highlight w:val="none"/>
              </w:rPr>
            </w:pPr>
          </w:p>
        </w:tc>
      </w:tr>
      <w:tr w14:paraId="2D8F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FFFFFF" w:themeFill="background1"/>
            <w:vAlign w:val="center"/>
          </w:tcPr>
          <w:p w14:paraId="7AE19EA7">
            <w:pPr>
              <w:adjustRightInd w:val="0"/>
              <w:snapToGrid w:val="0"/>
              <w:jc w:val="center"/>
              <w:rPr>
                <w:rFonts w:ascii="宋体" w:hAnsi="宋体" w:cs="Times New Roman"/>
                <w:snapToGrid w:val="0"/>
                <w:color w:val="auto"/>
                <w:kern w:val="0"/>
                <w:sz w:val="24"/>
                <w:highlight w:val="none"/>
              </w:rPr>
            </w:pPr>
          </w:p>
        </w:tc>
        <w:tc>
          <w:tcPr>
            <w:tcW w:w="1275" w:type="dxa"/>
            <w:shd w:val="clear" w:color="auto" w:fill="FFFFFF" w:themeFill="background1"/>
            <w:vAlign w:val="center"/>
          </w:tcPr>
          <w:p w14:paraId="0DD32566">
            <w:pPr>
              <w:adjustRightInd w:val="0"/>
              <w:snapToGrid w:val="0"/>
              <w:jc w:val="center"/>
              <w:rPr>
                <w:rFonts w:ascii="宋体" w:hAnsi="宋体" w:cs="Times New Roman"/>
                <w:snapToGrid w:val="0"/>
                <w:color w:val="auto"/>
                <w:kern w:val="0"/>
                <w:sz w:val="24"/>
                <w:highlight w:val="none"/>
              </w:rPr>
            </w:pPr>
          </w:p>
        </w:tc>
        <w:tc>
          <w:tcPr>
            <w:tcW w:w="993" w:type="dxa"/>
            <w:shd w:val="clear" w:color="auto" w:fill="FFFFFF" w:themeFill="background1"/>
            <w:vAlign w:val="center"/>
          </w:tcPr>
          <w:p w14:paraId="750C4C3A">
            <w:pPr>
              <w:adjustRightInd w:val="0"/>
              <w:snapToGrid w:val="0"/>
              <w:jc w:val="center"/>
              <w:rPr>
                <w:rFonts w:ascii="宋体" w:hAnsi="宋体" w:cs="Times New Roman"/>
                <w:snapToGrid w:val="0"/>
                <w:color w:val="auto"/>
                <w:kern w:val="0"/>
                <w:sz w:val="24"/>
                <w:highlight w:val="none"/>
              </w:rPr>
            </w:pPr>
          </w:p>
        </w:tc>
        <w:tc>
          <w:tcPr>
            <w:tcW w:w="1134" w:type="dxa"/>
            <w:shd w:val="clear" w:color="auto" w:fill="FFFFFF" w:themeFill="background1"/>
            <w:vAlign w:val="center"/>
          </w:tcPr>
          <w:p w14:paraId="644C3116">
            <w:pPr>
              <w:adjustRightInd w:val="0"/>
              <w:snapToGrid w:val="0"/>
              <w:jc w:val="center"/>
              <w:rPr>
                <w:rFonts w:ascii="宋体" w:hAnsi="宋体" w:cs="Times New Roman"/>
                <w:snapToGrid w:val="0"/>
                <w:color w:val="auto"/>
                <w:kern w:val="0"/>
                <w:sz w:val="24"/>
                <w:highlight w:val="none"/>
              </w:rPr>
            </w:pPr>
          </w:p>
        </w:tc>
        <w:tc>
          <w:tcPr>
            <w:tcW w:w="1701" w:type="dxa"/>
            <w:shd w:val="clear" w:color="auto" w:fill="FFFFFF" w:themeFill="background1"/>
            <w:vAlign w:val="center"/>
          </w:tcPr>
          <w:p w14:paraId="1917F3CA">
            <w:pPr>
              <w:adjustRightInd w:val="0"/>
              <w:snapToGrid w:val="0"/>
              <w:jc w:val="center"/>
              <w:rPr>
                <w:rFonts w:ascii="宋体" w:hAnsi="宋体" w:cs="Times New Roman"/>
                <w:snapToGrid w:val="0"/>
                <w:color w:val="auto"/>
                <w:kern w:val="0"/>
                <w:sz w:val="24"/>
                <w:highlight w:val="none"/>
              </w:rPr>
            </w:pPr>
          </w:p>
        </w:tc>
        <w:tc>
          <w:tcPr>
            <w:tcW w:w="1100" w:type="dxa"/>
            <w:shd w:val="clear" w:color="auto" w:fill="FFFFFF" w:themeFill="background1"/>
            <w:vAlign w:val="center"/>
          </w:tcPr>
          <w:p w14:paraId="667F09A3">
            <w:pPr>
              <w:adjustRightInd w:val="0"/>
              <w:snapToGrid w:val="0"/>
              <w:jc w:val="center"/>
              <w:rPr>
                <w:rFonts w:ascii="宋体" w:hAnsi="宋体" w:cs="Times New Roman"/>
                <w:snapToGrid w:val="0"/>
                <w:color w:val="auto"/>
                <w:kern w:val="0"/>
                <w:sz w:val="24"/>
                <w:highlight w:val="none"/>
              </w:rPr>
            </w:pPr>
          </w:p>
        </w:tc>
        <w:tc>
          <w:tcPr>
            <w:tcW w:w="1218" w:type="dxa"/>
            <w:shd w:val="clear" w:color="auto" w:fill="FFFFFF" w:themeFill="background1"/>
            <w:vAlign w:val="center"/>
          </w:tcPr>
          <w:p w14:paraId="30E25478">
            <w:pPr>
              <w:adjustRightInd w:val="0"/>
              <w:snapToGrid w:val="0"/>
              <w:jc w:val="center"/>
              <w:rPr>
                <w:rFonts w:ascii="宋体" w:hAnsi="宋体" w:cs="Times New Roman"/>
                <w:snapToGrid w:val="0"/>
                <w:color w:val="auto"/>
                <w:kern w:val="0"/>
                <w:sz w:val="24"/>
                <w:highlight w:val="none"/>
              </w:rPr>
            </w:pPr>
          </w:p>
        </w:tc>
      </w:tr>
      <w:tr w14:paraId="0720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FFFFFF" w:themeFill="background1"/>
            <w:vAlign w:val="center"/>
          </w:tcPr>
          <w:p w14:paraId="639D2F9A">
            <w:pPr>
              <w:adjustRightInd w:val="0"/>
              <w:snapToGrid w:val="0"/>
              <w:jc w:val="center"/>
              <w:rPr>
                <w:rFonts w:ascii="宋体" w:hAnsi="宋体" w:cs="Times New Roman"/>
                <w:snapToGrid w:val="0"/>
                <w:color w:val="auto"/>
                <w:kern w:val="0"/>
                <w:sz w:val="24"/>
                <w:highlight w:val="none"/>
              </w:rPr>
            </w:pPr>
          </w:p>
        </w:tc>
        <w:tc>
          <w:tcPr>
            <w:tcW w:w="1275" w:type="dxa"/>
            <w:shd w:val="clear" w:color="auto" w:fill="FFFFFF" w:themeFill="background1"/>
            <w:vAlign w:val="center"/>
          </w:tcPr>
          <w:p w14:paraId="20DDB4AA">
            <w:pPr>
              <w:adjustRightInd w:val="0"/>
              <w:snapToGrid w:val="0"/>
              <w:jc w:val="center"/>
              <w:rPr>
                <w:rFonts w:ascii="宋体" w:hAnsi="宋体" w:cs="Times New Roman"/>
                <w:snapToGrid w:val="0"/>
                <w:color w:val="auto"/>
                <w:kern w:val="0"/>
                <w:sz w:val="24"/>
                <w:highlight w:val="none"/>
              </w:rPr>
            </w:pPr>
          </w:p>
        </w:tc>
        <w:tc>
          <w:tcPr>
            <w:tcW w:w="993" w:type="dxa"/>
            <w:shd w:val="clear" w:color="auto" w:fill="FFFFFF" w:themeFill="background1"/>
            <w:vAlign w:val="center"/>
          </w:tcPr>
          <w:p w14:paraId="58F8C243">
            <w:pPr>
              <w:adjustRightInd w:val="0"/>
              <w:snapToGrid w:val="0"/>
              <w:jc w:val="center"/>
              <w:rPr>
                <w:rFonts w:ascii="宋体" w:hAnsi="宋体" w:cs="Times New Roman"/>
                <w:snapToGrid w:val="0"/>
                <w:color w:val="auto"/>
                <w:kern w:val="0"/>
                <w:sz w:val="24"/>
                <w:highlight w:val="none"/>
              </w:rPr>
            </w:pPr>
          </w:p>
        </w:tc>
        <w:tc>
          <w:tcPr>
            <w:tcW w:w="1134" w:type="dxa"/>
            <w:shd w:val="clear" w:color="auto" w:fill="FFFFFF" w:themeFill="background1"/>
            <w:vAlign w:val="center"/>
          </w:tcPr>
          <w:p w14:paraId="0D7AB15C">
            <w:pPr>
              <w:adjustRightInd w:val="0"/>
              <w:snapToGrid w:val="0"/>
              <w:jc w:val="center"/>
              <w:rPr>
                <w:rFonts w:ascii="宋体" w:hAnsi="宋体" w:cs="Times New Roman"/>
                <w:snapToGrid w:val="0"/>
                <w:color w:val="auto"/>
                <w:kern w:val="0"/>
                <w:sz w:val="24"/>
                <w:highlight w:val="none"/>
              </w:rPr>
            </w:pPr>
          </w:p>
        </w:tc>
        <w:tc>
          <w:tcPr>
            <w:tcW w:w="1701" w:type="dxa"/>
            <w:shd w:val="clear" w:color="auto" w:fill="FFFFFF" w:themeFill="background1"/>
            <w:vAlign w:val="center"/>
          </w:tcPr>
          <w:p w14:paraId="6AE75095">
            <w:pPr>
              <w:adjustRightInd w:val="0"/>
              <w:snapToGrid w:val="0"/>
              <w:jc w:val="center"/>
              <w:rPr>
                <w:rFonts w:ascii="宋体" w:hAnsi="宋体" w:cs="Times New Roman"/>
                <w:snapToGrid w:val="0"/>
                <w:color w:val="auto"/>
                <w:kern w:val="0"/>
                <w:sz w:val="24"/>
                <w:highlight w:val="none"/>
              </w:rPr>
            </w:pPr>
          </w:p>
        </w:tc>
        <w:tc>
          <w:tcPr>
            <w:tcW w:w="1100" w:type="dxa"/>
            <w:shd w:val="clear" w:color="auto" w:fill="FFFFFF" w:themeFill="background1"/>
            <w:vAlign w:val="center"/>
          </w:tcPr>
          <w:p w14:paraId="040BE722">
            <w:pPr>
              <w:adjustRightInd w:val="0"/>
              <w:snapToGrid w:val="0"/>
              <w:jc w:val="center"/>
              <w:rPr>
                <w:rFonts w:ascii="宋体" w:hAnsi="宋体" w:cs="Times New Roman"/>
                <w:snapToGrid w:val="0"/>
                <w:color w:val="auto"/>
                <w:kern w:val="0"/>
                <w:sz w:val="24"/>
                <w:highlight w:val="none"/>
              </w:rPr>
            </w:pPr>
          </w:p>
        </w:tc>
        <w:tc>
          <w:tcPr>
            <w:tcW w:w="1218" w:type="dxa"/>
            <w:shd w:val="clear" w:color="auto" w:fill="FFFFFF" w:themeFill="background1"/>
            <w:vAlign w:val="center"/>
          </w:tcPr>
          <w:p w14:paraId="54F19276">
            <w:pPr>
              <w:adjustRightInd w:val="0"/>
              <w:snapToGrid w:val="0"/>
              <w:jc w:val="center"/>
              <w:rPr>
                <w:rFonts w:ascii="宋体" w:hAnsi="宋体" w:cs="Times New Roman"/>
                <w:snapToGrid w:val="0"/>
                <w:color w:val="auto"/>
                <w:kern w:val="0"/>
                <w:sz w:val="24"/>
                <w:highlight w:val="none"/>
              </w:rPr>
            </w:pPr>
          </w:p>
        </w:tc>
      </w:tr>
      <w:tr w14:paraId="47A9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FFFFFF" w:themeFill="background1"/>
            <w:vAlign w:val="center"/>
          </w:tcPr>
          <w:p w14:paraId="14C31704">
            <w:pPr>
              <w:adjustRightInd w:val="0"/>
              <w:snapToGrid w:val="0"/>
              <w:jc w:val="center"/>
              <w:rPr>
                <w:rFonts w:ascii="宋体" w:hAnsi="宋体" w:cs="Times New Roman"/>
                <w:snapToGrid w:val="0"/>
                <w:color w:val="auto"/>
                <w:kern w:val="0"/>
                <w:sz w:val="24"/>
                <w:highlight w:val="none"/>
              </w:rPr>
            </w:pPr>
          </w:p>
        </w:tc>
        <w:tc>
          <w:tcPr>
            <w:tcW w:w="1275" w:type="dxa"/>
            <w:shd w:val="clear" w:color="auto" w:fill="FFFFFF" w:themeFill="background1"/>
            <w:vAlign w:val="center"/>
          </w:tcPr>
          <w:p w14:paraId="71126167">
            <w:pPr>
              <w:adjustRightInd w:val="0"/>
              <w:snapToGrid w:val="0"/>
              <w:jc w:val="center"/>
              <w:rPr>
                <w:rFonts w:ascii="宋体" w:hAnsi="宋体" w:cs="Times New Roman"/>
                <w:snapToGrid w:val="0"/>
                <w:color w:val="auto"/>
                <w:kern w:val="0"/>
                <w:sz w:val="24"/>
                <w:highlight w:val="none"/>
              </w:rPr>
            </w:pPr>
          </w:p>
        </w:tc>
        <w:tc>
          <w:tcPr>
            <w:tcW w:w="993" w:type="dxa"/>
            <w:shd w:val="clear" w:color="auto" w:fill="FFFFFF" w:themeFill="background1"/>
            <w:vAlign w:val="center"/>
          </w:tcPr>
          <w:p w14:paraId="2E335B9B">
            <w:pPr>
              <w:adjustRightInd w:val="0"/>
              <w:snapToGrid w:val="0"/>
              <w:jc w:val="center"/>
              <w:rPr>
                <w:rFonts w:ascii="宋体" w:hAnsi="宋体" w:cs="Times New Roman"/>
                <w:snapToGrid w:val="0"/>
                <w:color w:val="auto"/>
                <w:kern w:val="0"/>
                <w:sz w:val="24"/>
                <w:highlight w:val="none"/>
              </w:rPr>
            </w:pPr>
          </w:p>
        </w:tc>
        <w:tc>
          <w:tcPr>
            <w:tcW w:w="1134" w:type="dxa"/>
            <w:shd w:val="clear" w:color="auto" w:fill="FFFFFF" w:themeFill="background1"/>
            <w:vAlign w:val="center"/>
          </w:tcPr>
          <w:p w14:paraId="41D5E892">
            <w:pPr>
              <w:adjustRightInd w:val="0"/>
              <w:snapToGrid w:val="0"/>
              <w:jc w:val="center"/>
              <w:rPr>
                <w:rFonts w:ascii="宋体" w:hAnsi="宋体" w:cs="Times New Roman"/>
                <w:snapToGrid w:val="0"/>
                <w:color w:val="auto"/>
                <w:kern w:val="0"/>
                <w:sz w:val="24"/>
                <w:highlight w:val="none"/>
              </w:rPr>
            </w:pPr>
          </w:p>
        </w:tc>
        <w:tc>
          <w:tcPr>
            <w:tcW w:w="1701" w:type="dxa"/>
            <w:shd w:val="clear" w:color="auto" w:fill="FFFFFF" w:themeFill="background1"/>
            <w:vAlign w:val="center"/>
          </w:tcPr>
          <w:p w14:paraId="2A284241">
            <w:pPr>
              <w:adjustRightInd w:val="0"/>
              <w:snapToGrid w:val="0"/>
              <w:jc w:val="center"/>
              <w:rPr>
                <w:rFonts w:ascii="宋体" w:hAnsi="宋体" w:cs="Times New Roman"/>
                <w:snapToGrid w:val="0"/>
                <w:color w:val="auto"/>
                <w:kern w:val="0"/>
                <w:sz w:val="24"/>
                <w:highlight w:val="none"/>
              </w:rPr>
            </w:pPr>
          </w:p>
        </w:tc>
        <w:tc>
          <w:tcPr>
            <w:tcW w:w="1100" w:type="dxa"/>
            <w:shd w:val="clear" w:color="auto" w:fill="FFFFFF" w:themeFill="background1"/>
            <w:vAlign w:val="center"/>
          </w:tcPr>
          <w:p w14:paraId="2CB4BAF6">
            <w:pPr>
              <w:adjustRightInd w:val="0"/>
              <w:snapToGrid w:val="0"/>
              <w:jc w:val="center"/>
              <w:rPr>
                <w:rFonts w:ascii="宋体" w:hAnsi="宋体" w:cs="Times New Roman"/>
                <w:snapToGrid w:val="0"/>
                <w:color w:val="auto"/>
                <w:kern w:val="0"/>
                <w:sz w:val="24"/>
                <w:highlight w:val="none"/>
              </w:rPr>
            </w:pPr>
          </w:p>
        </w:tc>
        <w:tc>
          <w:tcPr>
            <w:tcW w:w="1218" w:type="dxa"/>
            <w:shd w:val="clear" w:color="auto" w:fill="FFFFFF" w:themeFill="background1"/>
            <w:vAlign w:val="center"/>
          </w:tcPr>
          <w:p w14:paraId="56036046">
            <w:pPr>
              <w:adjustRightInd w:val="0"/>
              <w:snapToGrid w:val="0"/>
              <w:jc w:val="center"/>
              <w:rPr>
                <w:rFonts w:ascii="宋体" w:hAnsi="宋体" w:cs="Times New Roman"/>
                <w:snapToGrid w:val="0"/>
                <w:color w:val="auto"/>
                <w:kern w:val="0"/>
                <w:sz w:val="24"/>
                <w:highlight w:val="none"/>
              </w:rPr>
            </w:pPr>
          </w:p>
        </w:tc>
      </w:tr>
      <w:tr w14:paraId="5B4B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FFFFFF" w:themeFill="background1"/>
            <w:vAlign w:val="center"/>
          </w:tcPr>
          <w:p w14:paraId="19C58EA3">
            <w:pPr>
              <w:adjustRightInd w:val="0"/>
              <w:snapToGrid w:val="0"/>
              <w:jc w:val="center"/>
              <w:rPr>
                <w:rFonts w:ascii="宋体" w:hAnsi="宋体" w:cs="Times New Roman"/>
                <w:snapToGrid w:val="0"/>
                <w:color w:val="auto"/>
                <w:kern w:val="0"/>
                <w:sz w:val="24"/>
                <w:highlight w:val="none"/>
              </w:rPr>
            </w:pPr>
          </w:p>
        </w:tc>
        <w:tc>
          <w:tcPr>
            <w:tcW w:w="1275" w:type="dxa"/>
            <w:shd w:val="clear" w:color="auto" w:fill="FFFFFF" w:themeFill="background1"/>
            <w:vAlign w:val="center"/>
          </w:tcPr>
          <w:p w14:paraId="66EA5415">
            <w:pPr>
              <w:adjustRightInd w:val="0"/>
              <w:snapToGrid w:val="0"/>
              <w:jc w:val="center"/>
              <w:rPr>
                <w:rFonts w:ascii="宋体" w:hAnsi="宋体" w:cs="Times New Roman"/>
                <w:snapToGrid w:val="0"/>
                <w:color w:val="auto"/>
                <w:kern w:val="0"/>
                <w:sz w:val="24"/>
                <w:highlight w:val="none"/>
              </w:rPr>
            </w:pPr>
          </w:p>
        </w:tc>
        <w:tc>
          <w:tcPr>
            <w:tcW w:w="993" w:type="dxa"/>
            <w:shd w:val="clear" w:color="auto" w:fill="FFFFFF" w:themeFill="background1"/>
            <w:vAlign w:val="center"/>
          </w:tcPr>
          <w:p w14:paraId="345A5332">
            <w:pPr>
              <w:adjustRightInd w:val="0"/>
              <w:snapToGrid w:val="0"/>
              <w:jc w:val="center"/>
              <w:rPr>
                <w:rFonts w:ascii="宋体" w:hAnsi="宋体" w:cs="Times New Roman"/>
                <w:snapToGrid w:val="0"/>
                <w:color w:val="auto"/>
                <w:kern w:val="0"/>
                <w:sz w:val="24"/>
                <w:highlight w:val="none"/>
              </w:rPr>
            </w:pPr>
          </w:p>
        </w:tc>
        <w:tc>
          <w:tcPr>
            <w:tcW w:w="1134" w:type="dxa"/>
            <w:shd w:val="clear" w:color="auto" w:fill="FFFFFF" w:themeFill="background1"/>
            <w:vAlign w:val="center"/>
          </w:tcPr>
          <w:p w14:paraId="49B08667">
            <w:pPr>
              <w:adjustRightInd w:val="0"/>
              <w:snapToGrid w:val="0"/>
              <w:jc w:val="center"/>
              <w:rPr>
                <w:rFonts w:ascii="宋体" w:hAnsi="宋体" w:cs="Times New Roman"/>
                <w:snapToGrid w:val="0"/>
                <w:color w:val="auto"/>
                <w:kern w:val="0"/>
                <w:sz w:val="24"/>
                <w:highlight w:val="none"/>
              </w:rPr>
            </w:pPr>
          </w:p>
        </w:tc>
        <w:tc>
          <w:tcPr>
            <w:tcW w:w="1701" w:type="dxa"/>
            <w:shd w:val="clear" w:color="auto" w:fill="FFFFFF" w:themeFill="background1"/>
            <w:vAlign w:val="center"/>
          </w:tcPr>
          <w:p w14:paraId="56BA0B57">
            <w:pPr>
              <w:adjustRightInd w:val="0"/>
              <w:snapToGrid w:val="0"/>
              <w:jc w:val="center"/>
              <w:rPr>
                <w:rFonts w:ascii="宋体" w:hAnsi="宋体" w:cs="Times New Roman"/>
                <w:snapToGrid w:val="0"/>
                <w:color w:val="auto"/>
                <w:kern w:val="0"/>
                <w:sz w:val="24"/>
                <w:highlight w:val="none"/>
              </w:rPr>
            </w:pPr>
          </w:p>
        </w:tc>
        <w:tc>
          <w:tcPr>
            <w:tcW w:w="1100" w:type="dxa"/>
            <w:shd w:val="clear" w:color="auto" w:fill="FFFFFF" w:themeFill="background1"/>
            <w:vAlign w:val="center"/>
          </w:tcPr>
          <w:p w14:paraId="1B6A392A">
            <w:pPr>
              <w:adjustRightInd w:val="0"/>
              <w:snapToGrid w:val="0"/>
              <w:jc w:val="center"/>
              <w:rPr>
                <w:rFonts w:ascii="宋体" w:hAnsi="宋体" w:cs="Times New Roman"/>
                <w:snapToGrid w:val="0"/>
                <w:color w:val="auto"/>
                <w:kern w:val="0"/>
                <w:sz w:val="24"/>
                <w:highlight w:val="none"/>
              </w:rPr>
            </w:pPr>
          </w:p>
        </w:tc>
        <w:tc>
          <w:tcPr>
            <w:tcW w:w="1218" w:type="dxa"/>
            <w:shd w:val="clear" w:color="auto" w:fill="FFFFFF" w:themeFill="background1"/>
            <w:vAlign w:val="center"/>
          </w:tcPr>
          <w:p w14:paraId="50BC1719">
            <w:pPr>
              <w:adjustRightInd w:val="0"/>
              <w:snapToGrid w:val="0"/>
              <w:jc w:val="center"/>
              <w:rPr>
                <w:rFonts w:ascii="宋体" w:hAnsi="宋体" w:cs="Times New Roman"/>
                <w:snapToGrid w:val="0"/>
                <w:color w:val="auto"/>
                <w:kern w:val="0"/>
                <w:sz w:val="24"/>
                <w:highlight w:val="none"/>
              </w:rPr>
            </w:pPr>
          </w:p>
        </w:tc>
      </w:tr>
      <w:tr w14:paraId="0A6A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FFFFFF" w:themeFill="background1"/>
            <w:vAlign w:val="center"/>
          </w:tcPr>
          <w:p w14:paraId="2A139E4D">
            <w:pPr>
              <w:adjustRightInd w:val="0"/>
              <w:snapToGrid w:val="0"/>
              <w:jc w:val="center"/>
              <w:rPr>
                <w:rFonts w:ascii="宋体" w:hAnsi="宋体" w:cs="Times New Roman"/>
                <w:snapToGrid w:val="0"/>
                <w:color w:val="auto"/>
                <w:kern w:val="0"/>
                <w:sz w:val="24"/>
                <w:highlight w:val="none"/>
              </w:rPr>
            </w:pPr>
          </w:p>
        </w:tc>
        <w:tc>
          <w:tcPr>
            <w:tcW w:w="1275" w:type="dxa"/>
            <w:shd w:val="clear" w:color="auto" w:fill="FFFFFF" w:themeFill="background1"/>
            <w:vAlign w:val="center"/>
          </w:tcPr>
          <w:p w14:paraId="210ECBC9">
            <w:pPr>
              <w:adjustRightInd w:val="0"/>
              <w:snapToGrid w:val="0"/>
              <w:jc w:val="center"/>
              <w:rPr>
                <w:rFonts w:ascii="宋体" w:hAnsi="宋体" w:cs="Times New Roman"/>
                <w:snapToGrid w:val="0"/>
                <w:color w:val="auto"/>
                <w:kern w:val="0"/>
                <w:sz w:val="24"/>
                <w:highlight w:val="none"/>
              </w:rPr>
            </w:pPr>
          </w:p>
        </w:tc>
        <w:tc>
          <w:tcPr>
            <w:tcW w:w="993" w:type="dxa"/>
            <w:shd w:val="clear" w:color="auto" w:fill="FFFFFF" w:themeFill="background1"/>
            <w:vAlign w:val="center"/>
          </w:tcPr>
          <w:p w14:paraId="6CFA4DF2">
            <w:pPr>
              <w:adjustRightInd w:val="0"/>
              <w:snapToGrid w:val="0"/>
              <w:jc w:val="center"/>
              <w:rPr>
                <w:rFonts w:ascii="宋体" w:hAnsi="宋体" w:cs="Times New Roman"/>
                <w:snapToGrid w:val="0"/>
                <w:color w:val="auto"/>
                <w:kern w:val="0"/>
                <w:sz w:val="24"/>
                <w:highlight w:val="none"/>
              </w:rPr>
            </w:pPr>
          </w:p>
        </w:tc>
        <w:tc>
          <w:tcPr>
            <w:tcW w:w="1134" w:type="dxa"/>
            <w:shd w:val="clear" w:color="auto" w:fill="FFFFFF" w:themeFill="background1"/>
            <w:vAlign w:val="center"/>
          </w:tcPr>
          <w:p w14:paraId="4D0708F7">
            <w:pPr>
              <w:adjustRightInd w:val="0"/>
              <w:snapToGrid w:val="0"/>
              <w:jc w:val="center"/>
              <w:rPr>
                <w:rFonts w:ascii="宋体" w:hAnsi="宋体" w:cs="Times New Roman"/>
                <w:snapToGrid w:val="0"/>
                <w:color w:val="auto"/>
                <w:kern w:val="0"/>
                <w:sz w:val="24"/>
                <w:highlight w:val="none"/>
              </w:rPr>
            </w:pPr>
          </w:p>
        </w:tc>
        <w:tc>
          <w:tcPr>
            <w:tcW w:w="1701" w:type="dxa"/>
            <w:shd w:val="clear" w:color="auto" w:fill="FFFFFF" w:themeFill="background1"/>
            <w:vAlign w:val="center"/>
          </w:tcPr>
          <w:p w14:paraId="3534F1E5">
            <w:pPr>
              <w:adjustRightInd w:val="0"/>
              <w:snapToGrid w:val="0"/>
              <w:jc w:val="center"/>
              <w:rPr>
                <w:rFonts w:ascii="宋体" w:hAnsi="宋体" w:cs="Times New Roman"/>
                <w:snapToGrid w:val="0"/>
                <w:color w:val="auto"/>
                <w:kern w:val="0"/>
                <w:sz w:val="24"/>
                <w:highlight w:val="none"/>
              </w:rPr>
            </w:pPr>
          </w:p>
        </w:tc>
        <w:tc>
          <w:tcPr>
            <w:tcW w:w="1100" w:type="dxa"/>
            <w:shd w:val="clear" w:color="auto" w:fill="FFFFFF" w:themeFill="background1"/>
            <w:vAlign w:val="center"/>
          </w:tcPr>
          <w:p w14:paraId="01A1104A">
            <w:pPr>
              <w:adjustRightInd w:val="0"/>
              <w:snapToGrid w:val="0"/>
              <w:jc w:val="center"/>
              <w:rPr>
                <w:rFonts w:ascii="宋体" w:hAnsi="宋体" w:cs="Times New Roman"/>
                <w:snapToGrid w:val="0"/>
                <w:color w:val="auto"/>
                <w:kern w:val="0"/>
                <w:sz w:val="24"/>
                <w:highlight w:val="none"/>
              </w:rPr>
            </w:pPr>
          </w:p>
        </w:tc>
        <w:tc>
          <w:tcPr>
            <w:tcW w:w="1218" w:type="dxa"/>
            <w:shd w:val="clear" w:color="auto" w:fill="FFFFFF" w:themeFill="background1"/>
            <w:vAlign w:val="center"/>
          </w:tcPr>
          <w:p w14:paraId="27A2180D">
            <w:pPr>
              <w:adjustRightInd w:val="0"/>
              <w:snapToGrid w:val="0"/>
              <w:jc w:val="center"/>
              <w:rPr>
                <w:rFonts w:ascii="宋体" w:hAnsi="宋体" w:cs="Times New Roman"/>
                <w:snapToGrid w:val="0"/>
                <w:color w:val="auto"/>
                <w:kern w:val="0"/>
                <w:sz w:val="24"/>
                <w:highlight w:val="none"/>
              </w:rPr>
            </w:pPr>
          </w:p>
        </w:tc>
      </w:tr>
      <w:tr w14:paraId="2475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FFFFFF" w:themeFill="background1"/>
            <w:vAlign w:val="center"/>
          </w:tcPr>
          <w:p w14:paraId="763B7078">
            <w:pPr>
              <w:adjustRightInd w:val="0"/>
              <w:snapToGrid w:val="0"/>
              <w:jc w:val="center"/>
              <w:rPr>
                <w:rFonts w:ascii="宋体" w:hAnsi="宋体" w:cs="Times New Roman"/>
                <w:snapToGrid w:val="0"/>
                <w:color w:val="auto"/>
                <w:kern w:val="0"/>
                <w:sz w:val="24"/>
                <w:highlight w:val="none"/>
              </w:rPr>
            </w:pPr>
          </w:p>
        </w:tc>
        <w:tc>
          <w:tcPr>
            <w:tcW w:w="1275" w:type="dxa"/>
            <w:shd w:val="clear" w:color="auto" w:fill="FFFFFF" w:themeFill="background1"/>
            <w:vAlign w:val="center"/>
          </w:tcPr>
          <w:p w14:paraId="5D34A328">
            <w:pPr>
              <w:adjustRightInd w:val="0"/>
              <w:snapToGrid w:val="0"/>
              <w:jc w:val="center"/>
              <w:rPr>
                <w:rFonts w:ascii="宋体" w:hAnsi="宋体" w:cs="Times New Roman"/>
                <w:snapToGrid w:val="0"/>
                <w:color w:val="auto"/>
                <w:kern w:val="0"/>
                <w:sz w:val="24"/>
                <w:highlight w:val="none"/>
              </w:rPr>
            </w:pPr>
          </w:p>
        </w:tc>
        <w:tc>
          <w:tcPr>
            <w:tcW w:w="993" w:type="dxa"/>
            <w:shd w:val="clear" w:color="auto" w:fill="FFFFFF" w:themeFill="background1"/>
            <w:vAlign w:val="center"/>
          </w:tcPr>
          <w:p w14:paraId="11B8111E">
            <w:pPr>
              <w:adjustRightInd w:val="0"/>
              <w:snapToGrid w:val="0"/>
              <w:jc w:val="center"/>
              <w:rPr>
                <w:rFonts w:ascii="宋体" w:hAnsi="宋体" w:cs="Times New Roman"/>
                <w:snapToGrid w:val="0"/>
                <w:color w:val="auto"/>
                <w:kern w:val="0"/>
                <w:sz w:val="24"/>
                <w:highlight w:val="none"/>
              </w:rPr>
            </w:pPr>
          </w:p>
        </w:tc>
        <w:tc>
          <w:tcPr>
            <w:tcW w:w="1134" w:type="dxa"/>
            <w:shd w:val="clear" w:color="auto" w:fill="FFFFFF" w:themeFill="background1"/>
            <w:vAlign w:val="center"/>
          </w:tcPr>
          <w:p w14:paraId="4663879A">
            <w:pPr>
              <w:adjustRightInd w:val="0"/>
              <w:snapToGrid w:val="0"/>
              <w:jc w:val="center"/>
              <w:rPr>
                <w:rFonts w:ascii="宋体" w:hAnsi="宋体" w:cs="Times New Roman"/>
                <w:snapToGrid w:val="0"/>
                <w:color w:val="auto"/>
                <w:kern w:val="0"/>
                <w:sz w:val="24"/>
                <w:highlight w:val="none"/>
              </w:rPr>
            </w:pPr>
          </w:p>
        </w:tc>
        <w:tc>
          <w:tcPr>
            <w:tcW w:w="1701" w:type="dxa"/>
            <w:shd w:val="clear" w:color="auto" w:fill="FFFFFF" w:themeFill="background1"/>
            <w:vAlign w:val="center"/>
          </w:tcPr>
          <w:p w14:paraId="69A11292">
            <w:pPr>
              <w:adjustRightInd w:val="0"/>
              <w:snapToGrid w:val="0"/>
              <w:jc w:val="center"/>
              <w:rPr>
                <w:rFonts w:ascii="宋体" w:hAnsi="宋体" w:cs="Times New Roman"/>
                <w:snapToGrid w:val="0"/>
                <w:color w:val="auto"/>
                <w:kern w:val="0"/>
                <w:sz w:val="24"/>
                <w:highlight w:val="none"/>
              </w:rPr>
            </w:pPr>
          </w:p>
        </w:tc>
        <w:tc>
          <w:tcPr>
            <w:tcW w:w="1100" w:type="dxa"/>
            <w:shd w:val="clear" w:color="auto" w:fill="FFFFFF" w:themeFill="background1"/>
            <w:vAlign w:val="center"/>
          </w:tcPr>
          <w:p w14:paraId="4A6BEF74">
            <w:pPr>
              <w:adjustRightInd w:val="0"/>
              <w:snapToGrid w:val="0"/>
              <w:jc w:val="center"/>
              <w:rPr>
                <w:rFonts w:ascii="宋体" w:hAnsi="宋体" w:cs="Times New Roman"/>
                <w:snapToGrid w:val="0"/>
                <w:color w:val="auto"/>
                <w:kern w:val="0"/>
                <w:sz w:val="24"/>
                <w:highlight w:val="none"/>
              </w:rPr>
            </w:pPr>
          </w:p>
        </w:tc>
        <w:tc>
          <w:tcPr>
            <w:tcW w:w="1218" w:type="dxa"/>
            <w:shd w:val="clear" w:color="auto" w:fill="FFFFFF" w:themeFill="background1"/>
            <w:vAlign w:val="center"/>
          </w:tcPr>
          <w:p w14:paraId="3F094964">
            <w:pPr>
              <w:adjustRightInd w:val="0"/>
              <w:snapToGrid w:val="0"/>
              <w:jc w:val="center"/>
              <w:rPr>
                <w:rFonts w:ascii="宋体" w:hAnsi="宋体" w:cs="Times New Roman"/>
                <w:snapToGrid w:val="0"/>
                <w:color w:val="auto"/>
                <w:kern w:val="0"/>
                <w:sz w:val="24"/>
                <w:highlight w:val="none"/>
              </w:rPr>
            </w:pPr>
          </w:p>
        </w:tc>
      </w:tr>
      <w:tr w14:paraId="5D3B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101" w:type="dxa"/>
            <w:shd w:val="clear" w:color="auto" w:fill="FFFFFF" w:themeFill="background1"/>
            <w:vAlign w:val="center"/>
          </w:tcPr>
          <w:p w14:paraId="63702CA1">
            <w:pPr>
              <w:adjustRightInd w:val="0"/>
              <w:snapToGrid w:val="0"/>
              <w:jc w:val="center"/>
              <w:rPr>
                <w:rFonts w:ascii="宋体" w:hAnsi="宋体" w:cs="Times New Roman"/>
                <w:snapToGrid w:val="0"/>
                <w:color w:val="auto"/>
                <w:kern w:val="0"/>
                <w:sz w:val="24"/>
                <w:highlight w:val="none"/>
              </w:rPr>
            </w:pPr>
          </w:p>
        </w:tc>
        <w:tc>
          <w:tcPr>
            <w:tcW w:w="1275" w:type="dxa"/>
            <w:shd w:val="clear" w:color="auto" w:fill="FFFFFF" w:themeFill="background1"/>
            <w:vAlign w:val="center"/>
          </w:tcPr>
          <w:p w14:paraId="336A51F0">
            <w:pPr>
              <w:adjustRightInd w:val="0"/>
              <w:snapToGrid w:val="0"/>
              <w:jc w:val="center"/>
              <w:rPr>
                <w:rFonts w:ascii="宋体" w:hAnsi="宋体" w:cs="Times New Roman"/>
                <w:snapToGrid w:val="0"/>
                <w:color w:val="auto"/>
                <w:kern w:val="0"/>
                <w:sz w:val="24"/>
                <w:highlight w:val="none"/>
              </w:rPr>
            </w:pPr>
          </w:p>
        </w:tc>
        <w:tc>
          <w:tcPr>
            <w:tcW w:w="993" w:type="dxa"/>
            <w:shd w:val="clear" w:color="auto" w:fill="FFFFFF" w:themeFill="background1"/>
            <w:vAlign w:val="center"/>
          </w:tcPr>
          <w:p w14:paraId="73EC2DE2">
            <w:pPr>
              <w:adjustRightInd w:val="0"/>
              <w:snapToGrid w:val="0"/>
              <w:jc w:val="center"/>
              <w:rPr>
                <w:rFonts w:ascii="宋体" w:hAnsi="宋体" w:cs="Times New Roman"/>
                <w:snapToGrid w:val="0"/>
                <w:color w:val="auto"/>
                <w:kern w:val="0"/>
                <w:sz w:val="24"/>
                <w:highlight w:val="none"/>
              </w:rPr>
            </w:pPr>
          </w:p>
        </w:tc>
        <w:tc>
          <w:tcPr>
            <w:tcW w:w="1134" w:type="dxa"/>
            <w:shd w:val="clear" w:color="auto" w:fill="FFFFFF" w:themeFill="background1"/>
            <w:vAlign w:val="center"/>
          </w:tcPr>
          <w:p w14:paraId="1B690BDB">
            <w:pPr>
              <w:adjustRightInd w:val="0"/>
              <w:snapToGrid w:val="0"/>
              <w:jc w:val="center"/>
              <w:rPr>
                <w:rFonts w:ascii="宋体" w:hAnsi="宋体" w:cs="Times New Roman"/>
                <w:snapToGrid w:val="0"/>
                <w:color w:val="auto"/>
                <w:kern w:val="0"/>
                <w:sz w:val="24"/>
                <w:highlight w:val="none"/>
              </w:rPr>
            </w:pPr>
          </w:p>
        </w:tc>
        <w:tc>
          <w:tcPr>
            <w:tcW w:w="1701" w:type="dxa"/>
            <w:shd w:val="clear" w:color="auto" w:fill="FFFFFF" w:themeFill="background1"/>
            <w:vAlign w:val="center"/>
          </w:tcPr>
          <w:p w14:paraId="3C3ABFEF">
            <w:pPr>
              <w:adjustRightInd w:val="0"/>
              <w:snapToGrid w:val="0"/>
              <w:jc w:val="center"/>
              <w:rPr>
                <w:rFonts w:ascii="宋体" w:hAnsi="宋体" w:cs="Times New Roman"/>
                <w:snapToGrid w:val="0"/>
                <w:color w:val="auto"/>
                <w:kern w:val="0"/>
                <w:sz w:val="24"/>
                <w:highlight w:val="none"/>
              </w:rPr>
            </w:pPr>
          </w:p>
        </w:tc>
        <w:tc>
          <w:tcPr>
            <w:tcW w:w="1100" w:type="dxa"/>
            <w:shd w:val="clear" w:color="auto" w:fill="FFFFFF" w:themeFill="background1"/>
            <w:vAlign w:val="center"/>
          </w:tcPr>
          <w:p w14:paraId="7A99EED7">
            <w:pPr>
              <w:adjustRightInd w:val="0"/>
              <w:snapToGrid w:val="0"/>
              <w:jc w:val="center"/>
              <w:rPr>
                <w:rFonts w:ascii="宋体" w:hAnsi="宋体" w:cs="Times New Roman"/>
                <w:snapToGrid w:val="0"/>
                <w:color w:val="auto"/>
                <w:kern w:val="0"/>
                <w:sz w:val="24"/>
                <w:highlight w:val="none"/>
              </w:rPr>
            </w:pPr>
          </w:p>
        </w:tc>
        <w:tc>
          <w:tcPr>
            <w:tcW w:w="1218" w:type="dxa"/>
            <w:shd w:val="clear" w:color="auto" w:fill="FFFFFF" w:themeFill="background1"/>
            <w:vAlign w:val="center"/>
          </w:tcPr>
          <w:p w14:paraId="693BB625">
            <w:pPr>
              <w:adjustRightInd w:val="0"/>
              <w:snapToGrid w:val="0"/>
              <w:jc w:val="center"/>
              <w:rPr>
                <w:rFonts w:ascii="宋体" w:hAnsi="宋体" w:cs="Times New Roman"/>
                <w:snapToGrid w:val="0"/>
                <w:color w:val="auto"/>
                <w:kern w:val="0"/>
                <w:sz w:val="24"/>
                <w:highlight w:val="none"/>
              </w:rPr>
            </w:pPr>
          </w:p>
        </w:tc>
      </w:tr>
      <w:tr w14:paraId="709C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FFFFFF" w:themeFill="background1"/>
            <w:vAlign w:val="center"/>
          </w:tcPr>
          <w:p w14:paraId="3B5A9866">
            <w:pPr>
              <w:jc w:val="center"/>
              <w:rPr>
                <w:rFonts w:ascii="宋体" w:hAnsi="宋体" w:cs="Times New Roman"/>
                <w:snapToGrid w:val="0"/>
                <w:color w:val="auto"/>
                <w:kern w:val="0"/>
                <w:sz w:val="24"/>
                <w:highlight w:val="none"/>
              </w:rPr>
            </w:pPr>
          </w:p>
        </w:tc>
        <w:tc>
          <w:tcPr>
            <w:tcW w:w="1275" w:type="dxa"/>
            <w:shd w:val="clear" w:color="auto" w:fill="FFFFFF" w:themeFill="background1"/>
            <w:vAlign w:val="center"/>
          </w:tcPr>
          <w:p w14:paraId="4D042F05">
            <w:pPr>
              <w:adjustRightInd w:val="0"/>
              <w:snapToGrid w:val="0"/>
              <w:jc w:val="center"/>
              <w:rPr>
                <w:rFonts w:ascii="宋体" w:hAnsi="宋体" w:cs="Times New Roman"/>
                <w:snapToGrid w:val="0"/>
                <w:color w:val="auto"/>
                <w:kern w:val="0"/>
                <w:sz w:val="24"/>
                <w:highlight w:val="none"/>
              </w:rPr>
            </w:pPr>
          </w:p>
        </w:tc>
        <w:tc>
          <w:tcPr>
            <w:tcW w:w="993" w:type="dxa"/>
            <w:shd w:val="clear" w:color="auto" w:fill="FFFFFF" w:themeFill="background1"/>
            <w:vAlign w:val="center"/>
          </w:tcPr>
          <w:p w14:paraId="427A5514">
            <w:pPr>
              <w:adjustRightInd w:val="0"/>
              <w:snapToGrid w:val="0"/>
              <w:jc w:val="center"/>
              <w:rPr>
                <w:rFonts w:ascii="宋体" w:hAnsi="宋体" w:cs="Times New Roman"/>
                <w:snapToGrid w:val="0"/>
                <w:color w:val="auto"/>
                <w:kern w:val="0"/>
                <w:sz w:val="24"/>
                <w:highlight w:val="none"/>
              </w:rPr>
            </w:pPr>
          </w:p>
        </w:tc>
        <w:tc>
          <w:tcPr>
            <w:tcW w:w="1134" w:type="dxa"/>
            <w:shd w:val="clear" w:color="auto" w:fill="FFFFFF" w:themeFill="background1"/>
            <w:vAlign w:val="center"/>
          </w:tcPr>
          <w:p w14:paraId="14F98051">
            <w:pPr>
              <w:jc w:val="center"/>
              <w:rPr>
                <w:rFonts w:ascii="宋体" w:hAnsi="宋体" w:cs="Times New Roman"/>
                <w:snapToGrid w:val="0"/>
                <w:color w:val="auto"/>
                <w:kern w:val="0"/>
                <w:sz w:val="24"/>
                <w:highlight w:val="none"/>
              </w:rPr>
            </w:pPr>
          </w:p>
        </w:tc>
        <w:tc>
          <w:tcPr>
            <w:tcW w:w="1701" w:type="dxa"/>
            <w:shd w:val="clear" w:color="auto" w:fill="FFFFFF" w:themeFill="background1"/>
            <w:vAlign w:val="center"/>
          </w:tcPr>
          <w:p w14:paraId="7858550D">
            <w:pPr>
              <w:adjustRightInd w:val="0"/>
              <w:snapToGrid w:val="0"/>
              <w:jc w:val="center"/>
              <w:rPr>
                <w:rFonts w:ascii="宋体" w:hAnsi="宋体" w:cs="Times New Roman"/>
                <w:snapToGrid w:val="0"/>
                <w:color w:val="auto"/>
                <w:kern w:val="0"/>
                <w:sz w:val="24"/>
                <w:highlight w:val="none"/>
              </w:rPr>
            </w:pPr>
          </w:p>
        </w:tc>
        <w:tc>
          <w:tcPr>
            <w:tcW w:w="1100" w:type="dxa"/>
            <w:shd w:val="clear" w:color="auto" w:fill="FFFFFF" w:themeFill="background1"/>
            <w:vAlign w:val="center"/>
          </w:tcPr>
          <w:p w14:paraId="0D35D29B">
            <w:pPr>
              <w:adjustRightInd w:val="0"/>
              <w:snapToGrid w:val="0"/>
              <w:jc w:val="center"/>
              <w:rPr>
                <w:rFonts w:ascii="宋体" w:hAnsi="宋体" w:cs="Times New Roman"/>
                <w:snapToGrid w:val="0"/>
                <w:color w:val="auto"/>
                <w:kern w:val="0"/>
                <w:sz w:val="24"/>
                <w:highlight w:val="none"/>
              </w:rPr>
            </w:pPr>
          </w:p>
        </w:tc>
        <w:tc>
          <w:tcPr>
            <w:tcW w:w="1218" w:type="dxa"/>
            <w:shd w:val="clear" w:color="auto" w:fill="FFFFFF" w:themeFill="background1"/>
            <w:vAlign w:val="center"/>
          </w:tcPr>
          <w:p w14:paraId="70DEF2BC">
            <w:pPr>
              <w:jc w:val="center"/>
              <w:rPr>
                <w:rFonts w:ascii="宋体" w:hAnsi="宋体" w:cs="Times New Roman"/>
                <w:snapToGrid w:val="0"/>
                <w:color w:val="auto"/>
                <w:kern w:val="0"/>
                <w:sz w:val="24"/>
                <w:highlight w:val="none"/>
              </w:rPr>
            </w:pPr>
          </w:p>
        </w:tc>
      </w:tr>
    </w:tbl>
    <w:p w14:paraId="2D0FC268">
      <w:pPr>
        <w:adjustRightInd w:val="0"/>
        <w:snapToGrid w:val="0"/>
        <w:spacing w:line="360" w:lineRule="auto"/>
        <w:jc w:val="left"/>
        <w:rPr>
          <w:rFonts w:ascii="宋体" w:hAnsi="宋体"/>
          <w:b/>
          <w:bCs/>
          <w:snapToGrid w:val="0"/>
          <w:color w:val="auto"/>
          <w:kern w:val="0"/>
          <w:sz w:val="24"/>
          <w:highlight w:val="none"/>
        </w:rPr>
      </w:pPr>
    </w:p>
    <w:p w14:paraId="1E7827B9">
      <w:pPr>
        <w:adjustRightInd w:val="0"/>
        <w:snapToGrid w:val="0"/>
        <w:spacing w:line="360" w:lineRule="auto"/>
        <w:jc w:val="center"/>
        <w:rPr>
          <w:rFonts w:ascii="宋体" w:hAnsi="宋体"/>
          <w:b/>
          <w:bCs/>
          <w:snapToGrid w:val="0"/>
          <w:color w:val="auto"/>
          <w:kern w:val="0"/>
          <w:sz w:val="24"/>
          <w:highlight w:val="none"/>
        </w:rPr>
      </w:pPr>
    </w:p>
    <w:p w14:paraId="46C12566">
      <w:pPr>
        <w:adjustRightInd w:val="0"/>
        <w:snapToGrid w:val="0"/>
        <w:spacing w:line="360" w:lineRule="auto"/>
        <w:jc w:val="center"/>
        <w:rPr>
          <w:rFonts w:ascii="宋体" w:hAnsi="宋体"/>
          <w:b/>
          <w:bCs/>
          <w:snapToGrid w:val="0"/>
          <w:color w:val="auto"/>
          <w:kern w:val="0"/>
          <w:sz w:val="24"/>
          <w:highlight w:val="none"/>
        </w:rPr>
      </w:pPr>
    </w:p>
    <w:p w14:paraId="10FF6932">
      <w:pPr>
        <w:adjustRightInd w:val="0"/>
        <w:snapToGrid w:val="0"/>
        <w:spacing w:line="360" w:lineRule="auto"/>
        <w:jc w:val="center"/>
        <w:rPr>
          <w:rFonts w:ascii="宋体" w:hAnsi="宋体"/>
          <w:b/>
          <w:bCs/>
          <w:snapToGrid w:val="0"/>
          <w:color w:val="auto"/>
          <w:kern w:val="0"/>
          <w:sz w:val="24"/>
          <w:highlight w:val="none"/>
        </w:rPr>
      </w:pPr>
    </w:p>
    <w:p w14:paraId="22A27837">
      <w:pPr>
        <w:adjustRightInd w:val="0"/>
        <w:snapToGrid w:val="0"/>
        <w:spacing w:line="360" w:lineRule="auto"/>
        <w:jc w:val="center"/>
        <w:rPr>
          <w:rFonts w:ascii="宋体" w:hAnsi="宋体"/>
          <w:b/>
          <w:bCs/>
          <w:snapToGrid w:val="0"/>
          <w:color w:val="auto"/>
          <w:kern w:val="0"/>
          <w:sz w:val="24"/>
          <w:highlight w:val="none"/>
        </w:rPr>
      </w:pPr>
    </w:p>
    <w:p w14:paraId="3EAAC771">
      <w:pPr>
        <w:adjustRightInd w:val="0"/>
        <w:snapToGrid w:val="0"/>
        <w:spacing w:line="360" w:lineRule="auto"/>
        <w:jc w:val="center"/>
        <w:rPr>
          <w:rFonts w:ascii="宋体" w:hAnsi="宋体"/>
          <w:b/>
          <w:bCs/>
          <w:snapToGrid w:val="0"/>
          <w:color w:val="auto"/>
          <w:kern w:val="0"/>
          <w:sz w:val="24"/>
          <w:highlight w:val="none"/>
        </w:rPr>
      </w:pPr>
    </w:p>
    <w:p w14:paraId="5DB97F0F">
      <w:pPr>
        <w:adjustRightInd w:val="0"/>
        <w:snapToGrid w:val="0"/>
        <w:spacing w:line="360" w:lineRule="auto"/>
        <w:jc w:val="center"/>
        <w:rPr>
          <w:rFonts w:ascii="宋体" w:hAnsi="宋体"/>
          <w:b/>
          <w:bCs/>
          <w:snapToGrid w:val="0"/>
          <w:color w:val="auto"/>
          <w:kern w:val="0"/>
          <w:sz w:val="24"/>
          <w:highlight w:val="none"/>
        </w:rPr>
      </w:pPr>
    </w:p>
    <w:p w14:paraId="53F31F9F">
      <w:pPr>
        <w:adjustRightInd w:val="0"/>
        <w:snapToGrid w:val="0"/>
        <w:spacing w:line="360" w:lineRule="auto"/>
        <w:jc w:val="center"/>
        <w:rPr>
          <w:rFonts w:ascii="宋体" w:hAnsi="宋体"/>
          <w:b/>
          <w:bCs/>
          <w:snapToGrid w:val="0"/>
          <w:color w:val="auto"/>
          <w:kern w:val="0"/>
          <w:sz w:val="24"/>
          <w:highlight w:val="none"/>
        </w:rPr>
      </w:pPr>
    </w:p>
    <w:p w14:paraId="54274BE3">
      <w:pPr>
        <w:widowControl/>
        <w:jc w:val="left"/>
        <w:rPr>
          <w:rFonts w:ascii="宋体" w:hAnsi="宋体"/>
          <w:bCs/>
          <w:snapToGrid w:val="0"/>
          <w:color w:val="auto"/>
          <w:kern w:val="0"/>
          <w:sz w:val="24"/>
          <w:highlight w:val="none"/>
        </w:rPr>
      </w:pPr>
      <w:r>
        <w:rPr>
          <w:rFonts w:ascii="宋体" w:hAnsi="宋体"/>
          <w:bCs/>
          <w:snapToGrid w:val="0"/>
          <w:color w:val="auto"/>
          <w:kern w:val="0"/>
          <w:sz w:val="24"/>
          <w:highlight w:val="none"/>
        </w:rPr>
        <w:br w:type="page"/>
      </w:r>
    </w:p>
    <w:p w14:paraId="11135120">
      <w:pPr>
        <w:pStyle w:val="4"/>
        <w:rPr>
          <w:color w:val="auto"/>
          <w:highlight w:val="none"/>
        </w:rPr>
      </w:pPr>
      <w:bookmarkStart w:id="141" w:name="_Toc1183"/>
      <w:bookmarkStart w:id="142" w:name="_Toc6611"/>
      <w:bookmarkStart w:id="143" w:name="_Toc5737"/>
      <w:r>
        <w:rPr>
          <w:rFonts w:hint="eastAsia"/>
          <w:color w:val="auto"/>
          <w:highlight w:val="none"/>
        </w:rPr>
        <w:t>2中标通知书</w:t>
      </w:r>
      <w:bookmarkEnd w:id="141"/>
      <w:bookmarkEnd w:id="142"/>
      <w:bookmarkEnd w:id="143"/>
    </w:p>
    <w:p w14:paraId="26133548">
      <w:pPr>
        <w:adjustRightInd w:val="0"/>
        <w:snapToGrid w:val="0"/>
        <w:spacing w:line="360" w:lineRule="auto"/>
        <w:ind w:firstLine="480" w:firstLineChars="200"/>
        <w:rPr>
          <w:rFonts w:ascii="宋体" w:hAnsi="宋体"/>
          <w:snapToGrid w:val="0"/>
          <w:color w:val="auto"/>
          <w:kern w:val="0"/>
          <w:sz w:val="24"/>
          <w:highlight w:val="none"/>
        </w:rPr>
      </w:pPr>
      <w:bookmarkStart w:id="144" w:name="_Toc7267"/>
      <w:bookmarkStart w:id="145" w:name="_Toc15063"/>
      <w:bookmarkStart w:id="146" w:name="_Toc6168"/>
    </w:p>
    <w:p w14:paraId="3DFC82F1">
      <w:pPr>
        <w:adjustRightInd w:val="0"/>
        <w:snapToGrid w:val="0"/>
        <w:spacing w:line="360" w:lineRule="auto"/>
        <w:ind w:firstLine="480" w:firstLineChars="200"/>
        <w:rPr>
          <w:rFonts w:ascii="宋体" w:hAnsi="宋体"/>
          <w:snapToGrid w:val="0"/>
          <w:color w:val="auto"/>
          <w:kern w:val="0"/>
          <w:sz w:val="24"/>
          <w:highlight w:val="none"/>
        </w:rPr>
      </w:pPr>
    </w:p>
    <w:p w14:paraId="263FC813">
      <w:pPr>
        <w:adjustRightInd w:val="0"/>
        <w:snapToGrid w:val="0"/>
        <w:spacing w:line="360" w:lineRule="auto"/>
        <w:ind w:firstLine="480" w:firstLineChars="200"/>
        <w:rPr>
          <w:rFonts w:ascii="宋体" w:hAnsi="宋体"/>
          <w:snapToGrid w:val="0"/>
          <w:color w:val="auto"/>
          <w:kern w:val="0"/>
          <w:sz w:val="24"/>
          <w:highlight w:val="none"/>
        </w:rPr>
      </w:pPr>
    </w:p>
    <w:p w14:paraId="1D151434">
      <w:pPr>
        <w:adjustRightInd w:val="0"/>
        <w:snapToGrid w:val="0"/>
        <w:spacing w:line="360" w:lineRule="auto"/>
        <w:ind w:firstLine="480" w:firstLineChars="200"/>
        <w:rPr>
          <w:rFonts w:ascii="宋体" w:hAnsi="宋体"/>
          <w:snapToGrid w:val="0"/>
          <w:color w:val="auto"/>
          <w:kern w:val="0"/>
          <w:sz w:val="24"/>
          <w:highlight w:val="none"/>
        </w:rPr>
      </w:pPr>
    </w:p>
    <w:p w14:paraId="271D6F2C">
      <w:pPr>
        <w:adjustRightInd w:val="0"/>
        <w:snapToGrid w:val="0"/>
        <w:spacing w:line="360" w:lineRule="auto"/>
        <w:ind w:firstLine="480" w:firstLineChars="200"/>
        <w:rPr>
          <w:rFonts w:ascii="宋体" w:hAnsi="宋体"/>
          <w:snapToGrid w:val="0"/>
          <w:color w:val="auto"/>
          <w:kern w:val="0"/>
          <w:sz w:val="24"/>
          <w:highlight w:val="none"/>
        </w:rPr>
      </w:pPr>
    </w:p>
    <w:p w14:paraId="63553DB7">
      <w:pPr>
        <w:adjustRightInd w:val="0"/>
        <w:snapToGrid w:val="0"/>
        <w:spacing w:line="360" w:lineRule="auto"/>
        <w:ind w:firstLine="480" w:firstLineChars="200"/>
        <w:rPr>
          <w:rFonts w:ascii="宋体" w:hAnsi="宋体"/>
          <w:snapToGrid w:val="0"/>
          <w:color w:val="auto"/>
          <w:kern w:val="0"/>
          <w:sz w:val="24"/>
          <w:highlight w:val="none"/>
        </w:rPr>
      </w:pPr>
    </w:p>
    <w:p w14:paraId="17D51991">
      <w:pPr>
        <w:adjustRightInd w:val="0"/>
        <w:snapToGrid w:val="0"/>
        <w:spacing w:line="360" w:lineRule="auto"/>
        <w:ind w:firstLine="480" w:firstLineChars="200"/>
        <w:rPr>
          <w:rFonts w:ascii="宋体" w:hAnsi="宋体"/>
          <w:snapToGrid w:val="0"/>
          <w:color w:val="auto"/>
          <w:kern w:val="0"/>
          <w:sz w:val="24"/>
          <w:highlight w:val="none"/>
        </w:rPr>
      </w:pPr>
    </w:p>
    <w:p w14:paraId="5AD05C21">
      <w:pPr>
        <w:adjustRightInd w:val="0"/>
        <w:snapToGrid w:val="0"/>
        <w:spacing w:line="360" w:lineRule="auto"/>
        <w:ind w:firstLine="480" w:firstLineChars="200"/>
        <w:rPr>
          <w:rFonts w:ascii="宋体" w:hAnsi="宋体"/>
          <w:snapToGrid w:val="0"/>
          <w:color w:val="auto"/>
          <w:kern w:val="0"/>
          <w:sz w:val="24"/>
          <w:highlight w:val="none"/>
        </w:rPr>
      </w:pPr>
    </w:p>
    <w:p w14:paraId="23FFDB1B">
      <w:pPr>
        <w:adjustRightInd w:val="0"/>
        <w:snapToGrid w:val="0"/>
        <w:spacing w:line="360" w:lineRule="auto"/>
        <w:ind w:firstLine="480" w:firstLineChars="200"/>
        <w:rPr>
          <w:rFonts w:ascii="宋体" w:hAnsi="宋体"/>
          <w:snapToGrid w:val="0"/>
          <w:color w:val="auto"/>
          <w:kern w:val="0"/>
          <w:sz w:val="24"/>
          <w:highlight w:val="none"/>
        </w:rPr>
      </w:pPr>
    </w:p>
    <w:p w14:paraId="1F9A2BB8">
      <w:pPr>
        <w:adjustRightInd w:val="0"/>
        <w:snapToGrid w:val="0"/>
        <w:spacing w:line="360" w:lineRule="auto"/>
        <w:ind w:firstLine="480" w:firstLineChars="200"/>
        <w:rPr>
          <w:rFonts w:ascii="宋体" w:hAnsi="宋体"/>
          <w:snapToGrid w:val="0"/>
          <w:color w:val="auto"/>
          <w:kern w:val="0"/>
          <w:sz w:val="24"/>
          <w:highlight w:val="none"/>
        </w:rPr>
      </w:pPr>
    </w:p>
    <w:p w14:paraId="776879F2">
      <w:pPr>
        <w:adjustRightInd w:val="0"/>
        <w:snapToGrid w:val="0"/>
        <w:spacing w:line="360" w:lineRule="auto"/>
        <w:ind w:firstLine="480" w:firstLineChars="200"/>
        <w:rPr>
          <w:rFonts w:ascii="宋体" w:hAnsi="宋体"/>
          <w:snapToGrid w:val="0"/>
          <w:color w:val="auto"/>
          <w:kern w:val="0"/>
          <w:sz w:val="24"/>
          <w:highlight w:val="none"/>
        </w:rPr>
      </w:pPr>
    </w:p>
    <w:p w14:paraId="722B08C2">
      <w:pPr>
        <w:adjustRightInd w:val="0"/>
        <w:snapToGrid w:val="0"/>
        <w:spacing w:line="360" w:lineRule="auto"/>
        <w:ind w:firstLine="480" w:firstLineChars="200"/>
        <w:rPr>
          <w:rFonts w:ascii="宋体" w:hAnsi="宋体"/>
          <w:snapToGrid w:val="0"/>
          <w:color w:val="auto"/>
          <w:kern w:val="0"/>
          <w:sz w:val="24"/>
          <w:highlight w:val="none"/>
        </w:rPr>
      </w:pPr>
    </w:p>
    <w:p w14:paraId="6718AB9D">
      <w:pPr>
        <w:adjustRightInd w:val="0"/>
        <w:snapToGrid w:val="0"/>
        <w:spacing w:line="360" w:lineRule="auto"/>
        <w:ind w:firstLine="480" w:firstLineChars="200"/>
        <w:rPr>
          <w:rFonts w:ascii="宋体" w:hAnsi="宋体"/>
          <w:snapToGrid w:val="0"/>
          <w:color w:val="auto"/>
          <w:kern w:val="0"/>
          <w:sz w:val="24"/>
          <w:highlight w:val="none"/>
        </w:rPr>
      </w:pPr>
    </w:p>
    <w:p w14:paraId="1565A361">
      <w:pPr>
        <w:adjustRightInd w:val="0"/>
        <w:snapToGrid w:val="0"/>
        <w:spacing w:line="360" w:lineRule="auto"/>
        <w:ind w:firstLine="480" w:firstLineChars="200"/>
        <w:rPr>
          <w:rFonts w:ascii="宋体" w:hAnsi="宋体"/>
          <w:snapToGrid w:val="0"/>
          <w:color w:val="auto"/>
          <w:kern w:val="0"/>
          <w:sz w:val="24"/>
          <w:highlight w:val="none"/>
        </w:rPr>
      </w:pPr>
    </w:p>
    <w:p w14:paraId="7345E853">
      <w:pPr>
        <w:adjustRightInd w:val="0"/>
        <w:snapToGrid w:val="0"/>
        <w:spacing w:line="360" w:lineRule="auto"/>
        <w:ind w:firstLine="480" w:firstLineChars="200"/>
        <w:rPr>
          <w:rFonts w:ascii="宋体" w:hAnsi="宋体"/>
          <w:snapToGrid w:val="0"/>
          <w:color w:val="auto"/>
          <w:kern w:val="0"/>
          <w:sz w:val="24"/>
          <w:highlight w:val="none"/>
        </w:rPr>
      </w:pPr>
    </w:p>
    <w:p w14:paraId="77472001">
      <w:pPr>
        <w:adjustRightInd w:val="0"/>
        <w:snapToGrid w:val="0"/>
        <w:spacing w:line="360" w:lineRule="auto"/>
        <w:ind w:firstLine="480" w:firstLineChars="200"/>
        <w:rPr>
          <w:rFonts w:ascii="宋体" w:hAnsi="宋体"/>
          <w:snapToGrid w:val="0"/>
          <w:color w:val="auto"/>
          <w:kern w:val="0"/>
          <w:sz w:val="24"/>
          <w:highlight w:val="none"/>
        </w:rPr>
      </w:pPr>
    </w:p>
    <w:p w14:paraId="1855B2DC">
      <w:pPr>
        <w:adjustRightInd w:val="0"/>
        <w:snapToGrid w:val="0"/>
        <w:spacing w:line="360" w:lineRule="auto"/>
        <w:ind w:firstLine="480" w:firstLineChars="200"/>
        <w:rPr>
          <w:rFonts w:ascii="宋体" w:hAnsi="宋体"/>
          <w:snapToGrid w:val="0"/>
          <w:color w:val="auto"/>
          <w:kern w:val="0"/>
          <w:sz w:val="24"/>
          <w:highlight w:val="none"/>
        </w:rPr>
      </w:pPr>
    </w:p>
    <w:p w14:paraId="2F3105DE">
      <w:pPr>
        <w:adjustRightInd w:val="0"/>
        <w:snapToGrid w:val="0"/>
        <w:spacing w:line="360" w:lineRule="auto"/>
        <w:ind w:firstLine="480" w:firstLineChars="200"/>
        <w:rPr>
          <w:rFonts w:ascii="宋体" w:hAnsi="宋体"/>
          <w:snapToGrid w:val="0"/>
          <w:color w:val="auto"/>
          <w:kern w:val="0"/>
          <w:sz w:val="24"/>
          <w:highlight w:val="none"/>
        </w:rPr>
      </w:pPr>
    </w:p>
    <w:p w14:paraId="77203938">
      <w:pPr>
        <w:adjustRightInd w:val="0"/>
        <w:snapToGrid w:val="0"/>
        <w:spacing w:line="360" w:lineRule="auto"/>
        <w:ind w:firstLine="480" w:firstLineChars="200"/>
        <w:rPr>
          <w:rFonts w:ascii="宋体" w:hAnsi="宋体"/>
          <w:snapToGrid w:val="0"/>
          <w:color w:val="auto"/>
          <w:kern w:val="0"/>
          <w:sz w:val="24"/>
          <w:highlight w:val="none"/>
        </w:rPr>
      </w:pPr>
    </w:p>
    <w:p w14:paraId="7180105A">
      <w:pPr>
        <w:adjustRightInd w:val="0"/>
        <w:snapToGrid w:val="0"/>
        <w:spacing w:line="360" w:lineRule="auto"/>
        <w:ind w:firstLine="480" w:firstLineChars="200"/>
        <w:rPr>
          <w:rFonts w:ascii="宋体" w:hAnsi="宋体"/>
          <w:snapToGrid w:val="0"/>
          <w:color w:val="auto"/>
          <w:kern w:val="0"/>
          <w:sz w:val="24"/>
          <w:highlight w:val="none"/>
        </w:rPr>
      </w:pPr>
    </w:p>
    <w:p w14:paraId="7BEC9AE2">
      <w:pPr>
        <w:adjustRightInd w:val="0"/>
        <w:snapToGrid w:val="0"/>
        <w:spacing w:line="360" w:lineRule="auto"/>
        <w:ind w:firstLine="480" w:firstLineChars="200"/>
        <w:rPr>
          <w:rFonts w:ascii="宋体" w:hAnsi="宋体"/>
          <w:snapToGrid w:val="0"/>
          <w:color w:val="auto"/>
          <w:kern w:val="0"/>
          <w:sz w:val="24"/>
          <w:highlight w:val="none"/>
        </w:rPr>
      </w:pPr>
    </w:p>
    <w:p w14:paraId="69E1C276">
      <w:pPr>
        <w:adjustRightInd w:val="0"/>
        <w:snapToGrid w:val="0"/>
        <w:spacing w:line="360" w:lineRule="auto"/>
        <w:ind w:firstLine="480" w:firstLineChars="200"/>
        <w:rPr>
          <w:rFonts w:ascii="宋体" w:hAnsi="宋体"/>
          <w:snapToGrid w:val="0"/>
          <w:color w:val="auto"/>
          <w:kern w:val="0"/>
          <w:sz w:val="24"/>
          <w:highlight w:val="none"/>
        </w:rPr>
      </w:pPr>
    </w:p>
    <w:p w14:paraId="6BE2BDB9">
      <w:pPr>
        <w:adjustRightInd w:val="0"/>
        <w:snapToGrid w:val="0"/>
        <w:spacing w:line="360" w:lineRule="auto"/>
        <w:ind w:firstLine="480" w:firstLineChars="200"/>
        <w:rPr>
          <w:rFonts w:ascii="宋体" w:hAnsi="宋体"/>
          <w:snapToGrid w:val="0"/>
          <w:color w:val="auto"/>
          <w:kern w:val="0"/>
          <w:sz w:val="24"/>
          <w:highlight w:val="none"/>
        </w:rPr>
      </w:pPr>
    </w:p>
    <w:p w14:paraId="11CE53EF">
      <w:pPr>
        <w:adjustRightInd w:val="0"/>
        <w:snapToGrid w:val="0"/>
        <w:spacing w:line="360" w:lineRule="auto"/>
        <w:ind w:firstLine="480" w:firstLineChars="200"/>
        <w:rPr>
          <w:rFonts w:ascii="宋体" w:hAnsi="宋体"/>
          <w:snapToGrid w:val="0"/>
          <w:color w:val="auto"/>
          <w:kern w:val="0"/>
          <w:sz w:val="24"/>
          <w:highlight w:val="none"/>
        </w:rPr>
      </w:pPr>
    </w:p>
    <w:p w14:paraId="08E44A88">
      <w:pPr>
        <w:pStyle w:val="8"/>
        <w:rPr>
          <w:color w:val="auto"/>
          <w:highlight w:val="none"/>
        </w:rPr>
      </w:pPr>
    </w:p>
    <w:p w14:paraId="07F6790C">
      <w:pPr>
        <w:rPr>
          <w:color w:val="auto"/>
          <w:highlight w:val="none"/>
        </w:rPr>
      </w:pPr>
    </w:p>
    <w:p w14:paraId="4C160E1F">
      <w:pPr>
        <w:pStyle w:val="8"/>
        <w:rPr>
          <w:color w:val="auto"/>
          <w:highlight w:val="none"/>
        </w:rPr>
      </w:pPr>
    </w:p>
    <w:p w14:paraId="09FB4F54">
      <w:pPr>
        <w:adjustRightInd w:val="0"/>
        <w:snapToGrid w:val="0"/>
        <w:spacing w:line="360" w:lineRule="auto"/>
        <w:ind w:firstLine="480" w:firstLineChars="200"/>
        <w:rPr>
          <w:rFonts w:ascii="宋体" w:hAnsi="宋体"/>
          <w:snapToGrid w:val="0"/>
          <w:color w:val="auto"/>
          <w:kern w:val="0"/>
          <w:sz w:val="24"/>
          <w:highlight w:val="none"/>
        </w:rPr>
      </w:pPr>
    </w:p>
    <w:p w14:paraId="69E19FC7">
      <w:pPr>
        <w:pStyle w:val="4"/>
        <w:rPr>
          <w:color w:val="auto"/>
          <w:highlight w:val="none"/>
        </w:rPr>
      </w:pPr>
      <w:r>
        <w:rPr>
          <w:rFonts w:hint="eastAsia"/>
          <w:color w:val="auto"/>
          <w:highlight w:val="none"/>
        </w:rPr>
        <w:t>3工程建设廉洁协议书</w:t>
      </w:r>
      <w:bookmarkEnd w:id="144"/>
      <w:bookmarkEnd w:id="145"/>
      <w:bookmarkEnd w:id="146"/>
    </w:p>
    <w:p w14:paraId="6CB5D48B">
      <w:pPr>
        <w:pStyle w:val="8"/>
        <w:rPr>
          <w:color w:val="auto"/>
          <w:highlight w:val="none"/>
        </w:rPr>
      </w:pPr>
    </w:p>
    <w:p w14:paraId="1CD9410A">
      <w:pPr>
        <w:adjustRightInd w:val="0"/>
        <w:snapToGrid w:val="0"/>
        <w:spacing w:line="360" w:lineRule="auto"/>
        <w:jc w:val="center"/>
        <w:outlineLvl w:val="1"/>
        <w:rPr>
          <w:rFonts w:ascii="宋体" w:hAnsi="宋体" w:cs="宋体"/>
          <w:b/>
          <w:bCs/>
          <w:snapToGrid w:val="0"/>
          <w:color w:val="auto"/>
          <w:kern w:val="0"/>
          <w:sz w:val="30"/>
          <w:szCs w:val="30"/>
          <w:highlight w:val="none"/>
        </w:rPr>
      </w:pPr>
      <w:bookmarkStart w:id="147" w:name="_Toc29375"/>
      <w:bookmarkStart w:id="148" w:name="_Toc15710"/>
      <w:bookmarkStart w:id="149" w:name="_Toc955"/>
      <w:bookmarkStart w:id="150" w:name="_Toc31724"/>
      <w:bookmarkStart w:id="151" w:name="_Toc6112"/>
      <w:r>
        <w:rPr>
          <w:rFonts w:hint="eastAsia" w:ascii="宋体" w:hAnsi="宋体" w:cs="宋体"/>
          <w:b/>
          <w:bCs/>
          <w:snapToGrid w:val="0"/>
          <w:color w:val="auto"/>
          <w:kern w:val="0"/>
          <w:sz w:val="30"/>
          <w:szCs w:val="30"/>
          <w:highlight w:val="none"/>
        </w:rPr>
        <w:t>工程建设廉洁协议书</w:t>
      </w:r>
      <w:bookmarkEnd w:id="147"/>
      <w:bookmarkEnd w:id="148"/>
      <w:bookmarkEnd w:id="149"/>
      <w:bookmarkEnd w:id="150"/>
      <w:bookmarkEnd w:id="151"/>
    </w:p>
    <w:p w14:paraId="376683B3">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 xml:space="preserve">工程项目名称： </w:t>
      </w:r>
    </w:p>
    <w:p w14:paraId="221334FF">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甲方：</w:t>
      </w:r>
    </w:p>
    <w:p w14:paraId="2C7C70BC">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乙方 ：</w:t>
      </w:r>
    </w:p>
    <w:p w14:paraId="7A4DA9DB">
      <w:pPr>
        <w:spacing w:line="360" w:lineRule="auto"/>
        <w:ind w:firstLine="480" w:firstLineChars="200"/>
        <w:rPr>
          <w:rFonts w:ascii="宋体" w:hAnsi="宋体" w:cs="宋体"/>
          <w:bCs/>
          <w:snapToGrid w:val="0"/>
          <w:color w:val="auto"/>
          <w:kern w:val="0"/>
          <w:sz w:val="24"/>
          <w:highlight w:val="none"/>
          <w:u w:val="single"/>
        </w:rPr>
      </w:pPr>
      <w:r>
        <w:rPr>
          <w:rFonts w:hint="eastAsia" w:ascii="宋体" w:hAnsi="宋体" w:cs="宋体"/>
          <w:bCs/>
          <w:snapToGrid w:val="0"/>
          <w:color w:val="auto"/>
          <w:kern w:val="0"/>
          <w:sz w:val="24"/>
          <w:highlight w:val="none"/>
        </w:rPr>
        <w:t>为切实加强廉洁工程建设，规范承发包双方的各项建筑活动，预防本工程违法违纪等腐败现象的发生，保障工程建设优质、安全和廉洁，根据《广州市建筑市场廉洁准入规定（试行）》及相关法律法规的规定，特订立协议书。</w:t>
      </w:r>
    </w:p>
    <w:p w14:paraId="5C30D1B5">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第一条 甲、乙双方责任</w:t>
      </w:r>
    </w:p>
    <w:p w14:paraId="6DD2F1CF">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（一）严格遵守国家有关法律法规和政策规定，以及廉政建设的各项约定。</w:t>
      </w:r>
    </w:p>
    <w:p w14:paraId="5A17EBEB">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（二）严格执行建设工程项目承发包合同文件，自觉按合同办事。</w:t>
      </w:r>
    </w:p>
    <w:p w14:paraId="57D71FF7">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三）建筑活动必须坚持公开、公平、公正、诚信、透明的原则（除法律法规另有规定者外），不得为获取不正当的利益，损害国家、集体和对方利益，不得违反国家、省、市和甲方有关工程建设管理的规章制度。</w:t>
      </w:r>
    </w:p>
    <w:p w14:paraId="23D3D4D1">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（四）发现对方在建筑活动中存在违规、违纪、违法行为的，有权向其上级主管部门或纪检监察、检察等有关机关举报。</w:t>
      </w:r>
    </w:p>
    <w:p w14:paraId="6738BB49">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（五）应充分发挥各自职能作用，积极互动形成纵向监督合力，依照本协议书规定，对本工程项目承发包合同履行情况实施监督，及时制止不廉洁行为的发生。</w:t>
      </w:r>
    </w:p>
    <w:p w14:paraId="280DF99A">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第二条 甲方责任</w:t>
      </w:r>
    </w:p>
    <w:p w14:paraId="713155C4">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（一）甲方领导干部和从事该工程建设的管理人员，在建筑活动中须严格遵守以下廉洁从业规定：</w:t>
      </w:r>
    </w:p>
    <w:p w14:paraId="45D09056">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1.不准向乙方和相关单位或个人索取钱物或接受回扣、礼金、各种有价证券、信用卡和好处费、感谢费以及其它支付凭证等。</w:t>
      </w:r>
    </w:p>
    <w:p w14:paraId="0BD49031">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2.不准接受可能影响公正执行公务的乙方和相关单位或个人的礼物馈赠、宴请、各种形式俱乐部会员资格、高消费娱乐活动。</w:t>
      </w:r>
    </w:p>
    <w:p w14:paraId="6013A72D">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3.不准在乙方和相关单位报销任何应由甲、业主单位或个人负担的费用。</w:t>
      </w:r>
    </w:p>
    <w:p w14:paraId="7C34B5CB">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4.不准要求、暗示或接受乙方和相关单位或个人为自己、配偶、子女、其他亲属朋友及身边工作人员的装修住房、婚丧嫁娶、工作安排、学习培训、经商办企业以及出国（境）、旅游、度假等支付费用。</w:t>
      </w:r>
    </w:p>
    <w:p w14:paraId="1462C91E">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5.不准向乙方介绍配偶、子女、其他亲属朋友及身边工作人员参与同甲、业主单位项目工程合同有关的设备、材料、工程分包、劳务等经济活动。</w:t>
      </w:r>
    </w:p>
    <w:p w14:paraId="4E5F90A1">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6.不得以任何理由向乙方和相关单位推荐分包单位和要求或暗示乙方购买项目工程合同规定外的材料、设备等。</w:t>
      </w:r>
    </w:p>
    <w:p w14:paraId="223CFBF9">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（二）合同签订后组织与乙方相关廉洁责任人见面会，进行廉洁工程建设交底，明确廉洁工程建设责任和目标任务、举报方式。</w:t>
      </w:r>
    </w:p>
    <w:p w14:paraId="3919130C">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（三）加强对合同支付、合同结算等建设管理环节的监督管理，特别是审批效能方面的监察检查，提高建设管理服务水平。</w:t>
      </w:r>
    </w:p>
    <w:p w14:paraId="50AA9B24">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（四）组织开展图片展览、法制讲座、参观监狱等活动，加强对员工的法律法规、廉洁和职业道德教育。</w:t>
      </w:r>
    </w:p>
    <w:p w14:paraId="279FFA86">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（五）成立监督工作机构，不定期对合同履行情况开展监督检查，对发现的有关问题，及时协调给予解决。</w:t>
      </w:r>
    </w:p>
    <w:p w14:paraId="4124BAB0">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第三条 乙方责任</w:t>
      </w:r>
    </w:p>
    <w:p w14:paraId="4783FC07">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（一）与甲方保持正常的业务交往，遵守以下规定：</w:t>
      </w:r>
    </w:p>
    <w:p w14:paraId="2B732525">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1.不准以任何理由向甲方人员行贿或赠送回扣、礼金、各种有价证券、信用卡和好处费、感谢费及其它支付凭证等。</w:t>
      </w:r>
    </w:p>
    <w:p w14:paraId="55B30EFF">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2.不准以任何理由为甲方人员组织有可能影响公正执行公务的宴请、各种形式俱乐部及高消费娱乐等活动。</w:t>
      </w:r>
    </w:p>
    <w:p w14:paraId="1E0147D7">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3.不准以任何理由为甲方或个人报销应由对方或个人支付的费用。</w:t>
      </w:r>
    </w:p>
    <w:p w14:paraId="2BA7F8D9">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4.不准暗示或要求为甲方人员及其配偶、子女、其他亲属朋友及身边工作人员的装修住房、婚丧嫁娶、工作安排、学习培训、经商办企业以及出国（境）、旅游、度假提供方便和支付费用。</w:t>
      </w:r>
    </w:p>
    <w:p w14:paraId="48BF1337">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5.不准介绍和安排甲方人员及其配偶、子女、其他亲属朋友及身边工作人员参与同甲方和业主单位工程项目有关的设备、材料、工程分包、劳务等经济活动。</w:t>
      </w:r>
    </w:p>
    <w:p w14:paraId="4042B928">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（二）组织项目负责人及相关管理人员层层签订廉洁从业责任状，明确廉洁责任，形成有效的内部监督管理机制。</w:t>
      </w:r>
    </w:p>
    <w:p w14:paraId="50987D01">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（三）按甲方要求参加廉政座谈、法制讲座、参观监狱等活动，加强对项目负责人及相关管理人员的法律法规、廉洁和职业道德教育，共同筑牢防腐防线。</w:t>
      </w:r>
    </w:p>
    <w:p w14:paraId="405A0260">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第四条 违约责任</w:t>
      </w:r>
    </w:p>
    <w:p w14:paraId="58DA6F6C">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（一）甲方违约责任</w:t>
      </w:r>
    </w:p>
    <w:p w14:paraId="21AB7EF1">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 甲方不履行或不完全履行本协议书有关责任义务给乙方造成损失的，在乙方提交足够证据并经查证属实的情况下，甲方赔偿其直接经济损失。</w:t>
      </w:r>
    </w:p>
    <w:p w14:paraId="4544661C">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 甲方人员出现受贿等严重违法违纪违规行为的，按照管理权限，依据有关法律法规和规定给予党纪、政纪处分或组织处理；涉嫌犯罪的，移交司法机关追究刑事责任。</w:t>
      </w:r>
    </w:p>
    <w:p w14:paraId="7C18D8DD">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（二）乙方违约责任</w:t>
      </w:r>
    </w:p>
    <w:p w14:paraId="45CFBED0">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1.乙方不履行或不完全履行本协议书有关责任义务的，按本合同规定须承担一次一般违约责任。情节较轻的，可给予书面警告；情节较重的，须承担一次严重违约责任。</w:t>
      </w:r>
    </w:p>
    <w:p w14:paraId="4C3C78E9">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2.乙方出现严重违法违纪违规行为的，甲方将上报市检察院或监察机关依法查处，并提请建设行政主管部门根据《广州市建筑市场廉洁准入规定》进行处理。</w:t>
      </w:r>
    </w:p>
    <w:p w14:paraId="53B163DF">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第五条 本协议书作为合同的附件，与合同具有同等法律效力。经双方签字盖章后生效。</w:t>
      </w:r>
    </w:p>
    <w:p w14:paraId="10AAD13C">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第六条 本协议书有效期为双方签字盖章之日起至所属工程项目合同履行完毕时止。</w:t>
      </w:r>
    </w:p>
    <w:p w14:paraId="65946074">
      <w:pPr>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第七条 未尽事宜，由双方协商解决。</w:t>
      </w:r>
    </w:p>
    <w:p w14:paraId="2F2B45F0">
      <w:pPr>
        <w:adjustRightInd w:val="0"/>
        <w:snapToGrid w:val="0"/>
        <w:spacing w:line="360" w:lineRule="auto"/>
        <w:rPr>
          <w:rFonts w:ascii="宋体" w:hAnsi="宋体" w:cs="宋体"/>
          <w:bCs/>
          <w:snapToGrid w:val="0"/>
          <w:color w:val="auto"/>
          <w:kern w:val="0"/>
          <w:szCs w:val="21"/>
          <w:highlight w:val="none"/>
        </w:rPr>
      </w:pPr>
    </w:p>
    <w:tbl>
      <w:tblPr>
        <w:tblStyle w:val="21"/>
        <w:tblW w:w="92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3"/>
      </w:tblGrid>
      <w:tr w14:paraId="6924C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3" w:type="dxa"/>
            <w:vAlign w:val="center"/>
          </w:tcPr>
          <w:p w14:paraId="11413FE7">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甲方：</w:t>
            </w:r>
          </w:p>
        </w:tc>
        <w:tc>
          <w:tcPr>
            <w:tcW w:w="4643" w:type="dxa"/>
            <w:vAlign w:val="center"/>
          </w:tcPr>
          <w:p w14:paraId="5575A14D">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乙方（联合体主体）：</w:t>
            </w:r>
          </w:p>
        </w:tc>
      </w:tr>
      <w:tr w14:paraId="2782C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3" w:type="dxa"/>
            <w:vAlign w:val="center"/>
          </w:tcPr>
          <w:p w14:paraId="1A1868BA">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单位名称（盖章）</w:t>
            </w:r>
          </w:p>
        </w:tc>
        <w:tc>
          <w:tcPr>
            <w:tcW w:w="4643" w:type="dxa"/>
            <w:vAlign w:val="center"/>
          </w:tcPr>
          <w:p w14:paraId="7E1DEFE9">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单位名称（盖章）</w:t>
            </w:r>
          </w:p>
        </w:tc>
      </w:tr>
      <w:tr w14:paraId="69663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3" w:type="dxa"/>
            <w:vAlign w:val="center"/>
          </w:tcPr>
          <w:p w14:paraId="6633CCDB">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法定代表人</w:t>
            </w:r>
          </w:p>
          <w:p w14:paraId="68154BA0">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或授权代表（签字或盖章）：</w:t>
            </w:r>
          </w:p>
        </w:tc>
        <w:tc>
          <w:tcPr>
            <w:tcW w:w="4643" w:type="dxa"/>
            <w:vAlign w:val="center"/>
          </w:tcPr>
          <w:p w14:paraId="2710A353">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法定代表人</w:t>
            </w:r>
          </w:p>
          <w:p w14:paraId="21FF5729">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或授权代表（签字或盖章）：</w:t>
            </w:r>
          </w:p>
        </w:tc>
      </w:tr>
      <w:tr w14:paraId="480D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3" w:type="dxa"/>
            <w:vAlign w:val="center"/>
          </w:tcPr>
          <w:p w14:paraId="572F4D47">
            <w:pPr>
              <w:adjustRightInd w:val="0"/>
              <w:snapToGrid w:val="0"/>
              <w:rPr>
                <w:rFonts w:ascii="宋体" w:hAnsi="宋体" w:cs="宋体"/>
                <w:snapToGrid w:val="0"/>
                <w:color w:val="auto"/>
                <w:kern w:val="0"/>
                <w:sz w:val="24"/>
                <w:highlight w:val="none"/>
              </w:rPr>
            </w:pPr>
          </w:p>
        </w:tc>
        <w:tc>
          <w:tcPr>
            <w:tcW w:w="4643" w:type="dxa"/>
            <w:vAlign w:val="center"/>
          </w:tcPr>
          <w:p w14:paraId="72F7DC97">
            <w:pPr>
              <w:adjustRightInd w:val="0"/>
              <w:snapToGrid w:val="0"/>
              <w:rPr>
                <w:rFonts w:ascii="宋体" w:hAnsi="宋体" w:cs="宋体"/>
                <w:snapToGrid w:val="0"/>
                <w:color w:val="auto"/>
                <w:kern w:val="0"/>
                <w:sz w:val="24"/>
                <w:highlight w:val="none"/>
              </w:rPr>
            </w:pPr>
          </w:p>
        </w:tc>
      </w:tr>
      <w:tr w14:paraId="13826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3" w:type="dxa"/>
            <w:vAlign w:val="center"/>
          </w:tcPr>
          <w:p w14:paraId="71DA4C39">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乙方（联合体成员）：</w:t>
            </w:r>
          </w:p>
        </w:tc>
        <w:tc>
          <w:tcPr>
            <w:tcW w:w="4643" w:type="dxa"/>
            <w:vAlign w:val="center"/>
          </w:tcPr>
          <w:p w14:paraId="6A975069">
            <w:pPr>
              <w:adjustRightInd w:val="0"/>
              <w:snapToGrid w:val="0"/>
              <w:rPr>
                <w:rFonts w:ascii="宋体" w:hAnsi="宋体" w:cs="宋体"/>
                <w:snapToGrid w:val="0"/>
                <w:color w:val="auto"/>
                <w:kern w:val="0"/>
                <w:sz w:val="24"/>
                <w:highlight w:val="none"/>
              </w:rPr>
            </w:pPr>
          </w:p>
        </w:tc>
      </w:tr>
      <w:tr w14:paraId="12DB6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3" w:type="dxa"/>
            <w:vAlign w:val="center"/>
          </w:tcPr>
          <w:p w14:paraId="5FE16E38">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单位名称（盖章）</w:t>
            </w:r>
          </w:p>
        </w:tc>
        <w:tc>
          <w:tcPr>
            <w:tcW w:w="4643" w:type="dxa"/>
            <w:vAlign w:val="center"/>
          </w:tcPr>
          <w:p w14:paraId="4F36AC56">
            <w:pPr>
              <w:adjustRightInd w:val="0"/>
              <w:snapToGrid w:val="0"/>
              <w:rPr>
                <w:rFonts w:ascii="宋体" w:hAnsi="宋体" w:cs="宋体"/>
                <w:snapToGrid w:val="0"/>
                <w:color w:val="auto"/>
                <w:kern w:val="0"/>
                <w:sz w:val="24"/>
                <w:highlight w:val="none"/>
              </w:rPr>
            </w:pPr>
          </w:p>
        </w:tc>
      </w:tr>
      <w:tr w14:paraId="7D0C8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3" w:type="dxa"/>
            <w:vAlign w:val="center"/>
          </w:tcPr>
          <w:p w14:paraId="6F69F8FA">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法定代表人或授权代表：</w:t>
            </w:r>
          </w:p>
        </w:tc>
        <w:tc>
          <w:tcPr>
            <w:tcW w:w="4643" w:type="dxa"/>
            <w:vAlign w:val="center"/>
          </w:tcPr>
          <w:p w14:paraId="3E25D808">
            <w:pPr>
              <w:adjustRightInd w:val="0"/>
              <w:snapToGrid w:val="0"/>
              <w:rPr>
                <w:rFonts w:ascii="宋体" w:hAnsi="宋体" w:cs="宋体"/>
                <w:snapToGrid w:val="0"/>
                <w:color w:val="auto"/>
                <w:kern w:val="0"/>
                <w:sz w:val="24"/>
                <w:highlight w:val="none"/>
              </w:rPr>
            </w:pPr>
          </w:p>
        </w:tc>
      </w:tr>
      <w:tr w14:paraId="57CF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286" w:type="dxa"/>
            <w:gridSpan w:val="2"/>
            <w:vAlign w:val="center"/>
          </w:tcPr>
          <w:p w14:paraId="1E34E329">
            <w:pPr>
              <w:adjustRightInd w:val="0"/>
              <w:snapToGrid w:val="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日期：    年  月  日</w:t>
            </w:r>
          </w:p>
        </w:tc>
      </w:tr>
    </w:tbl>
    <w:p w14:paraId="0768E1D6">
      <w:pPr>
        <w:jc w:val="center"/>
        <w:rPr>
          <w:rFonts w:ascii="宋体" w:hAnsi="宋体" w:cs="宋体"/>
          <w:b/>
          <w:bCs/>
          <w:color w:val="auto"/>
          <w:sz w:val="32"/>
          <w:szCs w:val="32"/>
          <w:highlight w:val="none"/>
        </w:rPr>
      </w:pPr>
    </w:p>
    <w:p w14:paraId="0D25D611">
      <w:pPr>
        <w:jc w:val="center"/>
        <w:rPr>
          <w:rFonts w:ascii="宋体" w:hAnsi="宋体" w:cs="宋体"/>
          <w:b/>
          <w:bCs/>
          <w:color w:val="auto"/>
          <w:sz w:val="32"/>
          <w:szCs w:val="32"/>
          <w:highlight w:val="none"/>
        </w:rPr>
      </w:pPr>
    </w:p>
    <w:p w14:paraId="737CCB26">
      <w:pPr>
        <w:jc w:val="center"/>
        <w:rPr>
          <w:rFonts w:ascii="宋体" w:hAnsi="宋体" w:cs="宋体"/>
          <w:b/>
          <w:bCs/>
          <w:color w:val="auto"/>
          <w:sz w:val="32"/>
          <w:szCs w:val="32"/>
          <w:highlight w:val="none"/>
        </w:rPr>
      </w:pPr>
    </w:p>
    <w:p w14:paraId="4A1C7B63">
      <w:pPr>
        <w:pStyle w:val="4"/>
        <w:rPr>
          <w:color w:val="auto"/>
          <w:highlight w:val="none"/>
        </w:rPr>
      </w:pPr>
      <w:r>
        <w:rPr>
          <w:rFonts w:hint="eastAsia"/>
          <w:color w:val="auto"/>
          <w:highlight w:val="none"/>
        </w:rPr>
        <w:t>4联合体共同投标协议书</w:t>
      </w:r>
    </w:p>
    <w:p w14:paraId="39CCF23B">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联合体共同投标协议书</w:t>
      </w:r>
    </w:p>
    <w:p w14:paraId="6EF1E531">
      <w:pPr>
        <w:pStyle w:val="5"/>
        <w:ind w:firstLine="480" w:firstLineChars="200"/>
        <w:rPr>
          <w:rFonts w:cs="宋体"/>
          <w:color w:val="auto"/>
          <w:highlight w:val="none"/>
        </w:rPr>
      </w:pPr>
      <w:r>
        <w:rPr>
          <w:rFonts w:hint="eastAsia" w:cs="宋体"/>
          <w:color w:val="auto"/>
          <w:highlight w:val="none"/>
          <w:u w:val="single"/>
        </w:rPr>
        <w:t xml:space="preserve">        </w:t>
      </w:r>
      <w:r>
        <w:rPr>
          <w:rFonts w:hint="eastAsia" w:cs="宋体"/>
          <w:color w:val="auto"/>
          <w:highlight w:val="none"/>
        </w:rPr>
        <w:t>（所有成员单位名称）自愿组成</w:t>
      </w:r>
      <w:r>
        <w:rPr>
          <w:rFonts w:hint="eastAsia" w:cs="宋体"/>
          <w:color w:val="auto"/>
          <w:highlight w:val="none"/>
          <w:u w:val="single"/>
        </w:rPr>
        <w:t xml:space="preserve">           </w:t>
      </w:r>
      <w:r>
        <w:rPr>
          <w:rFonts w:hint="eastAsia" w:cs="宋体"/>
          <w:color w:val="auto"/>
          <w:highlight w:val="none"/>
        </w:rPr>
        <w:t>（联合体名称）联合体，共同参加</w:t>
      </w:r>
      <w:r>
        <w:rPr>
          <w:rFonts w:hint="eastAsia" w:cs="宋体"/>
          <w:color w:val="auto"/>
          <w:highlight w:val="none"/>
          <w:u w:val="single"/>
        </w:rPr>
        <w:t xml:space="preserve">          </w:t>
      </w:r>
      <w:r>
        <w:rPr>
          <w:rFonts w:hint="eastAsia" w:cs="宋体"/>
          <w:color w:val="auto"/>
          <w:highlight w:val="none"/>
        </w:rPr>
        <w:t>（项目名称）招标项目投标。现就联合体投标事宜订立如下协议。</w:t>
      </w:r>
    </w:p>
    <w:p w14:paraId="40C6D729">
      <w:pPr>
        <w:pStyle w:val="5"/>
        <w:ind w:firstLine="480" w:firstLineChars="200"/>
        <w:rPr>
          <w:rFonts w:cs="宋体"/>
          <w:color w:val="auto"/>
          <w:highlight w:val="none"/>
        </w:rPr>
      </w:pPr>
      <w:r>
        <w:rPr>
          <w:rFonts w:hint="eastAsia" w:cs="宋体"/>
          <w:color w:val="auto"/>
          <w:highlight w:val="none"/>
        </w:rPr>
        <w:t xml:space="preserve">1. </w:t>
      </w:r>
      <w:r>
        <w:rPr>
          <w:rFonts w:hint="eastAsia" w:cs="宋体"/>
          <w:color w:val="auto"/>
          <w:highlight w:val="none"/>
          <w:u w:val="single"/>
        </w:rPr>
        <w:t xml:space="preserve">          </w:t>
      </w:r>
      <w:r>
        <w:rPr>
          <w:rFonts w:hint="eastAsia" w:cs="宋体"/>
          <w:color w:val="auto"/>
          <w:highlight w:val="none"/>
        </w:rPr>
        <w:t>（某成员单位名称）为</w:t>
      </w:r>
      <w:r>
        <w:rPr>
          <w:rFonts w:hint="eastAsia" w:cs="宋体"/>
          <w:color w:val="auto"/>
          <w:highlight w:val="none"/>
          <w:u w:val="single"/>
        </w:rPr>
        <w:t xml:space="preserve">          </w:t>
      </w:r>
      <w:r>
        <w:rPr>
          <w:rFonts w:hint="eastAsia" w:cs="宋体"/>
          <w:color w:val="auto"/>
          <w:highlight w:val="none"/>
        </w:rPr>
        <w:t>（联合体名称）主办方。</w:t>
      </w:r>
    </w:p>
    <w:p w14:paraId="0BCD70CA">
      <w:pPr>
        <w:pStyle w:val="5"/>
        <w:ind w:firstLine="480" w:firstLineChars="200"/>
        <w:rPr>
          <w:rFonts w:cs="宋体"/>
          <w:color w:val="auto"/>
          <w:highlight w:val="none"/>
        </w:rPr>
      </w:pPr>
      <w:r>
        <w:rPr>
          <w:rFonts w:hint="eastAsia" w:cs="宋体"/>
          <w:color w:val="auto"/>
          <w:highlight w:val="none"/>
        </w:rPr>
        <w:t>2.联合体各成员授权主办方代表联合体参加投标活动，签署文件，提交和接收相关的资料、信息及指示，进行合同谈判活动，负责合同实施阶段的组织和协调工作，以及处理与本招标项目有关的一切事宜。</w:t>
      </w:r>
    </w:p>
    <w:p w14:paraId="142DBDD1">
      <w:pPr>
        <w:pStyle w:val="5"/>
        <w:ind w:firstLine="480" w:firstLineChars="200"/>
        <w:rPr>
          <w:rFonts w:cs="宋体"/>
          <w:color w:val="auto"/>
          <w:highlight w:val="none"/>
        </w:rPr>
      </w:pPr>
      <w:r>
        <w:rPr>
          <w:rFonts w:hint="eastAsia" w:cs="宋体"/>
          <w:color w:val="auto"/>
          <w:highlight w:val="none"/>
        </w:rPr>
        <w:t>3.联合体将严格按照招标文件的各项要求，递交投标文件，履行合同，并对外承担相应责任。联合体</w:t>
      </w:r>
      <w:r>
        <w:rPr>
          <w:rFonts w:hint="eastAsia" w:cs="宋体"/>
          <w:color w:val="auto"/>
          <w:highlight w:val="none"/>
          <w:lang w:val="en-US"/>
        </w:rPr>
        <w:t>牵头</w:t>
      </w:r>
      <w:r>
        <w:rPr>
          <w:rFonts w:hint="eastAsia" w:cs="宋体"/>
          <w:color w:val="auto"/>
          <w:highlight w:val="none"/>
        </w:rPr>
        <w:t>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7EB1FF78">
      <w:pPr>
        <w:pStyle w:val="5"/>
        <w:ind w:firstLine="480" w:firstLineChars="200"/>
        <w:rPr>
          <w:rFonts w:cs="宋体"/>
          <w:color w:val="auto"/>
          <w:highlight w:val="none"/>
        </w:rPr>
      </w:pPr>
      <w:r>
        <w:rPr>
          <w:rFonts w:hint="eastAsia" w:cs="宋体"/>
          <w:color w:val="auto"/>
          <w:highlight w:val="none"/>
        </w:rPr>
        <w:t>4.联合体各成员单位内部的职责分工如下：</w:t>
      </w:r>
      <w:r>
        <w:rPr>
          <w:rFonts w:hint="eastAsia" w:cs="宋体"/>
          <w:color w:val="auto"/>
          <w:highlight w:val="none"/>
          <w:u w:val="single"/>
        </w:rPr>
        <w:t xml:space="preserve">                </w:t>
      </w:r>
      <w:r>
        <w:rPr>
          <w:rFonts w:hint="eastAsia" w:cs="宋体"/>
          <w:color w:val="auto"/>
          <w:highlight w:val="none"/>
        </w:rPr>
        <w:t>。</w:t>
      </w:r>
    </w:p>
    <w:p w14:paraId="344E595F">
      <w:pPr>
        <w:pStyle w:val="5"/>
        <w:ind w:firstLine="480" w:firstLineChars="200"/>
        <w:rPr>
          <w:rFonts w:cs="宋体"/>
          <w:color w:val="auto"/>
          <w:highlight w:val="none"/>
        </w:rPr>
      </w:pPr>
      <w:r>
        <w:rPr>
          <w:rFonts w:hint="eastAsia" w:cs="宋体"/>
          <w:color w:val="auto"/>
          <w:highlight w:val="none"/>
        </w:rPr>
        <w:t>5.我单位承诺根据本单位在联合体中承担的任务，按照招标文件要求投入对应的勘察设计专业人员。</w:t>
      </w:r>
    </w:p>
    <w:p w14:paraId="19C2D64A">
      <w:pPr>
        <w:pStyle w:val="5"/>
        <w:ind w:firstLine="480" w:firstLineChars="200"/>
        <w:rPr>
          <w:rFonts w:cs="宋体"/>
          <w:color w:val="auto"/>
          <w:highlight w:val="none"/>
        </w:rPr>
      </w:pPr>
      <w:r>
        <w:rPr>
          <w:rFonts w:hint="eastAsia" w:cs="宋体"/>
          <w:color w:val="auto"/>
          <w:highlight w:val="none"/>
        </w:rPr>
        <w:t>6.本协议书自所有成员单位法定代表人或其委托代理人签字或盖单位章之日起生效，合同履行完毕后自动失效。</w:t>
      </w:r>
    </w:p>
    <w:p w14:paraId="249ABC4C">
      <w:pPr>
        <w:pStyle w:val="5"/>
        <w:ind w:firstLine="480" w:firstLineChars="200"/>
        <w:rPr>
          <w:rFonts w:cs="宋体"/>
          <w:color w:val="auto"/>
          <w:kern w:val="21"/>
          <w:highlight w:val="none"/>
        </w:rPr>
      </w:pPr>
      <w:r>
        <w:rPr>
          <w:rFonts w:hint="eastAsia" w:cs="宋体"/>
          <w:color w:val="auto"/>
          <w:highlight w:val="none"/>
        </w:rPr>
        <w:t>7.本协议书一式</w:t>
      </w:r>
      <w:r>
        <w:rPr>
          <w:rFonts w:hint="eastAsia" w:cs="宋体"/>
          <w:color w:val="auto"/>
          <w:highlight w:val="none"/>
          <w:u w:val="single"/>
        </w:rPr>
        <w:t xml:space="preserve">     </w:t>
      </w:r>
      <w:r>
        <w:rPr>
          <w:rFonts w:hint="eastAsia" w:cs="宋体"/>
          <w:color w:val="auto"/>
          <w:highlight w:val="none"/>
        </w:rPr>
        <w:t>份，联合体成员和招标人各执一份。</w:t>
      </w:r>
    </w:p>
    <w:p w14:paraId="092292C2">
      <w:pPr>
        <w:pStyle w:val="5"/>
        <w:ind w:firstLine="480" w:firstLineChars="200"/>
        <w:rPr>
          <w:rFonts w:cs="宋体"/>
          <w:color w:val="auto"/>
          <w:kern w:val="21"/>
          <w:highlight w:val="none"/>
          <w:u w:val="single"/>
        </w:rPr>
      </w:pPr>
    </w:p>
    <w:p w14:paraId="35E7ED01">
      <w:pPr>
        <w:pStyle w:val="5"/>
        <w:ind w:firstLine="480" w:firstLineChars="200"/>
        <w:rPr>
          <w:rFonts w:cs="宋体"/>
          <w:color w:val="auto"/>
          <w:kern w:val="21"/>
          <w:highlight w:val="none"/>
        </w:rPr>
      </w:pPr>
      <w:r>
        <w:rPr>
          <w:rFonts w:hint="eastAsia" w:cs="宋体"/>
          <w:color w:val="auto"/>
          <w:kern w:val="21"/>
          <w:highlight w:val="none"/>
        </w:rPr>
        <w:t>联合体主办方名称：</w:t>
      </w:r>
      <w:r>
        <w:rPr>
          <w:rFonts w:hint="eastAsia" w:cs="宋体"/>
          <w:color w:val="auto"/>
          <w:kern w:val="21"/>
          <w:highlight w:val="none"/>
          <w:u w:val="single"/>
        </w:rPr>
        <w:t xml:space="preserve">                      </w:t>
      </w:r>
      <w:r>
        <w:rPr>
          <w:rFonts w:hint="eastAsia" w:cs="宋体"/>
          <w:color w:val="auto"/>
          <w:kern w:val="21"/>
          <w:highlight w:val="none"/>
        </w:rPr>
        <w:t>（盖单位章）</w:t>
      </w:r>
    </w:p>
    <w:p w14:paraId="3D44FDAA">
      <w:pPr>
        <w:pStyle w:val="5"/>
        <w:ind w:firstLine="480" w:firstLineChars="200"/>
        <w:rPr>
          <w:rFonts w:cs="宋体"/>
          <w:color w:val="auto"/>
          <w:kern w:val="21"/>
          <w:highlight w:val="none"/>
        </w:rPr>
      </w:pPr>
      <w:r>
        <w:rPr>
          <w:rFonts w:hint="eastAsia" w:cs="宋体"/>
          <w:color w:val="auto"/>
          <w:kern w:val="21"/>
          <w:highlight w:val="none"/>
        </w:rPr>
        <w:t>法定代表人或其委托代理人：</w:t>
      </w:r>
      <w:r>
        <w:rPr>
          <w:rFonts w:hint="eastAsia" w:cs="宋体"/>
          <w:color w:val="auto"/>
          <w:kern w:val="21"/>
          <w:highlight w:val="none"/>
          <w:u w:val="single"/>
        </w:rPr>
        <w:t xml:space="preserve"> </w:t>
      </w:r>
      <w:r>
        <w:rPr>
          <w:rFonts w:hint="eastAsia" w:cs="宋体"/>
          <w:color w:val="auto"/>
          <w:kern w:val="21"/>
          <w:highlight w:val="none"/>
          <w:u w:val="single"/>
        </w:rPr>
        <w:tab/>
      </w:r>
      <w:r>
        <w:rPr>
          <w:rFonts w:hint="eastAsia" w:cs="宋体"/>
          <w:color w:val="auto"/>
          <w:kern w:val="21"/>
          <w:highlight w:val="none"/>
          <w:u w:val="single"/>
        </w:rPr>
        <w:t xml:space="preserve">        </w:t>
      </w:r>
      <w:r>
        <w:rPr>
          <w:rFonts w:hint="eastAsia" w:cs="宋体"/>
          <w:color w:val="auto"/>
          <w:kern w:val="21"/>
          <w:highlight w:val="none"/>
        </w:rPr>
        <w:t>（签字或盖章）</w:t>
      </w:r>
    </w:p>
    <w:p w14:paraId="46200E04">
      <w:pPr>
        <w:pStyle w:val="5"/>
        <w:ind w:firstLine="480" w:firstLineChars="200"/>
        <w:rPr>
          <w:rFonts w:cs="宋体"/>
          <w:color w:val="auto"/>
          <w:kern w:val="21"/>
          <w:highlight w:val="none"/>
        </w:rPr>
      </w:pPr>
      <w:r>
        <w:rPr>
          <w:rFonts w:hint="eastAsia" w:cs="宋体"/>
          <w:color w:val="auto"/>
          <w:kern w:val="21"/>
          <w:highlight w:val="none"/>
        </w:rPr>
        <w:t>联合体成员名称：</w:t>
      </w:r>
      <w:r>
        <w:rPr>
          <w:rFonts w:hint="eastAsia" w:cs="宋体"/>
          <w:color w:val="auto"/>
          <w:kern w:val="21"/>
          <w:highlight w:val="none"/>
          <w:u w:val="single"/>
        </w:rPr>
        <w:t xml:space="preserve">                       </w:t>
      </w:r>
      <w:r>
        <w:rPr>
          <w:rFonts w:hint="eastAsia" w:cs="宋体"/>
          <w:color w:val="auto"/>
          <w:kern w:val="21"/>
          <w:highlight w:val="none"/>
          <w:u w:val="single"/>
        </w:rPr>
        <w:tab/>
      </w:r>
      <w:r>
        <w:rPr>
          <w:rFonts w:hint="eastAsia" w:cs="宋体"/>
          <w:color w:val="auto"/>
          <w:kern w:val="21"/>
          <w:highlight w:val="none"/>
        </w:rPr>
        <w:t>（盖单位章）</w:t>
      </w:r>
    </w:p>
    <w:p w14:paraId="6AEE7A41">
      <w:pPr>
        <w:pStyle w:val="5"/>
        <w:ind w:firstLine="480" w:firstLineChars="200"/>
        <w:rPr>
          <w:rFonts w:cs="宋体"/>
          <w:color w:val="auto"/>
          <w:kern w:val="21"/>
          <w:highlight w:val="none"/>
        </w:rPr>
      </w:pPr>
      <w:r>
        <w:rPr>
          <w:rFonts w:hint="eastAsia" w:cs="宋体"/>
          <w:color w:val="auto"/>
          <w:kern w:val="21"/>
          <w:highlight w:val="none"/>
        </w:rPr>
        <w:t>法定代表人或其委托代理人：</w:t>
      </w:r>
      <w:r>
        <w:rPr>
          <w:rFonts w:hint="eastAsia" w:cs="宋体"/>
          <w:color w:val="auto"/>
          <w:kern w:val="21"/>
          <w:highlight w:val="none"/>
          <w:u w:val="single"/>
        </w:rPr>
        <w:t xml:space="preserve">      </w:t>
      </w:r>
      <w:r>
        <w:rPr>
          <w:rFonts w:hint="eastAsia" w:cs="宋体"/>
          <w:color w:val="auto"/>
          <w:kern w:val="21"/>
          <w:highlight w:val="none"/>
          <w:u w:val="single"/>
        </w:rPr>
        <w:tab/>
      </w:r>
      <w:r>
        <w:rPr>
          <w:rFonts w:hint="eastAsia" w:cs="宋体"/>
          <w:color w:val="auto"/>
          <w:kern w:val="21"/>
          <w:highlight w:val="none"/>
          <w:u w:val="single"/>
        </w:rPr>
        <w:t xml:space="preserve">      </w:t>
      </w:r>
      <w:r>
        <w:rPr>
          <w:rFonts w:hint="eastAsia" w:cs="宋体"/>
          <w:color w:val="auto"/>
          <w:kern w:val="21"/>
          <w:highlight w:val="none"/>
        </w:rPr>
        <w:t>（签字或盖章）</w:t>
      </w:r>
    </w:p>
    <w:p w14:paraId="18A9BEBC">
      <w:pPr>
        <w:pStyle w:val="5"/>
        <w:ind w:firstLine="480" w:firstLineChars="200"/>
        <w:rPr>
          <w:rFonts w:cs="宋体"/>
          <w:color w:val="auto"/>
          <w:kern w:val="21"/>
          <w:highlight w:val="none"/>
        </w:rPr>
      </w:pPr>
      <w:r>
        <w:rPr>
          <w:rFonts w:hint="eastAsia" w:cs="宋体"/>
          <w:color w:val="auto"/>
          <w:kern w:val="21"/>
          <w:highlight w:val="none"/>
          <w:u w:val="single"/>
        </w:rPr>
        <w:t xml:space="preserve">    </w:t>
      </w:r>
      <w:r>
        <w:rPr>
          <w:rFonts w:hint="eastAsia" w:cs="宋体"/>
          <w:color w:val="auto"/>
          <w:kern w:val="21"/>
          <w:highlight w:val="none"/>
        </w:rPr>
        <w:t>年</w:t>
      </w:r>
      <w:r>
        <w:rPr>
          <w:rFonts w:hint="eastAsia" w:cs="宋体"/>
          <w:color w:val="auto"/>
          <w:kern w:val="21"/>
          <w:highlight w:val="none"/>
          <w:u w:val="single"/>
        </w:rPr>
        <w:t xml:space="preserve">   </w:t>
      </w:r>
      <w:r>
        <w:rPr>
          <w:rFonts w:hint="eastAsia" w:cs="宋体"/>
          <w:color w:val="auto"/>
          <w:kern w:val="21"/>
          <w:highlight w:val="none"/>
        </w:rPr>
        <w:t>月</w:t>
      </w:r>
      <w:r>
        <w:rPr>
          <w:rFonts w:hint="eastAsia" w:cs="宋体"/>
          <w:color w:val="auto"/>
          <w:kern w:val="21"/>
          <w:highlight w:val="none"/>
          <w:u w:val="single"/>
        </w:rPr>
        <w:t xml:space="preserve">   </w:t>
      </w:r>
      <w:r>
        <w:rPr>
          <w:rFonts w:hint="eastAsia" w:cs="宋体"/>
          <w:color w:val="auto"/>
          <w:kern w:val="21"/>
          <w:highlight w:val="none"/>
        </w:rPr>
        <w:t>日</w:t>
      </w:r>
    </w:p>
    <w:p w14:paraId="05EE65DF">
      <w:pPr>
        <w:pStyle w:val="5"/>
        <w:rPr>
          <w:rFonts w:cs="宋体"/>
          <w:b/>
          <w:color w:val="auto"/>
          <w:kern w:val="21"/>
          <w:highlight w:val="none"/>
          <w:u w:val="single"/>
        </w:rPr>
      </w:pPr>
      <w:r>
        <w:rPr>
          <w:rFonts w:hint="eastAsia" w:cs="宋体"/>
          <w:b/>
          <w:color w:val="auto"/>
          <w:kern w:val="21"/>
          <w:highlight w:val="none"/>
          <w:u w:val="single"/>
          <w:lang w:val="en-US"/>
        </w:rPr>
        <w:t>注：1、</w:t>
      </w:r>
      <w:r>
        <w:rPr>
          <w:rFonts w:hint="eastAsia" w:cs="宋体"/>
          <w:b/>
          <w:color w:val="auto"/>
          <w:kern w:val="21"/>
          <w:highlight w:val="none"/>
          <w:u w:val="single"/>
        </w:rPr>
        <w:t>单独投标的，无须提交本协议书。</w:t>
      </w:r>
    </w:p>
    <w:p w14:paraId="4E8DF897">
      <w:pPr>
        <w:pStyle w:val="5"/>
        <w:rPr>
          <w:rFonts w:cs="宋体"/>
          <w:b/>
          <w:color w:val="auto"/>
          <w:kern w:val="21"/>
          <w:highlight w:val="none"/>
          <w:u w:val="single"/>
        </w:rPr>
      </w:pPr>
      <w:r>
        <w:rPr>
          <w:rFonts w:hint="eastAsia" w:cs="宋体"/>
          <w:b/>
          <w:color w:val="auto"/>
          <w:kern w:val="21"/>
          <w:highlight w:val="none"/>
          <w:u w:val="single"/>
        </w:rPr>
        <w:t>2、本协议书由法定代表人签字或盖章的，应附法定代表人身份证明；由委托代理人签字或盖章的，应附授权委托书。</w:t>
      </w:r>
    </w:p>
    <w:p w14:paraId="42A3EBD7">
      <w:pPr>
        <w:pStyle w:val="5"/>
        <w:rPr>
          <w:rFonts w:cs="宋体"/>
          <w:b/>
          <w:color w:val="auto"/>
          <w:kern w:val="21"/>
          <w:highlight w:val="none"/>
          <w:u w:val="single"/>
        </w:rPr>
      </w:pPr>
      <w:r>
        <w:rPr>
          <w:rFonts w:hint="eastAsia" w:cs="宋体"/>
          <w:b/>
          <w:color w:val="auto"/>
          <w:kern w:val="21"/>
          <w:highlight w:val="none"/>
          <w:u w:val="single"/>
        </w:rPr>
        <w:t>3、本格式仅供参考，投标人可根据实际情况自行调整。</w:t>
      </w:r>
    </w:p>
    <w:p w14:paraId="77E12976">
      <w:pPr>
        <w:pStyle w:val="5"/>
        <w:rPr>
          <w:rFonts w:cs="宋体"/>
          <w:color w:val="auto"/>
          <w:kern w:val="21"/>
          <w:highlight w:val="none"/>
          <w:u w:val="single"/>
        </w:rPr>
      </w:pPr>
    </w:p>
    <w:sectPr>
      <w:footerReference r:id="rId8" w:type="first"/>
      <w:footerReference r:id="rId7" w:type="default"/>
      <w:pgSz w:w="11907" w:h="16840"/>
      <w:pgMar w:top="1417" w:right="1417" w:bottom="1417" w:left="141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3303C">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503D05">
                          <w:pPr>
                            <w:pStyle w:val="1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57503D05">
                    <w:pPr>
                      <w:pStyle w:val="1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961C">
    <w:pPr>
      <w:pStyle w:val="13"/>
      <w:ind w:right="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2C298C">
                          <w:pPr>
                            <w:pStyle w:val="13"/>
                          </w:pPr>
                          <w:r>
                            <w:fldChar w:fldCharType="begin"/>
                          </w:r>
                          <w:r>
                            <w:instrText xml:space="preserve"> PAGE  \* MERGEFORMAT </w:instrText>
                          </w:r>
                          <w:r>
                            <w:fldChar w:fldCharType="separate"/>
                          </w:r>
                          <w:r>
                            <w:t>24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102C298C">
                    <w:pPr>
                      <w:pStyle w:val="13"/>
                    </w:pPr>
                    <w:r>
                      <w:fldChar w:fldCharType="begin"/>
                    </w:r>
                    <w:r>
                      <w:instrText xml:space="preserve"> PAGE  \* MERGEFORMAT </w:instrText>
                    </w:r>
                    <w:r>
                      <w:fldChar w:fldCharType="separate"/>
                    </w:r>
                    <w:r>
                      <w:t>24</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8A385A">
                          <w:pPr>
                            <w:pStyle w:val="13"/>
                            <w:ind w:right="360"/>
                          </w:pPr>
                        </w:p>
                        <w:p w14:paraId="639EB589"/>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008A385A">
                    <w:pPr>
                      <w:pStyle w:val="13"/>
                      <w:ind w:right="360"/>
                    </w:pPr>
                  </w:p>
                  <w:p w14:paraId="639EB589"/>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8020">
    <w:pPr>
      <w:pStyle w:val="13"/>
      <w:ind w:right="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68CC3A">
                          <w:r>
                            <w:fldChar w:fldCharType="begin"/>
                          </w:r>
                          <w:r>
                            <w:instrText xml:space="preserve"> PAGE  \* MERGEFORMAT </w:instrText>
                          </w:r>
                          <w:r>
                            <w:fldChar w:fldCharType="separate"/>
                          </w:r>
                          <w:r>
                            <w:t>16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2368CC3A">
                    <w:r>
                      <w:fldChar w:fldCharType="begin"/>
                    </w:r>
                    <w:r>
                      <w:instrText xml:space="preserve"> PAGE  \* MERGEFORMAT </w:instrText>
                    </w:r>
                    <w:r>
                      <w:fldChar w:fldCharType="separate"/>
                    </w:r>
                    <w:r>
                      <w:t>16</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A9196E">
                          <w:pPr>
                            <w:pStyle w:val="13"/>
                            <w:ind w:right="360"/>
                          </w:pPr>
                        </w:p>
                        <w:p w14:paraId="7EDE0CD0"/>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40A9196E">
                    <w:pPr>
                      <w:pStyle w:val="13"/>
                      <w:ind w:right="360"/>
                    </w:pPr>
                  </w:p>
                  <w:p w14:paraId="7EDE0CD0"/>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A8381">
    <w:pPr>
      <w:pStyle w:val="13"/>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C71B70">
                          <w:pPr>
                            <w:pStyle w:val="13"/>
                          </w:pPr>
                          <w:r>
                            <w:fldChar w:fldCharType="begin"/>
                          </w:r>
                          <w:r>
                            <w:instrText xml:space="preserve"> PAGE  \* MERGEFORMAT </w:instrText>
                          </w:r>
                          <w:r>
                            <w:fldChar w:fldCharType="separate"/>
                          </w:r>
                          <w:r>
                            <w:t>34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79C71B70">
                    <w:pPr>
                      <w:pStyle w:val="13"/>
                    </w:pPr>
                    <w:r>
                      <w:fldChar w:fldCharType="begin"/>
                    </w:r>
                    <w:r>
                      <w:instrText xml:space="preserve"> PAGE  \* MERGEFORMAT </w:instrText>
                    </w:r>
                    <w:r>
                      <w:fldChar w:fldCharType="separate"/>
                    </w:r>
                    <w:r>
                      <w:t>34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B129E8">
                          <w:pPr>
                            <w:pStyle w:val="13"/>
                            <w:ind w:right="360"/>
                          </w:pPr>
                        </w:p>
                        <w:p w14:paraId="3974A586"/>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BB129E8">
                    <w:pPr>
                      <w:pStyle w:val="13"/>
                      <w:ind w:right="360"/>
                    </w:pPr>
                  </w:p>
                  <w:p w14:paraId="3974A586"/>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19CE5">
    <w:pPr>
      <w:pStyle w:val="13"/>
      <w:ind w:right="36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508C77">
                          <w:r>
                            <w:fldChar w:fldCharType="begin"/>
                          </w:r>
                          <w:r>
                            <w:instrText xml:space="preserve"> PAGE  \* MERGEFORMAT </w:instrText>
                          </w:r>
                          <w:r>
                            <w:fldChar w:fldCharType="separate"/>
                          </w:r>
                          <w:r>
                            <w:t>29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3508C77">
                    <w:r>
                      <w:fldChar w:fldCharType="begin"/>
                    </w:r>
                    <w:r>
                      <w:instrText xml:space="preserve"> PAGE  \* MERGEFORMAT </w:instrText>
                    </w:r>
                    <w:r>
                      <w:fldChar w:fldCharType="separate"/>
                    </w:r>
                    <w:r>
                      <w:t>29</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95D753">
                          <w:pPr>
                            <w:pStyle w:val="13"/>
                            <w:ind w:right="360"/>
                          </w:pPr>
                        </w:p>
                        <w:p w14:paraId="535C7FD9"/>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1E95D753">
                    <w:pPr>
                      <w:pStyle w:val="13"/>
                      <w:ind w:right="360"/>
                    </w:pPr>
                  </w:p>
                  <w:p w14:paraId="535C7FD9"/>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8DB72">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20"/>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4ZDU4NzYzMzZmZGEyMjRkNDM1OWQ3MzM5MmJhZjYifQ=="/>
  </w:docVars>
  <w:rsids>
    <w:rsidRoot w:val="00172A27"/>
    <w:rsid w:val="00017B76"/>
    <w:rsid w:val="00097270"/>
    <w:rsid w:val="000C400D"/>
    <w:rsid w:val="00172A27"/>
    <w:rsid w:val="001F7F7D"/>
    <w:rsid w:val="002238D3"/>
    <w:rsid w:val="0059229C"/>
    <w:rsid w:val="005C20B3"/>
    <w:rsid w:val="007F5D7B"/>
    <w:rsid w:val="008A4092"/>
    <w:rsid w:val="0098589A"/>
    <w:rsid w:val="009D694E"/>
    <w:rsid w:val="00AA60D6"/>
    <w:rsid w:val="00AB2B21"/>
    <w:rsid w:val="00B228A1"/>
    <w:rsid w:val="00B419CD"/>
    <w:rsid w:val="00C54913"/>
    <w:rsid w:val="00D11B93"/>
    <w:rsid w:val="00D35C9E"/>
    <w:rsid w:val="00D51FDF"/>
    <w:rsid w:val="00D865C6"/>
    <w:rsid w:val="00DE6901"/>
    <w:rsid w:val="00ED0362"/>
    <w:rsid w:val="00F8266C"/>
    <w:rsid w:val="016639DE"/>
    <w:rsid w:val="01A270CF"/>
    <w:rsid w:val="033524FC"/>
    <w:rsid w:val="03E80687"/>
    <w:rsid w:val="05746676"/>
    <w:rsid w:val="05DE160D"/>
    <w:rsid w:val="06882110"/>
    <w:rsid w:val="068E5516"/>
    <w:rsid w:val="07441234"/>
    <w:rsid w:val="07F77E1F"/>
    <w:rsid w:val="08103116"/>
    <w:rsid w:val="08664CCB"/>
    <w:rsid w:val="08744BDF"/>
    <w:rsid w:val="08A33505"/>
    <w:rsid w:val="08FE3F56"/>
    <w:rsid w:val="094D451D"/>
    <w:rsid w:val="0997182D"/>
    <w:rsid w:val="09E15835"/>
    <w:rsid w:val="0B974401"/>
    <w:rsid w:val="0BCE6898"/>
    <w:rsid w:val="0C230DF6"/>
    <w:rsid w:val="0CE24DAB"/>
    <w:rsid w:val="0CFB58CF"/>
    <w:rsid w:val="0D4E59FF"/>
    <w:rsid w:val="0DA10224"/>
    <w:rsid w:val="0DC96CD4"/>
    <w:rsid w:val="0DDC300B"/>
    <w:rsid w:val="0EDB7766"/>
    <w:rsid w:val="10065366"/>
    <w:rsid w:val="12166E08"/>
    <w:rsid w:val="14124F01"/>
    <w:rsid w:val="142676D5"/>
    <w:rsid w:val="14276EEE"/>
    <w:rsid w:val="142B60CB"/>
    <w:rsid w:val="152139F9"/>
    <w:rsid w:val="15604521"/>
    <w:rsid w:val="177008BD"/>
    <w:rsid w:val="17942284"/>
    <w:rsid w:val="17B7104D"/>
    <w:rsid w:val="17CE194F"/>
    <w:rsid w:val="192A5572"/>
    <w:rsid w:val="198B5DDA"/>
    <w:rsid w:val="19D371E7"/>
    <w:rsid w:val="1A4E703E"/>
    <w:rsid w:val="1A705501"/>
    <w:rsid w:val="1ADA6B24"/>
    <w:rsid w:val="1B746F78"/>
    <w:rsid w:val="1C0E2D9C"/>
    <w:rsid w:val="1C654527"/>
    <w:rsid w:val="1C9176B6"/>
    <w:rsid w:val="1D387314"/>
    <w:rsid w:val="1F275229"/>
    <w:rsid w:val="1FDA0C07"/>
    <w:rsid w:val="20402742"/>
    <w:rsid w:val="21052421"/>
    <w:rsid w:val="219315A3"/>
    <w:rsid w:val="21937A2C"/>
    <w:rsid w:val="2197576F"/>
    <w:rsid w:val="21B14EDC"/>
    <w:rsid w:val="21E169EA"/>
    <w:rsid w:val="21EE5AB1"/>
    <w:rsid w:val="235E3BAA"/>
    <w:rsid w:val="259243CD"/>
    <w:rsid w:val="29516F4F"/>
    <w:rsid w:val="29BA2365"/>
    <w:rsid w:val="29DF5FA4"/>
    <w:rsid w:val="2A48665B"/>
    <w:rsid w:val="2B1044F2"/>
    <w:rsid w:val="2B190E88"/>
    <w:rsid w:val="2BAD6ED4"/>
    <w:rsid w:val="2BB53B5D"/>
    <w:rsid w:val="2BD575BF"/>
    <w:rsid w:val="2C532BDA"/>
    <w:rsid w:val="2CEA7DCC"/>
    <w:rsid w:val="2D340315"/>
    <w:rsid w:val="2D763456"/>
    <w:rsid w:val="2DB119C6"/>
    <w:rsid w:val="2DEE7E16"/>
    <w:rsid w:val="2E2675FA"/>
    <w:rsid w:val="2EC851B9"/>
    <w:rsid w:val="2ECB2EFB"/>
    <w:rsid w:val="2F430CE4"/>
    <w:rsid w:val="2F5F0C8D"/>
    <w:rsid w:val="307F1840"/>
    <w:rsid w:val="30ED7159"/>
    <w:rsid w:val="30F34532"/>
    <w:rsid w:val="311329FE"/>
    <w:rsid w:val="31723B02"/>
    <w:rsid w:val="31D20112"/>
    <w:rsid w:val="327411B4"/>
    <w:rsid w:val="32B85F23"/>
    <w:rsid w:val="33040454"/>
    <w:rsid w:val="33114CFE"/>
    <w:rsid w:val="34FC53BD"/>
    <w:rsid w:val="350B06A5"/>
    <w:rsid w:val="356053BF"/>
    <w:rsid w:val="35661288"/>
    <w:rsid w:val="35725E7F"/>
    <w:rsid w:val="36FE6732"/>
    <w:rsid w:val="370E5274"/>
    <w:rsid w:val="37977E1F"/>
    <w:rsid w:val="383534E3"/>
    <w:rsid w:val="38A655BF"/>
    <w:rsid w:val="394144E6"/>
    <w:rsid w:val="394C2E8B"/>
    <w:rsid w:val="39836759"/>
    <w:rsid w:val="39947F3F"/>
    <w:rsid w:val="39AF02F7"/>
    <w:rsid w:val="3A27500B"/>
    <w:rsid w:val="3B0D79A8"/>
    <w:rsid w:val="3BED4785"/>
    <w:rsid w:val="3C16271C"/>
    <w:rsid w:val="3C8116A6"/>
    <w:rsid w:val="3C8C1F1C"/>
    <w:rsid w:val="3D011436"/>
    <w:rsid w:val="3D5E3602"/>
    <w:rsid w:val="3DB50FFF"/>
    <w:rsid w:val="3F577C26"/>
    <w:rsid w:val="40752CC7"/>
    <w:rsid w:val="40DC68A2"/>
    <w:rsid w:val="41475EDD"/>
    <w:rsid w:val="41A96F3D"/>
    <w:rsid w:val="41FC7F96"/>
    <w:rsid w:val="422B18F0"/>
    <w:rsid w:val="4269685C"/>
    <w:rsid w:val="429A0FDF"/>
    <w:rsid w:val="42B86E9B"/>
    <w:rsid w:val="42F25049"/>
    <w:rsid w:val="43486FC5"/>
    <w:rsid w:val="43560B8E"/>
    <w:rsid w:val="43A5757E"/>
    <w:rsid w:val="43B84751"/>
    <w:rsid w:val="447A29CE"/>
    <w:rsid w:val="451A7A6F"/>
    <w:rsid w:val="45311CA5"/>
    <w:rsid w:val="45CF0738"/>
    <w:rsid w:val="46C365BB"/>
    <w:rsid w:val="46FC0668"/>
    <w:rsid w:val="47A143A2"/>
    <w:rsid w:val="47F02601"/>
    <w:rsid w:val="48193F14"/>
    <w:rsid w:val="48E27AE7"/>
    <w:rsid w:val="490E5A67"/>
    <w:rsid w:val="4A527BD5"/>
    <w:rsid w:val="4AD60806"/>
    <w:rsid w:val="4B5B1493"/>
    <w:rsid w:val="4BEC09F5"/>
    <w:rsid w:val="4C644B71"/>
    <w:rsid w:val="4C684299"/>
    <w:rsid w:val="4C972E7D"/>
    <w:rsid w:val="4CC4452E"/>
    <w:rsid w:val="4CEB39E8"/>
    <w:rsid w:val="4CF91E44"/>
    <w:rsid w:val="4D5222AE"/>
    <w:rsid w:val="4E8B45A3"/>
    <w:rsid w:val="4EA76741"/>
    <w:rsid w:val="4F5E63E5"/>
    <w:rsid w:val="51501312"/>
    <w:rsid w:val="515F7917"/>
    <w:rsid w:val="51703285"/>
    <w:rsid w:val="51BA2C30"/>
    <w:rsid w:val="52711F2B"/>
    <w:rsid w:val="52F87426"/>
    <w:rsid w:val="53C953AC"/>
    <w:rsid w:val="54BE3BB1"/>
    <w:rsid w:val="551769A9"/>
    <w:rsid w:val="572A67F3"/>
    <w:rsid w:val="57F86260"/>
    <w:rsid w:val="587A7AF9"/>
    <w:rsid w:val="592310BA"/>
    <w:rsid w:val="597B2CA5"/>
    <w:rsid w:val="599E4BE5"/>
    <w:rsid w:val="5AB20948"/>
    <w:rsid w:val="5AF947C9"/>
    <w:rsid w:val="5B145B0F"/>
    <w:rsid w:val="5BEC7F94"/>
    <w:rsid w:val="5CA70EBA"/>
    <w:rsid w:val="5CA73B2E"/>
    <w:rsid w:val="5D7E1DF4"/>
    <w:rsid w:val="5D961A7B"/>
    <w:rsid w:val="5DA126DF"/>
    <w:rsid w:val="5DD419B6"/>
    <w:rsid w:val="5E6C7060"/>
    <w:rsid w:val="5F401B95"/>
    <w:rsid w:val="5FAF7F6D"/>
    <w:rsid w:val="600E1B57"/>
    <w:rsid w:val="601730E3"/>
    <w:rsid w:val="604069F6"/>
    <w:rsid w:val="61930DA7"/>
    <w:rsid w:val="6211130B"/>
    <w:rsid w:val="63091321"/>
    <w:rsid w:val="638B442C"/>
    <w:rsid w:val="63F74FE9"/>
    <w:rsid w:val="64AF2C17"/>
    <w:rsid w:val="66A80E51"/>
    <w:rsid w:val="681F3395"/>
    <w:rsid w:val="683E5F87"/>
    <w:rsid w:val="68B06755"/>
    <w:rsid w:val="68D65021"/>
    <w:rsid w:val="68F13662"/>
    <w:rsid w:val="695F415E"/>
    <w:rsid w:val="69CC4D48"/>
    <w:rsid w:val="69D42CAE"/>
    <w:rsid w:val="6A42057D"/>
    <w:rsid w:val="6A8B4D12"/>
    <w:rsid w:val="6B4355EC"/>
    <w:rsid w:val="6BA936A1"/>
    <w:rsid w:val="6C3C2767"/>
    <w:rsid w:val="6D120199"/>
    <w:rsid w:val="6D3F4F08"/>
    <w:rsid w:val="6DB466D6"/>
    <w:rsid w:val="6DB5019C"/>
    <w:rsid w:val="6EE64C0C"/>
    <w:rsid w:val="6F2179F2"/>
    <w:rsid w:val="6F660161"/>
    <w:rsid w:val="6FE86762"/>
    <w:rsid w:val="70190E72"/>
    <w:rsid w:val="714A4C44"/>
    <w:rsid w:val="71535D6D"/>
    <w:rsid w:val="71B83C3B"/>
    <w:rsid w:val="71C11B1F"/>
    <w:rsid w:val="72161365"/>
    <w:rsid w:val="72A501E7"/>
    <w:rsid w:val="72CB03A1"/>
    <w:rsid w:val="73110805"/>
    <w:rsid w:val="733C129F"/>
    <w:rsid w:val="739C1D3D"/>
    <w:rsid w:val="73B13A3B"/>
    <w:rsid w:val="742B3553"/>
    <w:rsid w:val="755B34B9"/>
    <w:rsid w:val="75C46509"/>
    <w:rsid w:val="761107C1"/>
    <w:rsid w:val="76A4320D"/>
    <w:rsid w:val="76B978B6"/>
    <w:rsid w:val="77BB0526"/>
    <w:rsid w:val="781F3F25"/>
    <w:rsid w:val="792F4121"/>
    <w:rsid w:val="794903CB"/>
    <w:rsid w:val="79660E24"/>
    <w:rsid w:val="79907C4E"/>
    <w:rsid w:val="79A656C4"/>
    <w:rsid w:val="7A2D3F8A"/>
    <w:rsid w:val="7A6D1044"/>
    <w:rsid w:val="7AB756AF"/>
    <w:rsid w:val="7B716F9B"/>
    <w:rsid w:val="7BB60650"/>
    <w:rsid w:val="7C7251DB"/>
    <w:rsid w:val="7CDE264A"/>
    <w:rsid w:val="7CE3371D"/>
    <w:rsid w:val="7D6438CC"/>
    <w:rsid w:val="7DA0242A"/>
    <w:rsid w:val="7E1E2DDA"/>
    <w:rsid w:val="7E342468"/>
    <w:rsid w:val="7E567B39"/>
    <w:rsid w:val="7E5D7147"/>
    <w:rsid w:val="7ED95396"/>
    <w:rsid w:val="7EDA330B"/>
    <w:rsid w:val="7EDE67B7"/>
    <w:rsid w:val="7F056C5A"/>
    <w:rsid w:val="7F9B3F51"/>
    <w:rsid w:val="7FAB5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paragraph" w:styleId="2">
    <w:name w:val="heading 1"/>
    <w:basedOn w:val="1"/>
    <w:next w:val="1"/>
    <w:qFormat/>
    <w:uiPriority w:val="0"/>
    <w:pPr>
      <w:widowControl/>
      <w:spacing w:before="284" w:line="360" w:lineRule="auto"/>
      <w:jc w:val="center"/>
      <w:outlineLvl w:val="0"/>
    </w:pPr>
    <w:rPr>
      <w:rFonts w:ascii="宋体" w:hAnsi="宋体"/>
      <w:b/>
      <w:bCs/>
      <w:kern w:val="36"/>
      <w:sz w:val="44"/>
      <w:szCs w:val="48"/>
    </w:rPr>
  </w:style>
  <w:style w:type="paragraph" w:styleId="3">
    <w:name w:val="heading 2"/>
    <w:basedOn w:val="1"/>
    <w:next w:val="1"/>
    <w:qFormat/>
    <w:uiPriority w:val="0"/>
    <w:pPr>
      <w:keepNext/>
      <w:adjustRightInd w:val="0"/>
      <w:snapToGrid w:val="0"/>
      <w:spacing w:line="360" w:lineRule="auto"/>
      <w:jc w:val="center"/>
      <w:outlineLvl w:val="1"/>
    </w:pPr>
    <w:rPr>
      <w:rFonts w:ascii="宋体" w:hAnsi="宋体"/>
      <w:b/>
      <w:bCs/>
      <w:snapToGrid w:val="0"/>
      <w:kern w:val="0"/>
      <w:sz w:val="30"/>
      <w:szCs w:val="28"/>
    </w:rPr>
  </w:style>
  <w:style w:type="paragraph" w:styleId="4">
    <w:name w:val="heading 3"/>
    <w:basedOn w:val="1"/>
    <w:next w:val="1"/>
    <w:qFormat/>
    <w:uiPriority w:val="0"/>
    <w:pPr>
      <w:keepNext/>
      <w:keepLines/>
      <w:spacing w:line="413" w:lineRule="auto"/>
      <w:outlineLvl w:val="2"/>
    </w:pPr>
    <w:rPr>
      <w:b/>
      <w:bCs/>
      <w:sz w:val="24"/>
      <w:szCs w:val="32"/>
    </w:rPr>
  </w:style>
  <w:style w:type="paragraph" w:styleId="5">
    <w:name w:val="heading 4"/>
    <w:basedOn w:val="1"/>
    <w:next w:val="1"/>
    <w:qFormat/>
    <w:uiPriority w:val="0"/>
    <w:pPr>
      <w:autoSpaceDE w:val="0"/>
      <w:autoSpaceDN w:val="0"/>
      <w:adjustRightInd w:val="0"/>
      <w:spacing w:line="360" w:lineRule="auto"/>
      <w:jc w:val="left"/>
      <w:outlineLvl w:val="3"/>
    </w:pPr>
    <w:rPr>
      <w:rFonts w:ascii="宋体" w:hAnsi="宋体"/>
      <w:kern w:val="0"/>
      <w:sz w:val="24"/>
      <w:lang w:val="zh-CN"/>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0"/>
    <w:pPr>
      <w:ind w:firstLine="200" w:firstLineChars="200"/>
      <w:jc w:val="left"/>
    </w:pPr>
    <w:rPr>
      <w:rFonts w:eastAsia="Calibri"/>
      <w:kern w:val="0"/>
      <w:sz w:val="22"/>
      <w:szCs w:val="22"/>
    </w:rPr>
  </w:style>
  <w:style w:type="paragraph" w:styleId="7">
    <w:name w:val="annotation text"/>
    <w:basedOn w:val="1"/>
    <w:qFormat/>
    <w:uiPriority w:val="0"/>
    <w:pPr>
      <w:jc w:val="left"/>
    </w:pPr>
  </w:style>
  <w:style w:type="paragraph" w:styleId="8">
    <w:name w:val="Body Text"/>
    <w:basedOn w:val="1"/>
    <w:next w:val="1"/>
    <w:qFormat/>
    <w:uiPriority w:val="0"/>
    <w:pPr>
      <w:spacing w:after="120"/>
    </w:pPr>
  </w:style>
  <w:style w:type="paragraph" w:styleId="9">
    <w:name w:val="Body Text Indent"/>
    <w:basedOn w:val="1"/>
    <w:next w:val="10"/>
    <w:qFormat/>
    <w:uiPriority w:val="0"/>
    <w:pPr>
      <w:ind w:firstLine="560" w:firstLineChars="200"/>
    </w:pPr>
    <w:rPr>
      <w:sz w:val="28"/>
    </w:rPr>
  </w:style>
  <w:style w:type="paragraph" w:styleId="10">
    <w:name w:val="envelope return"/>
    <w:basedOn w:val="1"/>
    <w:qFormat/>
    <w:uiPriority w:val="0"/>
    <w:pPr>
      <w:snapToGrid w:val="0"/>
    </w:pPr>
    <w:rPr>
      <w:rFonts w:ascii="Arial" w:hAnsi="Arial"/>
    </w:rPr>
  </w:style>
  <w:style w:type="paragraph" w:styleId="11">
    <w:name w:val="toc 3"/>
    <w:basedOn w:val="1"/>
    <w:next w:val="1"/>
    <w:unhideWhenUsed/>
    <w:qFormat/>
    <w:uiPriority w:val="39"/>
    <w:pPr>
      <w:widowControl/>
      <w:tabs>
        <w:tab w:val="right" w:leader="dot" w:pos="8303"/>
      </w:tabs>
      <w:spacing w:line="276" w:lineRule="auto"/>
      <w:ind w:left="442"/>
      <w:jc w:val="left"/>
    </w:pPr>
    <w:rPr>
      <w:rFonts w:cs="Times New Roman" w:asciiTheme="minorHAnsi" w:hAnsiTheme="minorHAnsi" w:eastAsiaTheme="minorEastAsia"/>
      <w:kern w:val="0"/>
      <w:sz w:val="22"/>
      <w:szCs w:val="22"/>
    </w:rPr>
  </w:style>
  <w:style w:type="paragraph" w:styleId="12">
    <w:name w:val="Balloon Text"/>
    <w:basedOn w:val="1"/>
    <w:link w:val="30"/>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pPr>
      <w:widowControl/>
      <w:spacing w:after="100" w:line="259" w:lineRule="auto"/>
      <w:jc w:val="left"/>
    </w:pPr>
    <w:rPr>
      <w:rFonts w:cs="Times New Roman" w:asciiTheme="minorHAnsi" w:hAnsiTheme="minorHAnsi" w:eastAsiaTheme="minorEastAsia"/>
      <w:kern w:val="0"/>
      <w:sz w:val="22"/>
      <w:szCs w:val="22"/>
    </w:rPr>
  </w:style>
  <w:style w:type="paragraph" w:styleId="16">
    <w:name w:val="toc 2"/>
    <w:basedOn w:val="1"/>
    <w:next w:val="1"/>
    <w:unhideWhenUsed/>
    <w:qFormat/>
    <w:uiPriority w:val="39"/>
    <w:pPr>
      <w:widowControl/>
      <w:spacing w:after="100" w:line="259" w:lineRule="auto"/>
      <w:ind w:left="220"/>
      <w:jc w:val="left"/>
    </w:pPr>
    <w:rPr>
      <w:rFonts w:cs="Times New Roman" w:asciiTheme="minorHAnsi" w:hAnsiTheme="minorHAnsi" w:eastAsiaTheme="minorEastAsia"/>
      <w:kern w:val="0"/>
      <w:sz w:val="22"/>
      <w:szCs w:val="22"/>
    </w:rPr>
  </w:style>
  <w:style w:type="paragraph" w:styleId="17">
    <w:name w:val="Normal (Web)"/>
    <w:basedOn w:val="1"/>
    <w:qFormat/>
    <w:uiPriority w:val="0"/>
    <w:pPr>
      <w:widowControl/>
      <w:spacing w:before="100" w:beforeAutospacing="1" w:after="100" w:afterAutospacing="1"/>
      <w:jc w:val="left"/>
    </w:pPr>
    <w:rPr>
      <w:rFonts w:ascii="宋体" w:hAnsi="宋体"/>
      <w:kern w:val="0"/>
      <w:sz w:val="24"/>
    </w:rPr>
  </w:style>
  <w:style w:type="paragraph" w:styleId="18">
    <w:name w:val="Title"/>
    <w:basedOn w:val="1"/>
    <w:qFormat/>
    <w:uiPriority w:val="0"/>
    <w:pPr>
      <w:spacing w:before="240" w:after="60"/>
      <w:jc w:val="center"/>
      <w:outlineLvl w:val="0"/>
    </w:pPr>
    <w:rPr>
      <w:rFonts w:ascii="Arial" w:hAnsi="Arial"/>
      <w:b/>
      <w:bCs/>
      <w:kern w:val="0"/>
      <w:sz w:val="32"/>
      <w:szCs w:val="32"/>
    </w:rPr>
  </w:style>
  <w:style w:type="paragraph" w:styleId="19">
    <w:name w:val="Body Text First Indent 2"/>
    <w:basedOn w:val="9"/>
    <w:unhideWhenUsed/>
    <w:qFormat/>
    <w:uiPriority w:val="0"/>
    <w:pPr>
      <w:spacing w:after="120"/>
      <w:ind w:left="420" w:leftChars="200" w:firstLine="420"/>
    </w:pPr>
    <w:rPr>
      <w:sz w:val="21"/>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qFormat/>
    <w:uiPriority w:val="99"/>
    <w:rPr>
      <w:color w:val="0000FF"/>
      <w:u w:val="single"/>
    </w:rPr>
  </w:style>
  <w:style w:type="character" w:styleId="24">
    <w:name w:val="annotation reference"/>
    <w:basedOn w:val="22"/>
    <w:qFormat/>
    <w:uiPriority w:val="0"/>
    <w:rPr>
      <w:sz w:val="21"/>
      <w:szCs w:val="21"/>
    </w:rPr>
  </w:style>
  <w:style w:type="paragraph" w:customStyle="1" w:styleId="25">
    <w:name w:val="Normal Indent1"/>
    <w:basedOn w:val="1"/>
    <w:qFormat/>
    <w:uiPriority w:val="0"/>
    <w:pPr>
      <w:ind w:firstLine="420"/>
    </w:pPr>
  </w:style>
  <w:style w:type="paragraph" w:customStyle="1" w:styleId="26">
    <w:name w:val="TOC 标题1"/>
    <w:basedOn w:val="2"/>
    <w:next w:val="1"/>
    <w:unhideWhenUsed/>
    <w:qFormat/>
    <w:uiPriority w:val="39"/>
    <w:pPr>
      <w:keepNext/>
      <w:keepLines/>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7">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28">
    <w:name w:val="修订1"/>
    <w:hidden/>
    <w:unhideWhenUsed/>
    <w:qFormat/>
    <w:uiPriority w:val="99"/>
    <w:rPr>
      <w:rFonts w:ascii="Calibri" w:hAnsi="Calibri" w:eastAsia="宋体" w:cs="Calibri"/>
      <w:kern w:val="2"/>
      <w:sz w:val="21"/>
      <w:szCs w:val="24"/>
      <w:lang w:val="en-US" w:eastAsia="zh-CN" w:bidi="ar-SA"/>
    </w:rPr>
  </w:style>
  <w:style w:type="paragraph" w:styleId="29">
    <w:name w:val="List Paragraph"/>
    <w:basedOn w:val="1"/>
    <w:unhideWhenUsed/>
    <w:qFormat/>
    <w:uiPriority w:val="99"/>
    <w:pPr>
      <w:ind w:firstLine="420" w:firstLineChars="200"/>
    </w:pPr>
  </w:style>
  <w:style w:type="character" w:customStyle="1" w:styleId="30">
    <w:name w:val="批注框文本 Char"/>
    <w:basedOn w:val="22"/>
    <w:link w:val="12"/>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34</Pages>
  <Words>6301</Words>
  <Characters>6486</Characters>
  <Lines>48</Lines>
  <Paragraphs>48</Paragraphs>
  <TotalTime>109</TotalTime>
  <ScaleCrop>false</ScaleCrop>
  <LinksUpToDate>false</LinksUpToDate>
  <CharactersWithSpaces>6905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2024-09-14T01:53:00Z</dcterms:created>
  <dc:creator>Administrator</dc:creator>
  <cp:lastModifiedBy>B</cp:lastModifiedBy>
  <cp:lastPrinted>2024-09-19T04:47:00Z</cp:lastPrinted>
  <dcterms:modified xsi:type="dcterms:W3CDTF">2025-11-13T14:29:44Z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23AE70DB4C9D4A029D9152F44F7096D2_13</vt:lpwstr>
  </property>
  <property fmtid="{D5CDD505-2E9C-101B-9397-08002B2CF9AE}" pid="4" name="KSOTemplateDocerSaveRecord">
    <vt:lpwstr>eyJoZGlkIjoiZTIzNjZhZDAxM2JhMGFiZjI4OWJkN2UxNmU4ZDI0ZmYiLCJ1c2VySWQiOiIyNTAyMzQyNTQifQ==</vt:lpwstr>
  </property>
</Properties>
</file>