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F5121">
      <w:pPr>
        <w:spacing w:before="285" w:line="204" w:lineRule="auto"/>
        <w:ind w:firstLine="2787"/>
        <w:jc w:val="left"/>
        <w:rPr>
          <w:rFonts w:hint="eastAsia" w:ascii="宋体" w:hAnsi="宋体" w:eastAsia="宋体" w:cs="宋体"/>
          <w:color w:val="auto"/>
          <w:spacing w:val="-32"/>
          <w:sz w:val="32"/>
          <w:szCs w:val="32"/>
          <w:highlight w:val="none"/>
        </w:rPr>
      </w:pPr>
      <w:bookmarkStart w:id="255" w:name="_GoBack"/>
      <w:bookmarkEnd w:id="255"/>
    </w:p>
    <w:p w14:paraId="32D19661">
      <w:pPr>
        <w:pStyle w:val="2"/>
        <w:spacing w:before="480" w:after="240" w:line="240" w:lineRule="auto"/>
        <w:jc w:val="center"/>
        <w:rPr>
          <w:rFonts w:hint="eastAsia" w:ascii="宋体" w:hAnsi="宋体"/>
          <w:b/>
          <w:bCs/>
          <w:color w:val="auto"/>
          <w:sz w:val="52"/>
          <w:szCs w:val="52"/>
          <w:highlight w:val="none"/>
        </w:rPr>
      </w:pPr>
      <w:bookmarkStart w:id="0" w:name="_Toc3667"/>
      <w:bookmarkStart w:id="1" w:name="_Toc28962"/>
      <w:bookmarkStart w:id="2" w:name="_Toc22581"/>
      <w:r>
        <w:rPr>
          <w:rFonts w:hint="eastAsia" w:ascii="宋体" w:hAnsi="宋体"/>
          <w:b/>
          <w:bCs/>
          <w:color w:val="auto"/>
          <w:sz w:val="52"/>
          <w:szCs w:val="52"/>
          <w:highlight w:val="none"/>
        </w:rPr>
        <w:t>北江航道扩能升级上延工程</w:t>
      </w:r>
      <w:bookmarkEnd w:id="0"/>
      <w:bookmarkEnd w:id="1"/>
      <w:bookmarkEnd w:id="2"/>
    </w:p>
    <w:p w14:paraId="2A2917BE">
      <w:pPr>
        <w:pStyle w:val="2"/>
        <w:spacing w:before="480" w:after="240" w:line="240" w:lineRule="auto"/>
        <w:jc w:val="center"/>
        <w:rPr>
          <w:rFonts w:hint="eastAsia" w:ascii="宋体" w:hAnsi="宋体"/>
          <w:b/>
          <w:bCs/>
          <w:color w:val="auto"/>
          <w:sz w:val="52"/>
          <w:szCs w:val="52"/>
          <w:highlight w:val="none"/>
          <w:lang w:eastAsia="zh-CN"/>
        </w:rPr>
      </w:pPr>
      <w:bookmarkStart w:id="3" w:name="_Toc31081"/>
      <w:bookmarkStart w:id="4" w:name="_Toc5637"/>
      <w:bookmarkStart w:id="5" w:name="_Toc25245"/>
      <w:r>
        <w:rPr>
          <w:rFonts w:hint="eastAsia" w:ascii="宋体" w:hAnsi="宋体" w:eastAsia="Arial"/>
          <w:b/>
          <w:bCs/>
          <w:color w:val="auto"/>
          <w:sz w:val="52"/>
          <w:szCs w:val="52"/>
          <w:highlight w:val="none"/>
          <w:lang w:val="en-US" w:eastAsia="zh-CN"/>
        </w:rPr>
        <w:t>船闸</w:t>
      </w:r>
      <w:r>
        <w:rPr>
          <w:rFonts w:hint="eastAsia" w:ascii="宋体" w:hAnsi="宋体"/>
          <w:b/>
          <w:bCs/>
          <w:color w:val="auto"/>
          <w:sz w:val="52"/>
          <w:szCs w:val="52"/>
          <w:highlight w:val="none"/>
        </w:rPr>
        <w:t>工程施工</w:t>
      </w:r>
      <w:r>
        <w:rPr>
          <w:rFonts w:hint="eastAsia" w:ascii="宋体" w:hAnsi="宋体"/>
          <w:b/>
          <w:bCs/>
          <w:color w:val="auto"/>
          <w:sz w:val="52"/>
          <w:szCs w:val="52"/>
          <w:highlight w:val="none"/>
          <w:lang w:eastAsia="zh-CN"/>
        </w:rPr>
        <w:t>合同</w:t>
      </w:r>
      <w:bookmarkEnd w:id="3"/>
      <w:bookmarkEnd w:id="4"/>
      <w:bookmarkEnd w:id="5"/>
    </w:p>
    <w:p w14:paraId="6CA5BE76">
      <w:pPr>
        <w:jc w:val="center"/>
        <w:rPr>
          <w:rFonts w:hint="eastAsia" w:ascii="宋体" w:hAnsi="宋体"/>
          <w:b/>
          <w:bCs/>
          <w:color w:val="auto"/>
          <w:sz w:val="36"/>
          <w:szCs w:val="36"/>
          <w:highlight w:val="none"/>
          <w:lang w:eastAsia="zh-CN"/>
        </w:rPr>
      </w:pPr>
    </w:p>
    <w:p w14:paraId="31EC94EF">
      <w:pPr>
        <w:jc w:val="center"/>
        <w:rPr>
          <w:rFonts w:hint="eastAsia" w:ascii="宋体" w:hAnsi="宋体"/>
          <w:b/>
          <w:bCs/>
          <w:color w:val="auto"/>
          <w:sz w:val="36"/>
          <w:szCs w:val="36"/>
          <w:highlight w:val="none"/>
          <w:lang w:val="en-US" w:eastAsia="zh-CN"/>
        </w:rPr>
      </w:pPr>
      <w:r>
        <w:rPr>
          <w:rFonts w:hint="eastAsia" w:ascii="宋体" w:hAnsi="宋体"/>
          <w:b/>
          <w:bCs/>
          <w:color w:val="auto"/>
          <w:sz w:val="36"/>
          <w:szCs w:val="36"/>
          <w:highlight w:val="none"/>
          <w:lang w:val="en-US" w:eastAsia="zh-CN"/>
        </w:rPr>
        <w:t>（标段二：塘头船闸）</w:t>
      </w:r>
    </w:p>
    <w:p w14:paraId="4E07E68A">
      <w:pPr>
        <w:rPr>
          <w:rFonts w:hint="eastAsia"/>
          <w:color w:val="auto"/>
          <w:highlight w:val="none"/>
        </w:rPr>
      </w:pPr>
    </w:p>
    <w:p w14:paraId="6CE968CE">
      <w:pPr>
        <w:rPr>
          <w:rFonts w:hint="eastAsia" w:ascii="宋体" w:hAnsi="宋体"/>
          <w:color w:val="auto"/>
          <w:sz w:val="52"/>
          <w:szCs w:val="52"/>
          <w:highlight w:val="none"/>
        </w:rPr>
      </w:pPr>
    </w:p>
    <w:p w14:paraId="5C5820E4">
      <w:pPr>
        <w:pStyle w:val="9"/>
        <w:rPr>
          <w:rFonts w:hint="eastAsia" w:ascii="宋体" w:hAnsi="宋体"/>
          <w:color w:val="auto"/>
          <w:sz w:val="52"/>
          <w:szCs w:val="52"/>
          <w:highlight w:val="none"/>
        </w:rPr>
      </w:pPr>
    </w:p>
    <w:p w14:paraId="00ADCE30">
      <w:pPr>
        <w:pStyle w:val="20"/>
        <w:ind w:left="0" w:leftChars="0" w:firstLine="0" w:firstLineChars="0"/>
        <w:rPr>
          <w:rFonts w:hint="eastAsia"/>
          <w:color w:val="auto"/>
          <w:highlight w:val="none"/>
        </w:rPr>
      </w:pPr>
    </w:p>
    <w:p w14:paraId="0F1E6616">
      <w:pPr>
        <w:rPr>
          <w:rFonts w:hint="eastAsia" w:ascii="宋体" w:hAnsi="宋体"/>
          <w:color w:val="auto"/>
          <w:sz w:val="52"/>
          <w:szCs w:val="52"/>
          <w:highlight w:val="none"/>
        </w:rPr>
      </w:pPr>
    </w:p>
    <w:p w14:paraId="74F483B0">
      <w:pPr>
        <w:pStyle w:val="9"/>
        <w:jc w:val="center"/>
        <w:rPr>
          <w:rFonts w:hint="eastAsia" w:ascii="黑体" w:hAnsi="黑体" w:eastAsia="黑体" w:cs="黑体"/>
          <w:color w:val="auto"/>
          <w:sz w:val="84"/>
          <w:szCs w:val="84"/>
          <w:highlight w:val="none"/>
          <w:lang w:eastAsia="zh-CN"/>
        </w:rPr>
      </w:pPr>
      <w:r>
        <w:rPr>
          <w:rFonts w:hint="eastAsia" w:ascii="黑体" w:hAnsi="黑体" w:eastAsia="黑体" w:cs="黑体"/>
          <w:color w:val="auto"/>
          <w:sz w:val="84"/>
          <w:szCs w:val="84"/>
          <w:highlight w:val="none"/>
          <w:lang w:eastAsia="zh-CN"/>
        </w:rPr>
        <w:t>合</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同</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文</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件</w:t>
      </w:r>
    </w:p>
    <w:p w14:paraId="3549BA42">
      <w:pPr>
        <w:pStyle w:val="9"/>
        <w:rPr>
          <w:rFonts w:hint="eastAsia" w:ascii="宋体" w:hAnsi="宋体"/>
          <w:color w:val="auto"/>
          <w:sz w:val="52"/>
          <w:szCs w:val="52"/>
          <w:highlight w:val="none"/>
        </w:rPr>
      </w:pPr>
    </w:p>
    <w:p w14:paraId="7FE4A1C6">
      <w:pPr>
        <w:rPr>
          <w:rFonts w:hint="eastAsia"/>
          <w:color w:val="auto"/>
          <w:highlight w:val="none"/>
        </w:rPr>
      </w:pPr>
    </w:p>
    <w:p w14:paraId="6D23E7C2">
      <w:pPr>
        <w:rPr>
          <w:rFonts w:hint="eastAsia" w:ascii="宋体" w:hAnsi="宋体"/>
          <w:color w:val="auto"/>
          <w:sz w:val="52"/>
          <w:szCs w:val="52"/>
          <w:highlight w:val="none"/>
        </w:rPr>
      </w:pPr>
    </w:p>
    <w:p w14:paraId="5E4A6DA8">
      <w:pPr>
        <w:rPr>
          <w:rFonts w:hint="eastAsia" w:ascii="宋体" w:hAnsi="宋体"/>
          <w:color w:val="auto"/>
          <w:sz w:val="52"/>
          <w:szCs w:val="52"/>
          <w:highlight w:val="none"/>
        </w:rPr>
      </w:pPr>
    </w:p>
    <w:p w14:paraId="2397F2D0">
      <w:pPr>
        <w:pStyle w:val="9"/>
        <w:rPr>
          <w:color w:val="auto"/>
          <w:highlight w:val="none"/>
        </w:rPr>
      </w:pPr>
    </w:p>
    <w:p w14:paraId="66FF26CE">
      <w:pPr>
        <w:keepNext w:val="0"/>
        <w:keepLines w:val="0"/>
        <w:pageBreakBefore w:val="0"/>
        <w:widowControl w:val="0"/>
        <w:kinsoku/>
        <w:wordWrap/>
        <w:overflowPunct/>
        <w:topLinePunct w:val="0"/>
        <w:autoSpaceDE w:val="0"/>
        <w:autoSpaceDN w:val="0"/>
        <w:bidi w:val="0"/>
        <w:adjustRightInd w:val="0"/>
        <w:snapToGrid w:val="0"/>
        <w:spacing w:line="360" w:lineRule="auto"/>
        <w:ind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bookmarkStart w:id="6" w:name="_Toc28206"/>
      <w:bookmarkStart w:id="7" w:name="_Toc7052"/>
      <w:bookmarkStart w:id="8" w:name="_Toc3845"/>
      <w:r>
        <w:rPr>
          <w:rFonts w:hint="eastAsia" w:ascii="宋体" w:hAnsi="宋体" w:cs="宋体"/>
          <w:b/>
          <w:bCs/>
          <w:color w:val="auto"/>
          <w:kern w:val="0"/>
          <w:sz w:val="36"/>
          <w:szCs w:val="36"/>
          <w:highlight w:val="none"/>
          <w:u w:val="none"/>
          <w:lang w:eastAsia="zh-CN"/>
        </w:rPr>
        <w:t>发</w:t>
      </w:r>
      <w:r>
        <w:rPr>
          <w:rFonts w:hint="eastAsia" w:ascii="宋体" w:hAnsi="宋体" w:cs="宋体"/>
          <w:b/>
          <w:bCs/>
          <w:color w:val="auto"/>
          <w:kern w:val="0"/>
          <w:sz w:val="36"/>
          <w:szCs w:val="36"/>
          <w:highlight w:val="none"/>
          <w:u w:val="none"/>
          <w:lang w:val="en-US" w:eastAsia="zh-CN"/>
        </w:rPr>
        <w:t xml:space="preserve"> </w:t>
      </w:r>
      <w:r>
        <w:rPr>
          <w:rFonts w:hint="eastAsia" w:ascii="宋体" w:hAnsi="宋体"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eastAsia="zh-CN"/>
        </w:rPr>
        <w:t xml:space="preserve"> 人：</w:t>
      </w:r>
      <w:r>
        <w:rPr>
          <w:rFonts w:hint="eastAsia" w:ascii="宋体" w:hAnsi="宋体" w:cs="宋体"/>
          <w:b/>
          <w:bCs/>
          <w:color w:val="auto"/>
          <w:kern w:val="0"/>
          <w:sz w:val="36"/>
          <w:szCs w:val="36"/>
          <w:highlight w:val="none"/>
          <w:u w:val="none"/>
          <w:lang w:val="en-US" w:eastAsia="zh-CN"/>
        </w:rPr>
        <w:t>广东省北江航道开发投资有限公司</w:t>
      </w:r>
      <w:bookmarkEnd w:id="6"/>
      <w:bookmarkEnd w:id="7"/>
      <w:bookmarkEnd w:id="8"/>
    </w:p>
    <w:p w14:paraId="4096617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r>
        <w:rPr>
          <w:rFonts w:hint="eastAsia" w:ascii="宋体" w:hAnsi="宋体" w:eastAsia="Arial" w:cs="宋体"/>
          <w:b/>
          <w:bCs/>
          <w:color w:val="auto"/>
          <w:kern w:val="0"/>
          <w:sz w:val="36"/>
          <w:szCs w:val="36"/>
          <w:highlight w:val="none"/>
          <w:u w:val="none"/>
          <w:lang w:eastAsia="zh-CN"/>
        </w:rPr>
        <w:t>承</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人：</w:t>
      </w:r>
      <w:r>
        <w:rPr>
          <w:rFonts w:hint="eastAsia" w:ascii="宋体" w:hAnsi="宋体" w:cs="宋体"/>
          <w:b/>
          <w:bCs/>
          <w:color w:val="auto"/>
          <w:kern w:val="0"/>
          <w:sz w:val="36"/>
          <w:szCs w:val="36"/>
          <w:highlight w:val="none"/>
          <w:u w:val="none"/>
          <w:lang w:val="en-US" w:eastAsia="zh-CN"/>
        </w:rPr>
        <w:t xml:space="preserve">                              </w:t>
      </w:r>
    </w:p>
    <w:p w14:paraId="7402C909">
      <w:pPr>
        <w:widowControl w:val="0"/>
        <w:kinsoku/>
        <w:spacing w:line="360" w:lineRule="auto"/>
        <w:ind w:firstLine="720" w:firstLineChars="200"/>
        <w:textAlignment w:val="auto"/>
        <w:outlineLvl w:val="0"/>
        <w:rPr>
          <w:rFonts w:hint="eastAsia" w:ascii="宋体" w:hAnsi="宋体" w:cs="宋体"/>
          <w:b/>
          <w:bCs/>
          <w:color w:val="auto"/>
          <w:sz w:val="36"/>
          <w:szCs w:val="36"/>
          <w:highlight w:val="none"/>
          <w:u w:val="none"/>
          <w:lang w:val="en-US" w:eastAsia="zh-CN"/>
        </w:rPr>
      </w:pPr>
      <w:r>
        <w:rPr>
          <w:rFonts w:hint="eastAsia" w:ascii="宋体" w:hAnsi="宋体" w:cs="宋体"/>
          <w:b/>
          <w:bCs/>
          <w:color w:val="auto"/>
          <w:kern w:val="0"/>
          <w:sz w:val="36"/>
          <w:szCs w:val="36"/>
          <w:highlight w:val="none"/>
          <w:u w:val="none"/>
          <w:lang w:val="en-US" w:eastAsia="zh-CN"/>
        </w:rPr>
        <w:t>时    间</w:t>
      </w:r>
      <w:r>
        <w:rPr>
          <w:rFonts w:hint="eastAsia" w:ascii="宋体" w:hAnsi="宋体" w:eastAsia="Arial" w:cs="宋体"/>
          <w:b/>
          <w:bCs/>
          <w:color w:val="auto"/>
          <w:kern w:val="0"/>
          <w:sz w:val="36"/>
          <w:szCs w:val="36"/>
          <w:highlight w:val="none"/>
          <w:u w:val="none"/>
          <w:lang w:eastAsia="zh-CN"/>
        </w:rPr>
        <w:t>：</w:t>
      </w:r>
      <w:r>
        <w:rPr>
          <w:rFonts w:hint="eastAsia" w:ascii="宋体" w:hAnsi="宋体" w:cs="宋体"/>
          <w:b/>
          <w:bCs/>
          <w:color w:val="auto"/>
          <w:kern w:val="0"/>
          <w:sz w:val="36"/>
          <w:szCs w:val="36"/>
          <w:highlight w:val="none"/>
          <w:u w:val="none"/>
          <w:lang w:val="en-US" w:eastAsia="zh-CN"/>
        </w:rPr>
        <w:t>二 〇 二 五 年 XX 月</w:t>
      </w:r>
    </w:p>
    <w:p w14:paraId="6CDC3198">
      <w:pPr>
        <w:rPr>
          <w:rFonts w:hint="eastAsia" w:ascii="宋体" w:hAnsi="宋体" w:eastAsia="宋体" w:cs="宋体"/>
          <w:color w:val="auto"/>
          <w:szCs w:val="21"/>
          <w:highlight w:val="none"/>
        </w:rPr>
      </w:pPr>
    </w:p>
    <w:p w14:paraId="7938CB0C">
      <w:pPr>
        <w:rPr>
          <w:rFonts w:hint="eastAsia" w:ascii="宋体" w:hAnsi="宋体" w:eastAsia="宋体" w:cs="宋体"/>
          <w:color w:val="auto"/>
          <w:szCs w:val="21"/>
          <w:highlight w:val="none"/>
        </w:rPr>
        <w:sectPr>
          <w:footerReference r:id="rId3"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766502C5">
      <w:pPr>
        <w:pStyle w:val="20"/>
        <w:ind w:left="0" w:leftChars="0" w:firstLine="0" w:firstLineChars="0"/>
        <w:rPr>
          <w:rFonts w:hint="eastAsia"/>
          <w:color w:val="auto"/>
          <w:highlight w:val="none"/>
        </w:rPr>
      </w:pPr>
    </w:p>
    <w:sdt>
      <w:sdtPr>
        <w:rPr>
          <w:rFonts w:ascii="宋体" w:hAnsi="宋体" w:eastAsia="宋体" w:cs="Arial"/>
          <w:b/>
          <w:bCs/>
          <w:snapToGrid w:val="0"/>
          <w:color w:val="auto"/>
          <w:kern w:val="0"/>
          <w:sz w:val="32"/>
          <w:szCs w:val="32"/>
          <w:highlight w:val="none"/>
        </w:rPr>
        <w:id w:val="147453723"/>
        <w15:color w:val="DBDBDB"/>
        <w:docPartObj>
          <w:docPartGallery w:val="Table of Contents"/>
          <w:docPartUnique/>
        </w:docPartObj>
      </w:sdtPr>
      <w:sdtEndPr>
        <w:rPr>
          <w:rFonts w:hint="eastAsia" w:ascii="仿宋" w:hAnsi="仿宋" w:eastAsia="仿宋" w:cs="仿宋"/>
          <w:b/>
          <w:bCs/>
          <w:snapToGrid w:val="0"/>
          <w:color w:val="auto"/>
          <w:kern w:val="0"/>
          <w:sz w:val="21"/>
          <w:szCs w:val="21"/>
          <w:highlight w:val="none"/>
          <w:lang w:val="en-US" w:eastAsia="zh-CN"/>
        </w:rPr>
      </w:sdtEndPr>
      <w:sdtContent>
        <w:p w14:paraId="1D83A397">
          <w:pPr>
            <w:spacing w:before="0" w:beforeLines="0" w:after="0" w:afterLines="0" w:line="36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录</w:t>
          </w:r>
        </w:p>
        <w:p w14:paraId="02B94B64">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TOC \o "1-2" \h \u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pacing w:val="28"/>
              <w:sz w:val="32"/>
              <w:szCs w:val="32"/>
              <w:highlight w:val="none"/>
              <w:lang w:val="en-US" w:eastAsia="zh-CN"/>
            </w:rPr>
            <w:t>第一部分 施工合同协议书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5686C21">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_Toc12375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第二部分</w:t>
          </w:r>
          <w:r>
            <w:rPr>
              <w:rFonts w:hint="eastAsia" w:ascii="仿宋" w:hAnsi="仿宋" w:eastAsia="仿宋" w:cs="仿宋"/>
              <w:b w:val="0"/>
              <w:bCs w:val="0"/>
              <w:snapToGrid w:val="0"/>
              <w:color w:val="auto"/>
              <w:spacing w:val="28"/>
              <w:kern w:val="0"/>
              <w:sz w:val="32"/>
              <w:szCs w:val="32"/>
              <w:highlight w:val="none"/>
              <w:lang w:val="en-US" w:eastAsia="zh-CN"/>
            </w:rPr>
            <w:t xml:space="preserve"> </w:t>
          </w:r>
          <w:r>
            <w:rPr>
              <w:rFonts w:hint="eastAsia" w:ascii="仿宋" w:hAnsi="仿宋" w:eastAsia="仿宋" w:cs="仿宋"/>
              <w:b w:val="0"/>
              <w:bCs w:val="0"/>
              <w:snapToGrid w:val="0"/>
              <w:color w:val="auto"/>
              <w:spacing w:val="28"/>
              <w:kern w:val="0"/>
              <w:sz w:val="32"/>
              <w:szCs w:val="32"/>
              <w:highlight w:val="none"/>
              <w:lang w:eastAsia="zh-CN"/>
            </w:rPr>
            <w:t>合同谈判会议纪要</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_Toc12375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B402DA6">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_Toc29682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第三部分</w:t>
          </w:r>
          <w:r>
            <w:rPr>
              <w:rFonts w:hint="eastAsia" w:ascii="仿宋" w:hAnsi="仿宋" w:eastAsia="仿宋" w:cs="仿宋"/>
              <w:b w:val="0"/>
              <w:bCs w:val="0"/>
              <w:snapToGrid w:val="0"/>
              <w:color w:val="auto"/>
              <w:spacing w:val="28"/>
              <w:kern w:val="0"/>
              <w:sz w:val="32"/>
              <w:szCs w:val="32"/>
              <w:highlight w:val="none"/>
              <w:lang w:val="en-US" w:eastAsia="zh-CN"/>
            </w:rPr>
            <w:t xml:space="preserve"> 中标通知书和投标函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_Toc29682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F85EF77">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_Toc20445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第四部分</w:t>
          </w:r>
          <w:r>
            <w:rPr>
              <w:rFonts w:hint="eastAsia" w:ascii="仿宋" w:hAnsi="仿宋" w:eastAsia="仿宋" w:cs="仿宋"/>
              <w:b w:val="0"/>
              <w:bCs w:val="0"/>
              <w:snapToGrid w:val="0"/>
              <w:color w:val="auto"/>
              <w:spacing w:val="28"/>
              <w:kern w:val="0"/>
              <w:sz w:val="32"/>
              <w:szCs w:val="32"/>
              <w:highlight w:val="none"/>
              <w:lang w:val="en-US" w:eastAsia="zh-CN"/>
            </w:rPr>
            <w:t xml:space="preserve"> 专用合同条款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_Toc20445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B076117">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_Toc978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1．一般约定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_Toc978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C90268B">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_Toc7429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2．发包人义务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_Toc7429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69E6C9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_Toc19884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rPr>
            <w:t>监理人</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_Toc19884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41474A3">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_Toc13479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4．承包人义务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_Toc13479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53FC424">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_Toc3026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5．材料和工程设备</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_Toc3026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5B470D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_Toc15658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6．施工设备和临时设施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_Toc15658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42DE684">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7．交通运输</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1B6042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_Toc26738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8．测量放线</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_Toc26738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163AAE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_Toc9503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9．施工安全、治安保卫和环境保护</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_Toc9503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B530820">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_Toc12919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10．进度计划</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_Toc12919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8DFE16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_Toc10625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11．开工和</w:t>
          </w:r>
          <w:r>
            <w:rPr>
              <w:rFonts w:hint="eastAsia" w:ascii="仿宋" w:hAnsi="仿宋" w:eastAsia="仿宋" w:cs="仿宋"/>
              <w:b w:val="0"/>
              <w:bCs w:val="0"/>
              <w:color w:val="auto"/>
              <w:sz w:val="32"/>
              <w:szCs w:val="32"/>
              <w:highlight w:val="none"/>
              <w:lang w:eastAsia="zh-CN"/>
            </w:rPr>
            <w:t>交工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_Toc10625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FE6673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_Toc24131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12．暂停施工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_Toc24131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9708759">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_Toc13660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13．工程质量</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_Toc13660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ED4DC2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_Toc29797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14．试验和检验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_Toc29797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988492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_Toc15612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15．变更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_Toc15612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AAABA93">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_Toc6676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16．价格调整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_Toc6676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C4AB46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_Toc18022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17．计量与支付</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_Toc18022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45</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EBCAAFB">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18．竣工验收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419D6E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_Toc19172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19．缺陷责任与保修责任</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_Toc19172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50</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A97D0DE">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_Toc19419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20．保险</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_Toc19419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737A0E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_Toc2506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21．不可抗力</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_Toc2506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27D291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_Toc26610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22．违约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_Toc26610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31486C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_Toc13900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24．争议的解决</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_Toc13900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4212039">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_Toc16054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25．其他约定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_Toc16054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54E1782">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第五部分</w:t>
          </w:r>
          <w:r>
            <w:rPr>
              <w:rFonts w:hint="eastAsia" w:ascii="仿宋" w:hAnsi="仿宋" w:eastAsia="仿宋" w:cs="仿宋"/>
              <w:b w:val="0"/>
              <w:bCs w:val="0"/>
              <w:snapToGrid w:val="0"/>
              <w:color w:val="auto"/>
              <w:spacing w:val="28"/>
              <w:kern w:val="0"/>
              <w:sz w:val="32"/>
              <w:szCs w:val="32"/>
              <w:highlight w:val="none"/>
              <w:lang w:val="en-US" w:eastAsia="zh-CN"/>
            </w:rPr>
            <w:t xml:space="preserve"> 通用合同条款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89181A2">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_Toc16618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第六部分 </w:t>
          </w:r>
          <w:r>
            <w:rPr>
              <w:rFonts w:hint="eastAsia" w:ascii="仿宋" w:hAnsi="仿宋" w:eastAsia="仿宋" w:cs="仿宋"/>
              <w:b w:val="0"/>
              <w:bCs w:val="0"/>
              <w:color w:val="auto"/>
              <w:kern w:val="2"/>
              <w:sz w:val="32"/>
              <w:szCs w:val="32"/>
              <w:highlight w:val="none"/>
              <w:lang w:val="en-US"/>
            </w:rPr>
            <w:t>廉政合同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_Toc16618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4C74BCA">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_Toc18460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第七部分 </w:t>
          </w:r>
          <w:r>
            <w:rPr>
              <w:rFonts w:hint="eastAsia" w:ascii="仿宋" w:hAnsi="仿宋" w:eastAsia="仿宋" w:cs="仿宋"/>
              <w:b w:val="0"/>
              <w:bCs w:val="0"/>
              <w:color w:val="auto"/>
              <w:kern w:val="2"/>
              <w:sz w:val="32"/>
              <w:szCs w:val="32"/>
              <w:highlight w:val="none"/>
              <w:lang w:val="en-US"/>
            </w:rPr>
            <w:t>安全生产合同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_Toc18460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D109D6A">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_Toc13543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第八部分 保密协议</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_Toc13543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AD00341">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_Toc5775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第九部分 技术</w:t>
          </w:r>
          <w:r>
            <w:rPr>
              <w:rFonts w:hint="eastAsia" w:ascii="仿宋" w:hAnsi="仿宋" w:eastAsia="仿宋" w:cs="仿宋"/>
              <w:b w:val="0"/>
              <w:bCs w:val="0"/>
              <w:color w:val="auto"/>
              <w:kern w:val="2"/>
              <w:sz w:val="32"/>
              <w:szCs w:val="32"/>
              <w:highlight w:val="none"/>
              <w:lang w:val="en-US" w:eastAsia="zh-CN"/>
            </w:rPr>
            <w:t>标准</w:t>
          </w:r>
          <w:r>
            <w:rPr>
              <w:rFonts w:hint="eastAsia" w:ascii="仿宋" w:hAnsi="仿宋" w:eastAsia="仿宋" w:cs="仿宋"/>
              <w:b w:val="0"/>
              <w:bCs w:val="0"/>
              <w:snapToGrid w:val="0"/>
              <w:color w:val="auto"/>
              <w:spacing w:val="28"/>
              <w:kern w:val="0"/>
              <w:sz w:val="32"/>
              <w:szCs w:val="32"/>
              <w:highlight w:val="none"/>
              <w:lang w:val="en-US" w:eastAsia="zh-CN"/>
            </w:rPr>
            <w:t>和要求</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_Toc5775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8C738F2">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_Toc11242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第十部分 </w:t>
          </w:r>
          <w:r>
            <w:rPr>
              <w:rFonts w:hint="eastAsia" w:ascii="仿宋" w:hAnsi="仿宋" w:eastAsia="仿宋" w:cs="仿宋"/>
              <w:b w:val="0"/>
              <w:bCs w:val="0"/>
              <w:color w:val="auto"/>
              <w:kern w:val="2"/>
              <w:sz w:val="32"/>
              <w:szCs w:val="32"/>
              <w:highlight w:val="none"/>
              <w:lang w:val="en-US" w:eastAsia="zh-CN"/>
            </w:rPr>
            <w:t>图纸</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_Toc11242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2478FDA">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_Toc26001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第十一部分 已标价工程量清单</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_Toc26001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D4C94DF">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_Toc4450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第十二部分 其他合同文件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_Toc4450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120</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C8CA578">
          <w:pPr>
            <w:pStyle w:val="20"/>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napToGrid w:val="0"/>
              <w:color w:val="auto"/>
              <w:kern w:val="0"/>
              <w:sz w:val="21"/>
              <w:szCs w:val="21"/>
              <w:highlight w:val="none"/>
              <w:lang w:val="en-US" w:eastAsia="zh-CN"/>
            </w:rPr>
          </w:pPr>
          <w:r>
            <w:rPr>
              <w:rFonts w:hint="eastAsia" w:ascii="仿宋" w:hAnsi="仿宋" w:eastAsia="仿宋" w:cs="仿宋"/>
              <w:b w:val="0"/>
              <w:bCs w:val="0"/>
              <w:color w:val="auto"/>
              <w:sz w:val="32"/>
              <w:szCs w:val="32"/>
              <w:highlight w:val="none"/>
            </w:rPr>
            <w:fldChar w:fldCharType="end"/>
          </w:r>
        </w:p>
      </w:sdtContent>
    </w:sdt>
    <w:p w14:paraId="092BF84E">
      <w:pPr>
        <w:spacing w:before="0" w:beforeLines="-2147483648" w:after="0" w:afterLines="-2147483648" w:line="240" w:lineRule="auto"/>
        <w:ind w:left="0" w:leftChars="0" w:right="0" w:rightChars="0" w:firstLine="0" w:firstLineChars="0"/>
        <w:jc w:val="center"/>
        <w:rPr>
          <w:rFonts w:hint="default" w:ascii="宋体" w:hAnsi="宋体" w:eastAsia="仿宋"/>
          <w:b w:val="0"/>
          <w:bCs w:val="0"/>
          <w:color w:val="auto"/>
          <w:sz w:val="32"/>
          <w:szCs w:val="32"/>
          <w:highlight w:val="none"/>
          <w:lang w:val="en-US" w:eastAsia="zh-CN"/>
        </w:rPr>
      </w:pPr>
      <w:r>
        <w:rPr>
          <w:rFonts w:hint="eastAsia" w:ascii="宋体" w:hAnsi="宋体" w:eastAsia="仿宋"/>
          <w:b w:val="0"/>
          <w:bCs w:val="0"/>
          <w:color w:val="auto"/>
          <w:sz w:val="32"/>
          <w:szCs w:val="32"/>
          <w:highlight w:val="none"/>
          <w:lang w:eastAsia="zh-CN"/>
        </w:rPr>
        <w:t>备注：</w:t>
      </w:r>
      <w:r>
        <w:rPr>
          <w:rFonts w:hint="eastAsia" w:ascii="宋体" w:hAnsi="宋体" w:eastAsia="仿宋" w:cs="Times New Roman"/>
          <w:b w:val="0"/>
          <w:color w:val="auto"/>
          <w:kern w:val="2"/>
          <w:sz w:val="32"/>
          <w:szCs w:val="32"/>
          <w:highlight w:val="none"/>
          <w:lang w:val="en-US" w:eastAsia="zh-CN" w:bidi="ar"/>
        </w:rPr>
        <w:t>目录页码待最终定稿时更新。</w:t>
      </w:r>
    </w:p>
    <w:p w14:paraId="0F8DB2EF">
      <w:pPr>
        <w:pStyle w:val="20"/>
        <w:spacing w:line="360" w:lineRule="auto"/>
        <w:rPr>
          <w:rFonts w:hint="eastAsia" w:ascii="仿宋" w:hAnsi="仿宋" w:eastAsia="仿宋" w:cs="仿宋"/>
          <w:b/>
          <w:bCs/>
          <w:color w:val="auto"/>
          <w:szCs w:val="21"/>
          <w:highlight w:val="none"/>
        </w:rPr>
      </w:pPr>
    </w:p>
    <w:p w14:paraId="085A1168">
      <w:pPr>
        <w:pStyle w:val="20"/>
        <w:spacing w:line="360" w:lineRule="auto"/>
        <w:rPr>
          <w:rFonts w:hint="eastAsia" w:ascii="仿宋" w:hAnsi="仿宋" w:eastAsia="仿宋" w:cs="仿宋"/>
          <w:b/>
          <w:bCs/>
          <w:color w:val="auto"/>
          <w:szCs w:val="21"/>
          <w:highlight w:val="none"/>
        </w:rPr>
      </w:pPr>
    </w:p>
    <w:p w14:paraId="78089945">
      <w:pPr>
        <w:pStyle w:val="20"/>
        <w:spacing w:line="360" w:lineRule="auto"/>
        <w:rPr>
          <w:rFonts w:hint="eastAsia" w:ascii="仿宋" w:hAnsi="仿宋" w:eastAsia="仿宋" w:cs="仿宋"/>
          <w:b/>
          <w:bCs/>
          <w:color w:val="auto"/>
          <w:szCs w:val="21"/>
          <w:highlight w:val="none"/>
        </w:rPr>
      </w:pPr>
    </w:p>
    <w:p w14:paraId="334C2268">
      <w:pPr>
        <w:pStyle w:val="20"/>
        <w:spacing w:line="360" w:lineRule="auto"/>
        <w:rPr>
          <w:rFonts w:hint="eastAsia" w:ascii="仿宋" w:hAnsi="仿宋" w:eastAsia="仿宋" w:cs="仿宋"/>
          <w:b/>
          <w:bCs/>
          <w:color w:val="auto"/>
          <w:szCs w:val="21"/>
          <w:highlight w:val="none"/>
          <w:lang w:eastAsia="zh-CN"/>
        </w:rPr>
      </w:pPr>
    </w:p>
    <w:p w14:paraId="352B5429">
      <w:pPr>
        <w:pStyle w:val="20"/>
        <w:spacing w:line="360" w:lineRule="auto"/>
        <w:rPr>
          <w:rFonts w:hint="eastAsia" w:ascii="仿宋" w:hAnsi="仿宋" w:eastAsia="仿宋" w:cs="仿宋"/>
          <w:b/>
          <w:bCs/>
          <w:color w:val="auto"/>
          <w:szCs w:val="21"/>
          <w:highlight w:val="none"/>
          <w:lang w:eastAsia="zh-CN"/>
        </w:rPr>
      </w:pPr>
    </w:p>
    <w:p w14:paraId="31B7224F">
      <w:pPr>
        <w:pStyle w:val="20"/>
        <w:spacing w:line="360" w:lineRule="auto"/>
        <w:rPr>
          <w:rFonts w:hint="eastAsia" w:ascii="仿宋" w:hAnsi="仿宋" w:eastAsia="仿宋" w:cs="仿宋"/>
          <w:b/>
          <w:bCs/>
          <w:color w:val="auto"/>
          <w:szCs w:val="21"/>
          <w:highlight w:val="none"/>
          <w:lang w:eastAsia="zh-CN"/>
        </w:rPr>
      </w:pPr>
    </w:p>
    <w:p w14:paraId="07142B68">
      <w:pPr>
        <w:pStyle w:val="20"/>
        <w:spacing w:line="360" w:lineRule="auto"/>
        <w:rPr>
          <w:rFonts w:hint="eastAsia" w:ascii="仿宋" w:hAnsi="仿宋" w:eastAsia="仿宋" w:cs="仿宋"/>
          <w:b/>
          <w:bCs/>
          <w:color w:val="auto"/>
          <w:szCs w:val="21"/>
          <w:highlight w:val="none"/>
          <w:lang w:eastAsia="zh-CN"/>
        </w:rPr>
      </w:pPr>
    </w:p>
    <w:p w14:paraId="03362EC6">
      <w:pPr>
        <w:pStyle w:val="20"/>
        <w:spacing w:line="360" w:lineRule="auto"/>
        <w:rPr>
          <w:rFonts w:hint="eastAsia" w:ascii="仿宋" w:hAnsi="仿宋" w:eastAsia="仿宋" w:cs="仿宋"/>
          <w:b/>
          <w:bCs/>
          <w:color w:val="auto"/>
          <w:szCs w:val="21"/>
          <w:highlight w:val="none"/>
          <w:lang w:eastAsia="zh-CN"/>
        </w:rPr>
      </w:pPr>
    </w:p>
    <w:p w14:paraId="5080CC3C">
      <w:pPr>
        <w:keepNext w:val="0"/>
        <w:keepLines w:val="0"/>
        <w:pageBreakBefore/>
        <w:widowControl/>
        <w:numPr>
          <w:ilvl w:val="0"/>
          <w:numId w:val="3"/>
        </w:numPr>
        <w:kinsoku w:val="0"/>
        <w:wordWrap/>
        <w:overflowPunct/>
        <w:topLinePunct w:val="0"/>
        <w:autoSpaceDE w:val="0"/>
        <w:autoSpaceDN w:val="0"/>
        <w:bidi w:val="0"/>
        <w:adjustRightInd w:val="0"/>
        <w:snapToGrid w:val="0"/>
        <w:spacing w:line="480" w:lineRule="exact"/>
        <w:jc w:val="center"/>
        <w:textAlignment w:val="baseline"/>
        <w:outlineLvl w:val="0"/>
        <w:rPr>
          <w:rFonts w:hint="eastAsia" w:ascii="宋体" w:hAnsi="宋体" w:eastAsia="宋体" w:cs="宋体"/>
          <w:b/>
          <w:bCs/>
          <w:color w:val="auto"/>
          <w:spacing w:val="28"/>
          <w:sz w:val="32"/>
          <w:szCs w:val="32"/>
          <w:highlight w:val="none"/>
          <w:lang w:val="en-US" w:eastAsia="zh-CN"/>
        </w:rPr>
      </w:pPr>
      <w:bookmarkStart w:id="9" w:name="_Toc24062"/>
      <w:bookmarkStart w:id="10" w:name="_Toc7587"/>
      <w:r>
        <w:rPr>
          <w:rFonts w:hint="eastAsia" w:ascii="宋体" w:hAnsi="宋体" w:eastAsia="宋体" w:cs="宋体"/>
          <w:b/>
          <w:bCs/>
          <w:color w:val="auto"/>
          <w:spacing w:val="28"/>
          <w:sz w:val="32"/>
          <w:szCs w:val="32"/>
          <w:highlight w:val="none"/>
          <w:lang w:val="en-US" w:eastAsia="zh-CN"/>
        </w:rPr>
        <w:t>施工合同协议书</w:t>
      </w:r>
      <w:bookmarkEnd w:id="9"/>
      <w:bookmarkEnd w:id="10"/>
    </w:p>
    <w:p w14:paraId="02E7A1EE">
      <w:pPr>
        <w:numPr>
          <w:ilvl w:val="0"/>
          <w:numId w:val="0"/>
        </w:numPr>
        <w:jc w:val="center"/>
        <w:rPr>
          <w:rFonts w:hint="eastAsia" w:ascii="宋体" w:hAnsi="宋体" w:eastAsia="宋体" w:cs="宋体"/>
          <w:b/>
          <w:bCs/>
          <w:color w:val="auto"/>
          <w:spacing w:val="28"/>
          <w:sz w:val="32"/>
          <w:szCs w:val="32"/>
          <w:highlight w:val="none"/>
          <w:lang w:eastAsia="zh-CN"/>
        </w:rPr>
      </w:pPr>
    </w:p>
    <w:p w14:paraId="14C77EC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rPr>
        <w:t>(以下简称“发包人”)为建设</w:t>
      </w:r>
      <w:r>
        <w:rPr>
          <w:rFonts w:hint="eastAsia" w:ascii="宋体" w:hAnsi="宋体" w:eastAsia="宋体" w:cs="宋体"/>
          <w:color w:val="auto"/>
          <w:sz w:val="24"/>
          <w:szCs w:val="24"/>
          <w:highlight w:val="none"/>
          <w:u w:val="single"/>
        </w:rPr>
        <w:t>北江航道扩能升级上延工程</w:t>
      </w:r>
      <w:r>
        <w:rPr>
          <w:rFonts w:hint="eastAsia" w:ascii="宋体" w:hAnsi="宋体" w:eastAsia="宋体" w:cs="宋体"/>
          <w:color w:val="auto"/>
          <w:sz w:val="24"/>
          <w:szCs w:val="24"/>
          <w:highlight w:val="none"/>
          <w:u w:val="single"/>
          <w:lang w:eastAsia="zh-CN"/>
        </w:rPr>
        <w:t>船闸</w:t>
      </w:r>
      <w:r>
        <w:rPr>
          <w:rFonts w:hint="eastAsia" w:ascii="宋体" w:hAnsi="宋体" w:eastAsia="宋体" w:cs="宋体"/>
          <w:color w:val="auto"/>
          <w:sz w:val="24"/>
          <w:szCs w:val="24"/>
          <w:highlight w:val="none"/>
          <w:u w:val="single"/>
        </w:rPr>
        <w:t>工程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标段二：塘头船闸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，接受了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（以下简称“承包人”）对本项目合同工程的投标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鉴于协议双方充分理解本项目中广东省航道事务中心为建设单位/业主，发包人为项目代建单位，承包人为施工单位的法律关系，尊重和服从业主的最终决定和审批意见，在此基础上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为明确双方的责任、权利及义务，经双方协商签订如下协议：</w:t>
      </w:r>
    </w:p>
    <w:p w14:paraId="3AC1500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1.本协议书中的名词和用语均与下文提到的合同条款中规定的含义相同。</w:t>
      </w:r>
    </w:p>
    <w:p w14:paraId="653F3AD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2.合同文件：合同文件互相解释、互为说明，除合同专用条款另有约定外，其组成和解释次序如下：</w:t>
      </w:r>
    </w:p>
    <w:p w14:paraId="567241C5">
      <w:pPr>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rPr>
        <w:t>合同协议书及各种合同附件（包括廉政合同、安全生产合同、建设工程农民工工资支付保证书、工程资金监管协议、评标期间的澄清文件和补充资料、以及合同谈判过程中双方签署的相关文件或纪要）</w:t>
      </w:r>
      <w:r>
        <w:rPr>
          <w:rFonts w:hint="eastAsia" w:ascii="宋体" w:hAnsi="宋体" w:eastAsia="宋体" w:cs="宋体"/>
          <w:color w:val="auto"/>
          <w:sz w:val="24"/>
          <w:szCs w:val="24"/>
          <w:highlight w:val="none"/>
        </w:rPr>
        <w:t>；</w:t>
      </w:r>
    </w:p>
    <w:p w14:paraId="67207531">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2</w:t>
      </w:r>
      <w:r>
        <w:rPr>
          <w:rFonts w:hint="eastAsia" w:ascii="宋体" w:hAnsi="宋体" w:eastAsia="宋体" w:cs="宋体"/>
          <w:color w:val="auto"/>
          <w:sz w:val="24"/>
          <w:szCs w:val="24"/>
          <w:highlight w:val="none"/>
        </w:rPr>
        <w:t>）中标通知书；</w:t>
      </w:r>
    </w:p>
    <w:p w14:paraId="2DFDF351">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3</w:t>
      </w:r>
      <w:r>
        <w:rPr>
          <w:rFonts w:hint="eastAsia" w:ascii="宋体" w:hAnsi="宋体" w:eastAsia="宋体" w:cs="宋体"/>
          <w:color w:val="auto"/>
          <w:sz w:val="24"/>
          <w:szCs w:val="24"/>
          <w:highlight w:val="none"/>
        </w:rPr>
        <w:t>）投标函及投标函附录；</w:t>
      </w:r>
    </w:p>
    <w:p w14:paraId="59E723D1">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4</w:t>
      </w:r>
      <w:r>
        <w:rPr>
          <w:rFonts w:hint="eastAsia" w:ascii="宋体" w:hAnsi="宋体" w:eastAsia="宋体" w:cs="宋体"/>
          <w:color w:val="auto"/>
          <w:sz w:val="24"/>
          <w:szCs w:val="24"/>
          <w:highlight w:val="none"/>
        </w:rPr>
        <w:t>）专用合同条款；</w:t>
      </w:r>
    </w:p>
    <w:p w14:paraId="431B72D0">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5</w:t>
      </w:r>
      <w:r>
        <w:rPr>
          <w:rFonts w:hint="eastAsia" w:ascii="宋体" w:hAnsi="宋体" w:eastAsia="宋体" w:cs="宋体"/>
          <w:color w:val="auto"/>
          <w:sz w:val="24"/>
          <w:szCs w:val="24"/>
          <w:highlight w:val="none"/>
        </w:rPr>
        <w:t>）通用合同条款；</w:t>
      </w:r>
    </w:p>
    <w:p w14:paraId="4FA993CE">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rPr>
        <w:t>；</w:t>
      </w:r>
    </w:p>
    <w:p w14:paraId="38E5B969">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7</w:t>
      </w:r>
      <w:r>
        <w:rPr>
          <w:rFonts w:hint="eastAsia" w:ascii="宋体" w:hAnsi="宋体" w:eastAsia="宋体" w:cs="宋体"/>
          <w:color w:val="auto"/>
          <w:sz w:val="24"/>
          <w:szCs w:val="24"/>
          <w:highlight w:val="none"/>
        </w:rPr>
        <w:t>）图纸；</w:t>
      </w:r>
    </w:p>
    <w:p w14:paraId="7B560CCF">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8</w:t>
      </w:r>
      <w:r>
        <w:rPr>
          <w:rFonts w:hint="eastAsia" w:ascii="宋体" w:hAnsi="宋体" w:eastAsia="宋体" w:cs="宋体"/>
          <w:color w:val="auto"/>
          <w:sz w:val="24"/>
          <w:szCs w:val="24"/>
          <w:highlight w:val="none"/>
        </w:rPr>
        <w:t>）已标价工程量清单；</w:t>
      </w:r>
    </w:p>
    <w:p w14:paraId="337E9546">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9</w:t>
      </w:r>
      <w:r>
        <w:rPr>
          <w:rFonts w:hint="eastAsia" w:ascii="宋体" w:hAnsi="宋体" w:eastAsia="宋体" w:cs="宋体"/>
          <w:color w:val="auto"/>
          <w:sz w:val="24"/>
          <w:szCs w:val="24"/>
          <w:highlight w:val="none"/>
        </w:rPr>
        <w:t>）其他合同文件。</w:t>
      </w:r>
    </w:p>
    <w:p w14:paraId="5F40AA2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当合同文件出现含糊不清或不一致时，在不影响工程进度的情况下，由双方协商解决；若双方意见不能统一，则按本合同专用条款第24条中约定的办法处理。</w:t>
      </w:r>
    </w:p>
    <w:p w14:paraId="078D9C4A">
      <w:pPr>
        <w:numPr>
          <w:ilvl w:val="0"/>
          <w:numId w:val="4"/>
        </w:num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本合同暂定总金额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其中：不含增值税金额为</w:t>
      </w:r>
      <w:r>
        <w:rPr>
          <w:rFonts w:hint="eastAsia" w:ascii="宋体" w:hAnsi="宋体" w:eastAsia="宋体" w:cs="宋体"/>
          <w:color w:val="auto"/>
          <w:sz w:val="24"/>
          <w:szCs w:val="24"/>
          <w:highlight w:val="none"/>
          <w:lang w:val="en-US" w:eastAsia="zh-CN"/>
        </w:rPr>
        <w:t>XX元，增值税税率为XX%，增值税税额为XX元。</w:t>
      </w:r>
      <w:r>
        <w:rPr>
          <w:rFonts w:hint="eastAsia" w:ascii="宋体" w:hAnsi="宋体" w:eastAsia="宋体" w:cs="宋体"/>
          <w:color w:val="auto"/>
          <w:sz w:val="24"/>
          <w:szCs w:val="24"/>
          <w:highlight w:val="none"/>
        </w:rPr>
        <w:t>合同固定单价详见已标价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工程量</w:t>
      </w:r>
      <w:r>
        <w:rPr>
          <w:rFonts w:hint="eastAsia" w:ascii="宋体" w:hAnsi="宋体" w:eastAsia="宋体" w:cs="宋体"/>
          <w:color w:val="auto"/>
          <w:sz w:val="24"/>
          <w:szCs w:val="24"/>
          <w:highlight w:val="none"/>
          <w:lang w:eastAsia="zh-CN"/>
        </w:rPr>
        <w:t>清</w:t>
      </w:r>
      <w:r>
        <w:rPr>
          <w:rFonts w:hint="eastAsia" w:ascii="宋体" w:hAnsi="宋体" w:eastAsia="宋体" w:cs="宋体"/>
          <w:color w:val="auto"/>
          <w:sz w:val="24"/>
          <w:szCs w:val="24"/>
          <w:highlight w:val="none"/>
        </w:rPr>
        <w:t>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合同最终结算价以决算批复金额为准。发包人基于签订本合同所产生的税费（含印花税）由承包人承担。</w:t>
      </w:r>
    </w:p>
    <w:p w14:paraId="5299288E">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 计划施工工期：</w:t>
      </w:r>
      <w:r>
        <w:rPr>
          <w:rFonts w:hint="eastAsia" w:ascii="宋体" w:hAnsi="宋体" w:eastAsia="宋体" w:cs="宋体"/>
          <w:color w:val="auto"/>
          <w:sz w:val="24"/>
          <w:szCs w:val="24"/>
          <w:highlight w:val="none"/>
          <w:u w:val="single"/>
          <w:lang w:val="en-US" w:eastAsia="zh-CN"/>
        </w:rPr>
        <w:t>39个月</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14DEE3D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施工地点及范围为：</w:t>
      </w:r>
    </w:p>
    <w:p w14:paraId="5B899BB4">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施工地点：</w:t>
      </w:r>
      <w:r>
        <w:rPr>
          <w:rFonts w:hint="eastAsia" w:ascii="宋体" w:hAnsi="宋体" w:eastAsia="宋体" w:cs="宋体"/>
          <w:color w:val="auto"/>
          <w:sz w:val="24"/>
          <w:szCs w:val="24"/>
          <w:highlight w:val="none"/>
          <w:u w:val="none"/>
          <w:lang w:eastAsia="zh-CN"/>
        </w:rPr>
        <w:t>广东省韶关市</w:t>
      </w:r>
      <w:r>
        <w:rPr>
          <w:rFonts w:hint="eastAsia" w:ascii="宋体" w:hAnsi="宋体" w:eastAsia="宋体" w:cs="宋体"/>
          <w:color w:val="auto"/>
          <w:sz w:val="24"/>
          <w:szCs w:val="24"/>
          <w:highlight w:val="none"/>
          <w:lang w:eastAsia="zh-CN"/>
        </w:rPr>
        <w:t>。</w:t>
      </w:r>
    </w:p>
    <w:p w14:paraId="7906019B">
      <w:pPr>
        <w:pStyle w:val="20"/>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eastAsia="zh-CN"/>
        </w:rPr>
        <w:t>施工范</w:t>
      </w:r>
      <w:r>
        <w:rPr>
          <w:rFonts w:hint="eastAsia" w:ascii="宋体" w:hAnsi="宋体" w:eastAsia="宋体" w:cs="宋体"/>
          <w:color w:val="auto"/>
          <w:sz w:val="24"/>
          <w:szCs w:val="24"/>
          <w:highlight w:val="none"/>
          <w:u w:val="none"/>
          <w:lang w:eastAsia="zh-CN"/>
        </w:rPr>
        <w:t>围：塘头</w:t>
      </w:r>
      <w:r>
        <w:rPr>
          <w:rFonts w:hint="default" w:ascii="宋体" w:hAnsi="宋体" w:eastAsia="宋体" w:cs="宋体"/>
          <w:color w:val="auto"/>
          <w:sz w:val="24"/>
          <w:szCs w:val="24"/>
          <w:highlight w:val="none"/>
          <w:u w:val="none"/>
        </w:rPr>
        <w:t>船闸工程：新建1000吨级船闸及其配套工程，船闸级别为III级，船闸闸室有效尺度为190m×23m×4.5m（有效长度×有效宽度×槛上水深）</w:t>
      </w:r>
      <w:r>
        <w:rPr>
          <w:rFonts w:hint="eastAsia" w:ascii="宋体" w:hAnsi="宋体" w:eastAsia="宋体" w:cs="宋体"/>
          <w:color w:val="auto"/>
          <w:sz w:val="24"/>
          <w:szCs w:val="24"/>
          <w:highlight w:val="none"/>
          <w:lang w:eastAsia="zh-CN"/>
        </w:rPr>
        <w:t>。</w:t>
      </w:r>
    </w:p>
    <w:p w14:paraId="01A5C806">
      <w:pPr>
        <w:numPr>
          <w:ilvl w:val="0"/>
          <w:numId w:val="5"/>
        </w:numPr>
        <w:adjustRightInd w:val="0"/>
        <w:snapToGrid w:val="0"/>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施工内容</w:t>
      </w:r>
      <w:r>
        <w:rPr>
          <w:rFonts w:hint="eastAsia" w:ascii="宋体" w:hAnsi="宋体" w:eastAsia="宋体" w:cs="宋体"/>
          <w:color w:val="auto"/>
          <w:sz w:val="24"/>
          <w:szCs w:val="24"/>
          <w:highlight w:val="none"/>
          <w:u w:val="none"/>
          <w:lang w:val="en-US" w:eastAsia="zh-CN"/>
        </w:rPr>
        <w:t>为：主要</w:t>
      </w:r>
      <w:r>
        <w:rPr>
          <w:rFonts w:hint="default" w:ascii="宋体" w:hAnsi="宋体" w:eastAsia="宋体" w:cs="宋体"/>
          <w:color w:val="auto"/>
          <w:sz w:val="24"/>
          <w:szCs w:val="24"/>
          <w:highlight w:val="none"/>
          <w:u w:val="none"/>
          <w:lang w:val="en-US" w:eastAsia="zh-CN"/>
        </w:rPr>
        <w:t>包括</w:t>
      </w:r>
      <w:r>
        <w:rPr>
          <w:rFonts w:hint="eastAsia" w:ascii="宋体" w:hAnsi="宋体" w:eastAsia="宋体" w:cs="宋体"/>
          <w:snapToGrid/>
          <w:color w:val="auto"/>
          <w:sz w:val="24"/>
          <w:szCs w:val="24"/>
          <w:highlight w:val="none"/>
        </w:rPr>
        <w:t>船闸主体工程、上下游导航墙、引航道护岸、靠船墩、待闸锚地、船闸金属结构及机械设备（液压启闭机</w:t>
      </w:r>
      <w:r>
        <w:rPr>
          <w:rFonts w:hint="eastAsia" w:ascii="宋体" w:hAnsi="宋体" w:eastAsia="宋体" w:cs="宋体"/>
          <w:snapToGrid/>
          <w:color w:val="auto"/>
          <w:sz w:val="24"/>
          <w:szCs w:val="24"/>
          <w:highlight w:val="none"/>
          <w:lang w:val="en-US" w:eastAsia="zh-CN"/>
        </w:rPr>
        <w:t>含安装</w:t>
      </w:r>
      <w:r>
        <w:rPr>
          <w:rFonts w:hint="eastAsia" w:ascii="宋体" w:hAnsi="宋体" w:eastAsia="宋体" w:cs="宋体"/>
          <w:snapToGrid/>
          <w:color w:val="auto"/>
          <w:sz w:val="24"/>
          <w:szCs w:val="24"/>
          <w:highlight w:val="none"/>
        </w:rPr>
        <w:t>不含制造）、电气及控制工程、通信工程、配套工程（助导航设施、缆线迁改、船闸交通桥、船闸管理房、</w:t>
      </w:r>
      <w:r>
        <w:rPr>
          <w:rFonts w:hint="eastAsia" w:ascii="宋体" w:hAnsi="宋体" w:eastAsia="宋体" w:cs="宋体"/>
          <w:color w:val="auto"/>
          <w:sz w:val="24"/>
          <w:szCs w:val="24"/>
          <w:highlight w:val="none"/>
        </w:rPr>
        <w:t>涉及水利设施改建、</w:t>
      </w:r>
      <w:r>
        <w:rPr>
          <w:rFonts w:hint="eastAsia" w:ascii="宋体" w:hAnsi="宋体" w:eastAsia="宋体" w:cs="宋体"/>
          <w:snapToGrid/>
          <w:color w:val="auto"/>
          <w:sz w:val="24"/>
          <w:szCs w:val="24"/>
          <w:highlight w:val="none"/>
        </w:rPr>
        <w:t>相关弃渣场等）以及环保、水保、绿化、临时工程以及船闸附属工程、临时用地使用及补偿等。</w:t>
      </w:r>
    </w:p>
    <w:p w14:paraId="3E68BD4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竣工验收标准按照</w:t>
      </w:r>
      <w:r>
        <w:rPr>
          <w:rFonts w:hint="eastAsia" w:ascii="宋体" w:hAnsi="宋体" w:eastAsia="宋体" w:cs="宋体"/>
          <w:color w:val="auto"/>
          <w:sz w:val="24"/>
          <w:szCs w:val="24"/>
          <w:highlight w:val="none"/>
          <w:lang w:eastAsia="zh-CN"/>
        </w:rPr>
        <w:t>有关规定</w:t>
      </w:r>
      <w:r>
        <w:rPr>
          <w:rFonts w:hint="eastAsia" w:ascii="宋体" w:hAnsi="宋体" w:eastAsia="宋体" w:cs="宋体"/>
          <w:color w:val="auto"/>
          <w:sz w:val="24"/>
          <w:szCs w:val="24"/>
          <w:highlight w:val="none"/>
        </w:rPr>
        <w:t>执行。</w:t>
      </w:r>
    </w:p>
    <w:p w14:paraId="262FA8E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双方在此立约：保证按照本合同文件的约定，承担和履行各自的全部责任和义务。本合同文件经双方签字盖章且</w:t>
      </w:r>
      <w:r>
        <w:rPr>
          <w:rFonts w:hint="eastAsia" w:ascii="宋体" w:hAnsi="宋体" w:eastAsia="宋体" w:cs="宋体"/>
          <w:color w:val="auto"/>
          <w:sz w:val="24"/>
          <w:szCs w:val="24"/>
          <w:highlight w:val="none"/>
          <w:lang w:val="en-US" w:eastAsia="zh-CN"/>
        </w:rPr>
        <w:t>发包</w:t>
      </w:r>
      <w:r>
        <w:rPr>
          <w:rFonts w:hint="eastAsia" w:ascii="宋体" w:hAnsi="宋体" w:eastAsia="宋体" w:cs="宋体"/>
          <w:color w:val="auto"/>
          <w:sz w:val="24"/>
          <w:szCs w:val="24"/>
          <w:highlight w:val="none"/>
        </w:rPr>
        <w:t>人收到承包人按合同规定提交</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后生效，工程经竣工验收合格、合同总价款结清后合同终止。</w:t>
      </w:r>
    </w:p>
    <w:p w14:paraId="7C9FC21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本协议书正本</w:t>
      </w:r>
      <w:r>
        <w:rPr>
          <w:rFonts w:hint="eastAsia" w:ascii="宋体" w:hAnsi="宋体" w:eastAsia="宋体" w:cs="宋体"/>
          <w:color w:val="auto"/>
          <w:sz w:val="24"/>
          <w:szCs w:val="24"/>
          <w:highlight w:val="none"/>
          <w:lang w:eastAsia="zh-CN"/>
        </w:rPr>
        <w:t>两</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八</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四</w:t>
      </w:r>
      <w:r>
        <w:rPr>
          <w:rFonts w:hint="eastAsia" w:ascii="宋体" w:hAnsi="宋体" w:eastAsia="宋体" w:cs="宋体"/>
          <w:color w:val="auto"/>
          <w:sz w:val="24"/>
          <w:szCs w:val="24"/>
          <w:highlight w:val="none"/>
        </w:rPr>
        <w:t>份。当副本与正本不一致时，以正本为准。</w:t>
      </w:r>
    </w:p>
    <w:p w14:paraId="453876A8">
      <w:pPr>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6BBFFA75">
      <w:pPr>
        <w:pStyle w:val="14"/>
        <w:spacing w:line="360" w:lineRule="auto"/>
        <w:rPr>
          <w:rFonts w:hint="eastAsia" w:ascii="宋体" w:hAnsi="宋体" w:eastAsia="宋体" w:cs="宋体"/>
          <w:color w:val="auto"/>
          <w:sz w:val="24"/>
          <w:szCs w:val="24"/>
          <w:highlight w:val="none"/>
        </w:rPr>
      </w:pPr>
    </w:p>
    <w:p w14:paraId="02C39DDF">
      <w:pPr>
        <w:pStyle w:val="14"/>
        <w:spacing w:line="360" w:lineRule="auto"/>
        <w:rPr>
          <w:rFonts w:hint="eastAsia" w:ascii="宋体" w:hAnsi="宋体" w:eastAsia="宋体" w:cs="宋体"/>
          <w:color w:val="auto"/>
          <w:sz w:val="24"/>
          <w:szCs w:val="24"/>
          <w:highlight w:val="none"/>
        </w:rPr>
      </w:pPr>
    </w:p>
    <w:p w14:paraId="2506FE07">
      <w:pPr>
        <w:pStyle w:val="14"/>
        <w:spacing w:line="360" w:lineRule="auto"/>
        <w:rPr>
          <w:rFonts w:hint="eastAsia" w:ascii="宋体" w:hAnsi="宋体" w:eastAsia="宋体" w:cs="宋体"/>
          <w:color w:val="auto"/>
          <w:sz w:val="24"/>
          <w:szCs w:val="24"/>
          <w:highlight w:val="none"/>
        </w:rPr>
      </w:pPr>
    </w:p>
    <w:p w14:paraId="36C2DC99">
      <w:pPr>
        <w:pStyle w:val="14"/>
        <w:spacing w:line="360" w:lineRule="auto"/>
        <w:rPr>
          <w:rFonts w:hint="eastAsia" w:ascii="宋体" w:hAnsi="宋体" w:eastAsia="宋体" w:cs="宋体"/>
          <w:color w:val="auto"/>
          <w:sz w:val="24"/>
          <w:szCs w:val="24"/>
          <w:highlight w:val="none"/>
        </w:rPr>
      </w:pPr>
    </w:p>
    <w:p w14:paraId="446C421F">
      <w:pPr>
        <w:pStyle w:val="14"/>
        <w:spacing w:line="360" w:lineRule="auto"/>
        <w:rPr>
          <w:rFonts w:hint="eastAsia" w:ascii="宋体" w:hAnsi="宋体" w:eastAsia="宋体" w:cs="宋体"/>
          <w:color w:val="auto"/>
          <w:sz w:val="24"/>
          <w:szCs w:val="24"/>
          <w:highlight w:val="none"/>
        </w:rPr>
      </w:pPr>
    </w:p>
    <w:p w14:paraId="383ADF73">
      <w:pPr>
        <w:pStyle w:val="14"/>
        <w:spacing w:line="360" w:lineRule="auto"/>
        <w:rPr>
          <w:rFonts w:hint="eastAsia" w:ascii="宋体" w:hAnsi="宋体" w:eastAsia="宋体" w:cs="宋体"/>
          <w:color w:val="auto"/>
          <w:sz w:val="24"/>
          <w:szCs w:val="24"/>
          <w:highlight w:val="none"/>
        </w:rPr>
      </w:pPr>
    </w:p>
    <w:p w14:paraId="23583B26">
      <w:pPr>
        <w:pStyle w:val="14"/>
        <w:spacing w:line="360" w:lineRule="auto"/>
        <w:rPr>
          <w:rFonts w:hint="eastAsia" w:ascii="宋体" w:hAnsi="宋体" w:eastAsia="宋体" w:cs="宋体"/>
          <w:color w:val="auto"/>
          <w:sz w:val="24"/>
          <w:szCs w:val="24"/>
          <w:highlight w:val="none"/>
        </w:rPr>
      </w:pPr>
    </w:p>
    <w:p w14:paraId="1C6E37C5">
      <w:pPr>
        <w:pStyle w:val="14"/>
        <w:spacing w:line="360" w:lineRule="auto"/>
        <w:rPr>
          <w:rFonts w:hint="eastAsia" w:ascii="宋体" w:hAnsi="宋体" w:eastAsia="宋体" w:cs="宋体"/>
          <w:color w:val="auto"/>
          <w:sz w:val="24"/>
          <w:szCs w:val="24"/>
          <w:highlight w:val="none"/>
        </w:rPr>
      </w:pPr>
    </w:p>
    <w:p w14:paraId="744212A7">
      <w:pPr>
        <w:pStyle w:val="14"/>
        <w:spacing w:line="360" w:lineRule="auto"/>
        <w:rPr>
          <w:rFonts w:hint="eastAsia" w:ascii="宋体" w:hAnsi="宋体" w:eastAsia="宋体" w:cs="宋体"/>
          <w:color w:val="auto"/>
          <w:sz w:val="24"/>
          <w:szCs w:val="24"/>
          <w:highlight w:val="none"/>
        </w:rPr>
      </w:pPr>
    </w:p>
    <w:p w14:paraId="7DF38BE8">
      <w:pPr>
        <w:pStyle w:val="14"/>
        <w:spacing w:line="360" w:lineRule="auto"/>
        <w:rPr>
          <w:rFonts w:hint="eastAsia" w:ascii="宋体" w:hAnsi="宋体" w:eastAsia="宋体" w:cs="宋体"/>
          <w:color w:val="auto"/>
          <w:sz w:val="24"/>
          <w:szCs w:val="24"/>
          <w:highlight w:val="none"/>
        </w:rPr>
      </w:pPr>
    </w:p>
    <w:p w14:paraId="35654010">
      <w:pPr>
        <w:pStyle w:val="14"/>
        <w:spacing w:line="360" w:lineRule="auto"/>
        <w:rPr>
          <w:rFonts w:hint="eastAsia" w:ascii="宋体" w:hAnsi="宋体" w:eastAsia="宋体" w:cs="宋体"/>
          <w:color w:val="auto"/>
          <w:sz w:val="24"/>
          <w:szCs w:val="24"/>
          <w:highlight w:val="none"/>
        </w:rPr>
      </w:pPr>
    </w:p>
    <w:p w14:paraId="05CD843C">
      <w:pPr>
        <w:pStyle w:val="14"/>
        <w:spacing w:line="360" w:lineRule="auto"/>
        <w:rPr>
          <w:rFonts w:hint="eastAsia" w:ascii="宋体" w:hAnsi="宋体" w:eastAsia="宋体" w:cs="宋体"/>
          <w:color w:val="auto"/>
          <w:sz w:val="24"/>
          <w:szCs w:val="24"/>
          <w:highlight w:val="none"/>
        </w:rPr>
      </w:pPr>
    </w:p>
    <w:p w14:paraId="0EA87635">
      <w:pPr>
        <w:pStyle w:val="14"/>
        <w:spacing w:line="360" w:lineRule="auto"/>
        <w:rPr>
          <w:rFonts w:hint="eastAsia" w:ascii="宋体" w:hAnsi="宋体" w:eastAsia="宋体" w:cs="宋体"/>
          <w:color w:val="auto"/>
          <w:sz w:val="24"/>
          <w:szCs w:val="24"/>
          <w:highlight w:val="none"/>
        </w:rPr>
      </w:pPr>
    </w:p>
    <w:p w14:paraId="2F59F6D1">
      <w:pPr>
        <w:pStyle w:val="14"/>
        <w:spacing w:line="360" w:lineRule="auto"/>
        <w:rPr>
          <w:rFonts w:hint="eastAsia" w:ascii="宋体" w:hAnsi="宋体" w:eastAsia="宋体" w:cs="宋体"/>
          <w:color w:val="auto"/>
          <w:sz w:val="24"/>
          <w:szCs w:val="24"/>
          <w:highlight w:val="none"/>
        </w:rPr>
      </w:pPr>
    </w:p>
    <w:p w14:paraId="15E31155">
      <w:pPr>
        <w:pStyle w:val="14"/>
        <w:spacing w:line="360" w:lineRule="auto"/>
        <w:rPr>
          <w:rFonts w:hint="eastAsia" w:ascii="宋体" w:hAnsi="宋体" w:eastAsia="宋体" w:cs="宋体"/>
          <w:color w:val="auto"/>
          <w:sz w:val="24"/>
          <w:szCs w:val="24"/>
          <w:highlight w:val="none"/>
        </w:rPr>
      </w:pPr>
    </w:p>
    <w:p w14:paraId="4A18220E">
      <w:pPr>
        <w:pStyle w:val="14"/>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本页无正文，为施工合同协议书签署页。</w:t>
      </w:r>
    </w:p>
    <w:p w14:paraId="4129071E">
      <w:pPr>
        <w:pStyle w:val="14"/>
        <w:spacing w:line="480" w:lineRule="auto"/>
        <w:rPr>
          <w:rFonts w:hint="eastAsia" w:ascii="宋体" w:hAnsi="宋体" w:eastAsia="宋体" w:cs="宋体"/>
          <w:color w:val="auto"/>
          <w:sz w:val="24"/>
          <w:szCs w:val="24"/>
          <w:highlight w:val="none"/>
          <w:lang w:eastAsia="zh-CN"/>
        </w:rPr>
      </w:pPr>
    </w:p>
    <w:p w14:paraId="43A1AC23">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 </w:t>
      </w:r>
      <w:r>
        <w:rPr>
          <w:rFonts w:hint="eastAsia" w:ascii="宋体" w:hAnsi="宋体" w:eastAsia="宋体" w:cs="宋体"/>
          <w:color w:val="auto"/>
          <w:kern w:val="0"/>
          <w:sz w:val="24"/>
          <w:szCs w:val="24"/>
          <w:highlight w:val="none"/>
          <w:u w:val="none"/>
          <w:lang w:val="en-US" w:eastAsia="zh-CN" w:bidi="ar-SA"/>
        </w:rPr>
        <w:t>广东省北江航道开发投资有限公司</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157AD9CE">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1729B2F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004D9E40">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none"/>
          <w:lang w:eastAsia="zh-CN"/>
        </w:rPr>
      </w:pPr>
    </w:p>
    <w:p w14:paraId="690C2D8C">
      <w:pPr>
        <w:pStyle w:val="9"/>
        <w:spacing w:line="480" w:lineRule="auto"/>
        <w:rPr>
          <w:rFonts w:hint="eastAsia" w:ascii="宋体" w:hAnsi="宋体" w:eastAsia="宋体" w:cs="宋体"/>
          <w:color w:val="auto"/>
          <w:kern w:val="0"/>
          <w:sz w:val="24"/>
          <w:szCs w:val="24"/>
          <w:highlight w:val="none"/>
          <w:lang w:eastAsia="zh-CN"/>
        </w:rPr>
      </w:pPr>
    </w:p>
    <w:p w14:paraId="4275E51A">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457B9A13">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084C1722">
      <w:pPr>
        <w:spacing w:line="480" w:lineRule="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349E9D2E">
      <w:pPr>
        <w:spacing w:line="480" w:lineRule="auto"/>
        <w:rPr>
          <w:rFonts w:hint="eastAsia" w:ascii="宋体" w:hAnsi="宋体" w:eastAsia="宋体" w:cs="宋体"/>
          <w:color w:val="auto"/>
          <w:kern w:val="0"/>
          <w:sz w:val="24"/>
          <w:szCs w:val="24"/>
          <w:highlight w:val="none"/>
          <w:u w:val="none"/>
          <w:lang w:val="en-US" w:eastAsia="zh-CN"/>
        </w:rPr>
      </w:pPr>
    </w:p>
    <w:p w14:paraId="5957C4AB">
      <w:pPr>
        <w:pStyle w:val="9"/>
        <w:rPr>
          <w:rFonts w:hint="eastAsia" w:ascii="宋体" w:hAnsi="宋体" w:eastAsia="宋体" w:cs="宋体"/>
          <w:color w:val="auto"/>
          <w:kern w:val="0"/>
          <w:sz w:val="24"/>
          <w:szCs w:val="24"/>
          <w:highlight w:val="none"/>
          <w:lang w:val="en-US" w:eastAsia="zh-CN"/>
        </w:rPr>
      </w:pPr>
    </w:p>
    <w:p w14:paraId="76C6B7FF">
      <w:pPr>
        <w:spacing w:line="48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none"/>
          <w:lang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050FBC09">
      <w:pPr>
        <w:widowControl/>
        <w:spacing w:line="600" w:lineRule="auto"/>
        <w:rPr>
          <w:rFonts w:hint="eastAsia" w:ascii="宋体" w:hAnsi="宋体" w:eastAsia="宋体" w:cs="宋体"/>
          <w:b w:val="0"/>
          <w:bCs w:val="0"/>
          <w:color w:val="auto"/>
          <w:sz w:val="24"/>
          <w:szCs w:val="24"/>
          <w:highlight w:val="none"/>
          <w:lang w:eastAsia="zh-CN"/>
        </w:rPr>
        <w:sectPr>
          <w:footerReference r:id="rId4"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start="1"/>
          <w:cols w:space="720" w:num="1"/>
        </w:sectPr>
      </w:pPr>
    </w:p>
    <w:p w14:paraId="3F1830E2">
      <w:pPr>
        <w:rPr>
          <w:rFonts w:hint="eastAsia" w:ascii="宋体" w:hAnsi="宋体" w:eastAsia="宋体" w:cs="宋体"/>
          <w:color w:val="auto"/>
          <w:szCs w:val="21"/>
          <w:highlight w:val="none"/>
        </w:rPr>
      </w:pPr>
    </w:p>
    <w:p w14:paraId="168001FC">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eastAsia="zh-CN"/>
        </w:rPr>
      </w:pPr>
      <w:bookmarkStart w:id="11" w:name="_Toc26058"/>
      <w:bookmarkStart w:id="12" w:name="_Toc12375"/>
      <w:r>
        <w:rPr>
          <w:rFonts w:hint="eastAsia" w:ascii="宋体" w:hAnsi="宋体" w:eastAsia="宋体" w:cs="宋体"/>
          <w:b/>
          <w:bCs/>
          <w:snapToGrid w:val="0"/>
          <w:color w:val="auto"/>
          <w:spacing w:val="28"/>
          <w:kern w:val="0"/>
          <w:sz w:val="32"/>
          <w:szCs w:val="32"/>
          <w:highlight w:val="none"/>
          <w:lang w:eastAsia="zh-CN"/>
        </w:rPr>
        <w:t>第二部分</w:t>
      </w:r>
      <w:r>
        <w:rPr>
          <w:rFonts w:hint="eastAsia" w:ascii="宋体" w:hAnsi="宋体" w:eastAsia="宋体" w:cs="宋体"/>
          <w:b/>
          <w:bCs/>
          <w:snapToGrid w:val="0"/>
          <w:color w:val="auto"/>
          <w:spacing w:val="28"/>
          <w:kern w:val="0"/>
          <w:sz w:val="32"/>
          <w:szCs w:val="32"/>
          <w:highlight w:val="none"/>
          <w:lang w:val="en-US" w:eastAsia="zh-CN"/>
        </w:rPr>
        <w:t xml:space="preserve"> </w:t>
      </w:r>
      <w:r>
        <w:rPr>
          <w:rFonts w:hint="eastAsia" w:ascii="宋体" w:hAnsi="宋体" w:eastAsia="宋体" w:cs="宋体"/>
          <w:b/>
          <w:bCs/>
          <w:snapToGrid w:val="0"/>
          <w:color w:val="auto"/>
          <w:spacing w:val="28"/>
          <w:kern w:val="0"/>
          <w:sz w:val="32"/>
          <w:szCs w:val="32"/>
          <w:highlight w:val="none"/>
          <w:lang w:eastAsia="zh-CN"/>
        </w:rPr>
        <w:t>合同谈判</w:t>
      </w:r>
      <w:bookmarkEnd w:id="11"/>
      <w:r>
        <w:rPr>
          <w:rFonts w:hint="eastAsia" w:ascii="宋体" w:hAnsi="宋体" w:eastAsia="宋体" w:cs="宋体"/>
          <w:b/>
          <w:bCs/>
          <w:snapToGrid w:val="0"/>
          <w:color w:val="auto"/>
          <w:spacing w:val="28"/>
          <w:kern w:val="0"/>
          <w:sz w:val="32"/>
          <w:szCs w:val="32"/>
          <w:highlight w:val="none"/>
          <w:lang w:eastAsia="zh-CN"/>
        </w:rPr>
        <w:t>会议纪要</w:t>
      </w:r>
      <w:bookmarkEnd w:id="12"/>
    </w:p>
    <w:p w14:paraId="48CF472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bookmarkStart w:id="13" w:name="_Toc1768"/>
      <w:bookmarkStart w:id="14" w:name="_Toc12486"/>
      <w:bookmarkStart w:id="15" w:name="_Toc1244"/>
    </w:p>
    <w:p w14:paraId="38ED9EF9">
      <w:pPr>
        <w:rPr>
          <w:rFonts w:hint="eastAsia" w:ascii="宋体" w:hAnsi="宋体" w:eastAsia="宋体" w:cs="宋体"/>
          <w:b/>
          <w:bCs/>
          <w:snapToGrid w:val="0"/>
          <w:color w:val="auto"/>
          <w:spacing w:val="28"/>
          <w:kern w:val="0"/>
          <w:sz w:val="32"/>
          <w:szCs w:val="32"/>
          <w:highlight w:val="none"/>
          <w:lang w:eastAsia="zh-CN"/>
        </w:rPr>
      </w:pPr>
    </w:p>
    <w:p w14:paraId="6F3EBDBC">
      <w:pPr>
        <w:pStyle w:val="9"/>
        <w:rPr>
          <w:rFonts w:hint="eastAsia"/>
          <w:color w:val="auto"/>
          <w:highlight w:val="none"/>
          <w:lang w:eastAsia="zh-CN"/>
        </w:rPr>
      </w:pPr>
    </w:p>
    <w:p w14:paraId="556ACF22">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41B4F2D">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215C7D12">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91332BF">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977FC4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BB1C53F">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7F9B1CB">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7820002">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D99474C">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80334E9">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D25BB46">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0A20B79">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75488F1">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78EF88ED">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4053BEE">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25218B2">
      <w:pPr>
        <w:pStyle w:val="9"/>
        <w:spacing w:line="360" w:lineRule="auto"/>
        <w:jc w:val="center"/>
        <w:outlineLvl w:val="0"/>
        <w:rPr>
          <w:rFonts w:hint="eastAsia"/>
          <w:color w:val="auto"/>
          <w:highlight w:val="none"/>
          <w:lang w:eastAsia="zh-CN"/>
        </w:rPr>
      </w:pPr>
      <w:bookmarkStart w:id="16" w:name="_Toc19009"/>
      <w:bookmarkStart w:id="17" w:name="_Toc29682"/>
      <w:r>
        <w:rPr>
          <w:rFonts w:hint="eastAsia" w:ascii="宋体" w:hAnsi="宋体" w:eastAsia="宋体" w:cs="宋体"/>
          <w:b/>
          <w:bCs/>
          <w:snapToGrid w:val="0"/>
          <w:color w:val="auto"/>
          <w:spacing w:val="28"/>
          <w:kern w:val="0"/>
          <w:sz w:val="32"/>
          <w:szCs w:val="32"/>
          <w:highlight w:val="none"/>
          <w:lang w:eastAsia="zh-CN"/>
        </w:rPr>
        <w:t>第三部分</w:t>
      </w:r>
      <w:r>
        <w:rPr>
          <w:rFonts w:hint="eastAsia" w:ascii="宋体" w:hAnsi="宋体" w:eastAsia="宋体" w:cs="宋体"/>
          <w:b/>
          <w:bCs/>
          <w:snapToGrid w:val="0"/>
          <w:color w:val="auto"/>
          <w:spacing w:val="28"/>
          <w:kern w:val="0"/>
          <w:sz w:val="32"/>
          <w:szCs w:val="32"/>
          <w:highlight w:val="none"/>
          <w:lang w:val="en-US" w:eastAsia="zh-CN"/>
        </w:rPr>
        <w:t xml:space="preserve"> 中标通知书和投标函</w:t>
      </w:r>
      <w:bookmarkEnd w:id="16"/>
      <w:bookmarkEnd w:id="17"/>
    </w:p>
    <w:p w14:paraId="0E9ECD68">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（一）中标通知书</w:t>
      </w:r>
    </w:p>
    <w:p w14:paraId="402C173A">
      <w:pPr>
        <w:pStyle w:val="20"/>
        <w:rPr>
          <w:rFonts w:hint="eastAsia"/>
          <w:color w:val="auto"/>
          <w:highlight w:val="none"/>
          <w:lang w:eastAsia="zh-CN"/>
        </w:rPr>
      </w:pPr>
    </w:p>
    <w:p w14:paraId="54478767">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C68C852">
      <w:pPr>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30C22629">
      <w:pPr>
        <w:pStyle w:val="9"/>
        <w:rPr>
          <w:rFonts w:hint="eastAsia" w:ascii="宋体" w:hAnsi="宋体" w:eastAsia="宋体" w:cs="宋体"/>
          <w:b/>
          <w:bCs/>
          <w:snapToGrid w:val="0"/>
          <w:color w:val="auto"/>
          <w:spacing w:val="28"/>
          <w:kern w:val="0"/>
          <w:sz w:val="32"/>
          <w:szCs w:val="32"/>
          <w:highlight w:val="none"/>
          <w:lang w:eastAsia="zh-CN"/>
        </w:rPr>
      </w:pPr>
    </w:p>
    <w:p w14:paraId="79C3C292">
      <w:pPr>
        <w:rPr>
          <w:rFonts w:hint="eastAsia" w:ascii="宋体" w:hAnsi="宋体" w:eastAsia="宋体" w:cs="宋体"/>
          <w:b/>
          <w:bCs/>
          <w:snapToGrid w:val="0"/>
          <w:color w:val="auto"/>
          <w:spacing w:val="28"/>
          <w:kern w:val="0"/>
          <w:sz w:val="32"/>
          <w:szCs w:val="32"/>
          <w:highlight w:val="none"/>
          <w:lang w:eastAsia="zh-CN"/>
        </w:rPr>
      </w:pPr>
    </w:p>
    <w:p w14:paraId="1D632427">
      <w:pPr>
        <w:pStyle w:val="9"/>
        <w:rPr>
          <w:rFonts w:hint="eastAsia" w:ascii="宋体" w:hAnsi="宋体" w:eastAsia="宋体" w:cs="宋体"/>
          <w:b/>
          <w:bCs/>
          <w:snapToGrid w:val="0"/>
          <w:color w:val="auto"/>
          <w:spacing w:val="28"/>
          <w:kern w:val="0"/>
          <w:sz w:val="32"/>
          <w:szCs w:val="32"/>
          <w:highlight w:val="none"/>
          <w:lang w:eastAsia="zh-CN"/>
        </w:rPr>
      </w:pPr>
    </w:p>
    <w:p w14:paraId="0BF481A4">
      <w:pPr>
        <w:rPr>
          <w:rFonts w:hint="eastAsia" w:ascii="宋体" w:hAnsi="宋体" w:eastAsia="宋体" w:cs="宋体"/>
          <w:b/>
          <w:bCs/>
          <w:snapToGrid w:val="0"/>
          <w:color w:val="auto"/>
          <w:spacing w:val="28"/>
          <w:kern w:val="0"/>
          <w:sz w:val="32"/>
          <w:szCs w:val="32"/>
          <w:highlight w:val="none"/>
          <w:lang w:eastAsia="zh-CN"/>
        </w:rPr>
      </w:pPr>
    </w:p>
    <w:p w14:paraId="7244ADAB">
      <w:pPr>
        <w:pStyle w:val="9"/>
        <w:rPr>
          <w:rFonts w:hint="eastAsia" w:ascii="宋体" w:hAnsi="宋体" w:eastAsia="宋体" w:cs="宋体"/>
          <w:b/>
          <w:bCs/>
          <w:snapToGrid w:val="0"/>
          <w:color w:val="auto"/>
          <w:spacing w:val="28"/>
          <w:kern w:val="0"/>
          <w:sz w:val="32"/>
          <w:szCs w:val="32"/>
          <w:highlight w:val="none"/>
          <w:lang w:eastAsia="zh-CN"/>
        </w:rPr>
      </w:pPr>
    </w:p>
    <w:p w14:paraId="0A928EF8">
      <w:pPr>
        <w:rPr>
          <w:rFonts w:hint="eastAsia" w:ascii="宋体" w:hAnsi="宋体" w:eastAsia="宋体" w:cs="宋体"/>
          <w:b/>
          <w:bCs/>
          <w:snapToGrid w:val="0"/>
          <w:color w:val="auto"/>
          <w:spacing w:val="28"/>
          <w:kern w:val="0"/>
          <w:sz w:val="32"/>
          <w:szCs w:val="32"/>
          <w:highlight w:val="none"/>
          <w:lang w:eastAsia="zh-CN"/>
        </w:rPr>
      </w:pPr>
    </w:p>
    <w:p w14:paraId="46006666">
      <w:pPr>
        <w:pStyle w:val="9"/>
        <w:rPr>
          <w:rFonts w:hint="eastAsia" w:ascii="宋体" w:hAnsi="宋体" w:eastAsia="宋体" w:cs="宋体"/>
          <w:b/>
          <w:bCs/>
          <w:snapToGrid w:val="0"/>
          <w:color w:val="auto"/>
          <w:spacing w:val="28"/>
          <w:kern w:val="0"/>
          <w:sz w:val="32"/>
          <w:szCs w:val="32"/>
          <w:highlight w:val="none"/>
          <w:lang w:eastAsia="zh-CN"/>
        </w:rPr>
      </w:pPr>
    </w:p>
    <w:p w14:paraId="66DEEF02">
      <w:pPr>
        <w:rPr>
          <w:rFonts w:hint="eastAsia" w:ascii="宋体" w:hAnsi="宋体" w:eastAsia="宋体" w:cs="宋体"/>
          <w:b/>
          <w:bCs/>
          <w:snapToGrid w:val="0"/>
          <w:color w:val="auto"/>
          <w:spacing w:val="28"/>
          <w:kern w:val="0"/>
          <w:sz w:val="32"/>
          <w:szCs w:val="32"/>
          <w:highlight w:val="none"/>
          <w:lang w:eastAsia="zh-CN"/>
        </w:rPr>
      </w:pPr>
    </w:p>
    <w:p w14:paraId="66D6735D">
      <w:pPr>
        <w:pStyle w:val="9"/>
        <w:rPr>
          <w:rFonts w:hint="eastAsia" w:ascii="宋体" w:hAnsi="宋体" w:eastAsia="宋体" w:cs="宋体"/>
          <w:b/>
          <w:bCs/>
          <w:snapToGrid w:val="0"/>
          <w:color w:val="auto"/>
          <w:spacing w:val="28"/>
          <w:kern w:val="0"/>
          <w:sz w:val="32"/>
          <w:szCs w:val="32"/>
          <w:highlight w:val="none"/>
          <w:lang w:eastAsia="zh-CN"/>
        </w:rPr>
      </w:pPr>
    </w:p>
    <w:p w14:paraId="55D181C2">
      <w:pPr>
        <w:rPr>
          <w:rFonts w:hint="eastAsia" w:ascii="宋体" w:hAnsi="宋体" w:eastAsia="宋体" w:cs="宋体"/>
          <w:b/>
          <w:bCs/>
          <w:snapToGrid w:val="0"/>
          <w:color w:val="auto"/>
          <w:spacing w:val="28"/>
          <w:kern w:val="0"/>
          <w:sz w:val="32"/>
          <w:szCs w:val="32"/>
          <w:highlight w:val="none"/>
          <w:lang w:eastAsia="zh-CN"/>
        </w:rPr>
      </w:pPr>
    </w:p>
    <w:p w14:paraId="3EF66CD7">
      <w:pPr>
        <w:pStyle w:val="9"/>
        <w:rPr>
          <w:rFonts w:hint="eastAsia" w:ascii="宋体" w:hAnsi="宋体" w:eastAsia="宋体" w:cs="宋体"/>
          <w:b/>
          <w:bCs/>
          <w:snapToGrid w:val="0"/>
          <w:color w:val="auto"/>
          <w:spacing w:val="28"/>
          <w:kern w:val="0"/>
          <w:sz w:val="32"/>
          <w:szCs w:val="32"/>
          <w:highlight w:val="none"/>
          <w:lang w:eastAsia="zh-CN"/>
        </w:rPr>
      </w:pPr>
    </w:p>
    <w:p w14:paraId="6280A5DD">
      <w:pPr>
        <w:rPr>
          <w:rFonts w:hint="eastAsia" w:ascii="宋体" w:hAnsi="宋体" w:eastAsia="宋体" w:cs="宋体"/>
          <w:b/>
          <w:bCs/>
          <w:snapToGrid w:val="0"/>
          <w:color w:val="auto"/>
          <w:spacing w:val="28"/>
          <w:kern w:val="0"/>
          <w:sz w:val="32"/>
          <w:szCs w:val="32"/>
          <w:highlight w:val="none"/>
          <w:lang w:eastAsia="zh-CN"/>
        </w:rPr>
      </w:pPr>
    </w:p>
    <w:p w14:paraId="4F1247F3">
      <w:pPr>
        <w:pStyle w:val="9"/>
        <w:rPr>
          <w:rFonts w:hint="eastAsia" w:ascii="宋体" w:hAnsi="宋体" w:eastAsia="宋体" w:cs="宋体"/>
          <w:b/>
          <w:bCs/>
          <w:snapToGrid w:val="0"/>
          <w:color w:val="auto"/>
          <w:spacing w:val="28"/>
          <w:kern w:val="0"/>
          <w:sz w:val="32"/>
          <w:szCs w:val="32"/>
          <w:highlight w:val="none"/>
          <w:lang w:eastAsia="zh-CN"/>
        </w:rPr>
      </w:pPr>
    </w:p>
    <w:p w14:paraId="17B58402">
      <w:pPr>
        <w:rPr>
          <w:rFonts w:hint="eastAsia" w:ascii="宋体" w:hAnsi="宋体" w:eastAsia="宋体" w:cs="宋体"/>
          <w:b/>
          <w:bCs/>
          <w:snapToGrid w:val="0"/>
          <w:color w:val="auto"/>
          <w:spacing w:val="28"/>
          <w:kern w:val="0"/>
          <w:sz w:val="32"/>
          <w:szCs w:val="32"/>
          <w:highlight w:val="none"/>
          <w:lang w:eastAsia="zh-CN"/>
        </w:rPr>
      </w:pPr>
    </w:p>
    <w:p w14:paraId="77018126">
      <w:pPr>
        <w:pStyle w:val="9"/>
        <w:rPr>
          <w:rFonts w:hint="eastAsia" w:ascii="宋体" w:hAnsi="宋体" w:eastAsia="宋体" w:cs="宋体"/>
          <w:b/>
          <w:bCs/>
          <w:snapToGrid w:val="0"/>
          <w:color w:val="auto"/>
          <w:spacing w:val="28"/>
          <w:kern w:val="0"/>
          <w:sz w:val="32"/>
          <w:szCs w:val="32"/>
          <w:highlight w:val="none"/>
          <w:lang w:eastAsia="zh-CN"/>
        </w:rPr>
      </w:pPr>
    </w:p>
    <w:p w14:paraId="0BE5EDD9">
      <w:pPr>
        <w:rPr>
          <w:rFonts w:hint="eastAsia" w:ascii="宋体" w:hAnsi="宋体" w:eastAsia="宋体" w:cs="宋体"/>
          <w:b/>
          <w:bCs/>
          <w:snapToGrid w:val="0"/>
          <w:color w:val="auto"/>
          <w:spacing w:val="28"/>
          <w:kern w:val="0"/>
          <w:sz w:val="32"/>
          <w:szCs w:val="32"/>
          <w:highlight w:val="none"/>
          <w:lang w:eastAsia="zh-CN"/>
        </w:rPr>
      </w:pPr>
    </w:p>
    <w:p w14:paraId="548F617F">
      <w:pPr>
        <w:pStyle w:val="9"/>
        <w:rPr>
          <w:rFonts w:hint="eastAsia" w:ascii="宋体" w:hAnsi="宋体" w:eastAsia="宋体" w:cs="宋体"/>
          <w:b/>
          <w:bCs/>
          <w:snapToGrid w:val="0"/>
          <w:color w:val="auto"/>
          <w:spacing w:val="28"/>
          <w:kern w:val="0"/>
          <w:sz w:val="32"/>
          <w:szCs w:val="32"/>
          <w:highlight w:val="none"/>
          <w:lang w:eastAsia="zh-CN"/>
        </w:rPr>
      </w:pPr>
    </w:p>
    <w:p w14:paraId="1FE1AA5A">
      <w:pPr>
        <w:rPr>
          <w:rFonts w:hint="eastAsia" w:ascii="宋体" w:hAnsi="宋体" w:eastAsia="宋体" w:cs="宋体"/>
          <w:b/>
          <w:bCs/>
          <w:snapToGrid w:val="0"/>
          <w:color w:val="auto"/>
          <w:spacing w:val="28"/>
          <w:kern w:val="0"/>
          <w:sz w:val="32"/>
          <w:szCs w:val="32"/>
          <w:highlight w:val="none"/>
          <w:lang w:eastAsia="zh-CN"/>
        </w:rPr>
      </w:pPr>
    </w:p>
    <w:p w14:paraId="5A7B2863">
      <w:pPr>
        <w:pStyle w:val="9"/>
        <w:rPr>
          <w:rFonts w:hint="eastAsia" w:ascii="宋体" w:hAnsi="宋体" w:eastAsia="宋体" w:cs="宋体"/>
          <w:b/>
          <w:bCs/>
          <w:snapToGrid w:val="0"/>
          <w:color w:val="auto"/>
          <w:spacing w:val="28"/>
          <w:kern w:val="0"/>
          <w:sz w:val="32"/>
          <w:szCs w:val="32"/>
          <w:highlight w:val="none"/>
          <w:lang w:eastAsia="zh-CN"/>
        </w:rPr>
      </w:pPr>
    </w:p>
    <w:p w14:paraId="1B35CB9A">
      <w:pPr>
        <w:rPr>
          <w:rFonts w:hint="eastAsia" w:ascii="宋体" w:hAnsi="宋体" w:eastAsia="宋体" w:cs="宋体"/>
          <w:b/>
          <w:bCs/>
          <w:snapToGrid w:val="0"/>
          <w:color w:val="auto"/>
          <w:spacing w:val="28"/>
          <w:kern w:val="0"/>
          <w:sz w:val="32"/>
          <w:szCs w:val="32"/>
          <w:highlight w:val="none"/>
          <w:lang w:eastAsia="zh-CN"/>
        </w:rPr>
      </w:pPr>
    </w:p>
    <w:p w14:paraId="1B17E701">
      <w:pPr>
        <w:pStyle w:val="9"/>
        <w:rPr>
          <w:rFonts w:hint="eastAsia" w:ascii="宋体" w:hAnsi="宋体" w:eastAsia="宋体" w:cs="宋体"/>
          <w:b/>
          <w:bCs/>
          <w:snapToGrid w:val="0"/>
          <w:color w:val="auto"/>
          <w:spacing w:val="28"/>
          <w:kern w:val="0"/>
          <w:sz w:val="32"/>
          <w:szCs w:val="32"/>
          <w:highlight w:val="none"/>
          <w:lang w:eastAsia="zh-CN"/>
        </w:rPr>
      </w:pPr>
    </w:p>
    <w:p w14:paraId="03223F5F">
      <w:pPr>
        <w:rPr>
          <w:rFonts w:hint="eastAsia" w:ascii="宋体" w:hAnsi="宋体" w:eastAsia="宋体" w:cs="宋体"/>
          <w:b/>
          <w:bCs/>
          <w:snapToGrid w:val="0"/>
          <w:color w:val="auto"/>
          <w:spacing w:val="28"/>
          <w:kern w:val="0"/>
          <w:sz w:val="32"/>
          <w:szCs w:val="32"/>
          <w:highlight w:val="none"/>
          <w:lang w:eastAsia="zh-CN"/>
        </w:rPr>
      </w:pPr>
    </w:p>
    <w:p w14:paraId="4AD8370D">
      <w:pPr>
        <w:pStyle w:val="9"/>
        <w:rPr>
          <w:rFonts w:hint="eastAsia" w:ascii="宋体" w:hAnsi="宋体" w:eastAsia="宋体" w:cs="宋体"/>
          <w:b/>
          <w:bCs/>
          <w:snapToGrid w:val="0"/>
          <w:color w:val="auto"/>
          <w:spacing w:val="28"/>
          <w:kern w:val="0"/>
          <w:sz w:val="32"/>
          <w:szCs w:val="32"/>
          <w:highlight w:val="none"/>
          <w:lang w:eastAsia="zh-CN"/>
        </w:rPr>
      </w:pPr>
    </w:p>
    <w:p w14:paraId="030D0C76">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（二）投标函及投标函附录</w:t>
      </w:r>
    </w:p>
    <w:p w14:paraId="47428B41">
      <w:pPr>
        <w:pStyle w:val="9"/>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79E25006">
      <w:pPr>
        <w:rPr>
          <w:rFonts w:hint="eastAsia"/>
          <w:color w:val="auto"/>
          <w:highlight w:val="none"/>
          <w:lang w:eastAsia="zh-CN"/>
        </w:rPr>
      </w:pPr>
    </w:p>
    <w:p w14:paraId="0A9374C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29E8535">
      <w:pPr>
        <w:pStyle w:val="9"/>
        <w:spacing w:line="360" w:lineRule="auto"/>
        <w:jc w:val="center"/>
        <w:rPr>
          <w:color w:val="auto"/>
          <w:highlight w:val="none"/>
        </w:rPr>
      </w:pPr>
    </w:p>
    <w:p w14:paraId="5E856009">
      <w:pPr>
        <w:rPr>
          <w:color w:val="auto"/>
          <w:highlight w:val="none"/>
        </w:rPr>
      </w:pPr>
    </w:p>
    <w:p w14:paraId="7ACFE292">
      <w:pPr>
        <w:pStyle w:val="20"/>
        <w:rPr>
          <w:color w:val="auto"/>
          <w:highlight w:val="none"/>
        </w:rPr>
      </w:pPr>
    </w:p>
    <w:p w14:paraId="49401952">
      <w:pPr>
        <w:pStyle w:val="20"/>
        <w:rPr>
          <w:color w:val="auto"/>
          <w:highlight w:val="none"/>
        </w:rPr>
      </w:pPr>
    </w:p>
    <w:p w14:paraId="15925051">
      <w:pPr>
        <w:pStyle w:val="20"/>
        <w:rPr>
          <w:color w:val="auto"/>
          <w:highlight w:val="none"/>
        </w:rPr>
      </w:pPr>
    </w:p>
    <w:p w14:paraId="423DBD7E">
      <w:pPr>
        <w:pStyle w:val="20"/>
        <w:rPr>
          <w:color w:val="auto"/>
          <w:highlight w:val="none"/>
        </w:rPr>
      </w:pPr>
    </w:p>
    <w:p w14:paraId="08AD509A">
      <w:pPr>
        <w:pStyle w:val="20"/>
        <w:rPr>
          <w:color w:val="auto"/>
          <w:highlight w:val="none"/>
        </w:rPr>
      </w:pPr>
    </w:p>
    <w:p w14:paraId="5CCFC4FC">
      <w:pPr>
        <w:pStyle w:val="20"/>
        <w:rPr>
          <w:color w:val="auto"/>
          <w:highlight w:val="none"/>
        </w:rPr>
      </w:pPr>
    </w:p>
    <w:p w14:paraId="25ECC2A5">
      <w:pPr>
        <w:pStyle w:val="20"/>
        <w:rPr>
          <w:color w:val="auto"/>
          <w:highlight w:val="none"/>
        </w:rPr>
      </w:pPr>
    </w:p>
    <w:p w14:paraId="680B044F">
      <w:pPr>
        <w:pStyle w:val="20"/>
        <w:rPr>
          <w:color w:val="auto"/>
          <w:highlight w:val="none"/>
        </w:rPr>
      </w:pPr>
    </w:p>
    <w:p w14:paraId="04E8DD77">
      <w:pPr>
        <w:pStyle w:val="20"/>
        <w:rPr>
          <w:color w:val="auto"/>
          <w:highlight w:val="none"/>
        </w:rPr>
      </w:pPr>
    </w:p>
    <w:p w14:paraId="3493E6F9">
      <w:pPr>
        <w:pStyle w:val="20"/>
        <w:rPr>
          <w:color w:val="auto"/>
          <w:highlight w:val="none"/>
        </w:rPr>
      </w:pPr>
    </w:p>
    <w:p w14:paraId="67AD55DC">
      <w:pPr>
        <w:pStyle w:val="20"/>
        <w:rPr>
          <w:color w:val="auto"/>
          <w:highlight w:val="none"/>
        </w:rPr>
      </w:pPr>
    </w:p>
    <w:p w14:paraId="3FA127C1">
      <w:pPr>
        <w:pStyle w:val="20"/>
        <w:rPr>
          <w:color w:val="auto"/>
          <w:highlight w:val="none"/>
        </w:rPr>
      </w:pPr>
    </w:p>
    <w:p w14:paraId="7C53588C">
      <w:pPr>
        <w:pStyle w:val="20"/>
        <w:rPr>
          <w:color w:val="auto"/>
          <w:highlight w:val="none"/>
        </w:rPr>
      </w:pPr>
    </w:p>
    <w:p w14:paraId="24CA447E">
      <w:pPr>
        <w:pStyle w:val="20"/>
        <w:rPr>
          <w:color w:val="auto"/>
          <w:highlight w:val="none"/>
        </w:rPr>
      </w:pPr>
    </w:p>
    <w:p w14:paraId="34F7FA71">
      <w:pPr>
        <w:pStyle w:val="20"/>
        <w:rPr>
          <w:color w:val="auto"/>
          <w:highlight w:val="none"/>
        </w:rPr>
      </w:pPr>
    </w:p>
    <w:p w14:paraId="502B20EB">
      <w:pPr>
        <w:pStyle w:val="20"/>
        <w:rPr>
          <w:color w:val="auto"/>
          <w:highlight w:val="none"/>
        </w:rPr>
      </w:pPr>
    </w:p>
    <w:p w14:paraId="4AD0F862">
      <w:pPr>
        <w:pStyle w:val="20"/>
        <w:rPr>
          <w:color w:val="auto"/>
          <w:highlight w:val="none"/>
        </w:rPr>
      </w:pPr>
    </w:p>
    <w:p w14:paraId="7606FA0E">
      <w:pPr>
        <w:pStyle w:val="20"/>
        <w:rPr>
          <w:color w:val="auto"/>
          <w:highlight w:val="none"/>
        </w:rPr>
      </w:pPr>
    </w:p>
    <w:p w14:paraId="154862AE">
      <w:pPr>
        <w:pStyle w:val="20"/>
        <w:rPr>
          <w:color w:val="auto"/>
          <w:highlight w:val="none"/>
        </w:rPr>
      </w:pPr>
    </w:p>
    <w:p w14:paraId="223C136A">
      <w:pPr>
        <w:pStyle w:val="20"/>
        <w:rPr>
          <w:color w:val="auto"/>
          <w:highlight w:val="none"/>
        </w:rPr>
      </w:pPr>
    </w:p>
    <w:p w14:paraId="23C19754">
      <w:pPr>
        <w:pStyle w:val="20"/>
        <w:rPr>
          <w:color w:val="auto"/>
          <w:highlight w:val="none"/>
        </w:rPr>
      </w:pPr>
    </w:p>
    <w:p w14:paraId="6D4256CF">
      <w:pPr>
        <w:pStyle w:val="20"/>
        <w:rPr>
          <w:color w:val="auto"/>
          <w:highlight w:val="none"/>
        </w:rPr>
      </w:pPr>
    </w:p>
    <w:p w14:paraId="05F97A85">
      <w:pPr>
        <w:pStyle w:val="20"/>
        <w:rPr>
          <w:color w:val="auto"/>
          <w:highlight w:val="none"/>
        </w:rPr>
      </w:pPr>
    </w:p>
    <w:p w14:paraId="6F98EF8B">
      <w:pPr>
        <w:pStyle w:val="20"/>
        <w:rPr>
          <w:color w:val="auto"/>
          <w:highlight w:val="none"/>
        </w:rPr>
      </w:pPr>
    </w:p>
    <w:p w14:paraId="5A1994CD">
      <w:pPr>
        <w:pStyle w:val="20"/>
        <w:rPr>
          <w:color w:val="auto"/>
          <w:highlight w:val="none"/>
        </w:rPr>
      </w:pPr>
    </w:p>
    <w:p w14:paraId="5EA0434F">
      <w:pPr>
        <w:pStyle w:val="20"/>
        <w:rPr>
          <w:color w:val="auto"/>
          <w:highlight w:val="none"/>
        </w:rPr>
      </w:pPr>
    </w:p>
    <w:p w14:paraId="7F6B1562">
      <w:pPr>
        <w:pStyle w:val="20"/>
        <w:rPr>
          <w:color w:val="auto"/>
          <w:highlight w:val="none"/>
        </w:rPr>
      </w:pPr>
    </w:p>
    <w:p w14:paraId="450E52F2">
      <w:pPr>
        <w:pStyle w:val="20"/>
        <w:rPr>
          <w:color w:val="auto"/>
          <w:highlight w:val="none"/>
        </w:rPr>
      </w:pPr>
    </w:p>
    <w:p w14:paraId="38831916">
      <w:pPr>
        <w:pStyle w:val="20"/>
        <w:rPr>
          <w:color w:val="auto"/>
          <w:highlight w:val="none"/>
        </w:rPr>
      </w:pPr>
    </w:p>
    <w:p w14:paraId="298E3DB6">
      <w:pPr>
        <w:pStyle w:val="20"/>
        <w:rPr>
          <w:color w:val="auto"/>
          <w:highlight w:val="none"/>
        </w:rPr>
      </w:pPr>
    </w:p>
    <w:p w14:paraId="4D8B3C99">
      <w:pPr>
        <w:pStyle w:val="20"/>
        <w:rPr>
          <w:color w:val="auto"/>
          <w:highlight w:val="none"/>
        </w:rPr>
      </w:pPr>
    </w:p>
    <w:p w14:paraId="64965BC1">
      <w:pPr>
        <w:pStyle w:val="20"/>
        <w:rPr>
          <w:color w:val="auto"/>
          <w:highlight w:val="none"/>
        </w:rPr>
      </w:pPr>
    </w:p>
    <w:p w14:paraId="3F86B844">
      <w:pPr>
        <w:pStyle w:val="20"/>
        <w:rPr>
          <w:color w:val="auto"/>
          <w:highlight w:val="none"/>
        </w:rPr>
      </w:pPr>
    </w:p>
    <w:p w14:paraId="135DF888">
      <w:pPr>
        <w:pStyle w:val="20"/>
        <w:rPr>
          <w:color w:val="auto"/>
          <w:highlight w:val="none"/>
        </w:rPr>
      </w:pPr>
    </w:p>
    <w:p w14:paraId="63C3CED3">
      <w:pPr>
        <w:pStyle w:val="20"/>
        <w:rPr>
          <w:color w:val="auto"/>
          <w:highlight w:val="none"/>
        </w:rPr>
      </w:pPr>
    </w:p>
    <w:p w14:paraId="0C8D00C9">
      <w:pPr>
        <w:pStyle w:val="20"/>
        <w:rPr>
          <w:color w:val="auto"/>
          <w:highlight w:val="none"/>
        </w:rPr>
      </w:pPr>
    </w:p>
    <w:p w14:paraId="0282B07E">
      <w:pPr>
        <w:pStyle w:val="20"/>
        <w:rPr>
          <w:color w:val="auto"/>
          <w:highlight w:val="none"/>
        </w:rPr>
      </w:pPr>
    </w:p>
    <w:p w14:paraId="1AAA8E61">
      <w:pPr>
        <w:pStyle w:val="20"/>
        <w:rPr>
          <w:color w:val="auto"/>
          <w:highlight w:val="none"/>
        </w:rPr>
      </w:pPr>
    </w:p>
    <w:p w14:paraId="4F88B3AF">
      <w:pPr>
        <w:pStyle w:val="20"/>
        <w:rPr>
          <w:color w:val="auto"/>
          <w:highlight w:val="none"/>
        </w:rPr>
      </w:pPr>
    </w:p>
    <w:p w14:paraId="67D7582F">
      <w:pPr>
        <w:pStyle w:val="20"/>
        <w:rPr>
          <w:color w:val="auto"/>
          <w:highlight w:val="none"/>
        </w:rPr>
      </w:pPr>
    </w:p>
    <w:p w14:paraId="51F0F4E7">
      <w:pPr>
        <w:pStyle w:val="20"/>
        <w:rPr>
          <w:color w:val="auto"/>
          <w:highlight w:val="none"/>
        </w:rPr>
      </w:pPr>
    </w:p>
    <w:p w14:paraId="16E55706">
      <w:pPr>
        <w:pStyle w:val="20"/>
        <w:rPr>
          <w:color w:val="auto"/>
          <w:highlight w:val="none"/>
        </w:rPr>
      </w:pPr>
    </w:p>
    <w:p w14:paraId="1A63ED2C">
      <w:pPr>
        <w:pStyle w:val="20"/>
        <w:rPr>
          <w:color w:val="auto"/>
          <w:highlight w:val="none"/>
        </w:rPr>
      </w:pPr>
    </w:p>
    <w:p w14:paraId="1257406F">
      <w:pPr>
        <w:pStyle w:val="20"/>
        <w:rPr>
          <w:color w:val="auto"/>
          <w:highlight w:val="none"/>
        </w:rPr>
      </w:pPr>
    </w:p>
    <w:p w14:paraId="0D9CE121">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8" w:name="_Toc20445"/>
      <w:bookmarkStart w:id="19" w:name="_Toc11658"/>
      <w:r>
        <w:rPr>
          <w:rFonts w:hint="eastAsia" w:ascii="宋体" w:hAnsi="宋体" w:eastAsia="宋体" w:cs="宋体"/>
          <w:b/>
          <w:bCs/>
          <w:snapToGrid w:val="0"/>
          <w:color w:val="auto"/>
          <w:spacing w:val="28"/>
          <w:kern w:val="0"/>
          <w:sz w:val="32"/>
          <w:szCs w:val="32"/>
          <w:highlight w:val="none"/>
          <w:lang w:eastAsia="zh-CN"/>
        </w:rPr>
        <w:t>第四部分</w:t>
      </w:r>
      <w:r>
        <w:rPr>
          <w:rFonts w:hint="eastAsia" w:ascii="宋体" w:hAnsi="宋体" w:eastAsia="宋体" w:cs="宋体"/>
          <w:b/>
          <w:bCs/>
          <w:snapToGrid w:val="0"/>
          <w:color w:val="auto"/>
          <w:spacing w:val="28"/>
          <w:kern w:val="0"/>
          <w:sz w:val="32"/>
          <w:szCs w:val="32"/>
          <w:highlight w:val="none"/>
          <w:lang w:val="en-US" w:eastAsia="zh-CN"/>
        </w:rPr>
        <w:t xml:space="preserve"> 专用合同条款</w:t>
      </w:r>
      <w:bookmarkEnd w:id="18"/>
      <w:bookmarkEnd w:id="19"/>
    </w:p>
    <w:p w14:paraId="3CD52B9B">
      <w:pPr>
        <w:pStyle w:val="4"/>
        <w:numPr>
          <w:ilvl w:val="0"/>
          <w:numId w:val="0"/>
        </w:numPr>
        <w:adjustRightInd w:val="0"/>
        <w:snapToGrid w:val="0"/>
        <w:ind w:left="708" w:hanging="706" w:hangingChars="294"/>
        <w:jc w:val="left"/>
        <w:outlineLvl w:val="1"/>
        <w:rPr>
          <w:rFonts w:hint="eastAsia" w:ascii="宋体" w:hAnsi="宋体" w:eastAsia="宋体" w:cs="宋体"/>
          <w:bCs/>
          <w:color w:val="auto"/>
          <w:sz w:val="24"/>
          <w:szCs w:val="24"/>
          <w:highlight w:val="none"/>
        </w:rPr>
      </w:pPr>
      <w:bookmarkStart w:id="20" w:name="_Toc5727_WPSOffice_Level2"/>
      <w:bookmarkStart w:id="21" w:name="_Toc978"/>
      <w:bookmarkStart w:id="22" w:name="_Toc15186"/>
      <w:bookmarkStart w:id="23" w:name="_Toc3527_WPSOffice_Level2"/>
      <w:r>
        <w:rPr>
          <w:rFonts w:hint="eastAsia" w:ascii="宋体" w:hAnsi="宋体" w:eastAsia="宋体" w:cs="宋体"/>
          <w:color w:val="auto"/>
          <w:sz w:val="24"/>
          <w:szCs w:val="24"/>
          <w:highlight w:val="none"/>
        </w:rPr>
        <w:t>1．一般约定</w:t>
      </w:r>
      <w:bookmarkEnd w:id="20"/>
      <w:bookmarkEnd w:id="21"/>
      <w:bookmarkEnd w:id="22"/>
      <w:bookmarkEnd w:id="23"/>
    </w:p>
    <w:p w14:paraId="2AB7E343">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 词语定义</w:t>
      </w:r>
    </w:p>
    <w:p w14:paraId="6098EF2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合同</w:t>
      </w:r>
    </w:p>
    <w:p w14:paraId="3F8C0F96">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val="en-US" w:eastAsia="zh-CN"/>
        </w:rPr>
        <w:t>项</w:t>
      </w:r>
      <w:r>
        <w:rPr>
          <w:rFonts w:hint="eastAsia" w:ascii="宋体" w:hAnsi="宋体" w:eastAsia="宋体" w:cs="宋体"/>
          <w:b/>
          <w:color w:val="auto"/>
          <w:sz w:val="24"/>
          <w:szCs w:val="24"/>
          <w:highlight w:val="none"/>
        </w:rPr>
        <w:t>增加1.1.1.10至1.1.1.1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49685A0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 补遗书：指发出招标文件之后由</w:t>
      </w:r>
      <w:r>
        <w:rPr>
          <w:rFonts w:hint="eastAsia" w:ascii="宋体" w:hAnsi="宋体" w:eastAsia="宋体" w:cs="宋体"/>
          <w:color w:val="auto"/>
          <w:sz w:val="24"/>
          <w:szCs w:val="24"/>
          <w:highlight w:val="none"/>
          <w:lang w:val="en-US"/>
        </w:rPr>
        <w:t>招标</w:t>
      </w:r>
      <w:r>
        <w:rPr>
          <w:rFonts w:hint="eastAsia" w:ascii="宋体" w:hAnsi="宋体" w:eastAsia="宋体" w:cs="宋体"/>
          <w:color w:val="auto"/>
          <w:sz w:val="24"/>
          <w:szCs w:val="24"/>
          <w:highlight w:val="none"/>
        </w:rPr>
        <w:t>人向已取得招标文件的投标人发出的对招标文件补充或修改的书面文件。补遗书是招标文件的组成部分。</w:t>
      </w:r>
    </w:p>
    <w:p w14:paraId="0E411641">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1.1.1.11 固定总价合同：在合同执行过程中，除约定的风险范围外，不得调整总价的合同。</w:t>
      </w:r>
    </w:p>
    <w:p w14:paraId="798746F7">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1.1.1.12 固定单价合同：在合同执行过程中，除约定的风险范围外，合同工程量清单中不得调整单价的合同。</w:t>
      </w:r>
    </w:p>
    <w:p w14:paraId="051C5D72">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合同当事人和人员</w:t>
      </w:r>
    </w:p>
    <w:p w14:paraId="5B5A0928">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1.1.2.2 发包人：</w:t>
      </w:r>
      <w:r>
        <w:rPr>
          <w:rFonts w:hint="eastAsia" w:ascii="宋体" w:hAnsi="宋体" w:eastAsia="宋体" w:cs="宋体"/>
          <w:color w:val="auto"/>
          <w:sz w:val="24"/>
          <w:szCs w:val="24"/>
          <w:highlight w:val="none"/>
          <w:lang w:eastAsia="zh-CN"/>
        </w:rPr>
        <w:t>是指接受业主委托具体开展项目代建管理工作的单位主体，</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，以及取得该当事人资格的合法继承人</w:t>
      </w:r>
      <w:r>
        <w:rPr>
          <w:rFonts w:hint="eastAsia" w:ascii="宋体" w:hAnsi="宋体" w:eastAsia="宋体" w:cs="宋体"/>
          <w:color w:val="auto"/>
          <w:sz w:val="24"/>
          <w:szCs w:val="24"/>
          <w:highlight w:val="none"/>
        </w:rPr>
        <w:t>。</w:t>
      </w:r>
    </w:p>
    <w:p w14:paraId="7EEA5062">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 xml:space="preserve"> 监理人：本合同专指</w:t>
      </w:r>
      <w:r>
        <w:rPr>
          <w:rFonts w:hint="eastAsia" w:ascii="宋体" w:hAnsi="宋体" w:eastAsia="宋体" w:cs="宋体"/>
          <w:color w:val="auto"/>
          <w:sz w:val="24"/>
          <w:szCs w:val="24"/>
          <w:highlight w:val="none"/>
          <w:u w:val="single"/>
          <w:lang w:eastAsia="zh-CN"/>
        </w:rPr>
        <w:t>与发包人签订北江航道扩能升级上延工程</w:t>
      </w:r>
      <w:r>
        <w:rPr>
          <w:rFonts w:hint="eastAsia" w:ascii="宋体" w:hAnsi="宋体" w:eastAsia="宋体" w:cs="宋体"/>
          <w:color w:val="auto"/>
          <w:sz w:val="24"/>
          <w:szCs w:val="24"/>
          <w:highlight w:val="none"/>
          <w:u w:val="single"/>
          <w:lang w:val="en-US" w:eastAsia="zh-CN"/>
        </w:rPr>
        <w:t>塘头船闸</w:t>
      </w:r>
      <w:r>
        <w:rPr>
          <w:rFonts w:hint="eastAsia" w:ascii="宋体" w:hAnsi="宋体" w:eastAsia="宋体" w:cs="宋体"/>
          <w:color w:val="auto"/>
          <w:sz w:val="24"/>
          <w:szCs w:val="24"/>
          <w:highlight w:val="none"/>
          <w:u w:val="single"/>
          <w:lang w:eastAsia="zh-CN"/>
        </w:rPr>
        <w:t>工程施工监理合同的另一方当事人，以及取得该当事人资格的合法继承人</w:t>
      </w:r>
      <w:r>
        <w:rPr>
          <w:rFonts w:hint="eastAsia" w:ascii="宋体" w:hAnsi="宋体" w:eastAsia="宋体" w:cs="宋体"/>
          <w:color w:val="auto"/>
          <w:sz w:val="24"/>
          <w:szCs w:val="24"/>
          <w:highlight w:val="none"/>
        </w:rPr>
        <w:t>。</w:t>
      </w:r>
    </w:p>
    <w:p w14:paraId="6D2D83D0">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eastAsia="zh-CN"/>
        </w:rPr>
        <w:t>项</w:t>
      </w:r>
      <w:r>
        <w:rPr>
          <w:rFonts w:hint="eastAsia" w:ascii="宋体" w:hAnsi="宋体" w:eastAsia="宋体" w:cs="宋体"/>
          <w:b/>
          <w:color w:val="auto"/>
          <w:sz w:val="24"/>
          <w:szCs w:val="24"/>
          <w:highlight w:val="none"/>
        </w:rPr>
        <w:t>增加1.1.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至1.1.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10</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623447A5">
      <w:pPr>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业主</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u w:val="single"/>
          <w:lang w:eastAsia="zh-CN"/>
        </w:rPr>
        <w:t>“广东省航道事务中心”，以及取得该当事人资格的合法继承人</w:t>
      </w:r>
      <w:r>
        <w:rPr>
          <w:rFonts w:hint="eastAsia" w:ascii="宋体" w:hAnsi="宋体" w:eastAsia="宋体" w:cs="宋体"/>
          <w:color w:val="auto"/>
          <w:sz w:val="24"/>
          <w:szCs w:val="24"/>
          <w:highlight w:val="none"/>
        </w:rPr>
        <w:t>。</w:t>
      </w:r>
    </w:p>
    <w:p w14:paraId="4E86266D">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1.1.2.9 承包人技术负责人：指由承包人派驻施工现场负责施工技术管理的总工程师或技术总负责人。</w:t>
      </w:r>
    </w:p>
    <w:p w14:paraId="112DDD03">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发包人代表：</w:t>
      </w:r>
      <w:r>
        <w:rPr>
          <w:rFonts w:hint="eastAsia" w:ascii="宋体" w:hAnsi="宋体" w:eastAsia="宋体" w:cs="宋体"/>
          <w:color w:val="auto"/>
          <w:sz w:val="24"/>
          <w:szCs w:val="24"/>
          <w:highlight w:val="none"/>
          <w:lang w:val="en-US"/>
        </w:rPr>
        <w:t>指发包人代表（或称发包人驻地代表）是发包人派出到合同段执行发包人授予的一定权力及职责的现场管理人员</w:t>
      </w:r>
      <w:r>
        <w:rPr>
          <w:rFonts w:hint="eastAsia" w:ascii="宋体" w:hAnsi="宋体" w:eastAsia="宋体" w:cs="宋体"/>
          <w:color w:val="auto"/>
          <w:sz w:val="24"/>
          <w:szCs w:val="24"/>
          <w:highlight w:val="none"/>
        </w:rPr>
        <w:t>。</w:t>
      </w:r>
    </w:p>
    <w:p w14:paraId="5F8083F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32919DB4">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1.1.3.4 单位工程：本合同的单位工程包括：</w:t>
      </w:r>
      <w:r>
        <w:rPr>
          <w:rFonts w:hint="eastAsia" w:ascii="宋体" w:hAnsi="宋体" w:eastAsia="宋体" w:cs="宋体"/>
          <w:color w:val="auto"/>
          <w:sz w:val="24"/>
          <w:szCs w:val="24"/>
          <w:highlight w:val="none"/>
          <w:u w:val="single" w:color="auto"/>
          <w:lang w:val="en-US" w:eastAsia="zh-CN"/>
        </w:rPr>
        <w:t xml:space="preserve"> </w:t>
      </w:r>
      <w:r>
        <w:rPr>
          <w:rFonts w:hint="eastAsia" w:ascii="宋体" w:hAnsi="宋体" w:eastAsia="宋体" w:cs="宋体"/>
          <w:color w:val="auto"/>
          <w:spacing w:val="0"/>
          <w:position w:val="0"/>
          <w:sz w:val="24"/>
          <w:szCs w:val="24"/>
          <w:highlight w:val="none"/>
          <w:u w:val="single" w:color="auto"/>
          <w:lang w:val="en-US" w:eastAsia="zh-CN"/>
        </w:rPr>
        <w:t xml:space="preserve">/ </w:t>
      </w:r>
      <w:r>
        <w:rPr>
          <w:rFonts w:hint="eastAsia" w:ascii="宋体" w:hAnsi="宋体" w:eastAsia="宋体" w:cs="宋体"/>
          <w:color w:val="auto"/>
          <w:sz w:val="24"/>
          <w:szCs w:val="24"/>
          <w:highlight w:val="none"/>
        </w:rPr>
        <w:t>。</w:t>
      </w:r>
    </w:p>
    <w:p w14:paraId="008E013F">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永久占地：指为实施合同工程而需要的一切永久占用的土地。永</w:t>
      </w:r>
    </w:p>
    <w:p w14:paraId="6E0D67EC">
      <w:pPr>
        <w:adjustRightInd w:val="0"/>
        <w:snapToGrid w:val="0"/>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久占地的具体范围</w:t>
      </w:r>
      <w:r>
        <w:rPr>
          <w:rFonts w:hint="eastAsia" w:ascii="宋体" w:hAnsi="宋体" w:eastAsia="宋体" w:cs="宋体"/>
          <w:color w:val="auto"/>
          <w:sz w:val="24"/>
          <w:szCs w:val="24"/>
          <w:highlight w:val="none"/>
          <w:u w:val="single"/>
        </w:rPr>
        <w:t>按有关批准文件</w:t>
      </w:r>
      <w:r>
        <w:rPr>
          <w:rFonts w:hint="eastAsia" w:ascii="宋体" w:hAnsi="宋体" w:eastAsia="宋体" w:cs="宋体"/>
          <w:color w:val="auto"/>
          <w:sz w:val="24"/>
          <w:szCs w:val="24"/>
          <w:highlight w:val="none"/>
        </w:rPr>
        <w:t>。</w:t>
      </w:r>
    </w:p>
    <w:p w14:paraId="5ACC674A">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 临时占地：指为实施本合同工程而需要的一切临时占用的土地，对本合同而言，临时占地也可称之为临时用地。临时用地范围包括承包人驻地的办公室、食堂、机械设备停放场、材料堆放场、堆存场、取土场、仓库、临时道路、临时便道等。</w:t>
      </w:r>
      <w:r>
        <w:rPr>
          <w:rFonts w:hint="eastAsia" w:ascii="宋体" w:hAnsi="宋体" w:eastAsia="宋体" w:cs="宋体"/>
          <w:color w:val="auto"/>
          <w:sz w:val="24"/>
          <w:szCs w:val="24"/>
          <w:highlight w:val="none"/>
          <w:u w:val="single"/>
        </w:rPr>
        <w:t>除合同另有约定外，临时占地由承包人自行解决</w:t>
      </w:r>
      <w:r>
        <w:rPr>
          <w:rFonts w:hint="eastAsia" w:ascii="宋体" w:hAnsi="宋体" w:eastAsia="宋体" w:cs="宋体"/>
          <w:color w:val="auto"/>
          <w:sz w:val="24"/>
          <w:szCs w:val="24"/>
          <w:highlight w:val="none"/>
          <w:u w:val="single"/>
          <w:lang w:eastAsia="zh-CN"/>
        </w:rPr>
        <w:t>并承担费用，</w:t>
      </w:r>
      <w:r>
        <w:rPr>
          <w:rFonts w:hint="eastAsia" w:ascii="宋体" w:hAnsi="宋体" w:eastAsia="宋体" w:cs="宋体"/>
          <w:color w:val="auto"/>
          <w:sz w:val="24"/>
          <w:szCs w:val="24"/>
          <w:highlight w:val="none"/>
        </w:rPr>
        <w:t>工程完工后</w:t>
      </w:r>
      <w:r>
        <w:rPr>
          <w:rFonts w:hint="default" w:ascii="宋体" w:hAnsi="宋体" w:eastAsia="宋体" w:cs="宋体"/>
          <w:color w:val="auto"/>
          <w:sz w:val="24"/>
          <w:szCs w:val="24"/>
          <w:highlight w:val="none"/>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eastAsia="zh-CN"/>
        </w:rPr>
        <w:t>自然资源</w:t>
      </w:r>
      <w:r>
        <w:rPr>
          <w:rFonts w:hint="eastAsia" w:ascii="宋体" w:hAnsi="宋体" w:eastAsia="宋体" w:cs="宋体"/>
          <w:color w:val="auto"/>
          <w:sz w:val="24"/>
          <w:szCs w:val="24"/>
          <w:highlight w:val="none"/>
        </w:rPr>
        <w:t>部门的验收</w:t>
      </w:r>
      <w:r>
        <w:rPr>
          <w:rFonts w:hint="default"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将土地移交给权属人</w:t>
      </w:r>
      <w:r>
        <w:rPr>
          <w:rFonts w:hint="default" w:ascii="宋体" w:hAnsi="宋体" w:eastAsia="宋体" w:cs="宋体"/>
          <w:color w:val="auto"/>
          <w:sz w:val="24"/>
          <w:szCs w:val="24"/>
          <w:highlight w:val="none"/>
          <w:lang w:eastAsia="zh-CN"/>
        </w:rPr>
        <w:t>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p>
    <w:p w14:paraId="7846F6E4">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日期</w:t>
      </w:r>
    </w:p>
    <w:p w14:paraId="0EF27F4F">
      <w:pPr>
        <w:spacing w:line="360" w:lineRule="auto"/>
        <w:ind w:firstLine="480" w:firstLineChars="200"/>
        <w:jc w:val="both"/>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b w:val="0"/>
          <w:bCs w:val="0"/>
          <w:color w:val="auto"/>
          <w:sz w:val="24"/>
          <w:szCs w:val="24"/>
          <w:highlight w:val="none"/>
        </w:rPr>
        <w:t>1.1.4.3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工期：</w:t>
      </w:r>
      <w:r>
        <w:rPr>
          <w:rFonts w:hint="eastAsia" w:ascii="宋体" w:hAnsi="宋体" w:eastAsia="宋体" w:cs="宋体"/>
          <w:color w:val="auto"/>
          <w:sz w:val="24"/>
          <w:szCs w:val="24"/>
          <w:highlight w:val="none"/>
          <w:u w:val="single"/>
          <w:lang w:val="en-US" w:eastAsia="zh-CN"/>
        </w:rPr>
        <w:t>39个月</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7878AE5A">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缺陷责任期：</w:t>
      </w:r>
      <w:r>
        <w:rPr>
          <w:rFonts w:hint="eastAsia" w:ascii="宋体" w:hAnsi="宋体" w:eastAsia="宋体" w:cs="宋体"/>
          <w:color w:val="auto"/>
          <w:sz w:val="24"/>
          <w:szCs w:val="24"/>
          <w:highlight w:val="none"/>
          <w:u w:val="single"/>
        </w:rPr>
        <w:t>从工程交工之日起算，分别为：</w:t>
      </w:r>
    </w:p>
    <w:p w14:paraId="2C7BA47E">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775F8BB5">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48897BB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5EE8D2A9">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 合同文件的优先顺序</w:t>
      </w:r>
    </w:p>
    <w:p w14:paraId="03972865">
      <w:pPr>
        <w:adjustRightInd w:val="0"/>
        <w:snapToGrid w:val="0"/>
        <w:spacing w:beforeLines="0" w:afterLines="0" w:line="360" w:lineRule="auto"/>
        <w:ind w:left="0" w:firstLine="480" w:firstLineChars="200"/>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组成合同的各项文件应互相解释，互为说明，解释合同文件的优先顺序如下：</w:t>
      </w:r>
    </w:p>
    <w:p w14:paraId="198BB51A">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（1）合同协议书及各种合同附件（包括廉政合同、安全生产合同、建设工程农民工工资支付保证书、工程资金监管协议、评标期间的澄清文件和补充资料、以及合同谈判过程中双方签署的相关文件或纪要）；</w:t>
      </w:r>
    </w:p>
    <w:p w14:paraId="01CB224E">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（2）中标通知书；</w:t>
      </w:r>
    </w:p>
    <w:p w14:paraId="07DE47F6">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（3）投标函及投标函附录；</w:t>
      </w:r>
    </w:p>
    <w:p w14:paraId="6B893682">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（4）专用合同条款；</w:t>
      </w:r>
    </w:p>
    <w:p w14:paraId="176AC48B">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（5）通用合同条款；</w:t>
      </w:r>
    </w:p>
    <w:p w14:paraId="2DE01CDF">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（6）技术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lang w:val="en-US"/>
        </w:rPr>
        <w:t>；</w:t>
      </w:r>
    </w:p>
    <w:p w14:paraId="2D41E0F6">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（7）图纸；</w:t>
      </w:r>
    </w:p>
    <w:p w14:paraId="3E129E53">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（8）已标价工程量清单；</w:t>
      </w:r>
    </w:p>
    <w:p w14:paraId="1F9305B2">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（9）其他合同文件。</w:t>
      </w:r>
    </w:p>
    <w:p w14:paraId="1469A52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 合同协议书</w:t>
      </w:r>
    </w:p>
    <w:p w14:paraId="5D03492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合同价格和费用</w:t>
      </w:r>
    </w:p>
    <w:p w14:paraId="1ED2476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本合同的承包价格和费用，包括承包人按照合同约定应当完成的全部合同范围内的工作及缺陷责任期内的全部工作。</w:t>
      </w:r>
    </w:p>
    <w:p w14:paraId="719876B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承包人按以下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方式确定承包合同价格：</w:t>
      </w:r>
    </w:p>
    <w:p w14:paraId="3F93ED1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（1）固定总价合同；</w:t>
      </w:r>
    </w:p>
    <w:p w14:paraId="6016DF6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（2）固定单价合同；</w:t>
      </w:r>
    </w:p>
    <w:p w14:paraId="5FDC81D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21661E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合同生效的其他条件：</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p>
    <w:p w14:paraId="3C24D50E">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 图纸和承包人文件</w:t>
      </w:r>
    </w:p>
    <w:p w14:paraId="17C56DE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37EF29B9">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发包人提供图纸的期限：</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single"/>
        </w:rPr>
        <w:t>后7天内</w:t>
      </w:r>
      <w:r>
        <w:rPr>
          <w:rFonts w:hint="eastAsia" w:ascii="宋体" w:hAnsi="宋体" w:eastAsia="宋体" w:cs="宋体"/>
          <w:color w:val="auto"/>
          <w:sz w:val="24"/>
          <w:szCs w:val="24"/>
          <w:highlight w:val="none"/>
        </w:rPr>
        <w:t xml:space="preserve"> 。</w:t>
      </w:r>
    </w:p>
    <w:p w14:paraId="5A50006A">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发包人提供图纸的数量：</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2AB06FE8">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发包人应在发出中标通知书之后7天内，向承包人免费提供由发包人或其委托的设计单位设计的施工图纸、技术规范和其他技术资料</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。未经发包人同意，承包人不得将设计文件提供给第三方。</w:t>
      </w:r>
    </w:p>
    <w:p w14:paraId="3BCB428E">
      <w:pPr>
        <w:adjustRightInd w:val="0"/>
        <w:snapToGrid w:val="0"/>
        <w:spacing w:beforeLines="0" w:afterLines="0" w:line="360" w:lineRule="auto"/>
        <w:ind w:firstLine="480" w:firstLineChars="200"/>
        <w:jc w:val="both"/>
        <w:rPr>
          <w:rFonts w:hint="eastAsia" w:ascii="宋体" w:hAnsi="宋体" w:eastAsia="宋体" w:cs="宋体"/>
          <w:i w:val="0"/>
          <w:color w:val="auto"/>
          <w:sz w:val="24"/>
          <w:szCs w:val="24"/>
          <w:highlight w:val="none"/>
          <w:lang w:eastAsia="zh-CN"/>
        </w:rPr>
      </w:pPr>
      <w:r>
        <w:rPr>
          <w:rFonts w:hint="eastAsia" w:ascii="宋体" w:hAnsi="宋体" w:eastAsia="宋体" w:cs="宋体"/>
          <w:color w:val="auto"/>
          <w:sz w:val="24"/>
          <w:szCs w:val="24"/>
          <w:highlight w:val="none"/>
        </w:rPr>
        <w:t>1.6.2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承包人提供的文件</w:t>
      </w:r>
      <w:r>
        <w:rPr>
          <w:rFonts w:hint="eastAsia" w:ascii="宋体" w:hAnsi="宋体" w:eastAsia="宋体" w:cs="宋体"/>
          <w:i w:val="0"/>
          <w:color w:val="auto"/>
          <w:sz w:val="24"/>
          <w:szCs w:val="24"/>
          <w:highlight w:val="none"/>
          <w:lang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i w:val="0"/>
          <w:color w:val="auto"/>
          <w:sz w:val="24"/>
          <w:szCs w:val="24"/>
          <w:highlight w:val="none"/>
          <w:lang w:eastAsia="zh-CN"/>
        </w:rPr>
        <w:t>。</w:t>
      </w:r>
    </w:p>
    <w:p w14:paraId="6361BBCA">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图纸的修改</w:t>
      </w:r>
    </w:p>
    <w:p w14:paraId="03A33847">
      <w:pPr>
        <w:pStyle w:val="10"/>
        <w:adjustRightInd w:val="0"/>
        <w:snapToGrid w:val="0"/>
        <w:spacing w:beforeLines="0" w:after="0" w:afterLines="0" w:line="360" w:lineRule="auto"/>
        <w:ind w:left="0" w:leftChars="0" w:firstLine="436" w:firstLineChars="182"/>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通用条款本</w:t>
      </w:r>
      <w:r>
        <w:rPr>
          <w:rFonts w:hint="eastAsia" w:ascii="宋体" w:hAnsi="宋体" w:eastAsia="宋体" w:cs="宋体"/>
          <w:color w:val="auto"/>
          <w:kern w:val="0"/>
          <w:sz w:val="24"/>
          <w:szCs w:val="24"/>
          <w:highlight w:val="none"/>
          <w:lang w:eastAsia="zh-CN"/>
        </w:rPr>
        <w:t>项</w:t>
      </w:r>
      <w:r>
        <w:rPr>
          <w:rFonts w:hint="eastAsia" w:ascii="宋体" w:hAnsi="宋体" w:eastAsia="宋体" w:cs="宋体"/>
          <w:color w:val="auto"/>
          <w:kern w:val="0"/>
          <w:sz w:val="24"/>
          <w:szCs w:val="24"/>
          <w:highlight w:val="none"/>
        </w:rPr>
        <w:t>的内容不适用于本合同，代之以：</w:t>
      </w:r>
    </w:p>
    <w:p w14:paraId="69F6C30E">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图纸需要修改和补充的，应由监理人取得发包人同意后，在该工程或工程相应部位施工前的</w:t>
      </w:r>
      <w:r>
        <w:rPr>
          <w:rFonts w:hint="eastAsia" w:ascii="宋体" w:hAnsi="宋体" w:eastAsia="宋体" w:cs="宋体"/>
          <w:i w:val="0"/>
          <w:color w:val="auto"/>
          <w:kern w:val="0"/>
          <w:sz w:val="24"/>
          <w:szCs w:val="24"/>
          <w:highlight w:val="none"/>
          <w:u w:val="single"/>
          <w:lang w:val="en-US" w:eastAsia="zh-CN"/>
        </w:rPr>
        <w:t>7</w:t>
      </w:r>
      <w:r>
        <w:rPr>
          <w:rFonts w:hint="eastAsia" w:ascii="宋体" w:hAnsi="宋体" w:eastAsia="宋体" w:cs="宋体"/>
          <w:color w:val="auto"/>
          <w:kern w:val="0"/>
          <w:sz w:val="24"/>
          <w:szCs w:val="24"/>
          <w:highlight w:val="none"/>
        </w:rPr>
        <w:t>天内</w:t>
      </w:r>
      <w:r>
        <w:rPr>
          <w:rFonts w:hint="eastAsia" w:ascii="宋体" w:hAnsi="宋体" w:eastAsia="宋体" w:cs="宋体"/>
          <w:color w:val="auto"/>
          <w:kern w:val="0"/>
          <w:sz w:val="24"/>
          <w:szCs w:val="24"/>
          <w:highlight w:val="none"/>
          <w:lang w:eastAsia="zh-CN"/>
        </w:rPr>
        <w:t>由监理人将</w:t>
      </w:r>
      <w:r>
        <w:rPr>
          <w:rFonts w:hint="eastAsia" w:ascii="宋体" w:hAnsi="宋体" w:eastAsia="宋体" w:cs="宋体"/>
          <w:color w:val="auto"/>
          <w:kern w:val="0"/>
          <w:sz w:val="24"/>
          <w:szCs w:val="24"/>
          <w:highlight w:val="none"/>
        </w:rPr>
        <w:t>设计单位</w:t>
      </w:r>
      <w:r>
        <w:rPr>
          <w:rFonts w:hint="eastAsia" w:ascii="宋体" w:hAnsi="宋体" w:eastAsia="宋体" w:cs="宋体"/>
          <w:color w:val="auto"/>
          <w:kern w:val="0"/>
          <w:sz w:val="24"/>
          <w:szCs w:val="24"/>
          <w:highlight w:val="none"/>
          <w:lang w:eastAsia="zh-CN"/>
        </w:rPr>
        <w:t>提供的</w:t>
      </w:r>
      <w:r>
        <w:rPr>
          <w:rFonts w:hint="eastAsia" w:ascii="宋体" w:hAnsi="宋体" w:eastAsia="宋体" w:cs="宋体"/>
          <w:color w:val="auto"/>
          <w:kern w:val="0"/>
          <w:sz w:val="24"/>
          <w:szCs w:val="24"/>
          <w:highlight w:val="none"/>
        </w:rPr>
        <w:t>图纸修改图</w:t>
      </w:r>
      <w:r>
        <w:rPr>
          <w:rFonts w:hint="eastAsia" w:ascii="宋体" w:hAnsi="宋体" w:eastAsia="宋体" w:cs="宋体"/>
          <w:color w:val="auto"/>
          <w:kern w:val="0"/>
          <w:sz w:val="24"/>
          <w:szCs w:val="24"/>
          <w:highlight w:val="none"/>
          <w:lang w:eastAsia="zh-CN"/>
        </w:rPr>
        <w:t>签发</w:t>
      </w:r>
      <w:r>
        <w:rPr>
          <w:rFonts w:hint="eastAsia" w:ascii="宋体" w:hAnsi="宋体" w:eastAsia="宋体" w:cs="宋体"/>
          <w:color w:val="auto"/>
          <w:kern w:val="0"/>
          <w:sz w:val="24"/>
          <w:szCs w:val="24"/>
          <w:highlight w:val="none"/>
        </w:rPr>
        <w:t>给承包人。承包人应办理设计变更手续并按修改后的图纸施工。</w:t>
      </w:r>
    </w:p>
    <w:p w14:paraId="48FFD3BF">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图纸的错误</w:t>
      </w:r>
    </w:p>
    <w:p w14:paraId="51570543">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w:t>
      </w:r>
      <w:r>
        <w:rPr>
          <w:rFonts w:hint="eastAsia" w:ascii="宋体" w:hAnsi="宋体" w:eastAsia="宋体" w:cs="宋体"/>
          <w:color w:val="auto"/>
          <w:sz w:val="24"/>
          <w:szCs w:val="24"/>
          <w:highlight w:val="none"/>
          <w:lang w:eastAsia="zh-CN"/>
        </w:rPr>
        <w:t>项</w:t>
      </w:r>
      <w:r>
        <w:rPr>
          <w:rFonts w:hint="eastAsia" w:ascii="宋体" w:hAnsi="宋体" w:eastAsia="宋体" w:cs="宋体"/>
          <w:color w:val="auto"/>
          <w:sz w:val="24"/>
          <w:szCs w:val="24"/>
          <w:highlight w:val="none"/>
        </w:rPr>
        <w:t>的内容不适用于本合同，代之以：</w:t>
      </w:r>
    </w:p>
    <w:p w14:paraId="14BA0481">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当承包人在查阅合同文件或在本合同工程实施过程中，发现有关的工程设计、技术规范、图纸或其他资料中的任何差错、遗漏或缺陷后，应及时书面通知监理人。监理人接到该通知后，应在</w:t>
      </w:r>
      <w:r>
        <w:rPr>
          <w:rFonts w:hint="eastAsia" w:ascii="宋体" w:hAnsi="宋体" w:eastAsia="宋体" w:cs="宋体"/>
          <w:i w:val="0"/>
          <w:color w:val="auto"/>
          <w:kern w:val="0"/>
          <w:sz w:val="24"/>
          <w:szCs w:val="24"/>
          <w:highlight w:val="none"/>
          <w:u w:val="none"/>
          <w:lang w:val="en-US" w:eastAsia="zh-CN"/>
        </w:rPr>
        <w:t>2</w:t>
      </w:r>
      <w:r>
        <w:rPr>
          <w:rFonts w:hint="eastAsia" w:ascii="宋体" w:hAnsi="宋体" w:eastAsia="宋体" w:cs="宋体"/>
          <w:color w:val="auto"/>
          <w:sz w:val="24"/>
          <w:szCs w:val="24"/>
          <w:highlight w:val="none"/>
        </w:rPr>
        <w:t>天内审核并通过发包人通知设计单位修改后及时书面通知承包人。监理人或发包人未及时审核、通知修改的，由此引发的工期延误损失由发包人承担。</w:t>
      </w:r>
    </w:p>
    <w:p w14:paraId="1368910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 联络</w:t>
      </w:r>
    </w:p>
    <w:p w14:paraId="71D6AF7B">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1.7.3 各类来往书面函件的联络送达期限：</w:t>
      </w:r>
    </w:p>
    <w:p w14:paraId="58DD2E96">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（1）邮件以“特快专递”、“挂号信函”方式邮寄，以收件人签收日期为准；</w:t>
      </w:r>
    </w:p>
    <w:p w14:paraId="6310E8D0">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（2）传真、电子邮件以收件人发回确认回执日期为准；</w:t>
      </w:r>
    </w:p>
    <w:p w14:paraId="43C5D657">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（3）人工送达以收件人签收日期为准。</w:t>
      </w:r>
    </w:p>
    <w:p w14:paraId="025384D2">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 转让</w:t>
      </w:r>
    </w:p>
    <w:p w14:paraId="6812C90B">
      <w:pPr>
        <w:adjustRightInd w:val="0"/>
        <w:snapToGrid w:val="0"/>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合同转让：本合同不得转让。</w:t>
      </w:r>
    </w:p>
    <w:p w14:paraId="53BCF4A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1.12 图纸和文件的保密</w:t>
      </w:r>
    </w:p>
    <w:p w14:paraId="1A54143F">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通用条款本款增加1.12.3项的内容：</w:t>
      </w:r>
    </w:p>
    <w:p w14:paraId="15B41FFC">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承包人必须严格遵守</w:t>
      </w:r>
      <w:r>
        <w:rPr>
          <w:rFonts w:hint="eastAsia" w:ascii="宋体" w:hAnsi="宋体" w:eastAsia="宋体" w:cs="宋体"/>
          <w:color w:val="auto"/>
          <w:sz w:val="24"/>
          <w:szCs w:val="24"/>
          <w:highlight w:val="none"/>
          <w:lang w:eastAsia="zh-CN"/>
        </w:rPr>
        <w:t>其</w:t>
      </w:r>
      <w:r>
        <w:rPr>
          <w:rFonts w:hint="eastAsia" w:ascii="宋体" w:hAnsi="宋体" w:eastAsia="宋体" w:cs="宋体"/>
          <w:color w:val="auto"/>
          <w:sz w:val="24"/>
          <w:szCs w:val="24"/>
          <w:highlight w:val="none"/>
        </w:rPr>
        <w:t>签署的《航道测绘成果安全管理责任书》</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《保密协议》，否则应承担相应法律责任</w:t>
      </w:r>
      <w:r>
        <w:rPr>
          <w:rFonts w:hint="eastAsia" w:ascii="宋体" w:hAnsi="宋体" w:eastAsia="宋体" w:cs="宋体"/>
          <w:color w:val="auto"/>
          <w:sz w:val="24"/>
          <w:szCs w:val="24"/>
          <w:highlight w:val="none"/>
          <w:lang w:eastAsia="zh-CN"/>
        </w:rPr>
        <w:t>并</w:t>
      </w:r>
      <w:r>
        <w:rPr>
          <w:rFonts w:hint="eastAsia" w:ascii="宋体" w:hAnsi="宋体" w:eastAsia="宋体" w:cs="宋体"/>
          <w:color w:val="auto"/>
          <w:sz w:val="24"/>
          <w:szCs w:val="24"/>
          <w:highlight w:val="none"/>
        </w:rPr>
        <w:t>赔偿由此给发包人造成的损失。</w:t>
      </w:r>
    </w:p>
    <w:p w14:paraId="761225DD">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24" w:name="_Toc7429"/>
      <w:bookmarkStart w:id="25" w:name="_Toc28158"/>
      <w:bookmarkStart w:id="26" w:name="_Toc24696_WPSOffice_Level2"/>
      <w:bookmarkStart w:id="27" w:name="_Toc8458_WPSOffice_Level2"/>
      <w:r>
        <w:rPr>
          <w:rFonts w:hint="eastAsia" w:ascii="宋体" w:hAnsi="宋体" w:eastAsia="宋体" w:cs="宋体"/>
          <w:color w:val="auto"/>
          <w:sz w:val="24"/>
          <w:szCs w:val="24"/>
          <w:highlight w:val="none"/>
        </w:rPr>
        <w:t>2．发包人义务</w:t>
      </w:r>
      <w:bookmarkEnd w:id="24"/>
      <w:bookmarkEnd w:id="25"/>
      <w:bookmarkEnd w:id="26"/>
      <w:bookmarkEnd w:id="27"/>
    </w:p>
    <w:p w14:paraId="6305EDD2">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2.3 提供施工场地</w:t>
      </w:r>
    </w:p>
    <w:p w14:paraId="7253A70F">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通用条款本款的内容不适用于本合同，代之以：</w:t>
      </w:r>
    </w:p>
    <w:p w14:paraId="7FBEE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w:t>
      </w:r>
      <w:r>
        <w:rPr>
          <w:rFonts w:hint="eastAsia" w:ascii="宋体" w:hAnsi="宋体" w:eastAsia="宋体" w:cs="宋体"/>
          <w:color w:val="auto"/>
          <w:sz w:val="24"/>
          <w:szCs w:val="24"/>
          <w:highlight w:val="none"/>
          <w:lang w:eastAsia="zh-CN"/>
        </w:rPr>
        <w:t>负责协助业主开展</w:t>
      </w:r>
      <w:r>
        <w:rPr>
          <w:rFonts w:hint="eastAsia" w:ascii="宋体" w:hAnsi="宋体" w:eastAsia="宋体" w:cs="宋体"/>
          <w:color w:val="auto"/>
          <w:sz w:val="24"/>
          <w:szCs w:val="24"/>
          <w:highlight w:val="none"/>
        </w:rPr>
        <w:t>永久占地的征用及与之有关的拆迁(管线迁改等专业迁改建项目除外)手续办理。</w:t>
      </w:r>
    </w:p>
    <w:p w14:paraId="6DC072B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2.3.2承包人在按规定提交施工进度计划的同时，应向监理人提交一份按施工先后次序所需的永久占地计划。监理人应在收到此计划后的14天内审核并转报发包人核备。发包人应在监理人发出本工程或分部工程开工通知之前，对承包人开工所需的永久占地</w:t>
      </w:r>
      <w:r>
        <w:rPr>
          <w:rFonts w:hint="eastAsia" w:ascii="宋体" w:hAnsi="宋体" w:eastAsia="宋体" w:cs="宋体"/>
          <w:color w:val="auto"/>
          <w:sz w:val="24"/>
          <w:szCs w:val="24"/>
          <w:highlight w:val="none"/>
          <w:lang w:val="en-US" w:eastAsia="zh-CN"/>
        </w:rPr>
        <w:t>协助业主</w:t>
      </w:r>
      <w:r>
        <w:rPr>
          <w:rFonts w:hint="eastAsia" w:ascii="宋体" w:hAnsi="宋体" w:eastAsia="宋体" w:cs="宋体"/>
          <w:color w:val="auto"/>
          <w:sz w:val="24"/>
          <w:szCs w:val="24"/>
          <w:highlight w:val="none"/>
        </w:rPr>
        <w:t>办妥征用手续和相关拆迁赔偿手续，通知承包人使用，以使承包人能够及时开工；此后按承包人提交并经监理人同意的施工进度计划的安排，分期(</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一次</w:t>
      </w:r>
      <w:r>
        <w:rPr>
          <w:rFonts w:hint="eastAsia" w:ascii="宋体" w:hAnsi="宋体" w:eastAsia="宋体" w:cs="宋体"/>
          <w:color w:val="auto"/>
          <w:sz w:val="24"/>
          <w:szCs w:val="24"/>
          <w:highlight w:val="none"/>
          <w:lang w:eastAsia="zh-CN"/>
        </w:rPr>
        <w:t>性</w:t>
      </w:r>
      <w:r>
        <w:rPr>
          <w:rFonts w:hint="eastAsia" w:ascii="宋体" w:hAnsi="宋体" w:eastAsia="宋体" w:cs="宋体"/>
          <w:color w:val="auto"/>
          <w:sz w:val="24"/>
          <w:szCs w:val="24"/>
          <w:highlight w:val="none"/>
        </w:rPr>
        <w:t>)将施工所需的其余永久占地办妥征用以及拆迁赔偿手续，通知承包人使用，以使承包人能够连续不间断地施工。</w:t>
      </w:r>
    </w:p>
    <w:p w14:paraId="78FF1D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2.3.3由于发包人未能按照本项规定办妥永久占地征用手续，影响承包人及时使用永久占地造成了工期延误，合同工期可向后顺延。</w:t>
      </w:r>
    </w:p>
    <w:p w14:paraId="3447A7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2.3.4由于承包人施工考虑不周或措施不当等原因而造成的超计划占地或拆迁等所发生的征用和赔偿费用，应由承包人承担。由于承包人未能按照本项规定提交占地计划，影响发包人办理永久占地征用手续造成的费用增加和(或)工期延误由承包人承担。 </w:t>
      </w:r>
    </w:p>
    <w:p w14:paraId="55B9CD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2.3.5</w:t>
      </w:r>
      <w:r>
        <w:rPr>
          <w:rFonts w:hint="eastAsia" w:ascii="宋体" w:hAnsi="宋体" w:eastAsia="宋体" w:cs="宋体"/>
          <w:color w:val="auto"/>
          <w:sz w:val="24"/>
          <w:szCs w:val="24"/>
          <w:highlight w:val="none"/>
        </w:rPr>
        <w:t xml:space="preserve"> 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协调负责。承包人需对其施工场地布置、人员的管理、交通组织制订详细的方案，对施工时段作出合理安排，必须采用全封闭施工方案，确保不对周边环境、道路、行人和相邻施工现场造成不利影响，不得干扰周围居民的正常生活。工程成品保护、场地清洁卫生必须满足合同规定以及有关规定。</w:t>
      </w:r>
    </w:p>
    <w:p w14:paraId="48C67E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2.3.6</w:t>
      </w:r>
      <w:r>
        <w:rPr>
          <w:rFonts w:hint="eastAsia" w:ascii="宋体" w:hAnsi="宋体" w:eastAsia="宋体" w:cs="宋体"/>
          <w:color w:val="auto"/>
          <w:sz w:val="24"/>
          <w:szCs w:val="24"/>
          <w:highlight w:val="none"/>
        </w:rPr>
        <w:t xml:space="preserve"> 对于临时房屋及设施，发包人如果认为有必要保留的，承包人清退场时应无条件保留并移交发包人使用。</w:t>
      </w:r>
    </w:p>
    <w:p w14:paraId="76A54D3E">
      <w:pPr>
        <w:adjustRightInd w:val="0"/>
        <w:snapToGrid w:val="0"/>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2.3.7 </w:t>
      </w:r>
      <w:r>
        <w:rPr>
          <w:rFonts w:hint="eastAsia" w:ascii="宋体" w:hAnsi="宋体" w:eastAsia="宋体" w:cs="宋体"/>
          <w:color w:val="auto"/>
          <w:sz w:val="24"/>
          <w:szCs w:val="24"/>
          <w:highlight w:val="none"/>
        </w:rPr>
        <w:t>除现场已具备的条件外，承包人应自行调查施工场地内地下管线、设施和地下工程等有关资料，并做好完善的保护措施，由此产生的一切责任由承包人承担。承包人应自行开通公共通道与施工场地间的道路，获得供水、供电、通讯等线路接点及施工船舶临时停泊水域，并保证施工期间的畅通，完成以上工作所需的费用，除有专门的报价项目外，发包人不另行支付任何费用。施工场地内（含征地拆迁范围）的全部地上（下）建（构）筑物、地上附着物的拆除清运由承包人负责，该费用已包含在合同</w:t>
      </w:r>
      <w:r>
        <w:rPr>
          <w:rFonts w:hint="eastAsia" w:ascii="宋体" w:hAnsi="宋体" w:eastAsia="宋体" w:cs="宋体"/>
          <w:color w:val="auto"/>
          <w:sz w:val="24"/>
          <w:szCs w:val="24"/>
          <w:highlight w:val="none"/>
          <w:lang w:eastAsia="zh-CN"/>
        </w:rPr>
        <w:t>总价</w:t>
      </w:r>
      <w:r>
        <w:rPr>
          <w:rFonts w:hint="eastAsia" w:ascii="宋体" w:hAnsi="宋体" w:eastAsia="宋体" w:cs="宋体"/>
          <w:color w:val="auto"/>
          <w:sz w:val="24"/>
          <w:szCs w:val="24"/>
          <w:highlight w:val="none"/>
        </w:rPr>
        <w:t>中，发包人不另行支付费用。</w:t>
      </w:r>
    </w:p>
    <w:p w14:paraId="15C606CE">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 组织设计交底</w:t>
      </w:r>
    </w:p>
    <w:p w14:paraId="326120A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发包人应在计划开工日期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天前，组织设计单位向承包人进行设计交底。设计交底会应由发包人主持，设计单位、承包人、监理人和工程有关方面的人员参加，会后形成会议纪要。</w:t>
      </w:r>
    </w:p>
    <w:p w14:paraId="75E5165D">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2.8 其他义务</w:t>
      </w:r>
    </w:p>
    <w:p w14:paraId="053DAEBA">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2.8.3项</w:t>
      </w:r>
      <w:r>
        <w:rPr>
          <w:rFonts w:hint="eastAsia" w:ascii="宋体" w:hAnsi="宋体" w:eastAsia="宋体" w:cs="宋体"/>
          <w:b/>
          <w:bCs/>
          <w:color w:val="auto"/>
          <w:sz w:val="24"/>
          <w:szCs w:val="24"/>
          <w:highlight w:val="none"/>
        </w:rPr>
        <w:t>的内容：</w:t>
      </w:r>
    </w:p>
    <w:p w14:paraId="359043B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val="en-US" w:eastAsia="zh-CN"/>
        </w:rPr>
        <w:t xml:space="preserve">1 </w:t>
      </w:r>
      <w:r>
        <w:rPr>
          <w:rFonts w:hint="eastAsia" w:ascii="宋体" w:hAnsi="宋体" w:eastAsia="宋体" w:cs="宋体"/>
          <w:color w:val="auto"/>
          <w:sz w:val="24"/>
          <w:szCs w:val="24"/>
          <w:highlight w:val="none"/>
        </w:rPr>
        <w:t>发包人应在</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天</w:t>
      </w:r>
      <w:r>
        <w:rPr>
          <w:rFonts w:hint="eastAsia" w:ascii="宋体" w:hAnsi="宋体" w:eastAsia="宋体" w:cs="宋体"/>
          <w:color w:val="auto"/>
          <w:sz w:val="24"/>
          <w:szCs w:val="24"/>
          <w:highlight w:val="none"/>
          <w:lang w:val="en-US" w:eastAsia="zh-CN"/>
        </w:rPr>
        <w:t>内</w:t>
      </w:r>
      <w:r>
        <w:rPr>
          <w:rFonts w:hint="eastAsia" w:ascii="宋体" w:hAnsi="宋体" w:eastAsia="宋体" w:cs="宋体"/>
          <w:color w:val="auto"/>
          <w:sz w:val="24"/>
          <w:szCs w:val="24"/>
          <w:highlight w:val="none"/>
        </w:rPr>
        <w:t>向承包人提供与施工现场相关的现有工程地质和地下管线资料，工程地质报告以及交验测量的水准点、坐标控制点等技术资料，并对其提供的上述资料的真实性、准确性负责。</w:t>
      </w:r>
    </w:p>
    <w:p w14:paraId="7E107506">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val="en-US"/>
        </w:rPr>
        <w:t>发包人应制定措施加强施工过程履约管理，明确</w:t>
      </w:r>
      <w:r>
        <w:rPr>
          <w:rFonts w:hint="eastAsia" w:ascii="宋体" w:hAnsi="宋体" w:eastAsia="宋体" w:cs="宋体"/>
          <w:color w:val="auto"/>
          <w:sz w:val="24"/>
          <w:szCs w:val="24"/>
          <w:highlight w:val="none"/>
          <w:lang w:val="en-US" w:eastAsia="zh-CN"/>
        </w:rPr>
        <w:t>承包</w:t>
      </w:r>
      <w:r>
        <w:rPr>
          <w:rFonts w:hint="eastAsia" w:ascii="宋体" w:hAnsi="宋体" w:eastAsia="宋体" w:cs="宋体"/>
          <w:color w:val="auto"/>
          <w:sz w:val="24"/>
          <w:szCs w:val="24"/>
          <w:highlight w:val="none"/>
          <w:lang w:val="en-US"/>
        </w:rPr>
        <w:t>人须按承诺投入船机设备，采取有效措施监管施工船舶，防止转包及违法分包</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rPr>
        <w:t>严格按照</w:t>
      </w:r>
      <w:r>
        <w:rPr>
          <w:rFonts w:hint="eastAsia" w:ascii="宋体" w:hAnsi="宋体" w:eastAsia="宋体" w:cs="宋体"/>
          <w:color w:val="auto"/>
          <w:sz w:val="24"/>
          <w:szCs w:val="24"/>
          <w:highlight w:val="none"/>
          <w:lang w:val="en-US" w:eastAsia="zh-CN"/>
        </w:rPr>
        <w:t>广东省交通运输厅</w:t>
      </w:r>
      <w:r>
        <w:rPr>
          <w:rFonts w:hint="eastAsia" w:ascii="宋体" w:hAnsi="宋体" w:eastAsia="宋体" w:cs="宋体"/>
          <w:color w:val="auto"/>
          <w:sz w:val="24"/>
          <w:szCs w:val="24"/>
          <w:highlight w:val="none"/>
          <w:lang w:val="en-US"/>
        </w:rPr>
        <w:t>“水运工程施工标准化活动实施方案”的要求组织</w:t>
      </w:r>
      <w:r>
        <w:rPr>
          <w:rFonts w:hint="eastAsia" w:ascii="宋体" w:hAnsi="宋体" w:eastAsia="宋体" w:cs="宋体"/>
          <w:color w:val="auto"/>
          <w:sz w:val="24"/>
          <w:szCs w:val="24"/>
          <w:highlight w:val="none"/>
          <w:lang w:val="en-US" w:eastAsia="zh-CN"/>
        </w:rPr>
        <w:t>活动</w:t>
      </w:r>
      <w:r>
        <w:rPr>
          <w:rFonts w:hint="eastAsia" w:ascii="宋体" w:hAnsi="宋体" w:eastAsia="宋体" w:cs="宋体"/>
          <w:color w:val="auto"/>
          <w:sz w:val="24"/>
          <w:szCs w:val="24"/>
          <w:highlight w:val="none"/>
          <w:lang w:val="en-US"/>
        </w:rPr>
        <w:t>实施</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lang w:val="en-US"/>
        </w:rPr>
        <w:t>。</w:t>
      </w:r>
    </w:p>
    <w:p w14:paraId="1B2B4E14">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3 在本项目中，发包人接受业主委托从事项目代建管理工作，凡涉及发包人行使审批权力或需履行审批职责的事项（包括</w:t>
      </w:r>
      <w:r>
        <w:rPr>
          <w:rFonts w:hint="default" w:ascii="宋体" w:hAnsi="宋体" w:eastAsia="宋体" w:cs="宋体"/>
          <w:color w:val="auto"/>
          <w:sz w:val="24"/>
          <w:szCs w:val="24"/>
          <w:highlight w:val="none"/>
          <w:lang w:eastAsia="zh-CN"/>
        </w:rPr>
        <w:t>但不限于</w:t>
      </w:r>
      <w:r>
        <w:rPr>
          <w:rFonts w:hint="eastAsia" w:ascii="宋体" w:hAnsi="宋体" w:eastAsia="宋体" w:cs="宋体"/>
          <w:color w:val="auto"/>
          <w:sz w:val="24"/>
          <w:szCs w:val="24"/>
          <w:highlight w:val="none"/>
          <w:lang w:val="en-US" w:eastAsia="zh-CN"/>
        </w:rPr>
        <w:t>工程（设计）变更、专业分包、工程量和工程费用增减、议价、索赔、</w:t>
      </w:r>
      <w:r>
        <w:rPr>
          <w:rFonts w:hint="default" w:ascii="宋体" w:hAnsi="宋体" w:eastAsia="宋体" w:cs="宋体"/>
          <w:color w:val="auto"/>
          <w:sz w:val="24"/>
          <w:szCs w:val="24"/>
          <w:highlight w:val="none"/>
          <w:lang w:eastAsia="zh-CN"/>
        </w:rPr>
        <w:t>费用补偿、</w:t>
      </w:r>
      <w:r>
        <w:rPr>
          <w:rFonts w:hint="eastAsia" w:ascii="宋体" w:hAnsi="宋体" w:eastAsia="宋体" w:cs="宋体"/>
          <w:color w:val="auto"/>
          <w:sz w:val="24"/>
          <w:szCs w:val="24"/>
          <w:highlight w:val="none"/>
          <w:lang w:val="en-US" w:eastAsia="zh-CN"/>
        </w:rPr>
        <w:t>改变工期、改变技术标准、改变重大施工技术方案、质量安全事故处理等），发包人的相关决定均为初步意见，最终需以业主单位的批复意见为准。</w:t>
      </w:r>
    </w:p>
    <w:p w14:paraId="7ADF0618">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2.8.4  建设单位在合同签订前向承包人提供工程款支付担保。</w:t>
      </w:r>
    </w:p>
    <w:p w14:paraId="2D5306AA">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28" w:name="_Toc19884"/>
      <w:bookmarkStart w:id="29" w:name="_Toc31007"/>
      <w:bookmarkStart w:id="30" w:name="_Toc3414_WPSOffice_Level2"/>
      <w:bookmarkStart w:id="31" w:name="_Toc29414_WPSOffice_Level2"/>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w:t>
      </w:r>
      <w:bookmarkEnd w:id="28"/>
      <w:bookmarkEnd w:id="29"/>
      <w:bookmarkEnd w:id="30"/>
      <w:bookmarkEnd w:id="31"/>
    </w:p>
    <w:p w14:paraId="0E79D066">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 监理人的职责和权力</w:t>
      </w:r>
    </w:p>
    <w:p w14:paraId="09B8556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监理人在行使某项权力前需要经发包人事先批准：</w:t>
      </w:r>
      <w:r>
        <w:rPr>
          <w:rFonts w:hint="eastAsia" w:ascii="宋体" w:hAnsi="宋体" w:eastAsia="宋体" w:cs="宋体"/>
          <w:color w:val="auto"/>
          <w:sz w:val="24"/>
          <w:szCs w:val="24"/>
          <w:highlight w:val="none"/>
          <w:u w:val="single"/>
        </w:rPr>
        <w:t>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5FB6235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 通用条款本条中“监理人发出的任何指示应视为已得到发包人的批准”修改为“监理人发出的任何指示前应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35DE0AD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通用条款本款增加第3.1.</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项</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3.1.6项</w:t>
      </w:r>
      <w:r>
        <w:rPr>
          <w:rFonts w:hint="eastAsia" w:ascii="宋体" w:hAnsi="宋体" w:eastAsia="宋体" w:cs="宋体"/>
          <w:b/>
          <w:bCs/>
          <w:color w:val="auto"/>
          <w:sz w:val="24"/>
          <w:szCs w:val="24"/>
          <w:highlight w:val="none"/>
        </w:rPr>
        <w:t>的内容</w:t>
      </w:r>
      <w:r>
        <w:rPr>
          <w:rFonts w:hint="eastAsia" w:ascii="宋体" w:hAnsi="宋体" w:eastAsia="宋体" w:cs="宋体"/>
          <w:b/>
          <w:color w:val="auto"/>
          <w:sz w:val="24"/>
          <w:szCs w:val="24"/>
          <w:highlight w:val="none"/>
        </w:rPr>
        <w:t>的内容：</w:t>
      </w:r>
    </w:p>
    <w:p w14:paraId="6B99A43B">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监理人职责：按监理合同中规定的职责执行。</w:t>
      </w:r>
    </w:p>
    <w:p w14:paraId="4F4E7BD1">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监理人的权力：按监理合同中规定的权力执行。</w:t>
      </w:r>
    </w:p>
    <w:p w14:paraId="783BC9C2">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3.1.6 </w:t>
      </w:r>
      <w:r>
        <w:rPr>
          <w:rFonts w:hint="eastAsia" w:ascii="宋体" w:hAnsi="宋体" w:eastAsia="宋体" w:cs="宋体"/>
          <w:color w:val="auto"/>
          <w:sz w:val="24"/>
          <w:szCs w:val="24"/>
          <w:highlight w:val="none"/>
        </w:rPr>
        <w:t>开工审核前，监理人必须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否则必须整改落实到位后方可批准开工。</w:t>
      </w:r>
    </w:p>
    <w:p w14:paraId="2F2352F0">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 监理人的指示</w:t>
      </w:r>
    </w:p>
    <w:p w14:paraId="1DA6A2CA">
      <w:pPr>
        <w:spacing w:line="360" w:lineRule="auto"/>
        <w:ind w:firstLine="480"/>
        <w:rPr>
          <w:rFonts w:hint="eastAsia" w:ascii="宋体" w:hAnsi="宋体" w:eastAsia="宋体" w:cs="宋体"/>
          <w:b/>
          <w:bCs/>
          <w:color w:val="auto"/>
          <w:kern w:val="2"/>
          <w:sz w:val="24"/>
          <w:szCs w:val="24"/>
          <w:highlight w:val="none"/>
          <w:lang w:val="en-US" w:eastAsia="zh-CN"/>
        </w:rPr>
      </w:pPr>
      <w:r>
        <w:rPr>
          <w:rFonts w:hint="eastAsia" w:ascii="宋体" w:hAnsi="宋体" w:eastAsia="宋体" w:cs="宋体"/>
          <w:b/>
          <w:bCs/>
          <w:color w:val="auto"/>
          <w:kern w:val="2"/>
          <w:sz w:val="24"/>
          <w:szCs w:val="24"/>
          <w:highlight w:val="none"/>
          <w:lang w:val="en-US" w:eastAsia="zh-CN"/>
        </w:rPr>
        <w:t>通用条款3.4.5项的内容不适用于本合同。</w:t>
      </w:r>
    </w:p>
    <w:p w14:paraId="6CBC6DF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32" w:name="_Toc13479"/>
      <w:bookmarkStart w:id="33" w:name="_Toc17452_WPSOffice_Level2"/>
      <w:bookmarkStart w:id="34" w:name="_Toc2239"/>
      <w:bookmarkStart w:id="35" w:name="_Toc19864_WPSOffice_Level2"/>
      <w:r>
        <w:rPr>
          <w:rFonts w:hint="eastAsia" w:ascii="宋体" w:hAnsi="宋体" w:eastAsia="宋体" w:cs="宋体"/>
          <w:color w:val="auto"/>
          <w:sz w:val="24"/>
          <w:szCs w:val="24"/>
          <w:highlight w:val="none"/>
        </w:rPr>
        <w:t>4．承包人义务</w:t>
      </w:r>
      <w:bookmarkEnd w:id="32"/>
      <w:bookmarkEnd w:id="33"/>
      <w:bookmarkEnd w:id="34"/>
      <w:bookmarkEnd w:id="35"/>
    </w:p>
    <w:p w14:paraId="453FCF9A">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 承包人的一般义务</w:t>
      </w:r>
    </w:p>
    <w:p w14:paraId="03708369">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遵守法律</w:t>
      </w:r>
    </w:p>
    <w:p w14:paraId="69A8C05E">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31AC5D18">
      <w:pPr>
        <w:pStyle w:val="20"/>
        <w:spacing w:after="0"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通用条款本款增加以下内容：</w:t>
      </w:r>
    </w:p>
    <w:p w14:paraId="511F87E9">
      <w:pPr>
        <w:pStyle w:val="20"/>
        <w:adjustRightInd w:val="0"/>
        <w:snapToGrid w:val="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审核前，承包人必须严格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如发现拟投入技术人员未到岗履职、注册单位不在承包人单位、人员社会保险缴纳单位与注册单位不一致等“挂证”行为，视为承包人违约，承担违约责任。并由发包人上报交通运输主管部门和发证机关依法依规从严处罚，承包人承担有关法律责任。</w:t>
      </w:r>
    </w:p>
    <w:p w14:paraId="640E6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因为承包人违</w:t>
      </w:r>
      <w:r>
        <w:rPr>
          <w:rFonts w:hint="eastAsia" w:ascii="宋体" w:hAnsi="宋体" w:eastAsia="宋体" w:cs="宋体"/>
          <w:i w:val="0"/>
          <w:caps w:val="0"/>
          <w:color w:val="auto"/>
          <w:spacing w:val="0"/>
          <w:sz w:val="24"/>
          <w:szCs w:val="24"/>
          <w:highlight w:val="none"/>
          <w:shd w:val="clear" w:fill="auto"/>
          <w:lang w:val="en-US" w:eastAsia="zh-CN"/>
        </w:rPr>
        <w:t>反法律法规及有关规定</w:t>
      </w:r>
      <w:r>
        <w:rPr>
          <w:rFonts w:hint="eastAsia" w:ascii="宋体" w:hAnsi="宋体" w:eastAsia="宋体" w:cs="宋体"/>
          <w:i w:val="0"/>
          <w:caps w:val="0"/>
          <w:color w:val="auto"/>
          <w:spacing w:val="0"/>
          <w:sz w:val="24"/>
          <w:szCs w:val="24"/>
          <w:highlight w:val="none"/>
          <w:shd w:val="clear"/>
          <w:lang w:val="en-US" w:eastAsia="zh-CN"/>
        </w:rPr>
        <w:t>、</w:t>
      </w:r>
      <w:r>
        <w:rPr>
          <w:rFonts w:hint="eastAsia" w:ascii="宋体" w:hAnsi="宋体" w:eastAsia="宋体" w:cs="宋体"/>
          <w:color w:val="auto"/>
          <w:sz w:val="24"/>
          <w:szCs w:val="24"/>
          <w:highlight w:val="none"/>
          <w:lang w:val="en-US" w:eastAsia="zh-CN"/>
        </w:rPr>
        <w:t>违约行为等导致发包人被业主、行业主管部门</w:t>
      </w:r>
      <w:r>
        <w:rPr>
          <w:rFonts w:hint="eastAsia" w:ascii="宋体" w:hAnsi="宋体" w:eastAsia="宋体" w:cs="宋体"/>
          <w:color w:val="auto"/>
          <w:sz w:val="24"/>
          <w:szCs w:val="24"/>
          <w:highlight w:val="none"/>
        </w:rPr>
        <w:t>、第三方</w:t>
      </w:r>
      <w:r>
        <w:rPr>
          <w:rFonts w:hint="eastAsia" w:ascii="宋体" w:hAnsi="宋体" w:eastAsia="宋体" w:cs="宋体"/>
          <w:color w:val="auto"/>
          <w:sz w:val="24"/>
          <w:szCs w:val="24"/>
          <w:highlight w:val="none"/>
          <w:lang w:val="en-US" w:eastAsia="zh-CN"/>
        </w:rPr>
        <w:t>等追究责任，包括但不限于罚没款项、索偿损失、主张违约金</w:t>
      </w:r>
      <w:r>
        <w:rPr>
          <w:rFonts w:hint="eastAsia" w:ascii="宋体" w:hAnsi="宋体" w:eastAsia="宋体" w:cs="宋体"/>
          <w:color w:val="auto"/>
          <w:sz w:val="24"/>
          <w:szCs w:val="24"/>
          <w:highlight w:val="none"/>
        </w:rPr>
        <w:t>或其他与工程相关的费用（如材料费、非发包人或业主原因造成的额外监理费用</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等，发包人因此遭受的全部损失</w:t>
      </w:r>
      <w:r>
        <w:rPr>
          <w:rFonts w:hint="eastAsia" w:ascii="宋体" w:hAnsi="宋体" w:eastAsia="宋体" w:cs="宋体"/>
          <w:color w:val="auto"/>
          <w:sz w:val="24"/>
          <w:szCs w:val="24"/>
          <w:highlight w:val="none"/>
        </w:rPr>
        <w:t>（包括但不限于经济损失、行政责任、声誉受损等，以及发包人为解决纠纷和应对索赔而发生的聘请中介机构费用损失、诉讼费、保全费、仲裁费</w:t>
      </w:r>
      <w:r>
        <w:rPr>
          <w:rFonts w:hint="default" w:ascii="宋体" w:hAnsi="宋体" w:eastAsia="宋体" w:cs="宋体"/>
          <w:color w:val="auto"/>
          <w:sz w:val="24"/>
          <w:szCs w:val="24"/>
          <w:highlight w:val="none"/>
        </w:rPr>
        <w:t>、执行费</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val="en-US" w:eastAsia="zh-CN"/>
        </w:rPr>
        <w:t>有权向承包人进行追偿。</w:t>
      </w:r>
      <w:r>
        <w:rPr>
          <w:rFonts w:hint="eastAsia" w:ascii="宋体" w:hAnsi="宋体" w:eastAsia="宋体" w:cs="宋体"/>
          <w:color w:val="auto"/>
          <w:sz w:val="24"/>
          <w:szCs w:val="24"/>
          <w:highlight w:val="none"/>
        </w:rPr>
        <w:t>赔偿应自损失发生之日起偿付发包人，否则将以赔偿金为基数，每日万分之五的标准计付逾期付款违约金。如承包人拒绝偿付前述费用的，发包人有权从应付工程款中直接扣除。</w:t>
      </w:r>
    </w:p>
    <w:p w14:paraId="2E3765A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1C56EF8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w:t>
      </w:r>
      <w:r>
        <w:rPr>
          <w:rFonts w:hint="eastAsia" w:asciiTheme="minorEastAsia" w:hAnsiTheme="minorEastAsia" w:eastAsiaTheme="minorEastAsia" w:cstheme="minorEastAsia"/>
          <w:color w:val="auto"/>
          <w:sz w:val="24"/>
          <w:szCs w:val="24"/>
          <w:highlight w:val="none"/>
        </w:rPr>
        <w:t>承包人应保护并保障发包人免于承担应由承包人负责的上述事项所导致或与之有关的一切索赔、诉讼、损失赔偿、指控及相关开支。</w:t>
      </w:r>
    </w:p>
    <w:p w14:paraId="2A6B7DDB">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4.1.10 其他义务</w:t>
      </w:r>
    </w:p>
    <w:p w14:paraId="40B0D3A0">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1C3809E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在工程缺陷责任期内对已交付使用的工程承担缺陷修复责任。</w:t>
      </w:r>
    </w:p>
    <w:p w14:paraId="4496286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 xml:space="preserve">0.2 </w:t>
      </w:r>
      <w:r>
        <w:rPr>
          <w:rFonts w:hint="eastAsia" w:ascii="宋体" w:hAnsi="宋体" w:eastAsia="宋体" w:cs="宋体"/>
          <w:color w:val="auto"/>
          <w:sz w:val="24"/>
          <w:szCs w:val="24"/>
          <w:highlight w:val="none"/>
        </w:rPr>
        <w:t>积极配合发包人开展永久用地的征地拆迁工作，负责其中指定的电力、通信、给排水等管线迁改工作，负责临时用地的租地</w:t>
      </w:r>
      <w:r>
        <w:rPr>
          <w:rFonts w:hint="eastAsia" w:ascii="宋体" w:hAnsi="宋体" w:eastAsia="宋体" w:cs="宋体"/>
          <w:color w:val="auto"/>
          <w:sz w:val="24"/>
          <w:szCs w:val="24"/>
          <w:highlight w:val="none"/>
          <w:lang w:val="en-US" w:eastAsia="zh-CN"/>
        </w:rPr>
        <w:t>和报批</w:t>
      </w:r>
      <w:r>
        <w:rPr>
          <w:rFonts w:hint="eastAsia" w:ascii="宋体" w:hAnsi="宋体" w:eastAsia="宋体" w:cs="宋体"/>
          <w:color w:val="auto"/>
          <w:sz w:val="24"/>
          <w:szCs w:val="24"/>
          <w:highlight w:val="none"/>
        </w:rPr>
        <w:t>工作，承担与临时用地的使用相关的责任和费用，包括：</w:t>
      </w:r>
    </w:p>
    <w:p w14:paraId="13E9DB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合理、规范、依法使用临时用地，做好安全防护和水土保持工作，并妥善处理各种纠纷。</w:t>
      </w:r>
    </w:p>
    <w:p w14:paraId="5956D20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工程完工后</w:t>
      </w:r>
      <w:r>
        <w:rPr>
          <w:rFonts w:hint="eastAsia" w:ascii="宋体" w:hAnsi="宋体" w:eastAsia="宋体" w:cs="宋体"/>
          <w:snapToGrid w:val="0"/>
          <w:color w:val="auto"/>
          <w:kern w:val="0"/>
          <w:sz w:val="24"/>
          <w:szCs w:val="24"/>
          <w:highlight w:val="none"/>
          <w:lang w:val="en-US" w:eastAsia="zh-CN" w:bidi="ar"/>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val="en-US" w:eastAsia="zh-CN"/>
        </w:rPr>
        <w:t>自然资源</w:t>
      </w:r>
      <w:r>
        <w:rPr>
          <w:rFonts w:hint="eastAsia" w:ascii="宋体" w:hAnsi="宋体" w:eastAsia="宋体" w:cs="宋体"/>
          <w:color w:val="auto"/>
          <w:sz w:val="24"/>
          <w:szCs w:val="24"/>
          <w:highlight w:val="none"/>
        </w:rPr>
        <w:t>部</w:t>
      </w:r>
      <w:r>
        <w:rPr>
          <w:rFonts w:hint="eastAsia" w:ascii="宋体" w:hAnsi="宋体" w:eastAsia="宋体" w:cs="宋体"/>
          <w:color w:val="auto"/>
          <w:sz w:val="24"/>
          <w:szCs w:val="24"/>
          <w:highlight w:val="none"/>
          <w:lang w:eastAsia="zh-CN"/>
        </w:rPr>
        <w:t>门的验收，同时将土地移交</w:t>
      </w:r>
      <w:r>
        <w:rPr>
          <w:rFonts w:hint="default" w:ascii="宋体" w:hAnsi="宋体" w:eastAsia="宋体" w:cs="宋体"/>
          <w:color w:val="auto"/>
          <w:sz w:val="24"/>
          <w:szCs w:val="24"/>
          <w:highlight w:val="none"/>
          <w:lang w:eastAsia="zh-CN"/>
        </w:rPr>
        <w:t>给权属人并由其负责后期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p>
    <w:p w14:paraId="3ADB16D7">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bidi="ar"/>
        </w:rPr>
        <w:t>（3）承包人应充分考虑涉及用地未能准时交付的影响，相关影响费用已包含在合同总价中，承包人不得就相关影响进行费用索赔。</w:t>
      </w:r>
    </w:p>
    <w:p w14:paraId="3B5EA1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 xml:space="preserve"> 复垦复绿所需费用包含在合同总价中，发包人不再另行支付。</w:t>
      </w:r>
      <w:r>
        <w:rPr>
          <w:rFonts w:hint="eastAsia" w:ascii="宋体" w:hAnsi="宋体" w:eastAsia="宋体" w:cs="宋体"/>
          <w:color w:val="auto"/>
          <w:sz w:val="24"/>
          <w:szCs w:val="24"/>
          <w:highlight w:val="none"/>
          <w:lang w:eastAsia="zh-CN"/>
        </w:rPr>
        <w:t>如</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lang w:eastAsia="zh-CN"/>
        </w:rPr>
        <w:t>需</w:t>
      </w:r>
      <w:r>
        <w:rPr>
          <w:rFonts w:hint="eastAsia" w:ascii="宋体" w:hAnsi="宋体" w:eastAsia="宋体" w:cs="宋体"/>
          <w:color w:val="auto"/>
          <w:sz w:val="24"/>
          <w:szCs w:val="24"/>
          <w:highlight w:val="none"/>
        </w:rPr>
        <w:t>向有关部门缴交的土地复垦复绿押金视为代承包人缴交，发包人在应付给承包人的费用中暂扣，待发包人收到相关部门退回的押金后再支付给承包人。</w:t>
      </w:r>
    </w:p>
    <w:p w14:paraId="77DD387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施工准备：承包人负责施工现场的布置和临时设施的施工，在收到中标通知书后</w:t>
      </w:r>
      <w:r>
        <w:rPr>
          <w:rFonts w:hint="eastAsia" w:ascii="宋体" w:hAnsi="宋体" w:eastAsia="宋体" w:cs="宋体"/>
          <w:color w:val="auto"/>
          <w:sz w:val="24"/>
          <w:szCs w:val="24"/>
          <w:highlight w:val="none"/>
          <w:u w:val="single"/>
        </w:rPr>
        <w:t>28</w:t>
      </w:r>
      <w:r>
        <w:rPr>
          <w:rFonts w:hint="eastAsia" w:ascii="宋体" w:hAnsi="宋体" w:eastAsia="宋体" w:cs="宋体"/>
          <w:color w:val="auto"/>
          <w:sz w:val="24"/>
          <w:szCs w:val="24"/>
          <w:highlight w:val="none"/>
        </w:rPr>
        <w:t>天内向监理人提交详细的施工组织设计（包括劳动力进场计划）、施工进度计划及开工申请报告。</w:t>
      </w:r>
    </w:p>
    <w:p w14:paraId="702A5F4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lang w:val="en-US" w:eastAsia="zh-CN"/>
        </w:rPr>
        <w:t>现场管理机构及施工人员</w:t>
      </w:r>
      <w:r>
        <w:rPr>
          <w:rFonts w:hint="eastAsia" w:ascii="宋体" w:hAnsi="宋体" w:eastAsia="宋体" w:cs="宋体"/>
          <w:color w:val="auto"/>
          <w:sz w:val="24"/>
          <w:szCs w:val="24"/>
          <w:highlight w:val="none"/>
        </w:rPr>
        <w:t>应在开工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val="en-US" w:eastAsia="zh-CN"/>
        </w:rPr>
        <w:t>全部</w:t>
      </w:r>
      <w:r>
        <w:rPr>
          <w:rFonts w:hint="eastAsia" w:ascii="宋体" w:hAnsi="宋体" w:eastAsia="宋体" w:cs="宋体"/>
          <w:color w:val="auto"/>
          <w:sz w:val="24"/>
          <w:szCs w:val="24"/>
          <w:highlight w:val="none"/>
        </w:rPr>
        <w:t>进驻施工场地，并将开工所需施工船舶、机械、设备按照合同约定进场到位，按规范要求办理进场手续。</w:t>
      </w:r>
    </w:p>
    <w:p w14:paraId="65F0779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承包人按照批准的临时设施总平面图布置图及相关生活配套设施，负责施工现场的布置和临时设施</w:t>
      </w:r>
      <w:r>
        <w:rPr>
          <w:rFonts w:hint="eastAsia" w:ascii="宋体" w:hAnsi="宋体" w:eastAsia="宋体" w:cs="宋体"/>
          <w:color w:val="auto"/>
          <w:sz w:val="24"/>
          <w:szCs w:val="24"/>
          <w:highlight w:val="none"/>
          <w:lang w:eastAsia="zh-CN"/>
        </w:rPr>
        <w:t>、生活配套</w:t>
      </w:r>
      <w:r>
        <w:rPr>
          <w:rFonts w:hint="eastAsia" w:ascii="宋体" w:hAnsi="宋体" w:eastAsia="宋体" w:cs="宋体"/>
          <w:color w:val="auto"/>
          <w:sz w:val="24"/>
          <w:szCs w:val="24"/>
          <w:highlight w:val="none"/>
        </w:rPr>
        <w:t>的施工</w:t>
      </w:r>
      <w:r>
        <w:rPr>
          <w:rFonts w:hint="eastAsia" w:ascii="宋体" w:hAnsi="宋体" w:eastAsia="宋体" w:cs="宋体"/>
          <w:color w:val="auto"/>
          <w:sz w:val="24"/>
          <w:szCs w:val="24"/>
          <w:highlight w:val="none"/>
          <w:lang w:val="en-US" w:eastAsia="zh-CN"/>
        </w:rPr>
        <w:t>,并应确保施工设施、生活配套的质量，满足相关技术标准和规范要求，满足安全、环保的生产、生活和办公要求。否则，由此产生的安全、环保责任由承包人负责。</w:t>
      </w:r>
    </w:p>
    <w:p w14:paraId="5FAF97A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承包人应妥善处理好与工程其他承包人的配合关系。发生交叉施工时，承包人和工程其他承包人应相互配合，友好协作，并服从监理人的统一协调</w:t>
      </w:r>
      <w:r>
        <w:rPr>
          <w:rFonts w:hint="eastAsia" w:ascii="宋体" w:hAnsi="宋体" w:eastAsia="宋体" w:cs="宋体"/>
          <w:color w:val="auto"/>
          <w:sz w:val="24"/>
          <w:szCs w:val="24"/>
          <w:highlight w:val="none"/>
          <w:lang w:eastAsia="zh-CN"/>
        </w:rPr>
        <w:t>，</w:t>
      </w:r>
      <w:r>
        <w:rPr>
          <w:rFonts w:ascii="宋体" w:hAnsi="宋体" w:eastAsia="宋体" w:cs="宋体"/>
          <w:color w:val="auto"/>
          <w:sz w:val="24"/>
          <w:highlight w:val="none"/>
        </w:rPr>
        <w:t>交叉施工</w:t>
      </w:r>
      <w:r>
        <w:rPr>
          <w:rFonts w:hint="eastAsia" w:ascii="宋体" w:hAnsi="宋体" w:eastAsia="宋体" w:cs="宋体"/>
          <w:color w:val="auto"/>
          <w:sz w:val="24"/>
          <w:szCs w:val="24"/>
          <w:highlight w:val="none"/>
          <w:lang w:val="en-US" w:eastAsia="zh-CN"/>
        </w:rPr>
        <w:t>所需的费用已包含在</w:t>
      </w:r>
      <w:r>
        <w:rPr>
          <w:rFonts w:hint="eastAsia" w:ascii="宋体" w:hAnsi="宋体" w:eastAsia="宋体" w:cs="宋体"/>
          <w:color w:val="auto"/>
          <w:sz w:val="24"/>
          <w:szCs w:val="24"/>
          <w:highlight w:val="none"/>
          <w:lang w:eastAsia="zh-CN"/>
        </w:rPr>
        <w:t>合同总价中</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lang w:eastAsia="zh-CN"/>
        </w:rPr>
        <w:t>发包人不另行支付。</w:t>
      </w:r>
    </w:p>
    <w:p w14:paraId="63BF12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7 承包人应配合发包人委托的第三方机构（如第三方质量检测、第三方安全监测、第三方造价等）开展工作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并为第三方机构提供必要的工作便利及辅助配合</w:t>
      </w:r>
      <w:r>
        <w:rPr>
          <w:rFonts w:hint="eastAsia" w:ascii="宋体" w:hAnsi="宋体" w:eastAsia="宋体" w:cs="宋体"/>
          <w:color w:val="auto"/>
          <w:sz w:val="24"/>
          <w:szCs w:val="24"/>
          <w:highlight w:val="none"/>
          <w:lang w:eastAsia="zh-CN"/>
        </w:rPr>
        <w:t>。</w:t>
      </w:r>
    </w:p>
    <w:p w14:paraId="6162334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承包人应根据工程施工情况及监理人指令，及时向监理人提交开工报告、测量报告、试验检验报告、隐蔽工程验收申请、工程质量自检报告、交工验收申请报告及工程事故报告等。</w:t>
      </w:r>
    </w:p>
    <w:p w14:paraId="3DF302C8">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承包人应支付为获得施工许可证及到港船舶检验等有关证件所需的费用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办理应由承包人办理的施工所需各种证件、批件和其他审批手续</w:t>
      </w:r>
      <w:r>
        <w:rPr>
          <w:rFonts w:hint="eastAsia" w:ascii="宋体" w:hAnsi="宋体" w:eastAsia="宋体" w:cs="宋体"/>
          <w:color w:val="auto"/>
          <w:sz w:val="24"/>
          <w:szCs w:val="24"/>
          <w:highlight w:val="none"/>
          <w:lang w:eastAsia="zh-CN"/>
        </w:rPr>
        <w:t>，本合同工程施工涉及的海事、航道、水利、公安、道路交通、环保、卸泥区（含弃渣区）使用等许可手续由承包人负责办理并承担费用，该费用已包含在合同总价中，发包人不另行支付。</w:t>
      </w:r>
      <w:r>
        <w:rPr>
          <w:rFonts w:hint="eastAsia" w:ascii="宋体" w:hAnsi="宋体" w:eastAsia="宋体" w:cs="宋体"/>
          <w:color w:val="auto"/>
          <w:sz w:val="24"/>
          <w:szCs w:val="24"/>
          <w:highlight w:val="none"/>
        </w:rPr>
        <w:t>施工过程中应</w:t>
      </w:r>
      <w:r>
        <w:rPr>
          <w:rFonts w:hint="eastAsia" w:ascii="宋体" w:hAnsi="宋体" w:eastAsia="宋体" w:cs="宋体"/>
          <w:color w:val="auto"/>
          <w:sz w:val="24"/>
          <w:szCs w:val="24"/>
          <w:highlight w:val="none"/>
          <w:lang w:eastAsia="zh-CN"/>
        </w:rPr>
        <w:t>落实许可部门的工作要求和相关保障措施，并接受其监管。</w:t>
      </w:r>
      <w:r>
        <w:rPr>
          <w:rFonts w:hint="eastAsia" w:ascii="宋体" w:hAnsi="宋体" w:eastAsia="宋体" w:cs="宋体"/>
          <w:snapToGrid w:val="0"/>
          <w:color w:val="auto"/>
          <w:kern w:val="0"/>
          <w:sz w:val="24"/>
          <w:szCs w:val="24"/>
          <w:highlight w:val="none"/>
          <w:lang w:val="en-US" w:eastAsia="zh-CN"/>
        </w:rPr>
        <w:t>承包人应负责协调施工涉及的各类社会关系、居（村）民关系，因施工导致社会纠纷、居（村）民纠纷等均由承包人负责处置并承担责任，因临时占用或使用他人的施工场地，影响他人作业或生活的，应承担相应责任。</w:t>
      </w:r>
    </w:p>
    <w:p w14:paraId="15DAF61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4.1.10.10 承包人应遵守国家安全生产及环境保护相关法规，在现场作业时严格按照有关的安全技术标准、船机设备安全技术规程进行作业，制定并落实水上通航安全保障方案。同时要采取措施保持作业水域或场地的环境整洁，不得影响水上交通、道路交通安全，不得造成公共设施破坏、环境噪音污染、水土流失、影响公共卫生等情况。为了保证社会船舶在施工水域内航行安全和畅通，在施工作业期间，承包人应按规定设置必要的安全作业区或警戒区，抛设临时助航标志（按</w:t>
      </w:r>
      <w:r>
        <w:rPr>
          <w:rFonts w:hint="eastAsia" w:ascii="宋体" w:hAnsi="宋体" w:eastAsia="宋体" w:cs="宋体"/>
          <w:snapToGrid w:val="0"/>
          <w:color w:val="auto"/>
          <w:kern w:val="0"/>
          <w:sz w:val="24"/>
          <w:szCs w:val="24"/>
          <w:highlight w:val="none"/>
          <w:lang w:val="en-US" w:eastAsia="zh-CN" w:bidi="ar"/>
        </w:rPr>
        <w:t>航道、海事部门要求设置</w:t>
      </w:r>
      <w:r>
        <w:rPr>
          <w:rFonts w:hint="eastAsia" w:ascii="宋体" w:hAnsi="宋体" w:eastAsia="宋体" w:cs="宋体"/>
          <w:color w:val="auto"/>
          <w:sz w:val="24"/>
          <w:szCs w:val="24"/>
          <w:highlight w:val="none"/>
          <w:lang w:val="en-US" w:eastAsia="zh-CN"/>
        </w:rPr>
        <w:t>）或配备警戒船等，施工船舶或警戒船上配备有效的通信设施，并指派专人警戒。抛设临时助航标志所需费用已包含在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，发包人不另行支付任何费用；</w:t>
      </w:r>
      <w:r>
        <w:rPr>
          <w:rFonts w:hint="eastAsia" w:ascii="宋体" w:hAnsi="宋体" w:eastAsia="宋体" w:cs="宋体"/>
          <w:strike w:val="0"/>
          <w:color w:val="auto"/>
          <w:sz w:val="24"/>
          <w:szCs w:val="24"/>
          <w:highlight w:val="none"/>
          <w:lang w:val="en-US" w:eastAsia="zh-CN"/>
        </w:rPr>
        <w:t>本项目通航安全保障已由业主统一委托广东海事局负责，在业主委托的通航安全保障服务期内（2024年10月至2029年4月）通航安全保障费用由发包人承担（因工程实施方案发生重大变更或者遇到不可抗力因素导致通航安全保障工作内容发生重大变化的除外），超出通航安全保障服务期外需增加通航安全保障费用的由承包人自行承担</w:t>
      </w:r>
      <w:r>
        <w:rPr>
          <w:rFonts w:hint="eastAsia" w:ascii="宋体" w:hAnsi="宋体" w:eastAsia="宋体" w:cs="宋体"/>
          <w:color w:val="auto"/>
          <w:sz w:val="24"/>
          <w:szCs w:val="24"/>
          <w:highlight w:val="none"/>
          <w:lang w:val="en-US" w:eastAsia="zh-CN"/>
        </w:rPr>
        <w:t>，发包人不另行支付任何费用。</w:t>
      </w:r>
    </w:p>
    <w:p w14:paraId="7B48521B">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4.1.10.11 承包人应采取一切措施，防止施工船舶、机械、设备及材料的沉没。若发生沉没，应立即向有关部门报告，并及时通知发包人、监理人。承包人应采取得当措施，及时设置浮标或障碍指示灯，直至打捞工作完成为止，并承担相关费用，发包人不另行支付任何费用。</w:t>
      </w:r>
    </w:p>
    <w:p w14:paraId="031C61E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12 </w:t>
      </w:r>
      <w:r>
        <w:rPr>
          <w:rFonts w:hint="eastAsia" w:ascii="宋体" w:hAnsi="宋体" w:eastAsia="宋体" w:cs="宋体"/>
          <w:color w:val="auto"/>
          <w:sz w:val="24"/>
          <w:szCs w:val="24"/>
          <w:highlight w:val="none"/>
        </w:rPr>
        <w:t>承包人应充分考虑到施工现场</w:t>
      </w:r>
      <w:r>
        <w:rPr>
          <w:rFonts w:hint="eastAsia" w:ascii="宋体" w:hAnsi="宋体" w:eastAsia="宋体" w:cs="宋体"/>
          <w:color w:val="auto"/>
          <w:sz w:val="24"/>
          <w:szCs w:val="24"/>
          <w:highlight w:val="none"/>
          <w:lang w:eastAsia="zh-CN"/>
        </w:rPr>
        <w:t>所有临时设施、生活生产设施，以及</w:t>
      </w:r>
      <w:r>
        <w:rPr>
          <w:rFonts w:hint="eastAsia" w:ascii="宋体" w:hAnsi="宋体" w:eastAsia="宋体" w:cs="宋体"/>
          <w:color w:val="auto"/>
          <w:sz w:val="24"/>
          <w:szCs w:val="24"/>
          <w:highlight w:val="none"/>
        </w:rPr>
        <w:t>所有的</w:t>
      </w:r>
      <w:r>
        <w:rPr>
          <w:rFonts w:hint="eastAsia" w:ascii="宋体" w:hAnsi="宋体" w:eastAsia="宋体" w:cs="宋体"/>
          <w:color w:val="auto"/>
          <w:sz w:val="24"/>
          <w:szCs w:val="24"/>
          <w:highlight w:val="none"/>
          <w:lang w:eastAsia="zh-CN"/>
        </w:rPr>
        <w:t>工程</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施工设备</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的消防安全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依照消防安全相关法律法规要求实行管理，配齐配足各项消防</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设施，接受消防部门的监督检查，否则，</w:t>
      </w:r>
      <w:r>
        <w:rPr>
          <w:rFonts w:hint="eastAsia" w:ascii="宋体" w:hAnsi="宋体" w:eastAsia="宋体" w:cs="宋体"/>
          <w:color w:val="auto"/>
          <w:sz w:val="24"/>
          <w:szCs w:val="24"/>
          <w:highlight w:val="none"/>
          <w:lang w:val="en-US" w:eastAsia="zh-CN"/>
        </w:rPr>
        <w:t>由此产生的消防安全责任由承包人负责。</w:t>
      </w:r>
    </w:p>
    <w:p w14:paraId="38422B6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13 </w:t>
      </w:r>
      <w:r>
        <w:rPr>
          <w:rFonts w:hint="eastAsia" w:ascii="宋体" w:hAnsi="宋体" w:eastAsia="宋体" w:cs="宋体"/>
          <w:color w:val="auto"/>
          <w:sz w:val="24"/>
          <w:szCs w:val="24"/>
          <w:highlight w:val="none"/>
        </w:rPr>
        <w:t>承包人应在施工过程中</w:t>
      </w:r>
      <w:r>
        <w:rPr>
          <w:rFonts w:hint="eastAsia" w:ascii="宋体" w:hAnsi="宋体" w:eastAsia="宋体" w:cs="宋体"/>
          <w:color w:val="auto"/>
          <w:sz w:val="24"/>
          <w:szCs w:val="24"/>
          <w:highlight w:val="none"/>
          <w:lang w:eastAsia="zh-CN"/>
        </w:rPr>
        <w:t>应按照国家、行业有关技术标准、规范要求</w:t>
      </w:r>
      <w:r>
        <w:rPr>
          <w:rFonts w:hint="eastAsia" w:ascii="宋体" w:hAnsi="宋体" w:eastAsia="宋体" w:cs="宋体"/>
          <w:color w:val="auto"/>
          <w:sz w:val="24"/>
          <w:szCs w:val="24"/>
          <w:highlight w:val="none"/>
        </w:rPr>
        <w:t>对与</w:t>
      </w:r>
      <w:r>
        <w:rPr>
          <w:rFonts w:hint="eastAsia" w:ascii="宋体" w:hAnsi="宋体" w:eastAsia="宋体" w:cs="宋体"/>
          <w:color w:val="auto"/>
          <w:sz w:val="24"/>
          <w:szCs w:val="24"/>
          <w:highlight w:val="none"/>
          <w:lang w:val="en-US" w:eastAsia="zh-CN"/>
        </w:rPr>
        <w:t>拟建船闸临近的</w:t>
      </w:r>
      <w:r>
        <w:rPr>
          <w:rFonts w:hint="eastAsia" w:ascii="宋体" w:hAnsi="宋体" w:eastAsia="宋体" w:cs="宋体"/>
          <w:color w:val="auto"/>
          <w:sz w:val="24"/>
          <w:szCs w:val="24"/>
          <w:highlight w:val="none"/>
        </w:rPr>
        <w:t>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筑物进行监测，并承担相应费用，</w:t>
      </w:r>
      <w:r>
        <w:rPr>
          <w:rFonts w:hint="eastAsia" w:ascii="宋体" w:hAnsi="宋体" w:eastAsia="宋体" w:cs="宋体"/>
          <w:color w:val="auto"/>
          <w:sz w:val="24"/>
          <w:szCs w:val="24"/>
          <w:highlight w:val="none"/>
          <w:lang w:eastAsia="zh-CN"/>
        </w:rPr>
        <w:t>该费用已包含在合同总价中，发包人不另行支付。</w:t>
      </w:r>
    </w:p>
    <w:p w14:paraId="614490D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4 </w:t>
      </w:r>
      <w:r>
        <w:rPr>
          <w:rFonts w:hint="eastAsia" w:ascii="宋体" w:hAnsi="宋体" w:eastAsia="宋体" w:cs="宋体"/>
          <w:color w:val="auto"/>
          <w:sz w:val="24"/>
          <w:szCs w:val="24"/>
          <w:highlight w:val="none"/>
        </w:rPr>
        <w:t>为了确保工程顺利实施，监理人按合同条款约定在现场发出的指令，承包人应无条件执行，若承包人拒不执行，发包人可委托第三方完成，所需费用直接从承包人的工程款中扣除（金额不限于承包人相应工程的报价金额），无须经过承包人同意，承包人应承担的全部责任，发包人有权追究承包人的合同违约责任。</w:t>
      </w:r>
    </w:p>
    <w:p w14:paraId="6516E923">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应严格遵守政府有关解决拖欠工程款和劳务人员工资的法律、法规，及时支付工程中的材料、设备货款、租赁费、工程款及劳务人员工资等费用。承包人不得以任何借口拖欠材料、设备货款、租赁费、工程款及劳务人员工资等费用，一旦出现此类事件，一律上报交通</w:t>
      </w:r>
      <w:r>
        <w:rPr>
          <w:rFonts w:hint="eastAsia" w:ascii="宋体" w:hAnsi="宋体" w:eastAsia="宋体" w:cs="宋体"/>
          <w:color w:val="auto"/>
          <w:sz w:val="24"/>
          <w:szCs w:val="24"/>
          <w:highlight w:val="none"/>
          <w:lang w:eastAsia="zh-CN"/>
        </w:rPr>
        <w:t>运输主管</w:t>
      </w:r>
      <w:r>
        <w:rPr>
          <w:rFonts w:hint="eastAsia" w:ascii="宋体" w:hAnsi="宋体" w:eastAsia="宋体" w:cs="宋体"/>
          <w:color w:val="auto"/>
          <w:sz w:val="24"/>
          <w:szCs w:val="24"/>
          <w:highlight w:val="none"/>
        </w:rPr>
        <w:t>部门，记入信用档案。承包人认可：在必要时，发包人有权从承包人的工程款中代为支付其在本工程上拖欠的各类费用，无须经过承包人同意。</w:t>
      </w:r>
      <w:r>
        <w:rPr>
          <w:rFonts w:hint="eastAsia" w:ascii="宋体" w:hAnsi="宋体" w:eastAsia="宋体" w:cs="宋体"/>
          <w:color w:val="auto"/>
          <w:sz w:val="24"/>
          <w:szCs w:val="24"/>
          <w:highlight w:val="none"/>
          <w:lang w:eastAsia="zh-CN"/>
        </w:rPr>
        <w:t>因上述事件造成发包人的直接损失和间接损失的，承包人应向发包人承担全部损失。</w:t>
      </w:r>
    </w:p>
    <w:p w14:paraId="2A7AD2E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承包人应按《保障农民工工资支付条例》《广东省交通运输厅关于加强交通建设工程从业人员实名制管理和作业工人工资支付管理的通知》等文件的规定严格执行。</w:t>
      </w:r>
    </w:p>
    <w:p w14:paraId="1085A1A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承包人是劳务人员工资支付行为的主体，承包人的项目负责人（项目</w:t>
      </w:r>
      <w:r>
        <w:rPr>
          <w:rFonts w:hint="eastAsia" w:ascii="宋体" w:hAnsi="宋体" w:eastAsia="宋体" w:cs="宋体"/>
          <w:color w:val="auto"/>
          <w:sz w:val="24"/>
          <w:szCs w:val="24"/>
          <w:highlight w:val="none"/>
          <w:lang w:val="en-US"/>
        </w:rPr>
        <w:t>经理</w:t>
      </w:r>
      <w:r>
        <w:rPr>
          <w:rFonts w:hint="eastAsia" w:ascii="宋体" w:hAnsi="宋体" w:eastAsia="宋体" w:cs="宋体"/>
          <w:color w:val="auto"/>
          <w:sz w:val="24"/>
          <w:szCs w:val="24"/>
          <w:highlight w:val="none"/>
        </w:rPr>
        <w:t>）是劳务人员工资支付的责任人。承包人要建立全体劳务人员花名册和工资支付表，应委托银行发放劳务人员工资，并保留相关支付凭证，确保将工资直接发放给劳务人员本人。严禁发放给其他不具备用工主体资格的组织和个人。</w:t>
      </w:r>
    </w:p>
    <w:p w14:paraId="73136A0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工资支付表应如实记录支付单位、支付时间、支付对象、支付数额、支付对象的身份证号和签字等工资支付情况。劳务人员花名册和工资支付表报监理人备查。</w:t>
      </w:r>
    </w:p>
    <w:p w14:paraId="03D4055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7 </w:t>
      </w:r>
      <w:r>
        <w:rPr>
          <w:rFonts w:hint="eastAsia" w:ascii="宋体" w:hAnsi="宋体" w:eastAsia="宋体" w:cs="宋体"/>
          <w:color w:val="auto"/>
          <w:sz w:val="24"/>
          <w:szCs w:val="24"/>
          <w:highlight w:val="none"/>
        </w:rPr>
        <w:t>承包人必须按时支付其雇用人员、实际为承包人或其分包单位服务、应从承包人中得到报酬的人员（包括但不限于农民工）的工资，不得拖欠上述人员的工资。同时，承包人有责任和义务监督其分包单位对属下员工工资的支付。发包人和监理人有权监督承包人使用农民工的管理，对不签订劳动合同、非法使用农民工的，或者拖延和克扣农民工工资的，一经发现，发包人将予以通报并上报上级主管单位。若因上述原因造成劳务人员上访、纠纷等情况，承包人须承担一切经济和法律责任。除按国家有关法律、法规、规章及上述合同条款的规定进行处理外，同时按照合同相关条款对承包人违约处理。</w:t>
      </w:r>
    </w:p>
    <w:p w14:paraId="1FE08CE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8 </w:t>
      </w:r>
      <w:r>
        <w:rPr>
          <w:rFonts w:hint="eastAsia" w:ascii="宋体" w:hAnsi="宋体" w:eastAsia="宋体" w:cs="宋体"/>
          <w:color w:val="auto"/>
          <w:sz w:val="24"/>
          <w:szCs w:val="24"/>
          <w:highlight w:val="none"/>
        </w:rPr>
        <w:t>临时道路、</w:t>
      </w:r>
      <w:r>
        <w:rPr>
          <w:rFonts w:hint="eastAsia" w:ascii="宋体" w:hAnsi="宋体" w:eastAsia="宋体" w:cs="宋体"/>
          <w:color w:val="auto"/>
          <w:sz w:val="24"/>
          <w:szCs w:val="24"/>
          <w:highlight w:val="none"/>
          <w:lang w:eastAsia="zh-CN"/>
        </w:rPr>
        <w:t>临时码头、</w:t>
      </w:r>
      <w:r>
        <w:rPr>
          <w:rFonts w:hint="eastAsia" w:ascii="宋体" w:hAnsi="宋体" w:eastAsia="宋体" w:cs="宋体"/>
          <w:color w:val="auto"/>
          <w:sz w:val="24"/>
          <w:szCs w:val="24"/>
          <w:highlight w:val="none"/>
        </w:rPr>
        <w:t>临时用电、临时用水、临时通信、临时用地所需费用承包人在投标时已自行报价，并包含在合同总价中，由承包人负责支付，发包人不另行支付费用。</w:t>
      </w:r>
    </w:p>
    <w:p w14:paraId="5091DF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若承包人在已投入投标承诺</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施工设备外，因施工需求而增加投入</w:t>
      </w:r>
      <w:r>
        <w:rPr>
          <w:rFonts w:hint="eastAsia" w:ascii="宋体" w:hAnsi="宋体" w:eastAsia="宋体" w:cs="宋体"/>
          <w:color w:val="auto"/>
          <w:sz w:val="24"/>
          <w:szCs w:val="24"/>
          <w:highlight w:val="none"/>
          <w:lang w:val="en-US" w:eastAsia="zh-CN"/>
        </w:rPr>
        <w:t>主要</w:t>
      </w:r>
      <w:r>
        <w:rPr>
          <w:rFonts w:hint="eastAsia" w:ascii="宋体" w:hAnsi="宋体" w:eastAsia="宋体" w:cs="宋体"/>
          <w:color w:val="auto"/>
          <w:sz w:val="24"/>
          <w:szCs w:val="24"/>
          <w:highlight w:val="none"/>
        </w:rPr>
        <w:t>施工船舶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符合省交通运输厅《关于水运工程施工分包管理的办法》要求，</w:t>
      </w:r>
      <w:r>
        <w:rPr>
          <w:rFonts w:hint="eastAsia" w:ascii="宋体" w:hAnsi="宋体" w:eastAsia="宋体" w:cs="宋体"/>
          <w:color w:val="auto"/>
          <w:sz w:val="24"/>
          <w:szCs w:val="24"/>
          <w:highlight w:val="none"/>
        </w:rPr>
        <w:t>经监理人审查并报发包人批准后方可投入施工。</w:t>
      </w:r>
      <w:r>
        <w:rPr>
          <w:rFonts w:hint="eastAsia" w:ascii="宋体" w:hAnsi="宋体" w:eastAsia="宋体" w:cs="宋体"/>
          <w:color w:val="auto"/>
          <w:sz w:val="24"/>
          <w:szCs w:val="24"/>
          <w:highlight w:val="none"/>
          <w:lang w:eastAsia="zh-CN"/>
        </w:rPr>
        <w:t>所有用于本合同工程的施工的船舶均应符合海事管理部门要求，办妥船舶进出港手续，遵守海事部门关于航行、船舶安全等方面的管理规定，接受海事部门的监管。</w:t>
      </w:r>
    </w:p>
    <w:p w14:paraId="4BB85067">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承包人及其施工船舶</w:t>
      </w:r>
      <w:r>
        <w:rPr>
          <w:rFonts w:hint="eastAsia" w:ascii="宋体" w:hAnsi="宋体" w:eastAsia="宋体" w:cs="宋体"/>
          <w:color w:val="auto"/>
          <w:sz w:val="24"/>
          <w:szCs w:val="24"/>
          <w:highlight w:val="none"/>
          <w:lang w:eastAsia="zh-CN"/>
        </w:rPr>
        <w:t>、施工设备应</w:t>
      </w:r>
      <w:r>
        <w:rPr>
          <w:rFonts w:hint="eastAsia" w:ascii="宋体" w:hAnsi="宋体" w:eastAsia="宋体" w:cs="宋体"/>
          <w:color w:val="auto"/>
          <w:sz w:val="24"/>
          <w:szCs w:val="24"/>
          <w:highlight w:val="none"/>
        </w:rPr>
        <w:t>严格遵守发包人对</w:t>
      </w:r>
      <w:r>
        <w:rPr>
          <w:rFonts w:hint="eastAsia" w:ascii="宋体" w:hAnsi="宋体" w:eastAsia="宋体" w:cs="宋体"/>
          <w:color w:val="auto"/>
          <w:sz w:val="24"/>
          <w:szCs w:val="24"/>
          <w:highlight w:val="none"/>
          <w:lang w:eastAsia="zh-CN"/>
        </w:rPr>
        <w:t>疏浚和清（炸）礁的土（石）抛卸</w:t>
      </w:r>
      <w:r>
        <w:rPr>
          <w:rFonts w:hint="eastAsia" w:ascii="宋体" w:hAnsi="宋体" w:eastAsia="宋体" w:cs="宋体"/>
          <w:color w:val="auto"/>
          <w:sz w:val="24"/>
          <w:szCs w:val="24"/>
          <w:highlight w:val="none"/>
        </w:rPr>
        <w:t>的管理规定，若被核实存在偷卸（不按指定位置抛卸）、偷砂等行为，</w:t>
      </w:r>
      <w:r>
        <w:rPr>
          <w:rFonts w:hint="eastAsia" w:ascii="宋体" w:hAnsi="宋体" w:eastAsia="宋体" w:cs="宋体"/>
          <w:color w:val="auto"/>
          <w:sz w:val="24"/>
          <w:szCs w:val="24"/>
          <w:highlight w:val="none"/>
          <w:lang w:eastAsia="zh-CN"/>
        </w:rPr>
        <w:t>发包人将采取</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（每次</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万元）、设备清退出场、清挖偷卸土方、信用评价扣分、</w:t>
      </w:r>
      <w:r>
        <w:rPr>
          <w:rFonts w:hint="eastAsia" w:ascii="宋体" w:hAnsi="宋体" w:eastAsia="宋体" w:cs="宋体"/>
          <w:color w:val="auto"/>
          <w:sz w:val="24"/>
          <w:szCs w:val="24"/>
          <w:highlight w:val="none"/>
          <w:lang w:val="en-US" w:eastAsia="zh-CN"/>
        </w:rPr>
        <w:t>约谈企业法人</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措施</w:t>
      </w:r>
      <w:r>
        <w:rPr>
          <w:rFonts w:hint="eastAsia" w:ascii="宋体" w:hAnsi="宋体" w:eastAsia="宋体" w:cs="宋体"/>
          <w:color w:val="auto"/>
          <w:sz w:val="24"/>
          <w:szCs w:val="24"/>
          <w:highlight w:val="none"/>
        </w:rPr>
        <w:t>，情节严重（超过</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次）的视为违约，发包人可解除合同，由此造成的损失由承包人负责，若核实存在明显超载作业的，</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10</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万/艘</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次。同一艘船</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发现</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次及以上超载行为的，</w:t>
      </w:r>
      <w:r>
        <w:rPr>
          <w:rFonts w:hint="eastAsia" w:ascii="宋体" w:hAnsi="宋体" w:eastAsia="宋体" w:cs="宋体"/>
          <w:color w:val="auto"/>
          <w:sz w:val="24"/>
          <w:szCs w:val="24"/>
          <w:highlight w:val="none"/>
          <w:lang w:val="en-US" w:eastAsia="zh-CN"/>
        </w:rPr>
        <w:t>课以违</w:t>
      </w:r>
      <w:r>
        <w:rPr>
          <w:rFonts w:hint="eastAsia" w:ascii="宋体" w:hAnsi="宋体" w:eastAsia="宋体" w:cs="宋体"/>
          <w:color w:val="auto"/>
          <w:sz w:val="24"/>
          <w:szCs w:val="24"/>
          <w:highlight w:val="none"/>
          <w:lang w:eastAsia="zh-CN"/>
        </w:rPr>
        <w:t>约金</w:t>
      </w:r>
      <w:r>
        <w:rPr>
          <w:rFonts w:hint="eastAsia" w:ascii="宋体" w:hAnsi="宋体" w:eastAsia="宋体" w:cs="宋体"/>
          <w:color w:val="auto"/>
          <w:sz w:val="24"/>
          <w:szCs w:val="24"/>
          <w:highlight w:val="none"/>
        </w:rPr>
        <w:t>的同时作清退出场处理。如涉及违法行为的，将移交相关执法部门处理。</w:t>
      </w:r>
      <w:r>
        <w:rPr>
          <w:rFonts w:hint="eastAsia" w:hAnsi="宋体" w:eastAsia="宋体" w:cs="宋体"/>
          <w:color w:val="auto"/>
          <w:sz w:val="24"/>
          <w:szCs w:val="24"/>
          <w:highlight w:val="none"/>
        </w:rPr>
        <w:t>如出现被清退场的施工船舶、施工设备，承包人应及时按本合同规定补充合格的施工船舶、施工设备，如因此引起施工进度延误的一切责任由承包人承担。</w:t>
      </w:r>
    </w:p>
    <w:p w14:paraId="1E1AE399">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4.1.10.21 本合同工程如涉及露天爆破、水下爆破等作业，承包人应按公安部门要求，办妥爆破作业许可相关手续后才能施工，承包人应负责编制爆破作业设计施工方案并办妥审批手续，严格按《爆破安全规程》和设计施工方案作业。承包人还应委托经发包人同意和公安部门及相关管理部门认可的具备资质的单位对设计施工方案进行安全评估，并承担相关费用。爆破作业过程必须按公安部门要求收集、留存好施工档案资料。</w:t>
      </w:r>
    </w:p>
    <w:p w14:paraId="500A7B78">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4.1.10.22 本合同工程布置在原有枢纽右岸，施工过程中应减少对原有枢纽建筑物及周边建筑物造成影响，在船闸基坑开挖施工前、船闸主体结构施工后，承包人应参照《防洪标准》（GB50201-2014）《水闸安全评价导则》（SL214-2015）《水闸设计规范》（SL265-2016）《广东省水利工程安全鉴定实施细则》（广东省水利厅，2003年8月25日）《建筑基坑工程监测技术规范》(GB50497-2009)及《建筑深基坑工程施工安全技术规范》(JGJ311-2013)等相关文件要求，委托经权属单位认可的具备相关资质的单位对新建船闸基坑边缘以外2-3倍开挖深度范围内已有枢纽建筑物开展安全鉴定，并承担相关费用。发包人不对以上事项另行支付任何费用。</w:t>
      </w:r>
    </w:p>
    <w:p w14:paraId="49EDA4E6">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4.1.10.23 本合同工程涉及接入船闸永久供电、供水、通讯、消防、管网迁改等专项工程，承包人应按行业主管部门要求，办理相关手续后才能施工，承包人还应委托经发包人同意和相关管理部门认可的具备资质的单位对其进行设计、施工、安全评估（如有）等工作，并承担相关费用。</w:t>
      </w:r>
    </w:p>
    <w:p w14:paraId="4B130579">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z w:val="24"/>
          <w:szCs w:val="24"/>
          <w:highlight w:val="none"/>
          <w:lang w:val="en-US" w:eastAsia="zh-CN"/>
        </w:rPr>
        <w:t>4.1.10.24 关于卸泥区（弃渣区）的相关约定如下：</w:t>
      </w:r>
    </w:p>
    <w:p w14:paraId="2C7B3AE5">
      <w:pPr>
        <w:numPr>
          <w:ilvl w:val="0"/>
          <w:numId w:val="0"/>
        </w:numPr>
        <w:autoSpaceDE/>
        <w:autoSpaceDN/>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按工程量清单综合单价报价。如施工实施期间，地方行政部门要求其指定的单位接收弃渣的，承包人对工程卸泥、弃渣的处置应符合《中华人民共和国水土保持法》,并按其要求在指定的地方堆卸，同时负责与弃渣处置单位协调事宜。因弃渣处置不及时造成工期和经济损失，由承包人自行承担。因上述原因导致包括但不限于承包人弃渣运至原卸泥区（弃渣区）处置的工作量（陆上运距等）、弃渣场相关费用(含临时用地、临时道路、弃渣消纳费、弃渣碾压、拦渣坝、排水设施、绿化、水土保持等)等减少的，按行业主管部门批复的施工图预算中相应工作量费用占相应工程预算价的占比核减工程量清单综合单价，并按核减后的单价进行结算，</w:t>
      </w:r>
      <w:r>
        <w:rPr>
          <w:rFonts w:hint="eastAsia" w:ascii="宋体" w:hAnsi="宋体" w:eastAsia="宋体" w:cs="宋体"/>
          <w:color w:val="auto"/>
          <w:sz w:val="24"/>
          <w:szCs w:val="24"/>
          <w:highlight w:val="none"/>
          <w:lang w:eastAsia="zh-CN" w:bidi="ar"/>
        </w:rPr>
        <w:t>且</w:t>
      </w:r>
      <w:r>
        <w:rPr>
          <w:rFonts w:hint="eastAsia" w:ascii="宋体" w:hAnsi="宋体" w:eastAsia="宋体" w:cs="宋体"/>
          <w:color w:val="auto"/>
          <w:sz w:val="24"/>
          <w:szCs w:val="24"/>
          <w:highlight w:val="none"/>
          <w:lang w:bidi="ar"/>
        </w:rPr>
        <w:t>相应调整合同总价，</w:t>
      </w:r>
      <w:r>
        <w:rPr>
          <w:rFonts w:hint="eastAsia" w:ascii="宋体" w:hAnsi="宋体" w:eastAsia="宋体" w:cs="宋体"/>
          <w:color w:val="auto"/>
          <w:sz w:val="24"/>
          <w:szCs w:val="24"/>
          <w:highlight w:val="none"/>
          <w:lang w:val="en-US" w:eastAsia="zh-CN" w:bidi="ar"/>
        </w:rPr>
        <w:t>同时免除承包人相应工作责任；</w:t>
      </w:r>
      <w:bookmarkStart w:id="36" w:name="OLE_LINK2"/>
      <w:r>
        <w:rPr>
          <w:rFonts w:hint="eastAsia" w:ascii="宋体" w:hAnsi="宋体" w:eastAsia="宋体" w:cs="宋体"/>
          <w:color w:val="auto"/>
          <w:sz w:val="24"/>
          <w:szCs w:val="24"/>
          <w:highlight w:val="none"/>
          <w:lang w:val="en-US" w:eastAsia="zh-CN" w:bidi="ar"/>
        </w:rPr>
        <w:t>因上述原因导致承包人弃渣运至原卸泥区（弃渣区）处置的工作量（陆上运距等）、弃渣场相关费用(含临时用地、临时道路、弃渣消纳费、弃渣碾压、拦渣坝、排水设施、绿化、水土保持等)等增加的，相关费用按变更程序执行</w:t>
      </w:r>
      <w:bookmarkEnd w:id="36"/>
      <w:r>
        <w:rPr>
          <w:rFonts w:hint="eastAsia" w:ascii="宋体" w:hAnsi="宋体" w:eastAsia="宋体" w:cs="宋体"/>
          <w:color w:val="auto"/>
          <w:sz w:val="24"/>
          <w:szCs w:val="24"/>
          <w:highlight w:val="none"/>
          <w:lang w:val="en-US" w:eastAsia="zh-CN" w:bidi="ar"/>
        </w:rPr>
        <w:t>。</w:t>
      </w:r>
    </w:p>
    <w:p w14:paraId="01FC973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4.1.10.25 </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严格按韶关市自然资源局下发《韶关市自然资源局关于加强工程建设项目涉及砂土处置管理的通知》（韶自然资字〔2023〕600号）、《韶关市人民政府关于明确北江航道扩能升级上延工程疏浚清礁弃渣处置有关情况的函》(韶府函(2025)81号)等文件要求执行，接受工程建设项目主管部门、行业主管部门及社会监督。</w:t>
      </w:r>
    </w:p>
    <w:p w14:paraId="6E70E462">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4.1.10.26 为进一步提升项目智慧工地管理水平，防止</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弃渣的偷卸乱卸或偷砂</w:t>
      </w:r>
      <w:r>
        <w:rPr>
          <w:rFonts w:hint="eastAsia" w:ascii="宋体" w:hAnsi="宋体" w:eastAsia="宋体" w:cs="宋体"/>
          <w:snapToGrid w:val="0"/>
          <w:color w:val="auto"/>
          <w:kern w:val="0"/>
          <w:sz w:val="24"/>
          <w:szCs w:val="24"/>
          <w:highlight w:val="none"/>
          <w:lang w:val="en-US" w:eastAsia="zh-CN" w:bidi="ar"/>
        </w:rPr>
        <w:t>、船闸工程施工质量安全（如基坑开挖监测、高支模监测、大体积混凝土施工监测、大型设施设备吊装监测、船闸变形监测、安全风险预警等）</w:t>
      </w:r>
      <w:r>
        <w:rPr>
          <w:rFonts w:hint="eastAsia" w:ascii="宋体" w:hAnsi="宋体" w:eastAsia="宋体" w:cs="宋体"/>
          <w:color w:val="auto"/>
          <w:kern w:val="0"/>
          <w:sz w:val="24"/>
          <w:szCs w:val="24"/>
          <w:highlight w:val="none"/>
          <w:lang w:val="en-US" w:eastAsia="zh-CN" w:bidi="ar"/>
        </w:rPr>
        <w:t>等行为，承包人必须按照发包人和业主确定的北江航道扩能升级工程智慧工地管理平台建设方案要求，负责本标段范围内的智慧工地平台终端设备的采购安装（具体设备类型、数量和技术要求须按发包人要求执行）、调试和使用以及建设期终端设备和智慧工地平台运营维护工作，并按照发包人要求使用智慧工地管理平台，上述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kern w:val="0"/>
          <w:sz w:val="24"/>
          <w:szCs w:val="24"/>
          <w:highlight w:val="none"/>
          <w:lang w:val="en-US" w:eastAsia="zh-CN" w:bidi="ar"/>
        </w:rPr>
        <w:t>中，发包人不另行支付。承包人还必须按照</w:t>
      </w:r>
      <w:r>
        <w:rPr>
          <w:rFonts w:hint="eastAsia" w:ascii="宋体" w:hAnsi="宋体" w:eastAsia="宋体" w:cs="宋体"/>
          <w:color w:val="auto"/>
          <w:kern w:val="2"/>
          <w:sz w:val="24"/>
          <w:szCs w:val="24"/>
          <w:highlight w:val="none"/>
          <w:lang w:val="en-US" w:eastAsia="zh-CN" w:bidi="ar"/>
        </w:rPr>
        <w:t>《广东省交通运输厅关于印发〈广东省公路水运工程建设项目和试验检测机构视频监控系统建设管理指引（2022-1版）〉的通知》（粤交质管字［2022］151号）</w:t>
      </w:r>
      <w:r>
        <w:rPr>
          <w:rFonts w:hint="eastAsia" w:ascii="宋体" w:hAnsi="宋体" w:eastAsia="宋体" w:cs="宋体"/>
          <w:color w:val="auto"/>
          <w:kern w:val="0"/>
          <w:sz w:val="24"/>
          <w:szCs w:val="24"/>
          <w:highlight w:val="none"/>
          <w:lang w:val="en-US" w:eastAsia="zh-CN" w:bidi="ar"/>
        </w:rPr>
        <w:t>和发包人要求使用（新建）经发包人和监理人认可并验收的远程监控系统（视频监控安装地点包括但不限于卸泥区四周、施工船舶、施工水域沿岸</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kern w:val="0"/>
          <w:sz w:val="24"/>
          <w:szCs w:val="24"/>
          <w:highlight w:val="none"/>
          <w:lang w:val="en-US" w:eastAsia="zh-CN" w:bidi="ar"/>
        </w:rPr>
        <w:t>等，具体由发包人根据工程实际确定，可以与智慧工地平台统筹考虑），相关主管部门、发包人、监理人等对施工现场可通过系统后方平台进行可视化的监管。在施工船舶（或运输车）上需安装经发包人和监理人认可并验收的视频监控、AIS 系统、GPS 系统和泥驳舱位（采用船舶运输卸泥（石）时须安装）监控设备、电子围栏等，进场的船舶需供每日船舶监控轨迹线，并由监理签名确认，承包人应负责施工区域船舶作业管理，施工船舶应接受发包人或监理驻场监督，严禁未经报批的船舶进场施工，并制定相关管理措施保证设施的正常使用等；承包人还须负责远程监控系统（含软件）的相关设备购置、监控工作笔记本和平板电脑（满足发包人需求）、覆盖安装、调试以及由项目施工准备期到本工程竣工验收为止的维护工作。上述要求及智慧工地管理等平台的使用和维护费用已包含在合同总价中，发包人不再另行支付。</w:t>
      </w:r>
    </w:p>
    <w:p w14:paraId="27B85366">
      <w:pPr>
        <w:keepNext w:val="0"/>
        <w:keepLines w:val="0"/>
        <w:pageBreakBefore w:val="0"/>
        <w:widowControl/>
        <w:kinsoku w:val="0"/>
        <w:wordWrap/>
        <w:overflowPunct/>
        <w:topLinePunct w:val="0"/>
        <w:autoSpaceDE w:val="0"/>
        <w:autoSpaceDN w:val="0"/>
        <w:bidi w:val="0"/>
        <w:adjustRightInd w:val="0"/>
        <w:snapToGrid w:val="0"/>
        <w:spacing w:beforeLines="0" w:afterLines="0" w:line="360" w:lineRule="auto"/>
        <w:ind w:firstLine="480" w:firstLineChars="200"/>
        <w:jc w:val="both"/>
        <w:textAlignment w:val="baseline"/>
        <w:rPr>
          <w:rFonts w:hint="eastAsia" w:ascii="宋体" w:hAnsi="宋体" w:eastAsia="宋体" w:cs="宋体"/>
          <w:color w:val="auto"/>
          <w:spacing w:val="0"/>
          <w:sz w:val="24"/>
          <w:szCs w:val="24"/>
          <w:highlight w:val="none"/>
          <w:vertAlign w:val="baseline"/>
          <w:lang w:val="en-US" w:eastAsia="zh-CN" w:bidi="ar"/>
        </w:rPr>
      </w:pPr>
      <w:r>
        <w:rPr>
          <w:rFonts w:hint="eastAsia" w:ascii="宋体" w:hAnsi="宋体" w:eastAsia="宋体" w:cs="宋体"/>
          <w:color w:val="auto"/>
          <w:spacing w:val="0"/>
          <w:sz w:val="24"/>
          <w:szCs w:val="24"/>
          <w:highlight w:val="none"/>
          <w:vertAlign w:val="baseline"/>
          <w:lang w:val="en-US" w:eastAsia="zh-CN" w:bidi="ar"/>
        </w:rPr>
        <w:t>承包人在开展清（炸）礁作业前应编制详细的卸泥（石）管理细则，经发包人、监理人批准后严格执行。该细则必须能够切实防止清（炸）礁土（石）的偷卸乱卸或偷砂等行为，并编制和保存严密、闭环的全过程卸泥（石）管理档案资料，随时接受发包人、监理人、上级主管部门、审计部门的检查，若因承包人管理不力或证明资料缺失引发审计问题的，其责任和损失由承包人全部承担，且发包人有权对承包人处于 10万元/次的违约金，必要时发包人可解除合同。</w:t>
      </w:r>
    </w:p>
    <w:p w14:paraId="13B40C8F">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4.1.10.27 承包人在基坑</w:t>
      </w:r>
      <w:r>
        <w:rPr>
          <w:rFonts w:hint="eastAsia" w:ascii="宋体" w:hAnsi="宋体" w:eastAsia="宋体" w:cs="宋体"/>
          <w:color w:val="auto"/>
          <w:sz w:val="24"/>
          <w:szCs w:val="24"/>
          <w:highlight w:val="none"/>
          <w:lang w:val="en-US" w:eastAsia="zh-CN" w:bidi="ar"/>
        </w:rPr>
        <w:t>土石方开挖、引航道清（炸）礁工程实施前和土石方开挖、清礁工程覆盖土层清除后，须委托经发包人批准同意的具备资质的第三方</w:t>
      </w:r>
      <w:r>
        <w:rPr>
          <w:rFonts w:hint="eastAsia" w:ascii="宋体" w:hAnsi="宋体" w:eastAsia="宋体" w:cs="宋体"/>
          <w:color w:val="auto"/>
          <w:kern w:val="0"/>
          <w:sz w:val="24"/>
          <w:szCs w:val="24"/>
          <w:highlight w:val="none"/>
          <w:lang w:val="en-US" w:eastAsia="zh-CN" w:bidi="ar"/>
        </w:rPr>
        <w:t>测量单位</w:t>
      </w:r>
      <w:r>
        <w:rPr>
          <w:rFonts w:hint="eastAsia" w:ascii="宋体" w:hAnsi="宋体" w:eastAsia="宋体" w:cs="宋体"/>
          <w:color w:val="auto"/>
          <w:sz w:val="24"/>
          <w:szCs w:val="24"/>
          <w:highlight w:val="none"/>
          <w:lang w:val="en-US" w:eastAsia="zh-CN" w:bidi="ar"/>
        </w:rPr>
        <w:t>对岩石、清（炸）礁工程区域进行测量，测量数据将作为竣工图编制的依据。委托测量的费用（</w:t>
      </w:r>
      <w:r>
        <w:rPr>
          <w:rFonts w:hint="eastAsia" w:ascii="宋体" w:hAnsi="宋体" w:eastAsia="宋体" w:cs="宋体"/>
          <w:color w:val="auto"/>
          <w:sz w:val="24"/>
          <w:szCs w:val="24"/>
          <w:highlight w:val="none"/>
          <w:lang w:val="en-US" w:eastAsia="zh-CN"/>
        </w:rPr>
        <w:t>含因承包人清除</w:t>
      </w:r>
      <w:r>
        <w:rPr>
          <w:rFonts w:hint="eastAsia" w:ascii="宋体" w:hAnsi="宋体" w:eastAsia="宋体" w:cs="宋体"/>
          <w:color w:val="auto"/>
          <w:sz w:val="24"/>
          <w:szCs w:val="24"/>
          <w:highlight w:val="none"/>
          <w:lang w:val="en-US" w:eastAsia="zh-CN" w:bidi="ar"/>
        </w:rPr>
        <w:t>覆盖土层</w:t>
      </w:r>
      <w:r>
        <w:rPr>
          <w:rFonts w:hint="eastAsia" w:ascii="宋体" w:hAnsi="宋体" w:eastAsia="宋体" w:cs="宋体"/>
          <w:color w:val="auto"/>
          <w:sz w:val="24"/>
          <w:szCs w:val="24"/>
          <w:highlight w:val="none"/>
          <w:lang w:val="en-US" w:eastAsia="zh-CN"/>
        </w:rPr>
        <w:t>未到位而进行的一次或多次测量）由承包人负责承担并已包含在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中，发包人不另行支付。</w:t>
      </w:r>
    </w:p>
    <w:p w14:paraId="508D9530">
      <w:pPr>
        <w:spacing w:line="360" w:lineRule="auto"/>
        <w:ind w:firstLine="480" w:firstLineChars="200"/>
        <w:jc w:val="both"/>
        <w:rPr>
          <w:rFonts w:hint="eastAsia"/>
          <w:color w:val="auto"/>
          <w:highlight w:val="none"/>
          <w:lang w:val="en-US" w:eastAsia="zh-CN"/>
        </w:rPr>
      </w:pPr>
      <w:r>
        <w:rPr>
          <w:rFonts w:hint="eastAsia" w:ascii="宋体" w:hAnsi="宋体" w:eastAsia="宋体" w:cs="宋体"/>
          <w:color w:val="auto"/>
          <w:kern w:val="0"/>
          <w:sz w:val="24"/>
          <w:szCs w:val="24"/>
          <w:highlight w:val="none"/>
          <w:lang w:val="en-US" w:eastAsia="zh-CN" w:bidi="ar"/>
        </w:rPr>
        <w:t>4.1.10.28 建议承包人结合本合同段实际开展专题研究，如鱼道、溶洞处理施工专题，采用新工艺、新技术、新材料、发明专利应用推广等，以提升项目建设管理水平，费用</w:t>
      </w:r>
      <w:r>
        <w:rPr>
          <w:rFonts w:hint="eastAsia" w:ascii="宋体" w:hAnsi="宋体" w:eastAsia="宋体" w:cs="宋体"/>
          <w:color w:val="auto"/>
          <w:sz w:val="24"/>
          <w:szCs w:val="24"/>
          <w:highlight w:val="none"/>
          <w:lang w:val="en-US" w:eastAsia="zh-CN"/>
        </w:rPr>
        <w:t>由承包人负责承担，相关专题研究事项</w:t>
      </w:r>
      <w:r>
        <w:rPr>
          <w:rFonts w:hint="eastAsia" w:ascii="宋体" w:hAnsi="宋体" w:eastAsia="宋体" w:cs="宋体"/>
          <w:color w:val="auto"/>
          <w:kern w:val="0"/>
          <w:sz w:val="24"/>
          <w:szCs w:val="24"/>
          <w:highlight w:val="none"/>
          <w:lang w:val="en-US" w:eastAsia="zh-CN" w:bidi="ar"/>
        </w:rPr>
        <w:t>须经发包人批准后实施。</w:t>
      </w:r>
    </w:p>
    <w:p w14:paraId="53CF140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29 </w:t>
      </w:r>
      <w:r>
        <w:rPr>
          <w:rFonts w:hint="eastAsia" w:ascii="宋体" w:hAnsi="宋体" w:eastAsia="宋体" w:cs="宋体"/>
          <w:color w:val="auto"/>
          <w:sz w:val="24"/>
          <w:szCs w:val="24"/>
          <w:highlight w:val="none"/>
        </w:rPr>
        <w:t>承包人免费为发包人驻现场管理人员等提供由项目施工准备期到工程竣工验收为止的现场办公设备、办公环境、生活用房和交通工具及所需提供、使用和维护的相关费用。</w:t>
      </w:r>
    </w:p>
    <w:p w14:paraId="1AE6C6C7">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4.1.10.30 </w:t>
      </w:r>
      <w:r>
        <w:rPr>
          <w:rFonts w:hint="eastAsia" w:ascii="宋体" w:hAnsi="宋体" w:eastAsia="宋体" w:cs="宋体"/>
          <w:color w:val="auto"/>
          <w:sz w:val="24"/>
          <w:szCs w:val="24"/>
          <w:highlight w:val="none"/>
        </w:rPr>
        <w:t>本项目将采用BIM进行项目管理工作。承包人在本合同段应充分配置BIM、计算机等相关专业技术人才，确保BIM相关工作有专业人员执行。同时BIM工作相关成果应具备兼容性，确保能接入省交通运输厅系统正常运行。人员、软硬件及网络相关资源配置符合发包人要求，包括但不限于：创建施工阶段BIM模型（模型范围为</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sz w:val="24"/>
          <w:szCs w:val="24"/>
          <w:highlight w:val="none"/>
          <w:lang w:val="en-US" w:eastAsia="zh-CN"/>
        </w:rPr>
        <w:t>疏浚清礁模型、护岸模型、航标模型、标识标牌模型等</w:t>
      </w:r>
      <w:r>
        <w:rPr>
          <w:rFonts w:hint="eastAsia" w:ascii="宋体" w:hAnsi="宋体" w:eastAsia="宋体" w:cs="宋体"/>
          <w:color w:val="auto"/>
          <w:sz w:val="24"/>
          <w:szCs w:val="24"/>
          <w:highlight w:val="none"/>
        </w:rPr>
        <w:t>，模型细度与单位、分部及分项工程划分单元相匹配，满足施工阶段管理应用的要求，并满足发包人BIM建模与交付标准）、总体施工组织方案仿真模拟视频、重大及专项施工方案仿真模拟视频</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数据智能采集传输设备及系统（包括网络建设、硬件、软件、运行、等保认证及维护等所有费用）。该费用已包含在合同总价中，发包人不另行支付。</w:t>
      </w:r>
    </w:p>
    <w:p w14:paraId="4703B93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BIM标准依据</w:t>
      </w:r>
    </w:p>
    <w:p w14:paraId="41695582">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承包人开展BIM工作应遵循下列BIM标准，并应满足发包人根据项目实际实施所提出的相关要求。</w:t>
      </w:r>
    </w:p>
    <w:p w14:paraId="7A0875E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①《水运工程设计信息模型应用标准》（JTS/T 198-2—2019）；</w:t>
      </w:r>
    </w:p>
    <w:p w14:paraId="69D22D1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②《水运工程施工信息模型应用标准》（JTS/T 198-3—2019）；</w:t>
      </w:r>
    </w:p>
    <w:p w14:paraId="7054304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③《水运工程信息模型应用统一标准》（JTS/T 198-1—2019）；</w:t>
      </w:r>
    </w:p>
    <w:p w14:paraId="4B6C042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④《建筑工程信息模型应用统一标准》（GB/T 51212-2016）；</w:t>
      </w:r>
    </w:p>
    <w:p w14:paraId="74216DD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⑤《建筑信息模型分类和编码标准》（GB/T 51269-2017）；</w:t>
      </w:r>
    </w:p>
    <w:p w14:paraId="10D5B20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⑥《广东省建筑信息模型应用统一标准》（DBJ/T 15-142-2018）；</w:t>
      </w:r>
    </w:p>
    <w:p w14:paraId="525C36EB">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⑦《公路水运工程 BIM 技术应用管理导则》（DB36/T 1351-2020）。</w:t>
      </w:r>
    </w:p>
    <w:p w14:paraId="4195680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资源配置</w:t>
      </w:r>
    </w:p>
    <w:p w14:paraId="383B6803">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承包人在本合同段应充分配置BIM、计算机以及通信工程等相关专业技术人才，确保BIM及信息化相关工作有专业人员执行。人员、软硬件及网络相关资源配置要求如下表所示，在相应清单报价中考虑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并包含在合同总价中。</w:t>
      </w:r>
    </w:p>
    <w:p w14:paraId="4DCFF24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进场后应尽快熟悉相关数字化标准或指南文件，成立本标段数字化工作领导小组和工作小组，并明确执行负责人，配合发包人开展信息化各项业务，并向发包人报备。发包人可以有权要求承包人的BIM工程师与发包人联合办公，并接受发包人的调遣。</w:t>
      </w:r>
    </w:p>
    <w:p w14:paraId="24CA3921">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承包人进场后45天内应根据发包人要求编制完成本合同段《数字化工作实施方案》，提交监理</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审查。</w:t>
      </w:r>
    </w:p>
    <w:p w14:paraId="38C074D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BIM技术应用</w:t>
      </w:r>
    </w:p>
    <w:p w14:paraId="3E829AE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承包人应利用BIM技术开展施工组织设计、重大及专项施工方案进行仿真模拟，辅助进行技术交底和论证（包括但不限于专家评审会），提交方案设计和视频格式文件供监理单位审查。</w:t>
      </w:r>
    </w:p>
    <w:p w14:paraId="1DABF99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承包人应利用无人机和720云VR全景制作软件（专业版），每周对疏浚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清礁、护岸</w:t>
      </w:r>
      <w:r>
        <w:rPr>
          <w:rFonts w:hint="eastAsia" w:ascii="宋体" w:hAnsi="宋体" w:eastAsia="宋体" w:cs="宋体"/>
          <w:color w:val="auto"/>
          <w:sz w:val="24"/>
          <w:szCs w:val="24"/>
          <w:highlight w:val="none"/>
          <w:lang w:eastAsia="zh-CN"/>
        </w:rPr>
        <w:t>施工区域</w:t>
      </w:r>
      <w:r>
        <w:rPr>
          <w:rFonts w:hint="eastAsia" w:ascii="宋体" w:hAnsi="宋体" w:eastAsia="宋体" w:cs="宋体"/>
          <w:color w:val="auto"/>
          <w:sz w:val="24"/>
          <w:szCs w:val="24"/>
          <w:highlight w:val="none"/>
        </w:rPr>
        <w:t xml:space="preserve">等场景建立超高清VR全景视图，提交链接至发包人建设管理平台。 </w:t>
      </w:r>
    </w:p>
    <w:p w14:paraId="1E5E685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鼓励承包人结合无人机倾斜摄影实景建模技术或BIM技术，对</w:t>
      </w:r>
      <w:r>
        <w:rPr>
          <w:rFonts w:hint="eastAsia" w:ascii="宋体" w:hAnsi="宋体" w:eastAsia="宋体" w:cs="宋体"/>
          <w:color w:val="auto"/>
          <w:sz w:val="24"/>
          <w:szCs w:val="24"/>
          <w:highlight w:val="none"/>
          <w:lang w:eastAsia="zh-CN"/>
        </w:rPr>
        <w:t>施工区</w:t>
      </w:r>
      <w:r>
        <w:rPr>
          <w:rFonts w:hint="eastAsia" w:ascii="宋体" w:hAnsi="宋体" w:eastAsia="宋体" w:cs="宋体"/>
          <w:color w:val="auto"/>
          <w:sz w:val="24"/>
          <w:szCs w:val="24"/>
          <w:highlight w:val="none"/>
        </w:rPr>
        <w:t xml:space="preserve">布设进行三维场景可视化模拟与设计，提交三维可视化设计文件。 </w:t>
      </w:r>
    </w:p>
    <w:p w14:paraId="4FE9803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④</w:t>
      </w:r>
      <w:r>
        <w:rPr>
          <w:rFonts w:hint="eastAsia" w:ascii="宋体" w:hAnsi="宋体" w:eastAsia="宋体" w:cs="宋体"/>
          <w:color w:val="auto"/>
          <w:sz w:val="24"/>
          <w:szCs w:val="24"/>
          <w:highlight w:val="none"/>
        </w:rPr>
        <w:t xml:space="preserve">鼓励承包人建立本合同段范围内大临设施、临建工程、预留预埋等对象的三维模型，提交三维可视化文件。 </w:t>
      </w:r>
    </w:p>
    <w:p w14:paraId="1768399D">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10.31 </w:t>
      </w:r>
      <w:r>
        <w:rPr>
          <w:rFonts w:hint="eastAsia" w:ascii="宋体" w:hAnsi="宋体" w:eastAsia="宋体" w:cs="宋体"/>
          <w:color w:val="auto"/>
          <w:sz w:val="24"/>
          <w:szCs w:val="24"/>
          <w:highlight w:val="none"/>
          <w:lang w:eastAsia="zh-CN"/>
        </w:rPr>
        <w:t>施工期基坑、高边坡等危险性较大的分部、分项工程监测，涉及营运期与监测相关的预埋件和设备埋设安装等事项，承包人须委托有经验的单位完成，并报监理人审核、发包人同意后实施。</w:t>
      </w:r>
    </w:p>
    <w:p w14:paraId="1D31608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承包人对所安装仪器设备做好保护措施，并保证正常有效，否则补救措施所产生的所有费用由承包人自行承担。</w:t>
      </w:r>
    </w:p>
    <w:p w14:paraId="10A91A52">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10.32 </w:t>
      </w:r>
      <w:r>
        <w:rPr>
          <w:rFonts w:hint="eastAsia" w:ascii="宋体" w:hAnsi="宋体" w:eastAsia="宋体" w:cs="宋体"/>
          <w:color w:val="auto"/>
          <w:sz w:val="24"/>
          <w:szCs w:val="24"/>
          <w:highlight w:val="none"/>
          <w:lang w:eastAsia="zh-CN"/>
        </w:rPr>
        <w:t>承包人应严格按合同要求开展施工承包工作，并确保所承包的工程项目达到以下工作目标：</w:t>
      </w:r>
    </w:p>
    <w:p w14:paraId="0F9707B4">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（1）总目标：打造“精品工程、样板工程、绿色工程、平安工程、廉洁工程”，争创全国“水运交通优质工程奖”。</w:t>
      </w:r>
    </w:p>
    <w:p w14:paraId="4475E261">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）质量控制目标：创建平安百年品质工程示范项目；项目工程质量符合《水运工程质量检验标准》(JTS-257-2008)等合格标准，符合广东省航道事务中心编制的《船闸工程质量提升指南》要求。</w:t>
      </w:r>
    </w:p>
    <w:p w14:paraId="1BD1EB34">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）安全生产目标：创建广东省级公路水运工程“平安工地”典型项目；无一般及以上安全生产责任事故。</w:t>
      </w:r>
    </w:p>
    <w:p w14:paraId="41352F48">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）环境保护目标：通过竣工环境保护专项验收，无环境污染责任事故。</w:t>
      </w:r>
    </w:p>
    <w:p w14:paraId="3BBCB8FE">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）廉政工作目标：打造“阳光工程”，项目建设全过程符合国家、省市有关廉政规定。</w:t>
      </w:r>
    </w:p>
    <w:p w14:paraId="0E987613">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33 </w:t>
      </w:r>
      <w:r>
        <w:rPr>
          <w:rFonts w:hint="eastAsia" w:ascii="宋体" w:hAnsi="宋体" w:eastAsia="宋体" w:cs="宋体"/>
          <w:color w:val="auto"/>
          <w:sz w:val="24"/>
          <w:szCs w:val="24"/>
          <w:highlight w:val="none"/>
          <w:lang w:eastAsia="zh-CN"/>
        </w:rPr>
        <w:t>本项目所需费用在报价清单中有按项目单项报价的，按相应报价包干使用，没有单独报价项目的，视为已包含在总报价中，发包人不另行支付任何费用。</w:t>
      </w:r>
    </w:p>
    <w:p w14:paraId="41A0C622">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34 </w:t>
      </w:r>
      <w:r>
        <w:rPr>
          <w:rFonts w:hint="eastAsia" w:ascii="宋体" w:hAnsi="宋体" w:eastAsia="宋体" w:cs="宋体"/>
          <w:color w:val="auto"/>
          <w:sz w:val="24"/>
          <w:szCs w:val="24"/>
          <w:highlight w:val="none"/>
          <w:lang w:eastAsia="zh-CN"/>
        </w:rPr>
        <w:t>承包人充分理解并同意本合同专用条款2.8.4条的相关约定。在任何情况下，凡涉及工程（设计）变更、专业分包、工程量和工程费用增减、议价、索赔、改变工期、改变技术标准、改变重大施工技术方案、质量安全事故处理等重要工作事项，均以业主的最终批复意见为准。如因业主原因不予批准或迟延审批，承包人不得以任何理由追究发包人的任何违约责任</w:t>
      </w:r>
      <w:r>
        <w:rPr>
          <w:rFonts w:hint="eastAsia" w:ascii="宋体" w:hAnsi="宋体" w:eastAsia="宋体" w:cs="宋体"/>
          <w:color w:val="auto"/>
          <w:sz w:val="24"/>
          <w:szCs w:val="24"/>
          <w:highlight w:val="none"/>
        </w:rPr>
        <w:t>、连带责任，不得向发包人主张追讨合同款项所产生的律师费、诉讼费、仲裁费及其他实现债权的费用</w:t>
      </w:r>
      <w:r>
        <w:rPr>
          <w:rFonts w:hint="eastAsia" w:ascii="宋体" w:hAnsi="宋体" w:eastAsia="宋体" w:cs="宋体"/>
          <w:color w:val="auto"/>
          <w:sz w:val="24"/>
          <w:szCs w:val="24"/>
          <w:highlight w:val="none"/>
          <w:lang w:eastAsia="zh-CN"/>
        </w:rPr>
        <w:t>。</w:t>
      </w:r>
    </w:p>
    <w:p w14:paraId="5E02B95E">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35 </w:t>
      </w:r>
      <w:r>
        <w:rPr>
          <w:rFonts w:hint="eastAsia" w:ascii="宋体" w:hAnsi="宋体" w:eastAsia="宋体" w:cs="宋体"/>
          <w:color w:val="auto"/>
          <w:kern w:val="0"/>
          <w:sz w:val="24"/>
          <w:szCs w:val="24"/>
          <w:highlight w:val="none"/>
          <w:lang w:val="en-US" w:eastAsia="zh-CN" w:bidi="ar"/>
        </w:rPr>
        <w:t>因工程部分施工区域涉及珍惜鱼类保护区域，涉及的珍惜鱼类保护区调整等前期审批手续正在办理，承包人应充分考虑相关审批手续未获批可能导致部分工程暂时无法按计划开工的情况，合理调整施工计划，确保具备开工条件的工程先开工，否则发包人有权按违约对承包人进行处理。同时，承包人不得就相关审批手续未获批进行费用和工期索赔。</w:t>
      </w:r>
    </w:p>
    <w:p w14:paraId="5083580A">
      <w:pPr>
        <w:adjustRightInd w:val="0"/>
        <w:snapToGrid w:val="0"/>
        <w:spacing w:line="360" w:lineRule="auto"/>
        <w:ind w:firstLine="480" w:firstLineChars="20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 xml:space="preserve">4.2 </w:t>
      </w:r>
      <w:r>
        <w:rPr>
          <w:rFonts w:hint="eastAsia" w:ascii="宋体" w:hAnsi="宋体" w:eastAsia="宋体" w:cs="宋体"/>
          <w:b/>
          <w:bCs/>
          <w:color w:val="auto"/>
          <w:sz w:val="24"/>
          <w:szCs w:val="24"/>
          <w:highlight w:val="none"/>
          <w:lang w:eastAsia="zh-CN"/>
        </w:rPr>
        <w:t>履约保证金</w:t>
      </w:r>
    </w:p>
    <w:p w14:paraId="2828B85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通用条款本款的内容不适用于本合同，代之以：</w:t>
      </w:r>
    </w:p>
    <w:p w14:paraId="4A2AAF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4.2.1 </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形式：</w:t>
      </w:r>
      <w:r>
        <w:rPr>
          <w:rFonts w:hint="eastAsia" w:ascii="宋体" w:hAnsi="宋体" w:eastAsia="宋体" w:cs="宋体"/>
          <w:color w:val="auto"/>
          <w:sz w:val="24"/>
          <w:szCs w:val="24"/>
          <w:highlight w:val="none"/>
          <w:u w:val="single"/>
        </w:rPr>
        <w:t>详见投标人须知</w:t>
      </w:r>
      <w:r>
        <w:rPr>
          <w:rFonts w:hint="eastAsia" w:ascii="宋体" w:hAnsi="宋体" w:eastAsia="宋体" w:cs="宋体"/>
          <w:color w:val="auto"/>
          <w:sz w:val="24"/>
          <w:szCs w:val="24"/>
          <w:highlight w:val="none"/>
          <w:u w:val="single"/>
          <w:lang w:eastAsia="zh-CN"/>
        </w:rPr>
        <w:t>，即</w:t>
      </w:r>
      <w:r>
        <w:rPr>
          <w:rFonts w:hint="eastAsia" w:ascii="宋体" w:hAnsi="宋体" w:eastAsia="宋体" w:cs="宋体"/>
          <w:color w:val="auto"/>
          <w:sz w:val="24"/>
          <w:szCs w:val="24"/>
          <w:highlight w:val="none"/>
          <w:u w:val="single"/>
        </w:rPr>
        <w:t>由投标人自主选择采用现金（或支票）、现金（或支票）与</w:t>
      </w:r>
      <w:r>
        <w:rPr>
          <w:rFonts w:hint="eastAsia" w:ascii="宋体" w:hAnsi="宋体" w:eastAsia="宋体" w:cs="宋体"/>
          <w:color w:val="auto"/>
          <w:sz w:val="24"/>
          <w:szCs w:val="24"/>
          <w:highlight w:val="none"/>
          <w:u w:val="single"/>
          <w:lang w:val="en-US" w:eastAsia="zh-CN"/>
        </w:rPr>
        <w:t>银行</w:t>
      </w:r>
      <w:r>
        <w:rPr>
          <w:rFonts w:hint="eastAsia" w:ascii="宋体" w:hAnsi="宋体" w:eastAsia="宋体" w:cs="宋体"/>
          <w:color w:val="auto"/>
          <w:sz w:val="24"/>
          <w:szCs w:val="24"/>
          <w:highlight w:val="none"/>
          <w:u w:val="single"/>
        </w:rPr>
        <w:t>保函相结合</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银行保函</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其他合法形式</w:t>
      </w:r>
      <w:r>
        <w:rPr>
          <w:rFonts w:hint="eastAsia" w:ascii="宋体" w:hAnsi="宋体" w:eastAsia="宋体" w:cs="宋体"/>
          <w:color w:val="auto"/>
          <w:sz w:val="24"/>
          <w:szCs w:val="24"/>
          <w:highlight w:val="none"/>
        </w:rPr>
        <w:t>。</w:t>
      </w:r>
    </w:p>
    <w:p w14:paraId="1FABB9D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 承包人应在签订合同协议书之前向发包人提交履约保证金，金额</w:t>
      </w:r>
      <w:r>
        <w:rPr>
          <w:rFonts w:hint="eastAsia" w:ascii="宋体" w:hAnsi="宋体" w:eastAsia="宋体" w:cs="宋体"/>
          <w:color w:val="auto"/>
          <w:sz w:val="24"/>
          <w:szCs w:val="24"/>
          <w:highlight w:val="none"/>
          <w:lang w:val="en-US" w:eastAsia="zh-CN"/>
        </w:rPr>
        <w:t>为中标合同额的10%</w:t>
      </w:r>
      <w:r>
        <w:rPr>
          <w:rFonts w:hint="eastAsia" w:ascii="宋体" w:hAnsi="宋体" w:eastAsia="宋体" w:cs="宋体"/>
          <w:color w:val="auto"/>
          <w:sz w:val="24"/>
          <w:szCs w:val="24"/>
          <w:highlight w:val="none"/>
        </w:rPr>
        <w:t>，承包人应保证其履约保证金在发包人签发</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工验收证书前一直有效。在本项目全部工程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天内将履约保证金不计利息全额退还给承包人，但根据合同约定存在需对承包人扣罚款项的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4F5585B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如果发生下述情况，发包人有权从履约保证金中扣罚违约金或赔偿金等：</w:t>
      </w:r>
    </w:p>
    <w:p w14:paraId="0DB3BCF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（1）监理工程师指出承包人有违反合同的行为后，承包人仍继续违反该合同的行为；</w:t>
      </w:r>
    </w:p>
    <w:p w14:paraId="3E935EB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（2）承包人被发包人扣罚的款项。</w:t>
      </w:r>
    </w:p>
    <w:p w14:paraId="1F453E80">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根据合同约定，扣罚承包人的违约罚金及赔偿金等费用，应首先从当期应支付进度款等工程款项中扣除，如果当期进度款等工程款项不足以抵扣时，则发包人可从履约保证金中直接扣罚。</w:t>
      </w:r>
    </w:p>
    <w:p w14:paraId="691BAF5F">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如果出现履约保证金不足以抵扣应扣罚承包人违约罚金及赔偿金等费用的情况，承包人应按照发包人要求的方式及时间向发包人支付，否则发包人有权按本合同第24款“争议的解决”相关约定获得赔偿。</w:t>
      </w:r>
    </w:p>
    <w:p w14:paraId="5FA5444E">
      <w:pPr>
        <w:adjustRightInd w:val="0"/>
        <w:snapToGrid w:val="0"/>
        <w:spacing w:line="360" w:lineRule="auto"/>
        <w:ind w:firstLine="480" w:firstLineChars="200"/>
        <w:outlineLvl w:val="3"/>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4.3 分包</w:t>
      </w:r>
    </w:p>
    <w:p w14:paraId="353F705E">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 承包人不得将工程主体分包给第三人。经发包人同意，承包人可将工程的其他部分或工作分包给第三人。分包包括专业分包和劳务分包。</w:t>
      </w:r>
    </w:p>
    <w:p w14:paraId="5ACA077D">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4.3.2.1 专业分包：在工程施工过程中，承包人如有专业分包计划，则必须遵守以下规定：</w:t>
      </w:r>
    </w:p>
    <w:p w14:paraId="6C3C064D">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（1）接受分包的第三人资质要求:具备相应的专业承包资质；</w:t>
      </w:r>
    </w:p>
    <w:p w14:paraId="6AE6774A">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（2）分包工程不得再次分包；</w:t>
      </w:r>
    </w:p>
    <w:p w14:paraId="78D07C8A">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（3）工程分包单位资质、分包计划和所有分包协议须报监理人审查，并报发包人批准；</w:t>
      </w:r>
    </w:p>
    <w:p w14:paraId="1D79C098">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（4）承包人和分包人应对分包工程承担连带责任；</w:t>
      </w:r>
    </w:p>
    <w:p w14:paraId="36C9E5FA">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（5）其他有关要求执行广东省最新颁布的水运工程施工分包方面的规定或办法。</w:t>
      </w:r>
    </w:p>
    <w:p w14:paraId="0D9D4875">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4.3.2.2 劳务分包：承包人如需劳务分包，则必须遵守以下规定：</w:t>
      </w:r>
    </w:p>
    <w:p w14:paraId="74EEF939">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（1）分包计划和所有分包协议须报监理人审查，并报发包人批准。</w:t>
      </w:r>
    </w:p>
    <w:p w14:paraId="4D9658D8">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4.3.6</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4.3.7项</w:t>
      </w:r>
      <w:r>
        <w:rPr>
          <w:rFonts w:hint="eastAsia" w:ascii="宋体" w:hAnsi="宋体" w:eastAsia="宋体" w:cs="宋体"/>
          <w:b/>
          <w:bCs/>
          <w:color w:val="auto"/>
          <w:sz w:val="24"/>
          <w:szCs w:val="24"/>
          <w:highlight w:val="none"/>
        </w:rPr>
        <w:t>的内容：</w:t>
      </w:r>
    </w:p>
    <w:p w14:paraId="55275BEE">
      <w:pPr>
        <w:pStyle w:val="9"/>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val="en-US"/>
        </w:rPr>
        <w:t xml:space="preserve"> 承包人</w:t>
      </w:r>
      <w:r>
        <w:rPr>
          <w:rFonts w:hint="eastAsia" w:ascii="宋体" w:hAnsi="宋体" w:eastAsia="宋体" w:cs="宋体"/>
          <w:color w:val="auto"/>
          <w:kern w:val="0"/>
          <w:sz w:val="24"/>
          <w:szCs w:val="24"/>
          <w:highlight w:val="none"/>
          <w:lang w:val="en-US" w:eastAsia="zh-CN"/>
        </w:rPr>
        <w:t>应</w:t>
      </w:r>
      <w:r>
        <w:rPr>
          <w:rFonts w:hint="eastAsia" w:ascii="宋体" w:hAnsi="宋体" w:eastAsia="宋体" w:cs="宋体"/>
          <w:color w:val="auto"/>
          <w:kern w:val="0"/>
          <w:sz w:val="24"/>
          <w:szCs w:val="24"/>
          <w:highlight w:val="none"/>
          <w:lang w:val="en-US"/>
        </w:rPr>
        <w:t>加强对分包人的管理，不得以包代管</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rPr>
        <w:t>承包人要制定详细的分包管理细则，监理人和发包人将对承包人对分包人的管理进行考核，如发现分包人的工作影响工程的质量、安全、进度等，将每次对承包人处以5</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val="en-US"/>
        </w:rPr>
        <w:t>元的罚金。</w:t>
      </w:r>
      <w:r>
        <w:rPr>
          <w:rFonts w:hint="eastAsia" w:ascii="宋体" w:hAnsi="宋体" w:eastAsia="宋体" w:cs="宋体"/>
          <w:color w:val="auto"/>
          <w:kern w:val="0"/>
          <w:sz w:val="24"/>
          <w:szCs w:val="24"/>
          <w:highlight w:val="none"/>
          <w:lang w:val="en-US" w:eastAsia="zh-CN"/>
        </w:rPr>
        <w:t>分包人的行为视为承包人的行为，分包人有违反本合同约定及25.4.12承包人违约清单时，发包人有权据此对承包人处以对应的违约金。</w:t>
      </w:r>
    </w:p>
    <w:p w14:paraId="5944AE9C">
      <w:pPr>
        <w:pStyle w:val="9"/>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val="en-US"/>
        </w:rPr>
        <w:t xml:space="preserve"> 承包人必须保证分包人在本项目现场遵纪守法，不得聚众闹事，不得用任何形式干扰本项目的顺利开展，不得拖欠、克扣民工工资。如发生</w:t>
      </w:r>
      <w:r>
        <w:rPr>
          <w:rFonts w:hint="eastAsia" w:ascii="宋体" w:hAnsi="宋体" w:eastAsia="宋体" w:cs="宋体"/>
          <w:color w:val="auto"/>
          <w:kern w:val="0"/>
          <w:sz w:val="24"/>
          <w:szCs w:val="24"/>
          <w:highlight w:val="none"/>
          <w:lang w:val="en-US" w:eastAsia="zh-CN"/>
        </w:rPr>
        <w:t>4.3.7项</w:t>
      </w:r>
      <w:r>
        <w:rPr>
          <w:rFonts w:hint="eastAsia" w:ascii="宋体" w:hAnsi="宋体" w:eastAsia="宋体" w:cs="宋体"/>
          <w:color w:val="auto"/>
          <w:kern w:val="0"/>
          <w:sz w:val="24"/>
          <w:szCs w:val="24"/>
          <w:highlight w:val="none"/>
          <w:lang w:val="en-US"/>
        </w:rPr>
        <w:t>约定的情形，发包人将每次对承包人处以</w:t>
      </w:r>
      <w:r>
        <w:rPr>
          <w:rFonts w:hint="eastAsia" w:ascii="宋体" w:hAnsi="宋体" w:eastAsia="宋体" w:cs="宋体"/>
          <w:color w:val="auto"/>
          <w:kern w:val="0"/>
          <w:sz w:val="24"/>
          <w:szCs w:val="24"/>
          <w:highlight w:val="none"/>
          <w:lang w:val="en-US" w:eastAsia="zh-CN"/>
        </w:rPr>
        <w:t>1万</w:t>
      </w:r>
      <w:r>
        <w:rPr>
          <w:rFonts w:hint="eastAsia" w:ascii="宋体" w:hAnsi="宋体" w:eastAsia="宋体" w:cs="宋体"/>
          <w:color w:val="auto"/>
          <w:kern w:val="0"/>
          <w:sz w:val="24"/>
          <w:szCs w:val="24"/>
          <w:highlight w:val="none"/>
          <w:lang w:val="en-US"/>
        </w:rPr>
        <w:t>元的罚金。</w:t>
      </w:r>
    </w:p>
    <w:p w14:paraId="0BFE0372">
      <w:pPr>
        <w:adjustRightInd w:val="0"/>
        <w:snapToGrid w:val="0"/>
        <w:spacing w:beforeLines="0" w:afterLines="0"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4.5 承包人项目负责人及项目技术负责人</w:t>
      </w:r>
    </w:p>
    <w:p w14:paraId="6E56B74C">
      <w:pPr>
        <w:pStyle w:val="62"/>
        <w:topLinePunct/>
        <w:snapToGrid w:val="0"/>
        <w:spacing w:before="0"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 承包人项目负责人及项目技术负责人人选及到职期限约定如下：</w:t>
      </w:r>
    </w:p>
    <w:p w14:paraId="7EA761D6">
      <w:pPr>
        <w:pStyle w:val="62"/>
        <w:topLinePunct/>
        <w:snapToGrid w:val="0"/>
        <w:spacing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人选的约定：承包人应按投标文件中所报名单委派项目负责人及项目技术负责人，项目负责人和项目技术负责人不能为同一人，承包人应保证及时到位并保持其岗位的相对稳定，常驻现场实施本合同工程管理。原则上，项目负责人和项目技术负责人不得更换，因特殊原因需要更换的，所替代人员的资格条件应不低于投标文件承诺投入人员要求，须事先与监理工程师协商并取得发包人的同意。承包人</w:t>
      </w:r>
      <w:r>
        <w:rPr>
          <w:rFonts w:hint="eastAsia" w:ascii="宋体" w:hAnsi="宋体" w:eastAsia="宋体" w:cs="宋体"/>
          <w:color w:val="auto"/>
          <w:sz w:val="24"/>
          <w:szCs w:val="24"/>
          <w:highlight w:val="none"/>
          <w:lang w:eastAsia="zh-CN"/>
        </w:rPr>
        <w:t>更换项目负责人或项目技术负责人的（包括发包人按合同</w:t>
      </w:r>
      <w:r>
        <w:rPr>
          <w:rFonts w:hint="eastAsia" w:ascii="宋体" w:hAnsi="宋体" w:eastAsia="宋体" w:cs="宋体"/>
          <w:color w:val="auto"/>
          <w:sz w:val="24"/>
          <w:szCs w:val="24"/>
          <w:highlight w:val="none"/>
          <w:lang w:val="en-US" w:eastAsia="zh-CN"/>
        </w:rPr>
        <w:t>4.7款要求承包人更换的情况</w:t>
      </w:r>
      <w:r>
        <w:rPr>
          <w:rFonts w:hint="eastAsia" w:ascii="宋体" w:hAnsi="宋体" w:eastAsia="宋体" w:cs="宋体"/>
          <w:color w:val="auto"/>
          <w:sz w:val="24"/>
          <w:szCs w:val="24"/>
          <w:highlight w:val="none"/>
          <w:lang w:eastAsia="zh-CN"/>
        </w:rPr>
        <w:t>），每次发包人有权对承包人处以</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lang w:val="en-US" w:eastAsia="zh-CN"/>
        </w:rPr>
        <w:t>万元的违约金</w:t>
      </w:r>
      <w:r>
        <w:rPr>
          <w:rFonts w:hint="eastAsia" w:ascii="宋体" w:hAnsi="宋体" w:eastAsia="宋体" w:cs="宋体"/>
          <w:color w:val="auto"/>
          <w:sz w:val="24"/>
          <w:szCs w:val="24"/>
          <w:highlight w:val="none"/>
        </w:rPr>
        <w:t>。</w:t>
      </w:r>
    </w:p>
    <w:p w14:paraId="7079FAD8">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（2）到岗履职的约定：承包人在投标中承诺投入本工程的项目负责人及项目技术负责人必须在签定合同后的3天内进场，在现场的时间不得低于22天/月，到期未到现场或在现场的时间不足的，承包人应按</w:t>
      </w:r>
      <w:r>
        <w:rPr>
          <w:rFonts w:hint="eastAsia" w:ascii="宋体" w:hAnsi="宋体" w:eastAsia="宋体" w:cs="宋体"/>
          <w:color w:val="auto"/>
          <w:sz w:val="24"/>
          <w:szCs w:val="24"/>
          <w:highlight w:val="none"/>
          <w:u w:val="single"/>
          <w:lang w:val="en-US" w:eastAsia="zh-CN"/>
        </w:rPr>
        <w:t>5000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标准向发包人支付违约金；项目负责人及项目技术负责人在现场的时间不足情形发生</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次及以上，又或项目负责人或项目技术负责人超过1个月未到岗，发包人有权解除合同，并按本合同第22.1.2项、22.1.3项处理。同时投入本工程的项目负责人、项目技术负责人在本工程开工至全部内容完工前，不得兼任其他工程的项目管理职责，若经发现核实，处以每人次</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。若有继续违反的，可视为承包人违约，发包人有权解除合同。</w:t>
      </w:r>
    </w:p>
    <w:p w14:paraId="1705DD4A">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Cs/>
          <w:color w:val="auto"/>
          <w:sz w:val="24"/>
          <w:szCs w:val="24"/>
          <w:highlight w:val="none"/>
        </w:rPr>
        <w:t>考勤：承包人按照发包人要求考勤，进场后，由监理人对承包人主要人员每天进行考勤。</w:t>
      </w:r>
    </w:p>
    <w:p w14:paraId="770DE68E">
      <w:pPr>
        <w:pStyle w:val="62"/>
        <w:topLinePunct/>
        <w:snapToGrid w:val="0"/>
        <w:spacing w:line="360" w:lineRule="auto"/>
        <w:ind w:lef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4.5.4 通用条款本条不适用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代之以:</w:t>
      </w:r>
      <w:r>
        <w:rPr>
          <w:rFonts w:hint="eastAsia" w:ascii="宋体" w:hAnsi="宋体" w:eastAsia="宋体" w:cs="宋体"/>
          <w:color w:val="auto"/>
          <w:sz w:val="24"/>
          <w:szCs w:val="24"/>
          <w:highlight w:val="none"/>
        </w:rPr>
        <w:t>承包人项目负责人应亲自履行本合同约定职责</w:t>
      </w:r>
      <w:r>
        <w:rPr>
          <w:rFonts w:hint="eastAsia" w:ascii="宋体" w:hAnsi="宋体" w:eastAsia="宋体" w:cs="宋体"/>
          <w:color w:val="auto"/>
          <w:sz w:val="24"/>
          <w:szCs w:val="24"/>
          <w:highlight w:val="none"/>
          <w:lang w:eastAsia="zh-CN"/>
        </w:rPr>
        <w:t>。</w:t>
      </w:r>
    </w:p>
    <w:p w14:paraId="6E9584C2">
      <w:pPr>
        <w:adjustRightInd w:val="0"/>
        <w:snapToGrid w:val="0"/>
        <w:spacing w:line="360" w:lineRule="auto"/>
        <w:ind w:firstLine="480" w:firstLineChars="200"/>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4.6 承包人人员的管理</w:t>
      </w:r>
    </w:p>
    <w:p w14:paraId="35A3EE9E">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通用条款4.6.2项增加以下内容：</w:t>
      </w:r>
    </w:p>
    <w:p w14:paraId="64AE2D29">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主要技术人员和管理人员最低要求</w:t>
      </w:r>
      <w:r>
        <w:rPr>
          <w:rFonts w:hint="eastAsia" w:ascii="宋体" w:hAnsi="宋体" w:eastAsia="宋体" w:cs="宋体"/>
          <w:color w:val="auto"/>
          <w:sz w:val="24"/>
          <w:szCs w:val="24"/>
          <w:highlight w:val="none"/>
          <w:u w:val="single"/>
          <w:lang w:eastAsia="zh-CN"/>
        </w:rPr>
        <w:t>以招标文件要求为准</w:t>
      </w:r>
      <w:r>
        <w:rPr>
          <w:rFonts w:hint="eastAsia" w:ascii="宋体" w:hAnsi="宋体" w:eastAsia="宋体" w:cs="宋体"/>
          <w:color w:val="auto"/>
          <w:sz w:val="24"/>
          <w:szCs w:val="24"/>
          <w:highlight w:val="none"/>
        </w:rPr>
        <w:t>。在合同履约过程中，承包人按照最低要求填报派驻本标段的主要技术人员和管理人员</w:t>
      </w:r>
      <w:r>
        <w:rPr>
          <w:rFonts w:hint="eastAsia" w:ascii="宋体" w:hAnsi="宋体" w:eastAsia="宋体" w:cs="宋体"/>
          <w:color w:val="auto"/>
          <w:sz w:val="24"/>
          <w:szCs w:val="24"/>
          <w:highlight w:val="none"/>
          <w:lang w:eastAsia="zh-CN"/>
        </w:rPr>
        <w:t>且人员应与投标时的人员保持一致，</w:t>
      </w:r>
      <w:r>
        <w:rPr>
          <w:rFonts w:hint="eastAsia" w:ascii="宋体" w:hAnsi="宋体" w:eastAsia="宋体" w:cs="宋体"/>
          <w:color w:val="auto"/>
          <w:sz w:val="24"/>
          <w:szCs w:val="24"/>
          <w:highlight w:val="none"/>
        </w:rPr>
        <w:t>在经发包人审批后作为派驻本标段的主要技术人员和管理人员且不允许无故更换。因特殊原因需要更换的，所替代人员的资格条件应不低于投标文件承诺投入人员要求，须事先与监理工程师协商并取得发包人的同意。承包人更换主要技术人员和管理人员，每次发包人</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处</w:t>
      </w:r>
      <w:r>
        <w:rPr>
          <w:rFonts w:hint="eastAsia" w:ascii="宋体" w:hAnsi="宋体" w:eastAsia="宋体" w:cs="宋体"/>
          <w:color w:val="auto"/>
          <w:sz w:val="24"/>
          <w:szCs w:val="24"/>
          <w:highlight w:val="none"/>
          <w:lang w:eastAsia="zh-CN"/>
        </w:rPr>
        <w:t>违约金：安全总监</w:t>
      </w:r>
      <w:r>
        <w:rPr>
          <w:rFonts w:hint="eastAsia" w:ascii="宋体" w:hAnsi="宋体" w:eastAsia="宋体" w:cs="宋体"/>
          <w:color w:val="auto"/>
          <w:sz w:val="24"/>
          <w:szCs w:val="24"/>
          <w:highlight w:val="none"/>
          <w:lang w:val="en-US" w:eastAsia="zh-CN"/>
        </w:rPr>
        <w:t>每次处以50万元违约金，其他主要技术人员和管理人员每人次处以10万元违约金。</w:t>
      </w:r>
    </w:p>
    <w:p w14:paraId="4EE296D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如果承包人不能在本项目签定合同后的3天内，委派主要技术人员和管理人员全部到位开展工作，则视为相应岗位空缺，将严格按照合同条款的规定承担违约责任。</w:t>
      </w:r>
    </w:p>
    <w:p w14:paraId="0C828886">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到岗履职的约定：承包人承诺投入本工程的其他管理人员，在现场的时间不得低于22天/月，若在现场的时间不足的，承包人应按</w:t>
      </w:r>
      <w:r>
        <w:rPr>
          <w:rFonts w:hint="eastAsia" w:ascii="宋体" w:hAnsi="宋体" w:eastAsia="宋体" w:cs="宋体"/>
          <w:color w:val="auto"/>
          <w:sz w:val="24"/>
          <w:szCs w:val="24"/>
          <w:highlight w:val="none"/>
          <w:u w:val="single"/>
          <w:lang w:val="en-US" w:eastAsia="zh-CN"/>
        </w:rPr>
        <w:t>2000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标准向发包人支付违约金。承包人承诺派驻现场的所有管理人员均要接受</w:t>
      </w:r>
      <w:r>
        <w:rPr>
          <w:rFonts w:hint="eastAsia" w:ascii="宋体" w:hAnsi="宋体" w:eastAsia="宋体" w:cs="宋体"/>
          <w:bCs/>
          <w:color w:val="auto"/>
          <w:sz w:val="24"/>
          <w:szCs w:val="24"/>
          <w:highlight w:val="none"/>
        </w:rPr>
        <w:t>智能人脸识别考勤机的考勤。</w:t>
      </w:r>
    </w:p>
    <w:p w14:paraId="42DE4CBA">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rPr>
        <w:t>如发包人提出要求承包人增加现场技术和管理人员</w:t>
      </w:r>
      <w:r>
        <w:rPr>
          <w:rFonts w:hint="eastAsia" w:ascii="宋体" w:hAnsi="宋体" w:cs="宋体"/>
          <w:bCs/>
          <w:color w:val="auto"/>
          <w:sz w:val="24"/>
          <w:szCs w:val="24"/>
          <w:highlight w:val="none"/>
          <w:lang w:eastAsia="zh-CN"/>
        </w:rPr>
        <w:t>的</w:t>
      </w:r>
      <w:r>
        <w:rPr>
          <w:rFonts w:hint="eastAsia" w:ascii="宋体" w:hAnsi="宋体" w:cs="宋体"/>
          <w:bCs/>
          <w:color w:val="auto"/>
          <w:sz w:val="24"/>
          <w:szCs w:val="24"/>
          <w:highlight w:val="none"/>
        </w:rPr>
        <w:t>，承包人应在接到发包人书面通知后7天内，无条件按发包人提出的增加人数、</w:t>
      </w:r>
      <w:r>
        <w:rPr>
          <w:rFonts w:hint="eastAsia" w:ascii="宋体" w:hAnsi="宋体" w:cs="宋体"/>
          <w:bCs/>
          <w:color w:val="auto"/>
          <w:sz w:val="24"/>
          <w:szCs w:val="24"/>
          <w:highlight w:val="none"/>
          <w:lang w:eastAsia="zh-CN"/>
        </w:rPr>
        <w:t>资格</w:t>
      </w:r>
      <w:r>
        <w:rPr>
          <w:rFonts w:hint="eastAsia" w:ascii="宋体" w:hAnsi="宋体" w:cs="宋体"/>
          <w:bCs/>
          <w:color w:val="auto"/>
          <w:sz w:val="24"/>
          <w:szCs w:val="24"/>
          <w:highlight w:val="none"/>
        </w:rPr>
        <w:t>等条件要求到达现场，如未按时到达，承包人应按5000元/人/天标准向发包人支付违约金。</w:t>
      </w:r>
    </w:p>
    <w:p w14:paraId="72F42D77">
      <w:pPr>
        <w:topLinePunct/>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投入本工程的安全负责人</w:t>
      </w:r>
      <w:r>
        <w:rPr>
          <w:rFonts w:hint="eastAsia" w:ascii="宋体" w:hAnsi="宋体" w:eastAsia="宋体" w:cs="宋体"/>
          <w:color w:val="auto"/>
          <w:sz w:val="24"/>
          <w:szCs w:val="24"/>
          <w:highlight w:val="none"/>
          <w:lang w:eastAsia="zh-CN"/>
        </w:rPr>
        <w:t>（安全总监）</w:t>
      </w:r>
      <w:r>
        <w:rPr>
          <w:rFonts w:hint="eastAsia" w:ascii="宋体" w:hAnsi="宋体" w:eastAsia="宋体" w:cs="宋体"/>
          <w:color w:val="auto"/>
          <w:sz w:val="24"/>
          <w:szCs w:val="24"/>
          <w:highlight w:val="none"/>
        </w:rPr>
        <w:t>为项目现场的安全直接责任人，不能与项目负责人或项目技术负责人为同一个人，在本工程开工至全部内容完工前，不得兼任其他工程的项目管理职责，若经发现核实，每次处以</w:t>
      </w:r>
      <w:r>
        <w:rPr>
          <w:rFonts w:hint="eastAsia" w:ascii="宋体" w:hAnsi="宋体" w:eastAsia="宋体" w:cs="宋体"/>
          <w:color w:val="auto"/>
          <w:sz w:val="24"/>
          <w:szCs w:val="24"/>
          <w:highlight w:val="none"/>
          <w:u w:val="single"/>
          <w:lang w:val="en-US" w:eastAsia="zh-CN"/>
        </w:rPr>
        <w:t>50</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w:t>
      </w:r>
    </w:p>
    <w:p w14:paraId="3CE621F5">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4.7 撤换承包人项目负责人和其他人员</w:t>
      </w:r>
    </w:p>
    <w:p w14:paraId="5BD9F76C">
      <w:pPr>
        <w:pStyle w:val="62"/>
        <w:topLinePunct/>
        <w:snapToGrid w:val="0"/>
        <w:spacing w:line="360" w:lineRule="auto"/>
        <w:ind w:left="0"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141981C5">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监理工程师或发包人现场负责人认为已委派的项目负责人、项目技术负责人或安全负责人的工作能力和业务水平不称职，经发包人同意而作出撤换要求的，承包人应在接到通知后，尽快撤回相应人员，同时委派经发包人与监理工程师同意的新的人选。否则将视为承包人违约，发包人有权按相关条款约定处以违约金，且发包人有权没收履约保证金。</w:t>
      </w:r>
    </w:p>
    <w:p w14:paraId="2FFA4B4E">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4.9 工程价款应专款专用</w:t>
      </w:r>
    </w:p>
    <w:p w14:paraId="0A87121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65AC7CB6">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支付的预付款、工程进度款应为本工程的专款专用资金，不得转移或用于其他工程。为保障项目建设资金专款专用，发包人委托国有商业银行或股份制商业银行的地市级支行或以上级别的银行对建设专项资金进行第三方资金监管，所有预付款、工程进度款均转入所签订的监管账户中，承包人使用工程款应报经发包人审核同意。发包人及其派出机构有权不定期对承包人工程资金使用情况进行检查，发现问题及时责令承包人限期改正，否则，将终止月支付，直至承包人改正为止。承包人应按不低于发包人工程款支付的比例支付相应的材料费、租赁费等工程款项。承包人所有在本工程发生的应付账款付清并提供相应资料给发包人核实后，监管账户余下的款项才能转回承包人的基本账户。本项目要求承包人签订《建设项目资金监管（托管）协议》，并按协议接受监管。</w:t>
      </w:r>
    </w:p>
    <w:p w14:paraId="71C5404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4.11不利物质条件</w:t>
      </w:r>
    </w:p>
    <w:p w14:paraId="5CE29B6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rPr>
      </w:pPr>
      <w:bookmarkStart w:id="37" w:name="_Toc24459"/>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4.11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bookmarkEnd w:id="37"/>
      <w:r>
        <w:rPr>
          <w:rFonts w:hint="eastAsia" w:ascii="宋体" w:hAnsi="宋体" w:eastAsia="宋体" w:cs="宋体"/>
          <w:b/>
          <w:color w:val="auto"/>
          <w:sz w:val="24"/>
          <w:szCs w:val="24"/>
          <w:highlight w:val="none"/>
          <w:lang w:eastAsia="zh-CN"/>
        </w:rPr>
        <w:t>：</w:t>
      </w:r>
    </w:p>
    <w:p w14:paraId="1DE3298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76541A99">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strike w:val="0"/>
          <w:color w:val="auto"/>
          <w:sz w:val="24"/>
          <w:szCs w:val="24"/>
          <w:highlight w:val="none"/>
        </w:rPr>
        <w:t>4.11.2 承包人遇到不利物质条件时，应采取适应不利物质条件的合理措施继续施工，并及时通知监理人。监理人应当及时发出指示，指示构成变更的，按第15条约定办理。</w:t>
      </w:r>
      <w:r>
        <w:rPr>
          <w:rFonts w:hint="eastAsia" w:ascii="宋体" w:hAnsi="宋体" w:eastAsia="宋体" w:cs="宋体"/>
          <w:color w:val="auto"/>
          <w:sz w:val="24"/>
          <w:szCs w:val="24"/>
          <w:highlight w:val="none"/>
        </w:rPr>
        <w:t>对于已经明确</w:t>
      </w:r>
      <w:r>
        <w:rPr>
          <w:rFonts w:hint="eastAsia" w:ascii="宋体" w:hAnsi="宋体" w:eastAsia="宋体" w:cs="宋体"/>
          <w:color w:val="auto"/>
          <w:sz w:val="24"/>
          <w:szCs w:val="24"/>
          <w:highlight w:val="none"/>
          <w:lang w:val="en-US" w:eastAsia="zh-CN"/>
        </w:rPr>
        <w:t>或未明确</w:t>
      </w:r>
      <w:r>
        <w:rPr>
          <w:rFonts w:hint="eastAsia" w:ascii="宋体" w:hAnsi="宋体" w:eastAsia="宋体" w:cs="宋体"/>
          <w:color w:val="auto"/>
          <w:sz w:val="24"/>
          <w:szCs w:val="24"/>
          <w:highlight w:val="none"/>
        </w:rPr>
        <w:t>指出的不利物质条件无论承包人是否有其经历和经验均视为承包人在接受合同时已预见其影响，并已在签约合同价中计入因其影响而可能发生的一切费用。</w:t>
      </w:r>
    </w:p>
    <w:p w14:paraId="4CF3CB33">
      <w:pPr>
        <w:spacing w:beforeLines="-2147483648" w:afterLines="-2147483648" w:line="360" w:lineRule="auto"/>
        <w:ind w:firstLine="480" w:firstLineChars="200"/>
        <w:jc w:val="both"/>
        <w:outlineLvl w:val="1"/>
        <w:rPr>
          <w:rFonts w:hint="eastAsia" w:ascii="宋体" w:hAnsi="宋体" w:eastAsia="宋体" w:cs="宋体"/>
          <w:b/>
          <w:bCs w:val="0"/>
          <w:color w:val="auto"/>
          <w:sz w:val="24"/>
          <w:szCs w:val="24"/>
          <w:highlight w:val="none"/>
        </w:rPr>
      </w:pPr>
      <w:bookmarkStart w:id="38" w:name="_Toc26233_WPSOffice_Level2"/>
      <w:bookmarkStart w:id="39" w:name="_Toc22321_WPSOffice_Level2"/>
      <w:bookmarkStart w:id="40" w:name="_Toc3026"/>
      <w:bookmarkStart w:id="41" w:name="_Toc14212"/>
      <w:r>
        <w:rPr>
          <w:rFonts w:hint="eastAsia" w:ascii="宋体" w:hAnsi="宋体" w:eastAsia="宋体" w:cs="宋体"/>
          <w:b/>
          <w:bCs w:val="0"/>
          <w:color w:val="auto"/>
          <w:sz w:val="24"/>
          <w:szCs w:val="24"/>
          <w:highlight w:val="none"/>
        </w:rPr>
        <w:t>5．材料和工程设备</w:t>
      </w:r>
      <w:bookmarkEnd w:id="38"/>
      <w:bookmarkEnd w:id="39"/>
      <w:bookmarkEnd w:id="40"/>
      <w:bookmarkEnd w:id="41"/>
    </w:p>
    <w:p w14:paraId="7FEC3D2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5.1 承包人提供的材料和工程设备</w:t>
      </w:r>
    </w:p>
    <w:p w14:paraId="39FBB626">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 承包人应报送各项材料和工程设备的供货人及品种、规格、数量和供货时间的约定：承包人应在订货或采购前，将各项材料和工程设备的供货人及品种、规格、数量和供货时间等报送监理人审批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或监理人审核、</w:t>
      </w:r>
      <w:r>
        <w:rPr>
          <w:rFonts w:hint="eastAsia" w:ascii="宋体" w:hAnsi="宋体" w:eastAsia="宋体" w:cs="宋体"/>
          <w:color w:val="auto"/>
          <w:sz w:val="24"/>
          <w:szCs w:val="24"/>
          <w:highlight w:val="none"/>
        </w:rPr>
        <w:t>发包人审</w:t>
      </w:r>
      <w:r>
        <w:rPr>
          <w:rFonts w:hint="eastAsia" w:ascii="宋体" w:hAnsi="宋体" w:eastAsia="宋体" w:cs="宋体"/>
          <w:color w:val="auto"/>
          <w:sz w:val="24"/>
          <w:szCs w:val="24"/>
          <w:highlight w:val="none"/>
          <w:lang w:val="en-US" w:eastAsia="zh-CN"/>
        </w:rPr>
        <w:t>批</w:t>
      </w:r>
      <w:r>
        <w:rPr>
          <w:rFonts w:hint="eastAsia" w:ascii="宋体" w:hAnsi="宋体" w:eastAsia="宋体" w:cs="宋体"/>
          <w:color w:val="auto"/>
          <w:sz w:val="24"/>
          <w:szCs w:val="24"/>
          <w:highlight w:val="none"/>
        </w:rPr>
        <w:t>。具体按《北江航道扩能升级上延工程水运工程物资设备管理细则》执行。</w:t>
      </w:r>
    </w:p>
    <w:p w14:paraId="606E44A0">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船闸工程涉及的金属结构、机电设备生产制造安装，因专业性较强，行业管理等特殊性（如船闸金属结构制造生产、外接供电电源、供水、消防等专项工程），承包人</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专业分包</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，应按照《北江航道上延工程水运工程分包管理实施细则》执行，承包人应在选择分包人前制定分包方案，明确分包人的资质、业绩、主要技术等报发包人审批同意后</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分包，其中拟分包专项工程费用按签订合同价作为控制价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承包人不得以明显低于市场价选择</w:t>
      </w:r>
      <w:r>
        <w:rPr>
          <w:rFonts w:hint="eastAsia" w:ascii="宋体" w:hAnsi="宋体" w:eastAsia="宋体" w:cs="宋体"/>
          <w:color w:val="auto"/>
          <w:sz w:val="24"/>
          <w:szCs w:val="24"/>
          <w:highlight w:val="none"/>
        </w:rPr>
        <w:t>供货人。</w:t>
      </w:r>
    </w:p>
    <w:p w14:paraId="6C6C7CE4">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对外委生产制造的物资设备采购前，应将供货人及品种、技术要求、规格、数量等报送发包人审批同意。承包人并应接受监理人专业监理工程师驻场监造的管理，金属结构、机电设备等物资设备具备出厂验收条件后，应向监理人提出申请出厂验收，由监理人组织设备出厂验收会议。</w:t>
      </w:r>
    </w:p>
    <w:p w14:paraId="01427723">
      <w:pPr>
        <w:pStyle w:val="9"/>
        <w:rPr>
          <w:rFonts w:hint="eastAsia" w:ascii="宋体" w:hAnsi="宋体" w:eastAsia="宋体" w:cs="宋体"/>
          <w:b/>
          <w:color w:val="auto"/>
          <w:kern w:val="2"/>
          <w:sz w:val="24"/>
          <w:szCs w:val="24"/>
          <w:highlight w:val="none"/>
        </w:rPr>
      </w:pPr>
      <w:r>
        <w:rPr>
          <w:rFonts w:hint="eastAsia" w:ascii="宋体" w:hAnsi="宋体" w:eastAsia="宋体" w:cs="宋体"/>
          <w:b/>
          <w:color w:val="auto"/>
          <w:sz w:val="24"/>
          <w:szCs w:val="24"/>
          <w:highlight w:val="none"/>
        </w:rPr>
        <w:t>5.2 发包人提供的材料和工程设备</w:t>
      </w:r>
    </w:p>
    <w:p w14:paraId="39512D74">
      <w:pPr>
        <w:spacing w:line="360" w:lineRule="auto"/>
        <w:ind w:firstLine="482"/>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5.2.1 本合同发包人</w:t>
      </w:r>
      <w:r>
        <w:rPr>
          <w:rFonts w:hint="eastAsia" w:ascii="宋体" w:hAnsi="宋体" w:eastAsia="宋体" w:cs="宋体"/>
          <w:color w:val="auto"/>
          <w:sz w:val="24"/>
          <w:szCs w:val="24"/>
          <w:highlight w:val="none"/>
          <w:lang w:val="en-US" w:eastAsia="zh-CN"/>
        </w:rPr>
        <w:t>除液压启闭机外，不</w:t>
      </w:r>
      <w:r>
        <w:rPr>
          <w:rFonts w:hint="eastAsia"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val="en-US" w:eastAsia="zh-CN"/>
        </w:rPr>
        <w:t>其他</w:t>
      </w:r>
      <w:r>
        <w:rPr>
          <w:rFonts w:hint="default" w:ascii="宋体" w:hAnsi="宋体" w:eastAsia="宋体" w:cs="宋体"/>
          <w:color w:val="auto"/>
          <w:sz w:val="24"/>
          <w:szCs w:val="24"/>
          <w:highlight w:val="none"/>
          <w:lang w:val="en-US"/>
        </w:rPr>
        <w:t>材料和工程设备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液压启闭机设备</w:t>
      </w:r>
      <w:r>
        <w:rPr>
          <w:rFonts w:hint="eastAsia" w:ascii="宋体" w:hAnsi="宋体" w:eastAsia="宋体" w:cs="宋体"/>
          <w:color w:val="auto"/>
          <w:sz w:val="24"/>
          <w:szCs w:val="24"/>
          <w:highlight w:val="none"/>
          <w:lang w:val="en-US" w:eastAsia="zh-CN"/>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lang w:val="en-US" w:eastAsia="zh-CN"/>
        </w:rPr>
        <w:t>依法</w:t>
      </w:r>
      <w:r>
        <w:rPr>
          <w:rFonts w:hint="eastAsia" w:ascii="宋体" w:hAnsi="宋体" w:eastAsia="宋体" w:cs="宋体"/>
          <w:color w:val="auto"/>
          <w:sz w:val="24"/>
          <w:szCs w:val="24"/>
          <w:highlight w:val="none"/>
          <w:lang w:eastAsia="zh-CN"/>
        </w:rPr>
        <w:t>选取供货单位，并由供货单位向承包人交付液压启闭机，承包人负责液压启闭机</w:t>
      </w:r>
      <w:r>
        <w:rPr>
          <w:rFonts w:hint="eastAsia" w:ascii="宋体" w:hAnsi="宋体" w:eastAsia="宋体" w:cs="宋体"/>
          <w:color w:val="auto"/>
          <w:sz w:val="24"/>
          <w:szCs w:val="24"/>
          <w:highlight w:val="none"/>
          <w:lang w:val="en-US" w:eastAsia="zh-CN"/>
        </w:rPr>
        <w:t>交付后的保存保管、</w:t>
      </w:r>
      <w:r>
        <w:rPr>
          <w:rFonts w:hint="eastAsia" w:ascii="宋体" w:hAnsi="宋体" w:eastAsia="宋体" w:cs="宋体"/>
          <w:color w:val="auto"/>
          <w:sz w:val="24"/>
          <w:szCs w:val="24"/>
          <w:highlight w:val="none"/>
          <w:lang w:eastAsia="zh-CN"/>
        </w:rPr>
        <w:t>安装调试。</w:t>
      </w:r>
    </w:p>
    <w:p w14:paraId="42F34CF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2" w:name="_Toc15658"/>
      <w:bookmarkStart w:id="43" w:name="_Toc15993_WPSOffice_Level2"/>
      <w:bookmarkStart w:id="44" w:name="_Toc60"/>
      <w:bookmarkStart w:id="45" w:name="_Toc15653_WPSOffice_Level2"/>
      <w:r>
        <w:rPr>
          <w:rFonts w:hint="eastAsia" w:ascii="宋体" w:hAnsi="宋体" w:eastAsia="宋体" w:cs="宋体"/>
          <w:color w:val="auto"/>
          <w:sz w:val="24"/>
          <w:szCs w:val="24"/>
          <w:highlight w:val="none"/>
        </w:rPr>
        <w:t>6．施工设备和临时设施</w:t>
      </w:r>
      <w:bookmarkEnd w:id="42"/>
      <w:bookmarkEnd w:id="43"/>
      <w:bookmarkEnd w:id="44"/>
      <w:bookmarkEnd w:id="45"/>
    </w:p>
    <w:p w14:paraId="00C950DC">
      <w:pPr>
        <w:spacing w:line="360" w:lineRule="auto"/>
        <w:ind w:firstLine="480" w:firstLineChars="200"/>
        <w:outlineLvl w:val="3"/>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6.1 承包人提供的施工设备和临时设施</w:t>
      </w:r>
    </w:p>
    <w:p w14:paraId="19DEF0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增加以下内容</w:t>
      </w:r>
      <w:r>
        <w:rPr>
          <w:rFonts w:hint="eastAsia" w:ascii="宋体" w:hAnsi="宋体" w:eastAsia="宋体" w:cs="宋体"/>
          <w:b/>
          <w:color w:val="auto"/>
          <w:sz w:val="24"/>
          <w:szCs w:val="24"/>
          <w:highlight w:val="none"/>
        </w:rPr>
        <w:t>：</w:t>
      </w:r>
    </w:p>
    <w:p w14:paraId="2BBB80D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承包人的进场</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设备必须满足安全生产</w:t>
      </w:r>
      <w:r>
        <w:rPr>
          <w:rFonts w:hint="eastAsia" w:ascii="宋体" w:hAnsi="宋体" w:eastAsia="宋体" w:cs="宋体"/>
          <w:bCs/>
          <w:color w:val="auto"/>
          <w:sz w:val="24"/>
          <w:szCs w:val="24"/>
          <w:highlight w:val="none"/>
          <w:lang w:val="en-US" w:eastAsia="zh-CN"/>
        </w:rPr>
        <w:t>及施工进度的</w:t>
      </w:r>
      <w:r>
        <w:rPr>
          <w:rFonts w:hint="eastAsia" w:ascii="宋体" w:hAnsi="宋体" w:eastAsia="宋体" w:cs="宋体"/>
          <w:bCs/>
          <w:color w:val="auto"/>
          <w:sz w:val="24"/>
          <w:szCs w:val="24"/>
          <w:highlight w:val="none"/>
        </w:rPr>
        <w:t>相关要求，在</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设备进场前需报监理</w:t>
      </w:r>
      <w:r>
        <w:rPr>
          <w:rFonts w:hint="eastAsia" w:ascii="宋体" w:hAnsi="宋体" w:eastAsia="宋体" w:cs="宋体"/>
          <w:bCs/>
          <w:color w:val="auto"/>
          <w:sz w:val="24"/>
          <w:szCs w:val="24"/>
          <w:highlight w:val="none"/>
          <w:lang w:eastAsia="zh-CN"/>
        </w:rPr>
        <w:t>人</w:t>
      </w:r>
      <w:r>
        <w:rPr>
          <w:rFonts w:hint="eastAsia" w:ascii="宋体" w:hAnsi="宋体" w:eastAsia="宋体" w:cs="宋体"/>
          <w:bCs/>
          <w:color w:val="auto"/>
          <w:sz w:val="24"/>
          <w:szCs w:val="24"/>
          <w:highlight w:val="none"/>
        </w:rPr>
        <w:t>核查同意</w:t>
      </w:r>
      <w:r>
        <w:rPr>
          <w:rFonts w:hint="eastAsia" w:ascii="宋体" w:hAnsi="宋体" w:eastAsia="宋体" w:cs="宋体"/>
          <w:color w:val="auto"/>
          <w:sz w:val="24"/>
          <w:szCs w:val="24"/>
          <w:highlight w:val="none"/>
        </w:rPr>
        <w:t>批准</w:t>
      </w:r>
      <w:r>
        <w:rPr>
          <w:rFonts w:hint="eastAsia" w:ascii="宋体" w:hAnsi="宋体" w:eastAsia="宋体" w:cs="宋体"/>
          <w:bCs/>
          <w:color w:val="auto"/>
          <w:sz w:val="24"/>
          <w:szCs w:val="24"/>
          <w:highlight w:val="none"/>
        </w:rPr>
        <w:t>后才能投入，</w:t>
      </w:r>
      <w:r>
        <w:rPr>
          <w:rFonts w:hint="eastAsia" w:ascii="宋体" w:hAnsi="宋体" w:eastAsia="宋体" w:cs="宋体"/>
          <w:bCs/>
          <w:color w:val="auto"/>
          <w:sz w:val="24"/>
          <w:szCs w:val="24"/>
          <w:highlight w:val="none"/>
          <w:lang w:eastAsia="zh-CN"/>
        </w:rPr>
        <w:t>属于特种作业设备的，应具备有关检验部门的合格证且在有效期内，属船舶设备的，</w:t>
      </w:r>
      <w:r>
        <w:rPr>
          <w:rFonts w:hint="eastAsia" w:ascii="宋体" w:hAnsi="宋体" w:eastAsia="宋体" w:cs="宋体"/>
          <w:color w:val="auto"/>
          <w:sz w:val="24"/>
          <w:szCs w:val="24"/>
          <w:highlight w:val="none"/>
          <w:lang w:eastAsia="zh-CN"/>
        </w:rPr>
        <w:t>船舶须符合海事管理部门要求，办妥船舶进出港手续，遵守海事部门关于航行、船舶安全等方面的管理规定，接受</w:t>
      </w:r>
      <w:r>
        <w:rPr>
          <w:rFonts w:hint="eastAsia" w:ascii="宋体" w:hAnsi="宋体" w:eastAsia="宋体" w:cs="宋体"/>
          <w:bCs/>
          <w:color w:val="auto"/>
          <w:sz w:val="24"/>
          <w:szCs w:val="24"/>
          <w:highlight w:val="none"/>
        </w:rPr>
        <w:t>发包人、监理人</w:t>
      </w:r>
      <w:r>
        <w:rPr>
          <w:rFonts w:hint="eastAsia" w:ascii="宋体" w:hAnsi="宋体" w:eastAsia="宋体" w:cs="宋体"/>
          <w:bCs/>
          <w:color w:val="auto"/>
          <w:sz w:val="24"/>
          <w:szCs w:val="24"/>
          <w:highlight w:val="none"/>
          <w:lang w:eastAsia="zh-CN"/>
        </w:rPr>
        <w:t>和</w:t>
      </w:r>
      <w:r>
        <w:rPr>
          <w:rFonts w:hint="eastAsia" w:ascii="宋体" w:hAnsi="宋体" w:eastAsia="宋体" w:cs="宋体"/>
          <w:color w:val="auto"/>
          <w:sz w:val="24"/>
          <w:szCs w:val="24"/>
          <w:highlight w:val="none"/>
          <w:lang w:eastAsia="zh-CN"/>
        </w:rPr>
        <w:t>海事部门的监督、管理。</w:t>
      </w:r>
      <w:r>
        <w:rPr>
          <w:rFonts w:hint="eastAsia" w:ascii="宋体" w:hAnsi="宋体" w:eastAsia="宋体" w:cs="宋体"/>
          <w:bCs/>
          <w:color w:val="auto"/>
          <w:sz w:val="24"/>
          <w:szCs w:val="24"/>
          <w:highlight w:val="none"/>
        </w:rPr>
        <w:t>若违反相关</w:t>
      </w:r>
      <w:r>
        <w:rPr>
          <w:rFonts w:hint="eastAsia" w:ascii="宋体" w:hAnsi="宋体" w:eastAsia="宋体" w:cs="宋体"/>
          <w:bCs/>
          <w:color w:val="auto"/>
          <w:sz w:val="24"/>
          <w:szCs w:val="24"/>
          <w:highlight w:val="none"/>
          <w:lang w:eastAsia="zh-CN"/>
        </w:rPr>
        <w:t>法律法规和</w:t>
      </w:r>
      <w:r>
        <w:rPr>
          <w:rFonts w:hint="eastAsia" w:ascii="宋体" w:hAnsi="宋体" w:eastAsia="宋体" w:cs="宋体"/>
          <w:bCs/>
          <w:color w:val="auto"/>
          <w:sz w:val="24"/>
          <w:szCs w:val="24"/>
          <w:highlight w:val="none"/>
        </w:rPr>
        <w:t>管理制度，则承包人承担全部责任并接受发包人、监理人依规进行处理。</w:t>
      </w:r>
    </w:p>
    <w:p w14:paraId="34BFDB4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若承包人投入的</w:t>
      </w:r>
      <w:r>
        <w:rPr>
          <w:rFonts w:hint="eastAsia" w:ascii="宋体" w:hAnsi="宋体" w:eastAsia="宋体" w:cs="宋体"/>
          <w:bCs/>
          <w:color w:val="auto"/>
          <w:sz w:val="24"/>
          <w:szCs w:val="24"/>
          <w:highlight w:val="none"/>
          <w:lang w:eastAsia="zh-CN"/>
        </w:rPr>
        <w:t>设备</w:t>
      </w:r>
      <w:r>
        <w:rPr>
          <w:rFonts w:hint="eastAsia" w:ascii="宋体" w:hAnsi="宋体" w:eastAsia="宋体" w:cs="宋体"/>
          <w:bCs/>
          <w:color w:val="auto"/>
          <w:sz w:val="24"/>
          <w:szCs w:val="24"/>
          <w:highlight w:val="none"/>
        </w:rPr>
        <w:t>不足以保证计划工期实现的，在施工过程中，承包人须按发包人要求增加符合设计施工工艺对应的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w:t>
      </w:r>
      <w:r>
        <w:rPr>
          <w:rFonts w:hint="eastAsia" w:ascii="宋体" w:hAnsi="宋体" w:eastAsia="宋体" w:cs="宋体"/>
          <w:bCs/>
          <w:color w:val="auto"/>
          <w:sz w:val="24"/>
          <w:szCs w:val="24"/>
          <w:highlight w:val="none"/>
          <w:lang w:eastAsia="zh-CN"/>
        </w:rPr>
        <w:t>施工设备</w:t>
      </w:r>
      <w:r>
        <w:rPr>
          <w:rFonts w:hint="eastAsia" w:ascii="宋体" w:hAnsi="宋体" w:eastAsia="宋体" w:cs="宋体"/>
          <w:bCs/>
          <w:color w:val="auto"/>
          <w:sz w:val="24"/>
          <w:szCs w:val="24"/>
          <w:highlight w:val="none"/>
        </w:rPr>
        <w:t>的型号规格、进退场时间等均按发包人要求，有关所有费用全部包含在承包人的</w:t>
      </w:r>
      <w:r>
        <w:rPr>
          <w:rFonts w:hint="eastAsia" w:ascii="宋体" w:hAnsi="宋体" w:eastAsia="宋体" w:cs="宋体"/>
          <w:bCs/>
          <w:color w:val="auto"/>
          <w:sz w:val="24"/>
          <w:szCs w:val="24"/>
          <w:highlight w:val="none"/>
          <w:lang w:eastAsia="zh-CN"/>
        </w:rPr>
        <w:t>合同总价</w:t>
      </w:r>
      <w:r>
        <w:rPr>
          <w:rFonts w:hint="eastAsia" w:ascii="宋体" w:hAnsi="宋体" w:eastAsia="宋体" w:cs="宋体"/>
          <w:bCs/>
          <w:color w:val="auto"/>
          <w:sz w:val="24"/>
          <w:szCs w:val="24"/>
          <w:highlight w:val="none"/>
        </w:rPr>
        <w:t>之内。</w:t>
      </w:r>
    </w:p>
    <w:p w14:paraId="5A43C4B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若承包人在投入自有施工设备外，所投入的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设备为采用租赁方式的，</w:t>
      </w:r>
      <w:r>
        <w:rPr>
          <w:rFonts w:hint="eastAsia" w:ascii="宋体" w:hAnsi="宋体" w:eastAsia="宋体" w:cs="宋体"/>
          <w:bCs/>
          <w:color w:val="auto"/>
          <w:sz w:val="24"/>
          <w:szCs w:val="24"/>
          <w:highlight w:val="none"/>
          <w:lang w:eastAsia="zh-CN"/>
        </w:rPr>
        <w:t>属于</w:t>
      </w:r>
      <w:r>
        <w:rPr>
          <w:rFonts w:hint="eastAsia" w:ascii="宋体" w:hAnsi="宋体" w:eastAsia="宋体" w:cs="宋体"/>
          <w:bCs/>
          <w:color w:val="auto"/>
          <w:sz w:val="24"/>
          <w:szCs w:val="24"/>
          <w:highlight w:val="none"/>
        </w:rPr>
        <w:t>租赁船舶</w:t>
      </w:r>
      <w:r>
        <w:rPr>
          <w:rFonts w:hint="eastAsia" w:ascii="宋体" w:hAnsi="宋体" w:eastAsia="宋体" w:cs="宋体"/>
          <w:bCs/>
          <w:color w:val="auto"/>
          <w:sz w:val="24"/>
          <w:szCs w:val="24"/>
          <w:highlight w:val="none"/>
          <w:lang w:eastAsia="zh-CN"/>
        </w:rPr>
        <w:t>的，船舶</w:t>
      </w:r>
      <w:r>
        <w:rPr>
          <w:rFonts w:hint="eastAsia" w:ascii="宋体" w:hAnsi="宋体" w:eastAsia="宋体" w:cs="宋体"/>
          <w:bCs/>
          <w:color w:val="auto"/>
          <w:sz w:val="24"/>
          <w:szCs w:val="24"/>
          <w:highlight w:val="none"/>
        </w:rPr>
        <w:t>必须为租赁协议的出租方所有（船舶有效证件的所有人的名字需与出租方一致），租赁协议必须经监理人审核并报发包人批准，设备方可投入使用。</w:t>
      </w:r>
    </w:p>
    <w:p w14:paraId="4BF4DBC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6.1.2</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p>
    <w:p w14:paraId="1DCE6B2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承包人应自行承担修建临时设施的费用，需要临时占地的，应由承包人自行办理申请手续并</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承担相应费用</w:t>
      </w:r>
      <w:r>
        <w:rPr>
          <w:rFonts w:hint="eastAsia" w:ascii="宋体" w:hAnsi="宋体" w:eastAsia="宋体" w:cs="宋体"/>
          <w:color w:val="auto"/>
          <w:sz w:val="24"/>
          <w:szCs w:val="24"/>
          <w:highlight w:val="none"/>
          <w:lang w:eastAsia="zh-CN"/>
        </w:rPr>
        <w:t>。</w:t>
      </w:r>
    </w:p>
    <w:p w14:paraId="58A868C5">
      <w:pPr>
        <w:pStyle w:val="12"/>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kern w:val="0"/>
          <w:sz w:val="24"/>
          <w:szCs w:val="24"/>
          <w:highlight w:val="none"/>
        </w:rPr>
        <w:t>通用条款本款增加6.1.3项</w:t>
      </w:r>
      <w:r>
        <w:rPr>
          <w:rFonts w:hint="eastAsia" w:ascii="宋体" w:hAnsi="宋体" w:eastAsia="宋体" w:cs="宋体"/>
          <w:b/>
          <w:color w:val="auto"/>
          <w:kern w:val="0"/>
          <w:sz w:val="24"/>
          <w:szCs w:val="24"/>
          <w:highlight w:val="none"/>
          <w:lang w:eastAsia="zh-CN"/>
        </w:rPr>
        <w:t>的内容</w:t>
      </w:r>
      <w:r>
        <w:rPr>
          <w:rFonts w:hint="eastAsia" w:ascii="宋体" w:hAnsi="宋体" w:eastAsia="宋体" w:cs="宋体"/>
          <w:color w:val="auto"/>
          <w:sz w:val="24"/>
          <w:szCs w:val="24"/>
          <w:highlight w:val="none"/>
          <w:lang w:eastAsia="zh-CN"/>
        </w:rPr>
        <w:t>：</w:t>
      </w:r>
    </w:p>
    <w:p w14:paraId="241AAA5E">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承包人投入的施工</w:t>
      </w:r>
      <w:r>
        <w:rPr>
          <w:rFonts w:hint="eastAsia" w:ascii="宋体" w:hAnsi="宋体" w:eastAsia="宋体" w:cs="宋体"/>
          <w:color w:val="auto"/>
          <w:sz w:val="24"/>
          <w:szCs w:val="24"/>
          <w:highlight w:val="none"/>
          <w:lang w:eastAsia="zh-CN"/>
        </w:rPr>
        <w:t>设备</w:t>
      </w:r>
      <w:r>
        <w:rPr>
          <w:rFonts w:hint="eastAsia" w:ascii="宋体" w:hAnsi="宋体" w:eastAsia="宋体" w:cs="宋体"/>
          <w:color w:val="auto"/>
          <w:sz w:val="24"/>
          <w:szCs w:val="24"/>
          <w:highlight w:val="none"/>
        </w:rPr>
        <w:t>如未按时到位，发包人有权对承包人处以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万元/天</w:t>
      </w:r>
      <w:r>
        <w:rPr>
          <w:rFonts w:hint="eastAsia" w:ascii="宋体" w:hAnsi="宋体" w:eastAsia="宋体" w:cs="宋体"/>
          <w:color w:val="auto"/>
          <w:sz w:val="24"/>
          <w:szCs w:val="24"/>
          <w:highlight w:val="none"/>
        </w:rPr>
        <w:t>。同时，</w:t>
      </w:r>
      <w:r>
        <w:rPr>
          <w:rFonts w:hint="eastAsia" w:ascii="宋体" w:hAnsi="宋体" w:eastAsia="宋体" w:cs="宋体"/>
          <w:color w:val="auto"/>
          <w:kern w:val="0"/>
          <w:sz w:val="24"/>
          <w:szCs w:val="24"/>
          <w:highlight w:val="none"/>
        </w:rPr>
        <w:t>视为承包人违约，发包人有权按专用条款22.1项约定处以违约金，承包人应赔偿发包人因该事项造成的所有损失，且发包人有权没收履约保证金。</w:t>
      </w:r>
    </w:p>
    <w:p w14:paraId="71B43AB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6.2 发包人提供的施工设备和临时设施</w:t>
      </w:r>
    </w:p>
    <w:p w14:paraId="7063383C">
      <w:pPr>
        <w:autoSpaceDE w:val="0"/>
        <w:autoSpaceDN w:val="0"/>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本合同发包人不提供施工设备和临时设施。</w:t>
      </w:r>
    </w:p>
    <w:p w14:paraId="5D7105B6">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6" w:name="_Toc4823_WPSOffice_Level2"/>
      <w:bookmarkStart w:id="47" w:name="_Toc7468"/>
      <w:bookmarkStart w:id="48" w:name="_Toc16538_WPSOffice_Level2"/>
      <w:bookmarkStart w:id="49" w:name="_Toc13062"/>
      <w:r>
        <w:rPr>
          <w:rFonts w:hint="eastAsia" w:ascii="宋体" w:hAnsi="宋体" w:eastAsia="宋体" w:cs="宋体"/>
          <w:color w:val="auto"/>
          <w:sz w:val="24"/>
          <w:szCs w:val="24"/>
          <w:highlight w:val="none"/>
        </w:rPr>
        <w:t>7．交通运输</w:t>
      </w:r>
      <w:bookmarkEnd w:id="46"/>
      <w:bookmarkEnd w:id="47"/>
      <w:bookmarkEnd w:id="48"/>
      <w:bookmarkEnd w:id="49"/>
    </w:p>
    <w:p w14:paraId="5E5A70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lang w:val="en-US" w:eastAsia="zh-CN"/>
        </w:rPr>
        <w:t>7.1款不适用于本合同，代之以：</w:t>
      </w:r>
    </w:p>
    <w:p w14:paraId="73392C89">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7.1 </w:t>
      </w:r>
      <w:r>
        <w:rPr>
          <w:rFonts w:hint="eastAsia" w:ascii="宋体" w:hAnsi="宋体" w:eastAsia="宋体" w:cs="宋体"/>
          <w:b/>
          <w:color w:val="auto"/>
          <w:sz w:val="24"/>
          <w:szCs w:val="24"/>
          <w:highlight w:val="none"/>
        </w:rPr>
        <w:t>道路通行权和场外设施</w:t>
      </w:r>
    </w:p>
    <w:p w14:paraId="7D9345BA">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6DE8123C">
      <w:pPr>
        <w:spacing w:line="360" w:lineRule="auto"/>
        <w:ind w:firstLine="48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7.4</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超大件和超重件的运输</w:t>
      </w:r>
    </w:p>
    <w:p w14:paraId="05457B1E">
      <w:pPr>
        <w:spacing w:line="360" w:lineRule="auto"/>
        <w:ind w:firstLine="480" w:firstLineChars="0"/>
        <w:jc w:val="both"/>
        <w:rPr>
          <w:rFonts w:hint="eastAsia" w:asciiTheme="minorEastAsia" w:hAnsiTheme="minorEastAsia" w:eastAsiaTheme="minorEastAsia" w:cstheme="minorEastAsia"/>
          <w:b w:val="0"/>
          <w:bCs w:val="0"/>
          <w:color w:val="auto"/>
          <w:sz w:val="24"/>
          <w:szCs w:val="24"/>
          <w:highlight w:val="none"/>
        </w:rPr>
      </w:pPr>
      <w:r>
        <w:rPr>
          <w:rFonts w:hint="eastAsia" w:ascii="宋体" w:hAnsi="宋体" w:eastAsia="宋体" w:cs="宋体"/>
          <w:color w:val="auto"/>
          <w:sz w:val="24"/>
          <w:szCs w:val="24"/>
          <w:highlight w:val="none"/>
        </w:rPr>
        <w:t>7.4.1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超大、超宽、超重物件的运输：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承包人自行根据施工需要确定，并经监理人</w:t>
      </w:r>
      <w:r>
        <w:rPr>
          <w:rFonts w:hint="default" w:ascii="宋体" w:hAnsi="宋体" w:eastAsia="宋体" w:cs="宋体"/>
          <w:color w:val="auto"/>
          <w:sz w:val="24"/>
          <w:szCs w:val="24"/>
          <w:highlight w:val="none"/>
          <w:u w:val="single"/>
          <w:lang w:val="en-US" w:eastAsia="zh-CN"/>
        </w:rPr>
        <w:t>同意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本项工作</w:t>
      </w:r>
      <w:r>
        <w:rPr>
          <w:rFonts w:hint="eastAsia" w:ascii="宋体" w:hAnsi="宋体" w:eastAsia="宋体" w:cs="宋体"/>
          <w:color w:val="auto"/>
          <w:sz w:val="24"/>
          <w:szCs w:val="24"/>
          <w:highlight w:val="none"/>
          <w:lang w:val="en-US" w:eastAsia="zh-CN"/>
        </w:rPr>
        <w:t>所需费用已包含在</w:t>
      </w:r>
      <w:r>
        <w:rPr>
          <w:rFonts w:hint="eastAsia" w:ascii="宋体" w:hAnsi="宋体" w:eastAsia="宋体" w:cs="宋体"/>
          <w:color w:val="auto"/>
          <w:sz w:val="24"/>
          <w:szCs w:val="24"/>
          <w:highlight w:val="none"/>
          <w:lang w:eastAsia="zh-CN"/>
        </w:rPr>
        <w:t>合同总价中，相关</w:t>
      </w:r>
      <w:r>
        <w:rPr>
          <w:rFonts w:hint="eastAsia" w:ascii="宋体" w:hAnsi="宋体" w:eastAsia="宋体" w:cs="宋体"/>
          <w:color w:val="auto"/>
          <w:sz w:val="24"/>
          <w:szCs w:val="24"/>
          <w:highlight w:val="none"/>
        </w:rPr>
        <w:t>责任由承包人</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w:t>
      </w:r>
    </w:p>
    <w:p w14:paraId="4EA5ED3C">
      <w:pPr>
        <w:pStyle w:val="9"/>
        <w:rPr>
          <w:rFonts w:hint="eastAsia"/>
          <w:color w:val="auto"/>
          <w:highlight w:val="none"/>
        </w:rPr>
      </w:pPr>
    </w:p>
    <w:p w14:paraId="3D1803E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0" w:name="_Toc26738"/>
      <w:bookmarkStart w:id="51" w:name="_Toc29639_WPSOffice_Level2"/>
      <w:bookmarkStart w:id="52" w:name="_Toc7999_WPSOffice_Level2"/>
      <w:bookmarkStart w:id="53" w:name="_Toc16003"/>
      <w:r>
        <w:rPr>
          <w:rFonts w:hint="eastAsia" w:ascii="宋体" w:hAnsi="宋体" w:eastAsia="宋体" w:cs="宋体"/>
          <w:color w:val="auto"/>
          <w:sz w:val="24"/>
          <w:szCs w:val="24"/>
          <w:highlight w:val="none"/>
        </w:rPr>
        <w:t>8．测量放线</w:t>
      </w:r>
      <w:bookmarkEnd w:id="50"/>
      <w:bookmarkEnd w:id="51"/>
      <w:bookmarkEnd w:id="52"/>
      <w:bookmarkEnd w:id="53"/>
    </w:p>
    <w:p w14:paraId="32C25E5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 施工控制网</w:t>
      </w:r>
    </w:p>
    <w:p w14:paraId="0F69B8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 发包人通过监理人通知设计单位提供测量基准点、基准线和水准点及其书面资料的期限：计划开工日期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7530A5D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承包人报送施工控制网资料的期限：计划开工日期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7A57EB4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4" w:name="_Toc2546_WPSOffice_Level2"/>
      <w:bookmarkStart w:id="55" w:name="_Toc9503"/>
      <w:bookmarkStart w:id="56" w:name="_Toc203_WPSOffice_Level2"/>
      <w:bookmarkStart w:id="57" w:name="_Toc6587"/>
      <w:r>
        <w:rPr>
          <w:rFonts w:hint="eastAsia" w:ascii="宋体" w:hAnsi="宋体" w:eastAsia="宋体" w:cs="宋体"/>
          <w:color w:val="auto"/>
          <w:sz w:val="24"/>
          <w:szCs w:val="24"/>
          <w:highlight w:val="none"/>
        </w:rPr>
        <w:t>9．施工安全、治安保卫和环境保护</w:t>
      </w:r>
      <w:bookmarkEnd w:id="54"/>
      <w:bookmarkEnd w:id="55"/>
      <w:bookmarkEnd w:id="56"/>
      <w:bookmarkEnd w:id="57"/>
    </w:p>
    <w:p w14:paraId="73DD275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9.1 发包人的施工安全责任</w:t>
      </w:r>
    </w:p>
    <w:p w14:paraId="072EABBD">
      <w:pPr>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9.1.1 发包人的安全职责：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及合同约定履行安全监督职责，授权监理人按合同约定的安全工作内容监督管理、检查承包人安全工作的实施，组织承包人和有关单位进行安全检查。</w:t>
      </w:r>
    </w:p>
    <w:p w14:paraId="2A9059D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9.2 承包人的施工安全责任</w:t>
      </w:r>
    </w:p>
    <w:p w14:paraId="711C9D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 承包人的安全职责：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w:t>
      </w:r>
      <w:r>
        <w:rPr>
          <w:rFonts w:hint="eastAsia" w:ascii="宋体" w:hAnsi="宋体" w:eastAsia="宋体" w:cs="宋体"/>
          <w:color w:val="auto"/>
          <w:sz w:val="24"/>
          <w:szCs w:val="24"/>
          <w:highlight w:val="none"/>
        </w:rPr>
        <w:t>执行。承包人应按《公路水运工程安全生产监督管理办法》的要求，设立安全生产管理机构，配备专职安全生产管理人员。承包人应当根据工程施工作业特点、安全风险以及施工组织难度，按照年度施工产值配备专职安全生产管理人员。</w:t>
      </w:r>
    </w:p>
    <w:p w14:paraId="4DAC8F3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承包人报送施工安全措施计划的期限：计划开工日期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195F271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承包人报送的施工安全措施计划的安全工作内容要求：除满足《公路水运工程安全生产监督管理办法》（或更新修订后的最新文件或有关通知的）规定外，承包人应根据本工程的实际安全施工要求，</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编制本工程的施工组织设计</w:t>
      </w:r>
      <w:r>
        <w:rPr>
          <w:rFonts w:hint="eastAsia" w:ascii="宋体" w:hAnsi="宋体" w:eastAsia="宋体" w:cs="宋体"/>
          <w:color w:val="auto"/>
          <w:sz w:val="24"/>
          <w:szCs w:val="24"/>
          <w:highlight w:val="none"/>
          <w:lang w:val="en-US" w:eastAsia="zh-CN"/>
        </w:rPr>
        <w:t>中应含</w:t>
      </w:r>
      <w:r>
        <w:rPr>
          <w:rFonts w:hint="eastAsia" w:ascii="宋体" w:hAnsi="宋体" w:eastAsia="宋体" w:cs="宋体"/>
          <w:color w:val="auto"/>
          <w:sz w:val="24"/>
          <w:szCs w:val="24"/>
          <w:highlight w:val="none"/>
        </w:rPr>
        <w:t>安全</w:t>
      </w:r>
      <w:r>
        <w:rPr>
          <w:rFonts w:hint="eastAsia" w:ascii="宋体" w:hAnsi="宋体" w:eastAsia="宋体" w:cs="宋体"/>
          <w:color w:val="auto"/>
          <w:sz w:val="24"/>
          <w:szCs w:val="24"/>
          <w:highlight w:val="none"/>
          <w:lang w:val="en-US" w:eastAsia="zh-CN"/>
        </w:rPr>
        <w:t>管理方面内容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该</w:t>
      </w:r>
      <w:r>
        <w:rPr>
          <w:rFonts w:hint="eastAsia" w:ascii="宋体" w:hAnsi="宋体" w:eastAsia="宋体" w:cs="宋体"/>
          <w:color w:val="auto"/>
          <w:sz w:val="24"/>
          <w:szCs w:val="24"/>
          <w:highlight w:val="none"/>
          <w:lang w:val="en-US" w:eastAsia="zh-CN"/>
        </w:rPr>
        <w:t>内容</w:t>
      </w:r>
      <w:r>
        <w:rPr>
          <w:rFonts w:hint="eastAsia" w:ascii="宋体" w:hAnsi="宋体" w:eastAsia="宋体" w:cs="宋体"/>
          <w:color w:val="auto"/>
          <w:sz w:val="24"/>
          <w:szCs w:val="24"/>
          <w:highlight w:val="none"/>
        </w:rPr>
        <w:t>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危险性较大的</w:t>
      </w:r>
      <w:r>
        <w:rPr>
          <w:rFonts w:hint="eastAsia" w:ascii="宋体" w:hAnsi="宋体" w:eastAsia="宋体" w:cs="宋体"/>
          <w:color w:val="auto"/>
          <w:sz w:val="24"/>
          <w:szCs w:val="24"/>
          <w:highlight w:val="none"/>
          <w:lang w:val="en-US" w:eastAsia="zh-CN"/>
        </w:rPr>
        <w:t>分部分项</w:t>
      </w:r>
      <w:r>
        <w:rPr>
          <w:rFonts w:hint="eastAsia" w:ascii="宋体" w:hAnsi="宋体" w:eastAsia="宋体" w:cs="宋体"/>
          <w:color w:val="auto"/>
          <w:sz w:val="24"/>
          <w:szCs w:val="24"/>
          <w:highlight w:val="none"/>
        </w:rPr>
        <w:t>工程应编制专项施工方案，并附安全验算结果；超过一定规模的危险性较大的分部分项工程，应组织专家论证，承包人应根椐论证报告修改完善专项施工方案，经承包人项目技术负责人签字并报监理人和发包人批准后实施，由专职安全生产管理人员进行现场监督。</w:t>
      </w:r>
    </w:p>
    <w:p w14:paraId="152FDB6E">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出现以下情形之一的，需要编制专项施工方案：</w:t>
      </w:r>
    </w:p>
    <w:p w14:paraId="4409D695">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）不良地质条件下有潜在危险性的土方、石方开挖；</w:t>
      </w:r>
    </w:p>
    <w:p w14:paraId="3410EE50">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）滑坡和高边坡处理；</w:t>
      </w:r>
    </w:p>
    <w:p w14:paraId="2C55CE85">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）桩基础、挡墙基础、深水基础及围堰工程；</w:t>
      </w:r>
    </w:p>
    <w:p w14:paraId="7EB4CBCF">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）水上工程中的沉排船、抛枕船、抛石船、挖泥船等施工船作业，边通航边施工作业等；</w:t>
      </w:r>
    </w:p>
    <w:p w14:paraId="5277C31A">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）水下工程中的焊接、混凝土浇注、爆破工程等；</w:t>
      </w:r>
    </w:p>
    <w:p w14:paraId="2F3FC934">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）炸礁工程；</w:t>
      </w:r>
    </w:p>
    <w:p w14:paraId="580A4346">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）大型临时工程中的大型支架、模板、便桥的架设与拆除，桥梁、码头的加固与拆除；</w:t>
      </w:r>
    </w:p>
    <w:p w14:paraId="085A97B8">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）潜水作业；</w:t>
      </w:r>
    </w:p>
    <w:p w14:paraId="1154A71B">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）采用非常规起重设备、方法，且单件起吊重量在100kN及以上的起重吊装工程；起重量300kN及以上的起重设备安装工程；</w:t>
      </w:r>
    </w:p>
    <w:p w14:paraId="1D3AA090">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）金属结构工程制造吊装施工；</w:t>
      </w:r>
    </w:p>
    <w:p w14:paraId="44DD26ED">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）其他危险性较大的工程。</w:t>
      </w:r>
    </w:p>
    <w:p w14:paraId="13AFA55C">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和发包人在检查中发现有安全问题或有违反安全管理规章制度的情况时，可视其情节轻重，分别给予承包人通报批评、警告、撤换责任人、责令停工整改等处罚，由此增加的工程费用和工期延误由承包人承担。</w:t>
      </w:r>
    </w:p>
    <w:p w14:paraId="3417D5B5">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9.2.5 本合同约定的安全作业环境：确保安全生产。</w:t>
      </w:r>
    </w:p>
    <w:p w14:paraId="27E4E4F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专门用于完善和改进工程项目安全作业环境、安全施工措施和条件所需费用</w:t>
      </w:r>
      <w:r>
        <w:rPr>
          <w:rFonts w:hint="eastAsia" w:ascii="宋体" w:hAnsi="宋体" w:eastAsia="宋体" w:cs="宋体"/>
          <w:color w:val="auto"/>
          <w:sz w:val="24"/>
          <w:szCs w:val="24"/>
          <w:highlight w:val="none"/>
          <w:lang w:eastAsia="zh-CN"/>
        </w:rPr>
        <w:t>即安全生产费用，已包含在</w:t>
      </w:r>
      <w:r>
        <w:rPr>
          <w:rFonts w:hint="eastAsia" w:ascii="宋体" w:hAnsi="宋体" w:eastAsia="宋体" w:cs="宋体"/>
          <w:color w:val="auto"/>
          <w:sz w:val="24"/>
          <w:szCs w:val="24"/>
          <w:highlight w:val="none"/>
        </w:rPr>
        <w:t>招标控制价和</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rPr>
        <w:t>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开工时，承包人应做好安全保障措施，并获得发包人和监理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同意。在施工过程中，</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发现存在安全事故隐患的，承包人应当</w:t>
      </w:r>
      <w:r>
        <w:rPr>
          <w:rFonts w:hint="eastAsia" w:ascii="宋体" w:hAnsi="宋体" w:eastAsia="宋体" w:cs="宋体"/>
          <w:color w:val="auto"/>
          <w:sz w:val="24"/>
          <w:szCs w:val="24"/>
          <w:highlight w:val="none"/>
          <w:lang w:val="en-US" w:eastAsia="zh-CN"/>
        </w:rPr>
        <w:t>及时</w:t>
      </w:r>
      <w:r>
        <w:rPr>
          <w:rFonts w:hint="eastAsia" w:ascii="宋体" w:hAnsi="宋体" w:eastAsia="宋体" w:cs="宋体"/>
          <w:color w:val="auto"/>
          <w:sz w:val="24"/>
          <w:szCs w:val="24"/>
          <w:highlight w:val="none"/>
        </w:rPr>
        <w:t>整改。若施工过程中承包人对发包人、监理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发现的安全隐患拒不及时整改，发包人有权委托第三方</w:t>
      </w:r>
      <w:r>
        <w:rPr>
          <w:rFonts w:hint="eastAsia" w:ascii="宋体" w:hAnsi="宋体" w:eastAsia="宋体" w:cs="宋体"/>
          <w:color w:val="auto"/>
          <w:sz w:val="24"/>
          <w:szCs w:val="24"/>
          <w:highlight w:val="none"/>
          <w:lang w:val="en-US" w:eastAsia="zh-CN"/>
        </w:rPr>
        <w:t>代为整改</w:t>
      </w:r>
      <w:r>
        <w:rPr>
          <w:rFonts w:hint="eastAsia" w:ascii="宋体" w:hAnsi="宋体" w:eastAsia="宋体" w:cs="宋体"/>
          <w:color w:val="auto"/>
          <w:sz w:val="24"/>
          <w:szCs w:val="24"/>
          <w:highlight w:val="none"/>
        </w:rPr>
        <w:t>，所发生费用从合同总价中扣除，且不能免除承包人的责任。若安全</w:t>
      </w:r>
      <w:r>
        <w:rPr>
          <w:rFonts w:hint="eastAsia" w:ascii="宋体" w:hAnsi="宋体" w:eastAsia="宋体" w:cs="宋体"/>
          <w:color w:val="auto"/>
          <w:sz w:val="24"/>
          <w:szCs w:val="24"/>
          <w:highlight w:val="none"/>
          <w:lang w:val="en-US" w:eastAsia="zh-CN"/>
        </w:rPr>
        <w:t>生产</w:t>
      </w:r>
      <w:r>
        <w:rPr>
          <w:rFonts w:hint="eastAsia" w:ascii="宋体" w:hAnsi="宋体" w:eastAsia="宋体" w:cs="宋体"/>
          <w:color w:val="auto"/>
          <w:sz w:val="24"/>
          <w:szCs w:val="24"/>
          <w:highlight w:val="none"/>
        </w:rPr>
        <w:t>费使用完毕，承包人仍然需要采取安全生产措施并承担安全责任。</w:t>
      </w:r>
    </w:p>
    <w:p w14:paraId="18D174F1">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color w:val="auto"/>
          <w:sz w:val="24"/>
          <w:szCs w:val="24"/>
          <w:highlight w:val="none"/>
          <w:lang w:eastAsia="zh-CN"/>
        </w:rPr>
        <w:t>安全生产费用为固定报价，</w:t>
      </w:r>
      <w:r>
        <w:rPr>
          <w:rFonts w:hint="eastAsia" w:ascii="宋体" w:hAnsi="宋体" w:eastAsia="宋体" w:cs="宋体"/>
          <w:color w:val="auto"/>
          <w:sz w:val="24"/>
          <w:szCs w:val="24"/>
          <w:highlight w:val="none"/>
        </w:rPr>
        <w:t>不随合同总价的变化而调整</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广东省交通运输厅关于</w:t>
      </w:r>
      <w:r>
        <w:rPr>
          <w:rFonts w:hint="eastAsia" w:ascii="宋体" w:hAnsi="宋体" w:eastAsia="宋体" w:cs="宋体"/>
          <w:color w:val="auto"/>
          <w:sz w:val="24"/>
          <w:szCs w:val="24"/>
          <w:highlight w:val="none"/>
        </w:rPr>
        <w:t>公路水运</w:t>
      </w:r>
      <w:r>
        <w:rPr>
          <w:rFonts w:hint="eastAsia" w:ascii="宋体" w:hAnsi="宋体" w:eastAsia="宋体" w:cs="宋体"/>
          <w:color w:val="auto"/>
          <w:sz w:val="24"/>
          <w:szCs w:val="24"/>
          <w:highlight w:val="none"/>
          <w:lang w:eastAsia="zh-CN"/>
        </w:rPr>
        <w:t>建设</w:t>
      </w:r>
      <w:r>
        <w:rPr>
          <w:rFonts w:hint="eastAsia" w:ascii="宋体" w:hAnsi="宋体" w:eastAsia="宋体" w:cs="宋体"/>
          <w:color w:val="auto"/>
          <w:sz w:val="24"/>
          <w:szCs w:val="24"/>
          <w:highlight w:val="none"/>
        </w:rPr>
        <w:t>工程安全生产</w:t>
      </w:r>
      <w:r>
        <w:rPr>
          <w:rFonts w:hint="eastAsia" w:ascii="宋体" w:hAnsi="宋体" w:eastAsia="宋体" w:cs="宋体"/>
          <w:color w:val="auto"/>
          <w:sz w:val="24"/>
          <w:szCs w:val="24"/>
          <w:highlight w:val="none"/>
          <w:lang w:eastAsia="zh-CN"/>
        </w:rPr>
        <w:t>费用的</w:t>
      </w:r>
      <w:r>
        <w:rPr>
          <w:rFonts w:hint="eastAsia" w:ascii="宋体" w:hAnsi="宋体" w:eastAsia="宋体" w:cs="宋体"/>
          <w:color w:val="auto"/>
          <w:sz w:val="24"/>
          <w:szCs w:val="24"/>
          <w:highlight w:val="none"/>
        </w:rPr>
        <w:t>管理办法》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粤交〔2021〕6号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的要求，</w:t>
      </w:r>
      <w:r>
        <w:rPr>
          <w:rFonts w:hint="eastAsia" w:ascii="宋体" w:hAnsi="宋体" w:eastAsia="宋体" w:cs="宋体"/>
          <w:color w:val="auto"/>
          <w:sz w:val="24"/>
          <w:szCs w:val="24"/>
          <w:highlight w:val="none"/>
          <w:lang w:eastAsia="zh-CN"/>
        </w:rPr>
        <w:t>按照“企业提取，政府监督，确保需要，规范使用”的原则和细化费用清单进行管理。</w:t>
      </w:r>
    </w:p>
    <w:p w14:paraId="3AFF5234">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安全生产费用用于</w:t>
      </w:r>
      <w:r>
        <w:rPr>
          <w:rFonts w:hint="eastAsia" w:ascii="宋体" w:hAnsi="宋体" w:eastAsia="宋体" w:cs="宋体"/>
          <w:color w:val="auto"/>
          <w:sz w:val="24"/>
          <w:szCs w:val="24"/>
          <w:highlight w:val="none"/>
          <w:lang w:val="en-US"/>
        </w:rPr>
        <w:t>施工安全防护用具及设施的采购和更新、安全施工措施的落实、安全生产条件的改善，安全生产检查、评价、咨询和标准化建设的支出，安全生产宣传、教育培训的支出，安全生产适用的新技术、新标准、新工艺、新装备的推广应用支出，安全设施及特种设备检测检验支出，其他与安全生产直接相关的支出等</w:t>
      </w:r>
      <w:r>
        <w:rPr>
          <w:rFonts w:hint="eastAsia" w:ascii="宋体" w:hAnsi="宋体" w:eastAsia="宋体" w:cs="宋体"/>
          <w:color w:val="auto"/>
          <w:sz w:val="24"/>
          <w:szCs w:val="24"/>
          <w:highlight w:val="none"/>
        </w:rPr>
        <w:t>。安全生产费用来源于承包人，也用于承包人，不得挪作他用。如承包人在此基础上增加安全生产费用以满足项目施工需要</w:t>
      </w:r>
      <w:r>
        <w:rPr>
          <w:rFonts w:hint="eastAsia" w:ascii="宋体" w:hAnsi="宋体" w:eastAsia="宋体" w:cs="宋体"/>
          <w:color w:val="auto"/>
          <w:sz w:val="24"/>
          <w:szCs w:val="24"/>
          <w:highlight w:val="none"/>
          <w:lang w:eastAsia="zh-CN"/>
        </w:rPr>
        <w:t>和达到确保安全生产</w:t>
      </w:r>
      <w:r>
        <w:rPr>
          <w:rFonts w:hint="eastAsia" w:ascii="宋体" w:hAnsi="宋体" w:eastAsia="宋体" w:cs="宋体"/>
          <w:color w:val="auto"/>
          <w:sz w:val="24"/>
          <w:szCs w:val="24"/>
          <w:highlight w:val="none"/>
        </w:rPr>
        <w:t>，则承包人应在本项目工程量清单其他相关子目的单价或总额价中予以考虑，发包人不再另行支付。</w:t>
      </w:r>
    </w:p>
    <w:p w14:paraId="7121BE9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在项目开工前或施工过程中，发包人及上级主管单位对承包人的安全生产情况进行检查，发现隐患而承包人未能在限期内完成整改的，由发包人</w:t>
      </w:r>
      <w:r>
        <w:rPr>
          <w:rFonts w:hint="eastAsia" w:ascii="宋体" w:hAnsi="宋体" w:eastAsia="宋体" w:cs="宋体"/>
          <w:color w:val="auto"/>
          <w:sz w:val="24"/>
          <w:szCs w:val="24"/>
          <w:highlight w:val="none"/>
          <w:lang w:val="en-US" w:eastAsia="zh-CN"/>
        </w:rPr>
        <w:t>委托第三方</w:t>
      </w:r>
      <w:r>
        <w:rPr>
          <w:rFonts w:hint="eastAsia" w:ascii="宋体" w:hAnsi="宋体" w:eastAsia="宋体" w:cs="宋体"/>
          <w:color w:val="auto"/>
          <w:sz w:val="24"/>
          <w:szCs w:val="24"/>
          <w:highlight w:val="none"/>
        </w:rPr>
        <w:t>代为整改，所需费用在合同总价中扣除。</w:t>
      </w:r>
    </w:p>
    <w:p w14:paraId="25324B0C">
      <w:pPr>
        <w:pStyle w:val="12"/>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安全生产费实行专款专用，任何单位或个人不得挤占或挪用。承包人应当建立健全工程项目安全生产费用计取、使用等制度，明确安全生产费用计取和使用的程序、职责及权限、规范安全生产费用的使用；设立安全生产费用使用台帐，健全安全生产费用痕迹管理资料台帐，包含安全生产费用使用环节的监控和有关票据凭证资料。</w:t>
      </w:r>
    </w:p>
    <w:p w14:paraId="58CAEB2F">
      <w:pPr>
        <w:spacing w:line="360" w:lineRule="auto"/>
        <w:ind w:firstLine="480" w:firstLineChars="200"/>
        <w:jc w:val="both"/>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通用条款本款增加</w:t>
      </w:r>
      <w:r>
        <w:rPr>
          <w:rFonts w:hint="eastAsia" w:ascii="宋体" w:hAnsi="宋体" w:eastAsia="宋体" w:cs="宋体"/>
          <w:b/>
          <w:color w:val="auto"/>
          <w:sz w:val="24"/>
          <w:szCs w:val="24"/>
          <w:highlight w:val="none"/>
          <w:lang w:val="en-US" w:eastAsia="zh-CN"/>
        </w:rPr>
        <w:t>9.2.8至9.2.14项的内容，费用由承包人自行承担：</w:t>
      </w:r>
    </w:p>
    <w:p w14:paraId="047D7D9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 承包人应对施工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机械、仪器等进行定期检查，消除隐患，</w:t>
      </w:r>
      <w:r>
        <w:rPr>
          <w:rFonts w:hint="eastAsia" w:ascii="宋体" w:hAnsi="宋体" w:eastAsia="宋体" w:cs="宋体"/>
          <w:color w:val="auto"/>
          <w:sz w:val="24"/>
          <w:szCs w:val="24"/>
          <w:highlight w:val="none"/>
          <w:lang w:val="en-US" w:eastAsia="zh-CN"/>
        </w:rPr>
        <w:t>特种设备需</w:t>
      </w:r>
      <w:r>
        <w:rPr>
          <w:rFonts w:hint="eastAsia" w:ascii="宋体" w:hAnsi="宋体" w:eastAsia="宋体" w:cs="宋体"/>
          <w:color w:val="auto"/>
          <w:sz w:val="24"/>
          <w:szCs w:val="24"/>
          <w:highlight w:val="none"/>
        </w:rPr>
        <w:t>取得有关部门的检验许可证明</w:t>
      </w:r>
      <w:r>
        <w:rPr>
          <w:rFonts w:hint="eastAsia" w:ascii="宋体" w:hAnsi="宋体" w:eastAsia="宋体" w:cs="宋体"/>
          <w:color w:val="auto"/>
          <w:sz w:val="24"/>
          <w:szCs w:val="24"/>
          <w:highlight w:val="none"/>
          <w:lang w:val="en-US" w:eastAsia="zh-CN"/>
        </w:rPr>
        <w:t>,特种设备须持证人员上岗操作。</w:t>
      </w:r>
    </w:p>
    <w:p w14:paraId="2250C81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 承包人应按有关要求，设置施工</w:t>
      </w:r>
      <w:r>
        <w:rPr>
          <w:rFonts w:hint="eastAsia" w:ascii="宋体" w:hAnsi="宋体" w:eastAsia="宋体" w:cs="宋体"/>
          <w:color w:val="auto"/>
          <w:sz w:val="24"/>
          <w:szCs w:val="24"/>
          <w:highlight w:val="none"/>
          <w:lang w:val="en-US" w:eastAsia="zh-CN"/>
        </w:rPr>
        <w:t>区</w:t>
      </w:r>
      <w:r>
        <w:rPr>
          <w:rFonts w:hint="eastAsia" w:ascii="宋体" w:hAnsi="宋体" w:eastAsia="宋体" w:cs="宋体"/>
          <w:color w:val="auto"/>
          <w:sz w:val="24"/>
          <w:szCs w:val="24"/>
          <w:highlight w:val="none"/>
        </w:rPr>
        <w:t>域</w:t>
      </w:r>
      <w:r>
        <w:rPr>
          <w:rFonts w:hint="eastAsia" w:ascii="宋体" w:hAnsi="宋体" w:eastAsia="宋体" w:cs="宋体"/>
          <w:color w:val="auto"/>
          <w:sz w:val="24"/>
          <w:szCs w:val="24"/>
          <w:highlight w:val="none"/>
          <w:lang w:val="en-US" w:eastAsia="zh-CN"/>
        </w:rPr>
        <w:t>内（外）</w:t>
      </w:r>
      <w:r>
        <w:rPr>
          <w:rFonts w:hint="eastAsia" w:ascii="宋体" w:hAnsi="宋体" w:eastAsia="宋体" w:cs="宋体"/>
          <w:color w:val="auto"/>
          <w:sz w:val="24"/>
          <w:szCs w:val="24"/>
          <w:highlight w:val="none"/>
        </w:rPr>
        <w:t>的警示标志和夜间警示标志</w:t>
      </w:r>
      <w:r>
        <w:rPr>
          <w:rFonts w:hint="eastAsia" w:ascii="宋体" w:hAnsi="宋体" w:eastAsia="宋体" w:cs="宋体"/>
          <w:color w:val="auto"/>
          <w:sz w:val="24"/>
          <w:szCs w:val="24"/>
          <w:highlight w:val="none"/>
          <w:lang w:eastAsia="zh-CN"/>
        </w:rPr>
        <w:t>，该费用已包含在合同总价中，发包人不另行支付。</w:t>
      </w:r>
    </w:p>
    <w:p w14:paraId="5256FEC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承包人应对施工现场的供电、消防、基坑开挖、水下作业、爆破、不良工程地质以及施工通航等</w:t>
      </w:r>
      <w:r>
        <w:rPr>
          <w:rFonts w:hint="eastAsia" w:ascii="宋体" w:hAnsi="宋体" w:eastAsia="宋体" w:cs="宋体"/>
          <w:color w:val="auto"/>
          <w:sz w:val="24"/>
          <w:szCs w:val="24"/>
          <w:highlight w:val="none"/>
          <w:lang w:val="en-US" w:eastAsia="zh-CN"/>
        </w:rPr>
        <w:t>危险性较大的分部分项工程</w:t>
      </w:r>
      <w:r>
        <w:rPr>
          <w:rFonts w:hint="eastAsia" w:ascii="宋体" w:hAnsi="宋体" w:eastAsia="宋体" w:cs="宋体"/>
          <w:color w:val="auto"/>
          <w:sz w:val="24"/>
          <w:szCs w:val="24"/>
          <w:highlight w:val="none"/>
        </w:rPr>
        <w:t>制定专项的</w:t>
      </w:r>
      <w:r>
        <w:rPr>
          <w:rFonts w:hint="eastAsia" w:ascii="宋体" w:hAnsi="宋体" w:eastAsia="宋体" w:cs="宋体"/>
          <w:color w:val="auto"/>
          <w:sz w:val="24"/>
          <w:szCs w:val="24"/>
          <w:highlight w:val="none"/>
          <w:lang w:val="en-US" w:eastAsia="zh-CN"/>
        </w:rPr>
        <w:t>施工方案</w:t>
      </w:r>
      <w:r>
        <w:rPr>
          <w:rFonts w:hint="eastAsia" w:ascii="宋体" w:hAnsi="宋体" w:eastAsia="宋体" w:cs="宋体"/>
          <w:color w:val="auto"/>
          <w:sz w:val="24"/>
          <w:szCs w:val="24"/>
          <w:highlight w:val="none"/>
        </w:rPr>
        <w:t>及应急预案，并报监理人审查同意。发包人或监理人的认可不能免除承包人所应承担的责任。</w:t>
      </w:r>
    </w:p>
    <w:p w14:paraId="40C63FD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 承包人应按政府和有关部门的规定，对施工现场人员和施工船舶、机械、设备的防台风、防突风、防风暴潮、防汛、防雷击等进行安全管理，对施工现场加强治安防范和消防安全防护措施，并承担由于措施不力造成的事故责任和由此发生的费用。</w:t>
      </w:r>
    </w:p>
    <w:p w14:paraId="7402DE0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 承包人在高压线、水上、水下及地下管线、易燃、易爆地段或其他有害环境下施工时，施工前应提交安全保护措施及应急救援预案，经监理人审查同意后实施。监理人的同意不能免除承包人应承担的责任。防护措施费用由承包人承担。</w:t>
      </w:r>
    </w:p>
    <w:p w14:paraId="5F731A9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 施工现场发生安全事故时，承包人应立即采取有效措施，并将事故情况按规定上报有关部门并报告发包人与监理人。</w:t>
      </w:r>
    </w:p>
    <w:p w14:paraId="2695888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9.3 治安保卫</w:t>
      </w:r>
    </w:p>
    <w:p w14:paraId="670329A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 关于治安保卫职责的约定：承包人负责统一管理施工场地的治安保卫事项，在现场建立治安管理机构或联防组织，履行合同工程的治安保卫职责。</w:t>
      </w:r>
    </w:p>
    <w:p w14:paraId="456C037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 关于施工场地治安管理计划和紧急预案编制的约定：承包人应在工程开工后，编制施工场地治安管理计划，并制定应对突发治安事件的紧急预案报发包人备案。在工程施工过程中，发生暴乱、爆炸等恐怖事件，以及群殴、械斗等群体性突发治安事件的，承包人应立即向当地政府报告，积极协助当地有关部门采取措施平息事态，防止事态扩大，尽量减少财产损失和避免人员伤亡。必要时，发包人给予协助。</w:t>
      </w:r>
    </w:p>
    <w:p w14:paraId="75DD9F6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9.4 环境保护</w:t>
      </w:r>
    </w:p>
    <w:p w14:paraId="2C31D86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 承包人的环境保护义务：遵循政府及地方相关规定。</w:t>
      </w:r>
    </w:p>
    <w:p w14:paraId="18ACE79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 承包人的环保工作内容：遵循政府及地方对于环保工作的相关规定，</w:t>
      </w:r>
      <w:r>
        <w:rPr>
          <w:rFonts w:hint="eastAsia" w:ascii="宋体" w:hAnsi="宋体" w:eastAsia="宋体" w:cs="宋体"/>
          <w:color w:val="auto"/>
          <w:sz w:val="24"/>
          <w:szCs w:val="24"/>
          <w:highlight w:val="none"/>
          <w:lang w:eastAsia="zh-CN"/>
        </w:rPr>
        <w:t>遵循并落实项目环评批复的施工期环境保护要求和环保相关措施，</w:t>
      </w:r>
      <w:r>
        <w:rPr>
          <w:rFonts w:hint="eastAsia" w:ascii="宋体" w:hAnsi="宋体" w:eastAsia="宋体" w:cs="宋体"/>
          <w:color w:val="auto"/>
          <w:sz w:val="24"/>
          <w:szCs w:val="24"/>
          <w:highlight w:val="none"/>
        </w:rPr>
        <w:t>采取所有合理的措施来保护现场内外的环境，并避免由于其操作方法所造成的污染、噪声或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问题而对人员或公私财产造成的损失或损害。承包人还应严格执行政府有关水域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环境生态保护的规定，合理选择施工</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和施工工艺，采取有效措施，减少施工对周边水域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的影响，如对周边环境造成影响的应承担相应责任并按要求采取补救措施。</w:t>
      </w:r>
    </w:p>
    <w:p w14:paraId="61E685F6">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rPr>
        <w:t>9.4.6项</w:t>
      </w:r>
      <w:r>
        <w:rPr>
          <w:rFonts w:hint="eastAsia" w:ascii="宋体" w:hAnsi="宋体" w:eastAsia="宋体" w:cs="宋体"/>
          <w:b/>
          <w:bCs/>
          <w:color w:val="auto"/>
          <w:sz w:val="24"/>
          <w:szCs w:val="24"/>
          <w:highlight w:val="none"/>
          <w:lang w:eastAsia="zh-CN"/>
        </w:rPr>
        <w:t>增加以下</w:t>
      </w:r>
      <w:r>
        <w:rPr>
          <w:rFonts w:hint="eastAsia" w:ascii="宋体" w:hAnsi="宋体" w:eastAsia="宋体" w:cs="宋体"/>
          <w:b/>
          <w:bCs/>
          <w:color w:val="auto"/>
          <w:sz w:val="24"/>
          <w:szCs w:val="24"/>
          <w:highlight w:val="none"/>
          <w:lang w:val="en-US" w:eastAsia="zh-CN"/>
        </w:rPr>
        <w:t>9.4.6.1至9.4.6.4目的</w:t>
      </w:r>
      <w:r>
        <w:rPr>
          <w:rFonts w:hint="eastAsia" w:ascii="宋体" w:hAnsi="宋体" w:eastAsia="宋体" w:cs="宋体"/>
          <w:b/>
          <w:bCs/>
          <w:color w:val="auto"/>
          <w:sz w:val="24"/>
          <w:szCs w:val="24"/>
          <w:highlight w:val="none"/>
          <w:lang w:eastAsia="zh-CN"/>
        </w:rPr>
        <w:t>内容：</w:t>
      </w:r>
    </w:p>
    <w:p w14:paraId="5AA84D0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项目沿线涉及水生生物保护区和水产种质资源保护区的，工程施工应遵守《自然保护区条例》等有关环境保护的法律、法规，减轻工程施工对沿线鱼类索饵、产卵、栖息场所的影响，避开鱼类洄游产卵高峰期，加强对保护动物及其他珍稀鱼类的保护。</w:t>
      </w:r>
    </w:p>
    <w:p w14:paraId="5F30FE0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据《中华人民共和国环境保护法》、《中华人民共和国固体废物污染环境防治法》和《广东省固体废物污染环境防治条例》等环境保护法律、法规的规定，承包人在生产过程中所产生的危险废物，不可随意排放、弃置或者转移。需委托有从事工业危险废物处理的专业机构，负责处理施工期间产生的危险废物。施工期船舶含油污水收集后必须送交有资质的单位处理，生活污水交污水处理厂处理，船舶垃圾、施工垃圾经收集后交环卫部门统一处理，禁止排入水域。同时，船舶含油污水、生活污水、船舶垃圾、施工垃圾处理措施应接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的监督管理，并将相关资料报备发包人。</w:t>
      </w:r>
      <w:r>
        <w:rPr>
          <w:rFonts w:hint="eastAsia" w:ascii="宋体" w:hAnsi="宋体" w:eastAsia="宋体" w:cs="宋体"/>
          <w:color w:val="auto"/>
          <w:kern w:val="0"/>
          <w:sz w:val="24"/>
          <w:szCs w:val="24"/>
          <w:highlight w:val="none"/>
          <w:lang w:val="en-US" w:eastAsia="zh-CN" w:bidi="ar"/>
        </w:rPr>
        <w:t>如果发生上述违法、违规行为，发包人将按照有关的规定进行严肃处理，由此导致的一切责任和损失承包人承担，同时发包人有权对承包人处以 5万 元/次的违约金处罚。</w:t>
      </w:r>
    </w:p>
    <w:p w14:paraId="386E8B0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承包人施工前，应与有资质的单位签订危废处理协议，按照要求合理配布、设置危废堆放点，及时转移、处理危废。相关资料在有关环保部门备案后，同时提交发包</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归档、备查。资料需满足项目竣工环保专项验收要求，并自行承担有关费用。</w:t>
      </w:r>
    </w:p>
    <w:p w14:paraId="0A0936C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承包人须制定环境风险事故防范及应急预案，落实有效的事故防范和应急措施，加强演练，防止因船舶相撞、管道破损泥浆外泄及溢油事故等造成环境污染，确保环境安全。</w:t>
      </w:r>
    </w:p>
    <w:p w14:paraId="6761D5B5">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bookmarkStart w:id="58" w:name="_Toc27385"/>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9.4.7至9.4.</w:t>
      </w:r>
      <w:r>
        <w:rPr>
          <w:rFonts w:hint="eastAsia"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lang w:val="en-US" w:eastAsia="zh-CN"/>
        </w:rPr>
        <w:t>项的内容</w:t>
      </w:r>
      <w:bookmarkEnd w:id="58"/>
      <w:r>
        <w:rPr>
          <w:rFonts w:hint="eastAsia" w:hAnsi="宋体" w:eastAsia="宋体" w:cs="宋体"/>
          <w:b/>
          <w:bCs/>
          <w:color w:val="auto"/>
          <w:sz w:val="24"/>
          <w:szCs w:val="24"/>
          <w:highlight w:val="none"/>
          <w:lang w:val="en-US" w:eastAsia="zh-CN"/>
        </w:rPr>
        <w:t>：</w:t>
      </w:r>
    </w:p>
    <w:p w14:paraId="6A2BFD54">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9.4.7 施工产生的含油污水委托有资质的单位接收后送污水处理厂达标处理，严禁直接外排；施工产生的污油属危险废物，不得擅自处置及排放，应交有资质的单位处理。上述费用承包人应在投标时在综合单价中考虑，发包人不再另行支付。如果发生上述擅自处理或偷排的现象，发包人将按照有关的规定进行严肃处理，有关的一切损失全部由承包人承担，同时发包人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5</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w:t>
      </w:r>
    </w:p>
    <w:p w14:paraId="679855FD">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9.4.8</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施工期污水环保处理、固体废物环保处理、弃土区</w:t>
      </w:r>
      <w:r>
        <w:rPr>
          <w:rFonts w:hint="eastAsia" w:hAnsi="宋体" w:eastAsia="宋体" w:cs="宋体"/>
          <w:color w:val="auto"/>
          <w:sz w:val="24"/>
          <w:szCs w:val="24"/>
          <w:highlight w:val="none"/>
          <w:lang w:val="en-US" w:eastAsia="zh-CN"/>
        </w:rPr>
        <w:t>填埋</w:t>
      </w:r>
      <w:r>
        <w:rPr>
          <w:rFonts w:hint="eastAsia" w:ascii="宋体" w:hAnsi="宋体" w:eastAsia="宋体" w:cs="宋体"/>
          <w:color w:val="auto"/>
          <w:sz w:val="24"/>
          <w:szCs w:val="24"/>
          <w:highlight w:val="none"/>
        </w:rPr>
        <w:t>后场地绿化以及施工过程采取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环保措施应满足环保监测要求，如承包人采取的环保措施不能达到环保监测要求时或造成周边影响的，应按要求整改，所增加的费用（含环保部门的罚款）由承包人自行解决。拒不整改的或整改不到位的由发包人在工程计量款中扣除相应费用，并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10</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的违约金处罚，必要时发包人可解除合同。</w:t>
      </w:r>
    </w:p>
    <w:p w14:paraId="6EB7DEBC">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9.4.9</w:t>
      </w:r>
      <w:r>
        <w:rPr>
          <w:rFonts w:hint="eastAsia" w:hAnsi="宋体" w:eastAsia="宋体" w:cs="宋体"/>
          <w:color w:val="auto"/>
          <w:sz w:val="24"/>
          <w:szCs w:val="24"/>
          <w:highlight w:val="none"/>
        </w:rPr>
        <w:t xml:space="preserve">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9FE27B5">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9.4.10</w:t>
      </w:r>
      <w:r>
        <w:rPr>
          <w:rFonts w:hint="eastAsia" w:hAnsi="宋体" w:eastAsia="宋体" w:cs="宋体"/>
          <w:color w:val="auto"/>
          <w:sz w:val="24"/>
          <w:szCs w:val="24"/>
          <w:highlight w:val="none"/>
        </w:rPr>
        <w:t xml:space="preserve">  承包人应按合同约定采取有效措施，对施工开挖的边坡及时进行支护，维护排水设施，并进行水土保护，避免因施工造成的地质灾害。</w:t>
      </w:r>
    </w:p>
    <w:p w14:paraId="60B7BD80">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9.4.11</w:t>
      </w:r>
      <w:r>
        <w:rPr>
          <w:rFonts w:hint="eastAsia" w:hAnsi="宋体" w:eastAsia="宋体" w:cs="宋体"/>
          <w:color w:val="auto"/>
          <w:sz w:val="24"/>
          <w:szCs w:val="24"/>
          <w:highlight w:val="none"/>
        </w:rPr>
        <w:t xml:space="preserve">  承包人应按国家饮用水管理标准定期对饮用水源进行监测，防止施工活动污染饮用水源。</w:t>
      </w:r>
    </w:p>
    <w:p w14:paraId="5D365CF2">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9.4.12</w:t>
      </w:r>
      <w:r>
        <w:rPr>
          <w:rFonts w:hint="eastAsia" w:hAnsi="宋体" w:eastAsia="宋体" w:cs="宋体"/>
          <w:color w:val="auto"/>
          <w:sz w:val="24"/>
          <w:szCs w:val="24"/>
          <w:highlight w:val="none"/>
        </w:rPr>
        <w:t xml:space="preserve">  承包人应严格执行国家有关水域环境生态保护的规定，合理选择施工船机和施工工艺，采取有效措施，减少施工对周边水域的影响。</w:t>
      </w:r>
    </w:p>
    <w:p w14:paraId="69338F62">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9.4.13</w:t>
      </w:r>
      <w:r>
        <w:rPr>
          <w:rFonts w:hint="eastAsia" w:hAnsi="宋体" w:eastAsia="宋体" w:cs="宋体"/>
          <w:color w:val="auto"/>
          <w:sz w:val="24"/>
          <w:szCs w:val="24"/>
          <w:highlight w:val="none"/>
        </w:rPr>
        <w:t xml:space="preserve">  承包人应切实执行有关环境保护方面的条款和规定。</w:t>
      </w:r>
    </w:p>
    <w:p w14:paraId="49A095D1">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⑴对于来自施工机械和运输车辆的施工噪声，为保护施工人员的健康，应遵守《中华人民共和国环境噪声污染防治法》，并依据《建筑施工场界环境噪声排放标准》合理安排工作人员轮流操作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并应采取有效措施，同时应协调解决因此发生的纠纷和矛盾。</w:t>
      </w:r>
    </w:p>
    <w:p w14:paraId="3A17CDD1">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⑵对于施工中粉尘污染的主要污染源——混合料拌和、施工车辆和施工机械运行及运输产生的扬尘，应采取有效措施减轻施工现场的大气污染，保护人民健康，如：</w:t>
      </w:r>
    </w:p>
    <w:p w14:paraId="7661E4D1">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A. 拌和设备应有较好的密封，或有防尘设备。</w:t>
      </w:r>
    </w:p>
    <w:p w14:paraId="45673096">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B. 施工通道、混合料拌和站应经常进行洒水降尘。</w:t>
      </w:r>
    </w:p>
    <w:p w14:paraId="15E05C04">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C. 路面施工应注意保持表面湿度，以免扬尘。</w:t>
      </w:r>
    </w:p>
    <w:p w14:paraId="0F663682">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D. 桥梁钻孔灌注桩施工时排出的泥浆要进行妥善处理，严禁向河流或农田排放。</w:t>
      </w:r>
    </w:p>
    <w:p w14:paraId="503F3B54">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⑶采取及时维护、疏导、值守等可靠措施保证原有交通的正常通行，维持沿线村镇的居民饮水、农田灌溉、生产生活用电及通讯等管线的正常使用。</w:t>
      </w:r>
    </w:p>
    <w:p w14:paraId="37900DCD">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9.4.14</w:t>
      </w:r>
      <w:r>
        <w:rPr>
          <w:rFonts w:hint="eastAsia" w:hAnsi="宋体" w:eastAsia="宋体" w:cs="宋体"/>
          <w:color w:val="auto"/>
          <w:sz w:val="24"/>
          <w:szCs w:val="24"/>
          <w:highlight w:val="none"/>
        </w:rPr>
        <w:t xml:space="preserve">   承包人在履行合同过程中，应采取环境保护措施，发包人和监理人有权监督，并向承包人提出整改要求。如果由于承包人未能对其负责的上述事项采取各种必要的措施而导致或发生与此有关的阻工、地方矛盾、人身伤亡、罚款、索赔、损失补偿、诉讼费用及其他一切责任应由承包人负责。</w:t>
      </w:r>
    </w:p>
    <w:p w14:paraId="2CD68575">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9.4.15</w:t>
      </w:r>
      <w:r>
        <w:rPr>
          <w:rFonts w:hint="eastAsia" w:hAnsi="宋体" w:eastAsia="宋体" w:cs="宋体"/>
          <w:color w:val="auto"/>
          <w:sz w:val="24"/>
          <w:szCs w:val="24"/>
          <w:highlight w:val="none"/>
        </w:rPr>
        <w:t xml:space="preserve">  在施工期间，承包人应随时保持现场整洁，施工设备和材料、工程设备应整齐妥善存放和储存，废料与垃圾及不再需要的临时设施应及时从现场清除、拆除并运走。</w:t>
      </w:r>
    </w:p>
    <w:p w14:paraId="3D81EBE7">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9.4.16</w:t>
      </w:r>
      <w:r>
        <w:rPr>
          <w:rFonts w:hint="eastAsia" w:hAnsi="宋体" w:eastAsia="宋体" w:cs="宋体"/>
          <w:color w:val="auto"/>
          <w:sz w:val="24"/>
          <w:szCs w:val="24"/>
          <w:highlight w:val="none"/>
        </w:rPr>
        <w:t xml:space="preserve"> 在施工期间，承包人应规范用地、科学用地和合理用地，采取有效措施防止污染农田。临时占地退还前，应严格按土地复垦方案对临时占地进行恢复，承包人应自费负责拆除地面硬化部分，恢复至填筑后的地面面貌并覆盖50cm厚的表土。如因承包人撤离后未按要求对临时占地进行恢复或虽进行了恢复但未达到使用标准的，将由发包人委托第三方对其恢复，所发生的费用将从应付给承包人的任何款项内扣除。</w:t>
      </w:r>
    </w:p>
    <w:p w14:paraId="6D41099E">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9.4.17</w:t>
      </w:r>
      <w:r>
        <w:rPr>
          <w:rFonts w:hint="eastAsia" w:hAnsi="宋体" w:eastAsia="宋体" w:cs="宋体"/>
          <w:color w:val="auto"/>
          <w:sz w:val="24"/>
          <w:szCs w:val="24"/>
          <w:highlight w:val="none"/>
        </w:rPr>
        <w:t xml:space="preserve">  承包人应严格按照国家有关法规要求，做好施工过程中的生态保护和水土保持工作。施工中要尽可能减少对原地面的扰动，减少对地面草木的破坏，需要爆破作业的，应按规定进行控爆设计。完善施工中的临时排水系统，加强施工便道的管理。取(弃)土场必须先挡后弃，严禁在指定的取(弃)土场以外的地方乱挖乱弃。</w:t>
      </w:r>
    </w:p>
    <w:p w14:paraId="727AE854">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9.4.18</w:t>
      </w:r>
      <w:r>
        <w:rPr>
          <w:rFonts w:hint="eastAsia" w:hAnsi="宋体" w:eastAsia="宋体" w:cs="宋体"/>
          <w:color w:val="auto"/>
          <w:sz w:val="24"/>
          <w:szCs w:val="24"/>
          <w:highlight w:val="none"/>
        </w:rPr>
        <w:t xml:space="preserve">  承包人应落实环境保护及水土保持的责任人，施工过程及施工结束后应严格按照有关环保及水土保持的规定执行。自觉接受监理人的环保及水土保持教育，落实实施施工场地符合相关环保要求布设；施工组织设计应按“水土保持方案报告书”有关要求制定施工中的水保措施，认真做好项目实施过程及工程结束后的水土保持的防御措施，及做好有关水土保持的资料的记录。</w:t>
      </w:r>
    </w:p>
    <w:p w14:paraId="74482496">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9.4.19</w:t>
      </w:r>
      <w:r>
        <w:rPr>
          <w:rFonts w:hint="eastAsia" w:hAnsi="宋体" w:eastAsia="宋体" w:cs="宋体"/>
          <w:color w:val="auto"/>
          <w:sz w:val="24"/>
          <w:szCs w:val="24"/>
          <w:highlight w:val="none"/>
        </w:rPr>
        <w:t xml:space="preserve">  承包人必须采取有效环境预防措施，防止雨水对施工场所占有的土地、临时用地等冲刷而造成对河流、水道、灌溉渠、排水系统产生淤积、堵塞，对农田造成污染、淹没。同时也应采取措施防止在施工过程中因材料运输、混合料拌和、现场施工而对项目沿线的建筑、既有道路、农田、林地、河流、水道、灌溉渠、排水系统等产生破坏，从而造成索赔、阻工、地方矛盾、施工停工或工程质量隐患。如承包人未采取有效措施，由此产生的一切损失由承包人自行负责。</w:t>
      </w:r>
    </w:p>
    <w:p w14:paraId="27825148">
      <w:pPr>
        <w:pStyle w:val="12"/>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lang w:val="en-US" w:eastAsia="zh-CN"/>
        </w:rPr>
        <w:t>9.4.20</w:t>
      </w:r>
      <w:r>
        <w:rPr>
          <w:rFonts w:hint="eastAsia" w:hAnsi="宋体" w:eastAsia="宋体" w:cs="宋体"/>
          <w:color w:val="auto"/>
          <w:sz w:val="24"/>
          <w:szCs w:val="24"/>
          <w:highlight w:val="none"/>
        </w:rPr>
        <w:t xml:space="preserve">  除合同另有约定外，对以上工作承包人采取的一切措施而可能发生的一切费用，均视为包含在合同单价中。发包人和监理人有权监督，如果承包人未能对上述事项采取各种必要的措施而导致或发生与此有关的罚款、索赔、损失赔偿、诉讼费用以及其他一切责任由承包人负责。</w:t>
      </w:r>
    </w:p>
    <w:p w14:paraId="307D681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9" w:name="_Toc12919"/>
      <w:bookmarkStart w:id="60" w:name="_Toc4940"/>
      <w:bookmarkStart w:id="61" w:name="_Toc11381_WPSOffice_Level2"/>
      <w:bookmarkStart w:id="62" w:name="_Toc12515_WPSOffice_Level2"/>
      <w:r>
        <w:rPr>
          <w:rFonts w:hint="eastAsia" w:ascii="宋体" w:hAnsi="宋体" w:eastAsia="宋体" w:cs="宋体"/>
          <w:color w:val="auto"/>
          <w:sz w:val="24"/>
          <w:szCs w:val="24"/>
          <w:highlight w:val="none"/>
        </w:rPr>
        <w:t>10．进度计划</w:t>
      </w:r>
      <w:bookmarkEnd w:id="59"/>
      <w:bookmarkEnd w:id="60"/>
      <w:bookmarkEnd w:id="61"/>
      <w:bookmarkEnd w:id="62"/>
    </w:p>
    <w:p w14:paraId="443F43D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10.1 合同进度计划</w:t>
      </w:r>
    </w:p>
    <w:p w14:paraId="5665AF8E">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合同进度计划的内容：满足施工需要的详细的施工组织设计，其中包括总体进度计划及节点进度计划等及为实施此计划将采取的措施，在施工过程须如实执行，若有改变，须取得</w:t>
      </w:r>
      <w:r>
        <w:rPr>
          <w:rFonts w:hint="eastAsia" w:ascii="宋体" w:hAnsi="宋体" w:eastAsia="宋体" w:cs="宋体"/>
          <w:color w:val="auto"/>
          <w:sz w:val="24"/>
          <w:szCs w:val="24"/>
          <w:highlight w:val="none"/>
          <w:lang w:val="en-US" w:eastAsia="zh-CN"/>
        </w:rPr>
        <w:t>监理人审核，并经</w:t>
      </w:r>
      <w:r>
        <w:rPr>
          <w:rFonts w:hint="eastAsia" w:ascii="宋体" w:hAnsi="宋体" w:eastAsia="宋体" w:cs="宋体"/>
          <w:color w:val="auto"/>
          <w:sz w:val="24"/>
          <w:szCs w:val="24"/>
          <w:highlight w:val="none"/>
        </w:rPr>
        <w:t>发包人同意，否则将视为承包人违约，发包人保留取消或中止本合同的权力，造成的损失由承包人承担。</w:t>
      </w:r>
      <w:r>
        <w:rPr>
          <w:rFonts w:hint="eastAsia" w:ascii="宋体" w:hAnsi="宋体" w:eastAsia="宋体" w:cs="宋体"/>
          <w:color w:val="auto"/>
          <w:sz w:val="24"/>
          <w:szCs w:val="24"/>
          <w:highlight w:val="none"/>
          <w:lang w:eastAsia="zh-CN"/>
        </w:rPr>
        <w:t>发包人或监理人因工作需要作出调整进度计划的合理指示，承包人</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予以接受并调整进度计划。</w:t>
      </w:r>
    </w:p>
    <w:p w14:paraId="09B0FBE5">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承包人报送合同进度计划的期限：计划开工日期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天前报送总体进度计划及节点进度计划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；每月</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rPr>
        <w:t>日前报送下月进度计划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；每季度末</w:t>
      </w:r>
      <w:r>
        <w:rPr>
          <w:rFonts w:hint="eastAsia" w:ascii="宋体" w:hAnsi="宋体" w:eastAsia="宋体" w:cs="宋体"/>
          <w:color w:val="auto"/>
          <w:sz w:val="24"/>
          <w:szCs w:val="24"/>
          <w:highlight w:val="none"/>
          <w:u w:val="single"/>
          <w:lang w:val="en-US" w:eastAsia="zh-CN"/>
        </w:rPr>
        <w:t>18</w:t>
      </w:r>
      <w:r>
        <w:rPr>
          <w:rFonts w:hint="eastAsia" w:ascii="宋体" w:hAnsi="宋体" w:eastAsia="宋体" w:cs="宋体"/>
          <w:color w:val="auto"/>
          <w:sz w:val="24"/>
          <w:szCs w:val="24"/>
          <w:highlight w:val="none"/>
        </w:rPr>
        <w:t>日前报送下季度进度计划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；每年12月</w:t>
      </w:r>
      <w:r>
        <w:rPr>
          <w:rFonts w:hint="eastAsia" w:ascii="宋体" w:hAnsi="宋体" w:eastAsia="宋体" w:cs="宋体"/>
          <w:color w:val="auto"/>
          <w:sz w:val="24"/>
          <w:szCs w:val="24"/>
          <w:highlight w:val="none"/>
          <w:lang w:val="en-US" w:eastAsia="zh-CN"/>
        </w:rPr>
        <w:t>18日</w:t>
      </w:r>
      <w:r>
        <w:rPr>
          <w:rFonts w:hint="eastAsia" w:ascii="宋体" w:hAnsi="宋体" w:eastAsia="宋体" w:cs="宋体"/>
          <w:color w:val="auto"/>
          <w:sz w:val="24"/>
          <w:szCs w:val="24"/>
          <w:highlight w:val="none"/>
        </w:rPr>
        <w:t>底前报送次年进度计划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6974FAB9">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监理人对合同进度计划的批复或提出修改意见的期限：监理人收到合同进度计划后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32ED925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 合同进度计划的修订</w:t>
      </w:r>
    </w:p>
    <w:p w14:paraId="08A3FAD1">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i w:val="0"/>
          <w:iCs w:val="0"/>
          <w:color w:val="auto"/>
          <w:sz w:val="24"/>
          <w:szCs w:val="24"/>
          <w:highlight w:val="none"/>
          <w:u w:val="single"/>
        </w:rPr>
        <w:t>前</w:t>
      </w:r>
      <w:r>
        <w:rPr>
          <w:rFonts w:hint="eastAsia" w:ascii="宋体" w:hAnsi="宋体" w:eastAsia="宋体" w:cs="宋体"/>
          <w:color w:val="auto"/>
          <w:sz w:val="24"/>
          <w:szCs w:val="24"/>
          <w:highlight w:val="none"/>
        </w:rPr>
        <w:t>向监理人提交修订合同进度计划的申请报告；监理人应在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color w:val="auto"/>
          <w:sz w:val="24"/>
          <w:szCs w:val="24"/>
          <w:highlight w:val="none"/>
          <w:u w:val="single"/>
        </w:rPr>
        <w:t>内</w:t>
      </w:r>
      <w:r>
        <w:rPr>
          <w:rFonts w:hint="eastAsia" w:ascii="宋体" w:hAnsi="宋体" w:eastAsia="宋体" w:cs="宋体"/>
          <w:color w:val="auto"/>
          <w:sz w:val="24"/>
          <w:szCs w:val="24"/>
          <w:highlight w:val="none"/>
        </w:rPr>
        <w:t>对承包人提交的申请报告批复，否则视为已得到批准。</w:t>
      </w:r>
    </w:p>
    <w:p w14:paraId="4275D0CE">
      <w:pPr>
        <w:pStyle w:val="12"/>
        <w:spacing w:beforeLines="0" w:afterLines="0"/>
        <w:ind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通用条款本条增加10.3款的内容：</w:t>
      </w:r>
    </w:p>
    <w:p w14:paraId="0EF69F4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10.3 合同用款计划</w:t>
      </w:r>
    </w:p>
    <w:p w14:paraId="41BFD200">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承包人应在签订本合同协议书后</w:t>
      </w:r>
      <w:r>
        <w:rPr>
          <w:rFonts w:hint="eastAsia" w:ascii="宋体" w:hAnsi="宋体" w:eastAsia="宋体" w:cs="宋体"/>
          <w:color w:val="auto"/>
          <w:sz w:val="24"/>
          <w:szCs w:val="24"/>
          <w:highlight w:val="none"/>
          <w:u w:val="single"/>
        </w:rPr>
        <w:t xml:space="preserve"> 28</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天之内，向监理人提交</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详细的</w:t>
      </w:r>
      <w:r>
        <w:rPr>
          <w:rFonts w:hint="eastAsia" w:ascii="宋体" w:hAnsi="宋体" w:eastAsia="宋体" w:cs="宋体"/>
          <w:color w:val="auto"/>
          <w:sz w:val="24"/>
          <w:szCs w:val="24"/>
          <w:highlight w:val="non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合同用款计划，以备发包人和监理人查阅。如果发包人和监理人提出要求，承包人还应按</w:t>
      </w:r>
      <w:r>
        <w:rPr>
          <w:rFonts w:hint="eastAsia" w:ascii="宋体" w:hAnsi="宋体" w:eastAsia="宋体" w:cs="宋体"/>
          <w:color w:val="auto"/>
          <w:sz w:val="24"/>
          <w:szCs w:val="24"/>
          <w:highlight w:val="none"/>
          <w:u w:val="singl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提交修订的合同用款计划。</w:t>
      </w:r>
    </w:p>
    <w:p w14:paraId="35D41701">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3" w:name="_Toc19138_WPSOffice_Level2"/>
      <w:bookmarkStart w:id="64" w:name="_Toc22052_WPSOffice_Level2"/>
      <w:bookmarkStart w:id="65" w:name="_Toc27169"/>
      <w:bookmarkStart w:id="66" w:name="_Toc29127"/>
      <w:r>
        <w:rPr>
          <w:rFonts w:hint="eastAsia" w:ascii="宋体" w:hAnsi="宋体" w:eastAsia="宋体" w:cs="宋体"/>
          <w:color w:val="auto"/>
          <w:sz w:val="24"/>
          <w:szCs w:val="24"/>
          <w:highlight w:val="none"/>
        </w:rPr>
        <w:t>11．开工和竣工</w:t>
      </w:r>
      <w:bookmarkEnd w:id="63"/>
      <w:bookmarkEnd w:id="64"/>
      <w:bookmarkEnd w:id="65"/>
      <w:r>
        <w:rPr>
          <w:rFonts w:hint="eastAsia" w:ascii="宋体" w:hAnsi="宋体" w:eastAsia="宋体" w:cs="宋体"/>
          <w:color w:val="auto"/>
          <w:sz w:val="24"/>
          <w:szCs w:val="24"/>
          <w:highlight w:val="none"/>
          <w:lang w:eastAsia="zh-CN"/>
        </w:rPr>
        <w:t>替换为：</w:t>
      </w:r>
      <w:bookmarkEnd w:id="66"/>
    </w:p>
    <w:p w14:paraId="09EFE166">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7" w:name="_Toc10625"/>
      <w:r>
        <w:rPr>
          <w:rFonts w:hint="eastAsia" w:ascii="宋体" w:hAnsi="宋体" w:eastAsia="宋体" w:cs="宋体"/>
          <w:color w:val="auto"/>
          <w:sz w:val="24"/>
          <w:szCs w:val="24"/>
          <w:highlight w:val="none"/>
        </w:rPr>
        <w:t>11．开工和</w:t>
      </w:r>
      <w:r>
        <w:rPr>
          <w:rFonts w:hint="eastAsia" w:ascii="宋体" w:hAnsi="宋体" w:eastAsia="宋体" w:cs="宋体"/>
          <w:color w:val="auto"/>
          <w:sz w:val="24"/>
          <w:szCs w:val="24"/>
          <w:highlight w:val="none"/>
          <w:lang w:eastAsia="zh-CN"/>
        </w:rPr>
        <w:t>交工</w:t>
      </w:r>
      <w:bookmarkEnd w:id="67"/>
    </w:p>
    <w:p w14:paraId="39C7D6BF">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w:t>
      </w:r>
      <w:r>
        <w:rPr>
          <w:rFonts w:hint="eastAsia" w:ascii="宋体" w:hAnsi="宋体" w:eastAsia="宋体" w:cs="宋体"/>
          <w:b/>
          <w:color w:val="auto"/>
          <w:sz w:val="24"/>
          <w:szCs w:val="24"/>
          <w:highlight w:val="none"/>
          <w:lang w:eastAsia="zh-CN"/>
        </w:rPr>
        <w:t>条款</w:t>
      </w:r>
      <w:r>
        <w:rPr>
          <w:rFonts w:hint="eastAsia" w:ascii="宋体" w:hAnsi="宋体" w:eastAsia="宋体" w:cs="宋体"/>
          <w:b/>
          <w:color w:val="auto"/>
          <w:sz w:val="24"/>
          <w:szCs w:val="24"/>
          <w:highlight w:val="none"/>
          <w:lang w:val="en-US" w:eastAsia="zh-CN"/>
        </w:rPr>
        <w:t>11.1</w:t>
      </w:r>
      <w:r>
        <w:rPr>
          <w:rFonts w:hint="eastAsia" w:ascii="宋体" w:hAnsi="宋体" w:eastAsia="宋体" w:cs="宋体"/>
          <w:b/>
          <w:color w:val="auto"/>
          <w:sz w:val="24"/>
          <w:szCs w:val="24"/>
          <w:highlight w:val="none"/>
        </w:rPr>
        <w:t>款增加</w:t>
      </w:r>
      <w:r>
        <w:rPr>
          <w:rFonts w:hint="eastAsia" w:ascii="宋体" w:hAnsi="宋体" w:eastAsia="宋体" w:cs="宋体"/>
          <w:b/>
          <w:color w:val="auto"/>
          <w:sz w:val="24"/>
          <w:szCs w:val="24"/>
          <w:highlight w:val="none"/>
          <w:lang w:val="en-US" w:eastAsia="zh-CN"/>
        </w:rPr>
        <w:t>11.1.3至11.1.4 项</w:t>
      </w:r>
      <w:r>
        <w:rPr>
          <w:rFonts w:hint="eastAsia" w:ascii="宋体" w:hAnsi="宋体" w:eastAsia="宋体" w:cs="宋体"/>
          <w:b/>
          <w:color w:val="auto"/>
          <w:sz w:val="24"/>
          <w:szCs w:val="24"/>
          <w:highlight w:val="none"/>
        </w:rPr>
        <w:t>的内容：</w:t>
      </w:r>
    </w:p>
    <w:p w14:paraId="078DE807">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分项工程的开工应事先得到监理人的书面同意，承包人应提前48小时将申请开工的书面通知报送监理人，监理人应在收到通知48小时内予以书面答复</w:t>
      </w:r>
      <w:r>
        <w:rPr>
          <w:rFonts w:hint="eastAsia" w:ascii="宋体" w:hAnsi="宋体" w:eastAsia="宋体" w:cs="宋体"/>
          <w:color w:val="auto"/>
          <w:sz w:val="24"/>
          <w:szCs w:val="24"/>
          <w:highlight w:val="none"/>
          <w:lang w:eastAsia="zh-CN"/>
        </w:rPr>
        <w:t>，否则</w:t>
      </w:r>
      <w:r>
        <w:rPr>
          <w:rFonts w:hint="eastAsia" w:ascii="宋体" w:hAnsi="宋体" w:eastAsia="宋体" w:cs="宋体"/>
          <w:color w:val="auto"/>
          <w:sz w:val="24"/>
          <w:szCs w:val="24"/>
          <w:highlight w:val="none"/>
        </w:rPr>
        <w:t>视为同意。</w:t>
      </w:r>
    </w:p>
    <w:p w14:paraId="27A32B30">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不能按期开工时，应在接到开工令24小时内向监理人提出延期开工申请报告，监理人应在接到报告24小时内作出答复。若监理人在24小时内同意或未予答复，工期相应顺延；若监理人不同意延期要求，则工期不予顺延。</w:t>
      </w:r>
    </w:p>
    <w:p w14:paraId="117FCEC0">
      <w:pPr>
        <w:pStyle w:val="5"/>
        <w:keepLines/>
        <w:numPr>
          <w:ilvl w:val="0"/>
          <w:numId w:val="0"/>
        </w:numPr>
        <w:tabs>
          <w:tab w:val="left" w:pos="864"/>
        </w:tabs>
        <w:spacing w:line="360" w:lineRule="auto"/>
        <w:ind w:left="420" w:leftChars="200" w:firstLine="0" w:firstLineChars="0"/>
        <w:jc w:val="both"/>
        <w:rPr>
          <w:rFonts w:hint="eastAsia" w:ascii="宋体" w:hAnsi="宋体" w:eastAsia="宋体" w:cs="宋体"/>
          <w:b/>
          <w:i w:val="0"/>
          <w:color w:val="auto"/>
          <w:sz w:val="24"/>
          <w:szCs w:val="24"/>
          <w:highlight w:val="none"/>
        </w:rPr>
      </w:pPr>
      <w:r>
        <w:rPr>
          <w:rFonts w:hint="eastAsia" w:ascii="宋体" w:hAnsi="宋体" w:eastAsia="宋体" w:cs="宋体"/>
          <w:b/>
          <w:i w:val="0"/>
          <w:color w:val="auto"/>
          <w:sz w:val="24"/>
          <w:szCs w:val="24"/>
          <w:highlight w:val="none"/>
        </w:rPr>
        <w:t>11.2</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lang w:eastAsia="zh-CN"/>
        </w:rPr>
        <w:t>交</w:t>
      </w:r>
      <w:r>
        <w:rPr>
          <w:rFonts w:hint="eastAsia" w:ascii="宋体" w:hAnsi="宋体" w:eastAsia="宋体" w:cs="宋体"/>
          <w:b/>
          <w:i w:val="0"/>
          <w:color w:val="auto"/>
          <w:sz w:val="24"/>
          <w:szCs w:val="24"/>
          <w:highlight w:val="none"/>
        </w:rPr>
        <w:t>工</w:t>
      </w:r>
    </w:p>
    <w:p w14:paraId="2D2A96D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承包人应在第1.1.4.3目约定的期限内完成合同工程。实际交工日期以交工验收证书中写明的日期为准。</w:t>
      </w:r>
    </w:p>
    <w:p w14:paraId="5AEE5B01">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重要节点工期：</w:t>
      </w:r>
      <w:r>
        <w:rPr>
          <w:rFonts w:hint="eastAsia" w:ascii="宋体" w:hAnsi="宋体" w:eastAsia="宋体" w:cs="宋体"/>
          <w:color w:val="auto"/>
          <w:sz w:val="24"/>
          <w:szCs w:val="24"/>
          <w:highlight w:val="none"/>
          <w:u w:val="single"/>
          <w:lang w:val="en-US" w:eastAsia="zh-CN"/>
        </w:rPr>
        <w:t xml:space="preserve"> 按</w:t>
      </w:r>
      <w:r>
        <w:rPr>
          <w:rFonts w:hint="eastAsia" w:hAnsi="宋体" w:eastAsia="宋体" w:cs="宋体"/>
          <w:color w:val="auto"/>
          <w:sz w:val="24"/>
          <w:szCs w:val="24"/>
          <w:highlight w:val="none"/>
          <w:u w:val="single"/>
          <w:lang w:val="en-US" w:eastAsia="zh-CN"/>
        </w:rPr>
        <w:t>批复的</w:t>
      </w:r>
      <w:r>
        <w:rPr>
          <w:rFonts w:hint="eastAsia" w:ascii="宋体" w:hAnsi="宋体" w:eastAsia="宋体" w:cs="宋体"/>
          <w:color w:val="auto"/>
          <w:sz w:val="24"/>
          <w:szCs w:val="24"/>
          <w:highlight w:val="none"/>
          <w:u w:val="single"/>
        </w:rPr>
        <w:t>进度计划</w:t>
      </w:r>
      <w:r>
        <w:rPr>
          <w:rFonts w:hint="eastAsia" w:ascii="宋体" w:hAnsi="宋体" w:eastAsia="宋体" w:cs="宋体"/>
          <w:color w:val="auto"/>
          <w:sz w:val="24"/>
          <w:szCs w:val="24"/>
          <w:highlight w:val="none"/>
          <w:u w:val="single"/>
          <w:lang w:eastAsia="zh-CN"/>
        </w:rPr>
        <w:t>执行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39AFA58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11.3 发包人的工期延误</w:t>
      </w:r>
    </w:p>
    <w:p w14:paraId="092DF4A7">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通用条款本款第一自然段修改为：在履行合同过程中，由于发包人</w:t>
      </w:r>
      <w:r>
        <w:rPr>
          <w:rFonts w:hint="eastAsia" w:ascii="宋体" w:hAnsi="宋体" w:eastAsia="宋体" w:cs="宋体"/>
          <w:color w:val="auto"/>
          <w:sz w:val="24"/>
          <w:szCs w:val="24"/>
          <w:highlight w:val="none"/>
          <w:lang w:val="en-US" w:eastAsia="zh-CN"/>
        </w:rPr>
        <w:t>或业主</w:t>
      </w:r>
      <w:r>
        <w:rPr>
          <w:rFonts w:hint="eastAsia" w:ascii="宋体" w:hAnsi="宋体" w:eastAsia="宋体" w:cs="宋体"/>
          <w:color w:val="auto"/>
          <w:sz w:val="24"/>
          <w:szCs w:val="24"/>
          <w:highlight w:val="none"/>
        </w:rPr>
        <w:t>的下列原因造成工期延误的，承包人可获得适当的工期延长；</w:t>
      </w:r>
      <w:r>
        <w:rPr>
          <w:rFonts w:hint="eastAsia" w:ascii="宋体" w:hAnsi="宋体" w:eastAsia="宋体" w:cs="宋体"/>
          <w:color w:val="auto"/>
          <w:sz w:val="24"/>
          <w:szCs w:val="24"/>
          <w:highlight w:val="none"/>
          <w:lang w:val="en-US" w:eastAsia="zh-CN"/>
        </w:rPr>
        <w:t xml:space="preserve"> 但承包人不得就工期延长导致的任何费用进行索赔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rPr>
        <w:t>需要修订合同进度计划的，按照专用条款第10.2款的约定办理。</w:t>
      </w:r>
    </w:p>
    <w:p w14:paraId="564FA6A6">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通用条款本款第（6）点的内容不适用于本合同。</w:t>
      </w:r>
    </w:p>
    <w:p w14:paraId="645E021E">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通用条款本款文末补充：承包人要求发包人延长工期的，必须举证证明延误工期的因素符合合同约定，并证明这个因素确实导致工期延误的具体天数以及延误工期的因素和延误的天数之间具有因果关系。</w:t>
      </w:r>
    </w:p>
    <w:p w14:paraId="579806A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11.4 异常恶劣的气候条件</w:t>
      </w:r>
    </w:p>
    <w:p w14:paraId="1EEFF19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异常恶劣的气候条件是指水运工程水域施工作业难以正常进行或须采取其他补救措施才能进行的气候条件，一般包括：</w:t>
      </w:r>
    </w:p>
    <w:p w14:paraId="4D600C9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持续高温：连续三日日最高气温38℃以上；</w:t>
      </w:r>
    </w:p>
    <w:p w14:paraId="470CCBE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持续低温：连续三日日最低气温-20℃以下；</w:t>
      </w:r>
    </w:p>
    <w:p w14:paraId="5886D40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大风天气：施工水域日风力在6级以上且持续时间不少于4小时，或阵风大于8级；</w:t>
      </w:r>
    </w:p>
    <w:p w14:paraId="7B8BE6C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暴雨天气：日降雨量50mm及以上，或降雨强度大于20mm/h；</w:t>
      </w:r>
    </w:p>
    <w:p w14:paraId="18FA523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暴雪天气：日降雪量10mm及以上；</w:t>
      </w:r>
    </w:p>
    <w:p w14:paraId="36E60AD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流速或波浪：内河3.5米/秒及以上流速，海上2米及以上的大浪和强浪；</w:t>
      </w:r>
    </w:p>
    <w:p w14:paraId="2C2AB76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水淹：施工场地大部或全部被潮水、洪水或雨水淹没超过1天；</w:t>
      </w:r>
    </w:p>
    <w:p w14:paraId="2074BD8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大雾：定点施工船舶能见度小于50米的雾天超过1天；运动船舶按有关规定。</w:t>
      </w:r>
    </w:p>
    <w:p w14:paraId="39F6DB7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11.5 承包人的工期延误</w:t>
      </w:r>
    </w:p>
    <w:p w14:paraId="2403B62A">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工违约金的计算方法：在合同</w:t>
      </w:r>
      <w:r>
        <w:rPr>
          <w:rFonts w:hint="eastAsia" w:ascii="宋体" w:hAnsi="宋体" w:eastAsia="宋体" w:cs="宋体"/>
          <w:color w:val="auto"/>
          <w:sz w:val="24"/>
          <w:szCs w:val="24"/>
          <w:highlight w:val="none"/>
          <w:lang w:val="en-US" w:eastAsia="zh-CN"/>
        </w:rPr>
        <w:t>实际</w:t>
      </w:r>
      <w:r>
        <w:rPr>
          <w:rFonts w:hint="eastAsia" w:ascii="宋体" w:hAnsi="宋体" w:eastAsia="宋体" w:cs="宋体"/>
          <w:color w:val="auto"/>
          <w:sz w:val="24"/>
          <w:szCs w:val="24"/>
          <w:highlight w:val="none"/>
        </w:rPr>
        <w:t>工</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超过原定工期（包括经批准的延期后工期）的情况下，工期延误天数×P1，其中P1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合同价的1‰/天  </w:t>
      </w: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工违约金累计最高不得超过合同总价的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%。超过合同总价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%的，发包人有权解除合同。</w:t>
      </w:r>
      <w:r>
        <w:rPr>
          <w:rFonts w:hint="eastAsia" w:ascii="宋体" w:hAnsi="宋体" w:eastAsia="宋体" w:cs="宋体"/>
          <w:color w:val="auto"/>
          <w:sz w:val="24"/>
          <w:szCs w:val="24"/>
          <w:highlight w:val="none"/>
          <w:lang w:val="en-US" w:eastAsia="zh-CN"/>
        </w:rPr>
        <w:t>因发包人原因导致的工期延误除外。</w:t>
      </w:r>
    </w:p>
    <w:p w14:paraId="50318B8C">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11.5.1 由于承包人原因，未能按施工进度计划完成工作，或监理人认为承包人工作进度不能满足合同工期要求的，承包人应采取措施加快进度，并承担加快进度所增加的费用。</w:t>
      </w:r>
    </w:p>
    <w:p w14:paraId="4E660879">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11.5.2 </w:t>
      </w:r>
      <w:r>
        <w:rPr>
          <w:rFonts w:hint="eastAsia" w:ascii="宋体" w:hAnsi="宋体" w:cs="宋体"/>
          <w:color w:val="auto"/>
          <w:sz w:val="24"/>
          <w:szCs w:val="24"/>
          <w:highlight w:val="none"/>
          <w:lang w:eastAsia="zh-CN"/>
        </w:rPr>
        <w:t>发包人每月按批准的进度计划检查承包人的施工进度完成情况，如当月出现延误</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0%工作量（按</w:t>
      </w:r>
      <w:r>
        <w:rPr>
          <w:rFonts w:hint="eastAsia" w:ascii="宋体" w:hAnsi="宋体" w:eastAsia="宋体" w:cs="宋体"/>
          <w:color w:val="auto"/>
          <w:sz w:val="24"/>
          <w:szCs w:val="24"/>
          <w:highlight w:val="none"/>
          <w:lang w:val="en-US" w:eastAsia="zh-CN"/>
        </w:rPr>
        <w:t>工程产值</w:t>
      </w:r>
      <w:r>
        <w:rPr>
          <w:rFonts w:hint="eastAsia" w:ascii="宋体" w:hAnsi="宋体" w:cs="宋体"/>
          <w:color w:val="auto"/>
          <w:sz w:val="24"/>
          <w:szCs w:val="24"/>
          <w:highlight w:val="none"/>
          <w:lang w:eastAsia="zh-CN"/>
        </w:rPr>
        <w:t>计算）</w:t>
      </w:r>
      <w:r>
        <w:rPr>
          <w:rFonts w:hint="eastAsia" w:ascii="宋体" w:hAnsi="宋体" w:eastAsia="宋体" w:cs="宋体"/>
          <w:color w:val="auto"/>
          <w:sz w:val="24"/>
          <w:szCs w:val="24"/>
          <w:highlight w:val="none"/>
          <w:lang w:val="en-US" w:eastAsia="zh-CN"/>
        </w:rPr>
        <w:t>以上的</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发包人可要求</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color w:val="auto"/>
          <w:sz w:val="24"/>
          <w:szCs w:val="24"/>
          <w:highlight w:val="none"/>
          <w:lang w:val="en-US" w:eastAsia="zh-CN"/>
        </w:rPr>
        <w:t>派专人</w:t>
      </w:r>
      <w:r>
        <w:rPr>
          <w:rFonts w:hint="eastAsia" w:ascii="宋体" w:hAnsi="宋体" w:cs="宋体"/>
          <w:color w:val="auto"/>
          <w:sz w:val="24"/>
          <w:szCs w:val="24"/>
          <w:highlight w:val="none"/>
          <w:lang w:eastAsia="zh-CN"/>
        </w:rPr>
        <w:t>到工地现场</w:t>
      </w:r>
      <w:r>
        <w:rPr>
          <w:rFonts w:hint="eastAsia" w:ascii="宋体" w:hAnsi="宋体" w:eastAsia="宋体" w:cs="宋体"/>
          <w:color w:val="auto"/>
          <w:sz w:val="24"/>
          <w:szCs w:val="24"/>
          <w:highlight w:val="none"/>
          <w:lang w:val="en-US" w:eastAsia="zh-CN"/>
        </w:rPr>
        <w:t>加强</w:t>
      </w:r>
      <w:r>
        <w:rPr>
          <w:rFonts w:hint="eastAsia" w:ascii="宋体" w:hAnsi="宋体" w:cs="宋体"/>
          <w:color w:val="auto"/>
          <w:sz w:val="24"/>
          <w:szCs w:val="24"/>
          <w:highlight w:val="none"/>
          <w:lang w:eastAsia="zh-CN"/>
        </w:rPr>
        <w:t>施工管理工作，直至</w:t>
      </w:r>
      <w:r>
        <w:rPr>
          <w:rFonts w:hint="eastAsia" w:ascii="宋体" w:hAnsi="宋体" w:eastAsia="宋体" w:cs="宋体"/>
          <w:color w:val="auto"/>
          <w:sz w:val="24"/>
          <w:szCs w:val="24"/>
          <w:highlight w:val="none"/>
          <w:lang w:val="en-US" w:eastAsia="zh-CN"/>
        </w:rPr>
        <w:t>施工</w:t>
      </w:r>
      <w:r>
        <w:rPr>
          <w:rFonts w:hint="eastAsia" w:ascii="宋体" w:hAnsi="宋体" w:cs="宋体"/>
          <w:color w:val="auto"/>
          <w:sz w:val="24"/>
          <w:szCs w:val="24"/>
          <w:highlight w:val="none"/>
          <w:lang w:eastAsia="zh-CN"/>
        </w:rPr>
        <w:t>进度符合进度计划要求。</w:t>
      </w:r>
      <w:r>
        <w:rPr>
          <w:rFonts w:hint="eastAsia" w:ascii="宋体" w:hAnsi="宋体" w:cs="宋体"/>
          <w:color w:val="auto"/>
          <w:sz w:val="24"/>
          <w:szCs w:val="24"/>
          <w:highlight w:val="none"/>
          <w:lang w:val="en-US" w:eastAsia="zh-CN"/>
        </w:rPr>
        <w:t>如仍然无法解决进度滞后问题</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发包人可要求</w:t>
      </w:r>
      <w:r>
        <w:rPr>
          <w:rFonts w:hint="eastAsia" w:ascii="宋体" w:hAnsi="宋体" w:cs="宋体"/>
          <w:color w:val="auto"/>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color w:val="auto"/>
          <w:sz w:val="24"/>
          <w:szCs w:val="24"/>
          <w:highlight w:val="none"/>
          <w:lang w:val="en-US" w:eastAsia="zh-CN"/>
        </w:rPr>
        <w:t>领导</w:t>
      </w:r>
      <w:r>
        <w:rPr>
          <w:rFonts w:hint="eastAsia" w:ascii="宋体" w:hAnsi="宋体" w:cs="宋体"/>
          <w:color w:val="auto"/>
          <w:sz w:val="24"/>
          <w:szCs w:val="24"/>
          <w:highlight w:val="none"/>
          <w:lang w:eastAsia="zh-CN"/>
        </w:rPr>
        <w:t>到工地现场</w:t>
      </w:r>
      <w:r>
        <w:rPr>
          <w:rFonts w:hint="eastAsia" w:ascii="宋体" w:hAnsi="宋体" w:eastAsia="宋体" w:cs="宋体"/>
          <w:color w:val="auto"/>
          <w:sz w:val="24"/>
          <w:szCs w:val="24"/>
          <w:highlight w:val="none"/>
          <w:lang w:val="en-US" w:eastAsia="zh-CN"/>
        </w:rPr>
        <w:t>加强施工管理工作</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直至施工进度符合进度计划要求</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如承包人公司</w:t>
      </w:r>
      <w:r>
        <w:rPr>
          <w:rFonts w:hint="eastAsia" w:ascii="宋体" w:hAnsi="宋体" w:cs="宋体"/>
          <w:color w:val="auto"/>
          <w:sz w:val="24"/>
          <w:szCs w:val="24"/>
          <w:highlight w:val="none"/>
          <w:lang w:val="en-US" w:eastAsia="zh-CN"/>
        </w:rPr>
        <w:t>领导</w:t>
      </w:r>
      <w:r>
        <w:rPr>
          <w:rFonts w:hint="eastAsia" w:ascii="宋体" w:hAnsi="宋体" w:eastAsia="宋体" w:cs="宋体"/>
          <w:color w:val="auto"/>
          <w:sz w:val="24"/>
          <w:szCs w:val="24"/>
          <w:highlight w:val="none"/>
          <w:lang w:val="en-US" w:eastAsia="zh-CN"/>
        </w:rPr>
        <w:t>未能要求到场履职的，发包人可对承包人处于</w:t>
      </w:r>
      <w:r>
        <w:rPr>
          <w:rFonts w:hint="eastAsia" w:ascii="宋体" w:hAnsi="宋体" w:cs="宋体"/>
          <w:color w:val="auto"/>
          <w:sz w:val="24"/>
          <w:szCs w:val="24"/>
          <w:highlight w:val="none"/>
          <w:u w:val="single"/>
          <w:lang w:val="en-US" w:eastAsia="zh-CN"/>
        </w:rPr>
        <w:t>1万</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违约金，</w:t>
      </w:r>
      <w:r>
        <w:rPr>
          <w:rFonts w:hint="eastAsia" w:ascii="宋体" w:hAnsi="宋体" w:cs="宋体"/>
          <w:color w:val="auto"/>
          <w:sz w:val="24"/>
          <w:szCs w:val="24"/>
          <w:highlight w:val="none"/>
        </w:rPr>
        <w:t>直至终止本合同，由此产生的一切损失和后果均由承包人承担。</w:t>
      </w:r>
    </w:p>
    <w:p w14:paraId="715805A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11.6 工期提前</w:t>
      </w:r>
    </w:p>
    <w:p w14:paraId="35F6F2D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发包人</w:t>
      </w:r>
      <w:r>
        <w:rPr>
          <w:rFonts w:hint="eastAsia" w:ascii="宋体" w:hAnsi="宋体" w:eastAsia="宋体" w:cs="宋体"/>
          <w:color w:val="auto"/>
          <w:sz w:val="24"/>
          <w:szCs w:val="24"/>
          <w:highlight w:val="none"/>
          <w:u w:val="single"/>
        </w:rPr>
        <w:t xml:space="preserve"> 不同意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向承包人支付提前工期奖。</w:t>
      </w:r>
    </w:p>
    <w:p w14:paraId="3ABAA419">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如同意，提前工期奖金的计算方法为：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28F2BDD6">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工期提前天数×</w:t>
      </w:r>
      <w:r>
        <w:rPr>
          <w:rFonts w:hint="eastAsia" w:ascii="宋体" w:hAnsi="宋体" w:eastAsia="宋体" w:cs="宋体"/>
          <w:color w:val="auto"/>
          <w:sz w:val="24"/>
          <w:szCs w:val="24"/>
          <w:highlight w:val="none"/>
          <w:lang w:val="en-US" w:eastAsia="zh-CN"/>
        </w:rPr>
        <w:t>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，其中P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0D834735">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提前工期奖金累计最高不得超过总合同价款的5%。</w:t>
      </w:r>
    </w:p>
    <w:p w14:paraId="174FEA9D">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68" w:name="_Toc24131"/>
      <w:bookmarkStart w:id="69" w:name="_Toc11124"/>
      <w:bookmarkStart w:id="70" w:name="_Toc32688_WPSOffice_Level2"/>
      <w:bookmarkStart w:id="71" w:name="_Toc27291_WPSOffice_Level2"/>
      <w:r>
        <w:rPr>
          <w:rFonts w:hint="eastAsia" w:ascii="宋体" w:hAnsi="宋体" w:eastAsia="宋体" w:cs="宋体"/>
          <w:color w:val="auto"/>
          <w:sz w:val="24"/>
          <w:szCs w:val="24"/>
          <w:highlight w:val="none"/>
        </w:rPr>
        <w:t>12．暂停施工</w:t>
      </w:r>
      <w:bookmarkEnd w:id="68"/>
      <w:bookmarkEnd w:id="69"/>
      <w:bookmarkEnd w:id="70"/>
      <w:bookmarkEnd w:id="71"/>
    </w:p>
    <w:p w14:paraId="317F18D7">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承包人暂停施工的责任</w:t>
      </w:r>
    </w:p>
    <w:p w14:paraId="288B110A">
      <w:pPr>
        <w:adjustRightInd w:val="0"/>
        <w:snapToGrid w:val="0"/>
        <w:spacing w:line="360" w:lineRule="auto"/>
        <w:ind w:firstLine="480" w:firstLineChars="200"/>
        <w:jc w:val="both"/>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承包人承担的其他暂停施工：</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366DB3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rPr>
        <w:t>12.2</w:t>
      </w:r>
      <w:r>
        <w:rPr>
          <w:rFonts w:hint="eastAsia" w:ascii="宋体" w:hAnsi="宋体" w:eastAsia="宋体" w:cs="宋体"/>
          <w:b/>
          <w:color w:val="auto"/>
          <w:sz w:val="24"/>
          <w:szCs w:val="24"/>
          <w:highlight w:val="none"/>
          <w:lang w:eastAsia="zh-CN"/>
        </w:rPr>
        <w:t>款不适用于本合同，代之以</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 xml:space="preserve"> </w:t>
      </w:r>
    </w:p>
    <w:p w14:paraId="04E414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 xml:space="preserve">12.2 </w:t>
      </w:r>
      <w:r>
        <w:rPr>
          <w:rFonts w:hint="eastAsia" w:ascii="宋体" w:hAnsi="宋体" w:eastAsia="宋体" w:cs="宋体"/>
          <w:b/>
          <w:color w:val="auto"/>
          <w:sz w:val="24"/>
          <w:szCs w:val="24"/>
          <w:highlight w:val="none"/>
        </w:rPr>
        <w:t>发包人暂停施工的责任</w:t>
      </w:r>
    </w:p>
    <w:p w14:paraId="684DD018">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47B2910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0880EE9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12.4 暂停施工后的复工</w:t>
      </w:r>
    </w:p>
    <w:p w14:paraId="4DD219C7">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通用条款本款第12.4.2项修改为：</w:t>
      </w:r>
    </w:p>
    <w:p w14:paraId="0F6410CB">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承包人无故拖延和拒绝复工的，由此增加的费用和工期延误由承包人承担；因发包人原因无法按时复工的，承包人可获得适当的工期延长，如果因此导致承包人费用增加的，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3E5DA56D">
      <w:pPr>
        <w:spacing w:beforeLines="-2147483648" w:afterLines="-2147483648"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134614C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2" w:name="_Toc13660"/>
      <w:bookmarkStart w:id="73" w:name="_Toc26934_WPSOffice_Level2"/>
      <w:bookmarkStart w:id="74" w:name="_Toc9392"/>
      <w:bookmarkStart w:id="75" w:name="_Toc5719_WPSOffice_Level2"/>
      <w:r>
        <w:rPr>
          <w:rFonts w:hint="eastAsia" w:ascii="宋体" w:hAnsi="宋体" w:eastAsia="宋体" w:cs="宋体"/>
          <w:color w:val="auto"/>
          <w:sz w:val="24"/>
          <w:szCs w:val="24"/>
          <w:highlight w:val="none"/>
        </w:rPr>
        <w:t>13．工程质量</w:t>
      </w:r>
      <w:bookmarkEnd w:id="72"/>
      <w:bookmarkEnd w:id="73"/>
      <w:bookmarkEnd w:id="74"/>
      <w:bookmarkEnd w:id="75"/>
    </w:p>
    <w:p w14:paraId="289E71E1">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13.1 工程质量要求</w:t>
      </w:r>
    </w:p>
    <w:p w14:paraId="1E46FDB4">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13.1.1 </w:t>
      </w:r>
      <w:r>
        <w:rPr>
          <w:rFonts w:hint="eastAsia" w:ascii="宋体" w:hAnsi="宋体" w:eastAsia="宋体" w:cs="宋体"/>
          <w:color w:val="auto"/>
          <w:sz w:val="24"/>
          <w:szCs w:val="24"/>
          <w:highlight w:val="none"/>
          <w:lang w:val="en-US" w:eastAsia="zh-CN"/>
        </w:rPr>
        <w:t>工程质量验收按现行水运工程质量检验标准执行，若标准有修订，按新修订的标准执行，其中疏浚工程以承包人委托且经发包人同意的具备资质的第三方采用测量方式验收，航道清（炸）礁以承包人委托且经发包人同意的具备资质的第三方采用硬式扫床的测量方式验收。验收测量所</w:t>
      </w:r>
      <w:r>
        <w:rPr>
          <w:rFonts w:hint="eastAsia" w:ascii="宋体" w:hAnsi="宋体" w:eastAsia="宋体" w:cs="宋体"/>
          <w:color w:val="auto"/>
          <w:spacing w:val="0"/>
          <w:sz w:val="24"/>
          <w:szCs w:val="24"/>
          <w:highlight w:val="none"/>
          <w:vertAlign w:val="baseline"/>
          <w:lang w:val="en-US" w:eastAsia="zh-CN"/>
        </w:rPr>
        <w:t>需费用已包含在投标报价中，发包人不另行支付。</w:t>
      </w:r>
      <w:r>
        <w:rPr>
          <w:rFonts w:hint="eastAsia" w:ascii="宋体" w:hAnsi="宋体" w:eastAsia="宋体" w:cs="宋体"/>
          <w:color w:val="auto"/>
          <w:sz w:val="24"/>
          <w:szCs w:val="24"/>
          <w:highlight w:val="none"/>
          <w:lang w:val="en-US" w:eastAsia="zh-CN"/>
        </w:rPr>
        <w:t xml:space="preserve">因工程范围内存在浅点等原因导致验收测量无法一次通过而需要重新（一次或多次测量的）委托具备资质的第三方实施验收测量的，由此产生的费用由承包人负责承担，发包人不另行支付。 </w:t>
      </w:r>
    </w:p>
    <w:p w14:paraId="5CF572C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13.1.3</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r>
        <w:rPr>
          <w:rFonts w:hint="eastAsia" w:ascii="宋体" w:hAnsi="宋体" w:eastAsia="宋体" w:cs="宋体"/>
          <w:b/>
          <w:color w:val="auto"/>
          <w:sz w:val="24"/>
          <w:szCs w:val="24"/>
          <w:highlight w:val="none"/>
          <w:lang w:val="en-US" w:eastAsia="zh-CN"/>
        </w:rPr>
        <w:t>:</w:t>
      </w:r>
    </w:p>
    <w:p w14:paraId="74BC1D74">
      <w:pPr>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13.1.3 因发包人</w:t>
      </w:r>
      <w:r>
        <w:rPr>
          <w:rFonts w:hint="eastAsia" w:ascii="宋体" w:hAnsi="宋体" w:eastAsia="宋体" w:cs="宋体"/>
          <w:b w:val="0"/>
          <w:bCs/>
          <w:color w:val="auto"/>
          <w:sz w:val="24"/>
          <w:szCs w:val="24"/>
          <w:highlight w:val="none"/>
          <w:lang w:val="en-US" w:eastAsia="zh-CN"/>
        </w:rPr>
        <w:t>或业主</w:t>
      </w:r>
      <w:r>
        <w:rPr>
          <w:rFonts w:hint="eastAsia" w:ascii="宋体" w:hAnsi="宋体" w:eastAsia="宋体" w:cs="宋体"/>
          <w:b w:val="0"/>
          <w:bCs/>
          <w:color w:val="auto"/>
          <w:sz w:val="24"/>
          <w:szCs w:val="24"/>
          <w:highlight w:val="none"/>
          <w:lang w:eastAsia="zh-CN"/>
        </w:rPr>
        <w:t>原因造成工程质量达不到合同约定验收标准的，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b w:val="0"/>
          <w:bCs/>
          <w:color w:val="auto"/>
          <w:sz w:val="24"/>
          <w:szCs w:val="24"/>
          <w:highlight w:val="none"/>
          <w:lang w:val="en-US" w:eastAsia="zh-CN"/>
        </w:rPr>
        <w:t>承包人可要求</w:t>
      </w:r>
      <w:r>
        <w:rPr>
          <w:rFonts w:hint="eastAsia" w:ascii="宋体" w:hAnsi="宋体" w:eastAsia="宋体" w:cs="宋体"/>
          <w:bCs/>
          <w:color w:val="auto"/>
          <w:sz w:val="24"/>
          <w:szCs w:val="24"/>
          <w:highlight w:val="none"/>
          <w:lang w:eastAsia="zh-CN"/>
        </w:rPr>
        <w:t>返工造成的直接成本费用补偿（不含利润）和适当的工期延误。</w:t>
      </w:r>
    </w:p>
    <w:p w14:paraId="10AA2DBD">
      <w:pPr>
        <w:pStyle w:val="12"/>
        <w:spacing w:line="360" w:lineRule="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bCs/>
          <w:color w:val="auto"/>
          <w:kern w:val="0"/>
          <w:sz w:val="24"/>
          <w:szCs w:val="24"/>
          <w:highlight w:val="none"/>
          <w:lang w:eastAsia="zh-CN"/>
        </w:rPr>
        <w:t>通用条款本款增加</w:t>
      </w:r>
      <w:r>
        <w:rPr>
          <w:rFonts w:hint="eastAsia" w:ascii="宋体" w:hAnsi="宋体" w:eastAsia="宋体" w:cs="宋体"/>
          <w:b/>
          <w:bCs/>
          <w:color w:val="auto"/>
          <w:kern w:val="0"/>
          <w:sz w:val="24"/>
          <w:szCs w:val="24"/>
          <w:highlight w:val="none"/>
          <w:lang w:val="en-US" w:eastAsia="zh-CN"/>
        </w:rPr>
        <w:t>13.1.4至13.1.5项的内容：</w:t>
      </w:r>
    </w:p>
    <w:p w14:paraId="4DEE1A6E">
      <w:pPr>
        <w:spacing w:beforeLines="0" w:afterLines="0"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13.1.4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质量标准</w:t>
      </w:r>
    </w:p>
    <w:p w14:paraId="2533A559">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(1)现行水运工程质量检验标准；</w:t>
      </w:r>
    </w:p>
    <w:p w14:paraId="7542452A">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(2)其他现行工程质量检验标准；</w:t>
      </w:r>
    </w:p>
    <w:p w14:paraId="1011BAF5">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(3)以上标准如有修订，按新修订的标准执行。</w:t>
      </w:r>
    </w:p>
    <w:p w14:paraId="5DD609D4">
      <w:pPr>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13.1.5</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质量目标</w:t>
      </w:r>
    </w:p>
    <w:p w14:paraId="67A7EAD7">
      <w:pPr>
        <w:pStyle w:val="12"/>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本工程质量目标：</w:t>
      </w:r>
      <w:r>
        <w:rPr>
          <w:rFonts w:hint="eastAsia" w:ascii="宋体" w:hAnsi="宋体" w:eastAsia="宋体" w:cs="宋体"/>
          <w:color w:val="auto"/>
          <w:kern w:val="0"/>
          <w:sz w:val="24"/>
          <w:szCs w:val="24"/>
          <w:highlight w:val="none"/>
          <w:u w:val="single"/>
          <w:lang w:val="en-US" w:eastAsia="zh-CN"/>
        </w:rPr>
        <w:t>创建平安百年品质工程示范项目；项目工程质量符合《水运工程质量检验标准》(JTS-257-2008)等合格标准，符合广东省航道事务中心编制的《船闸工程质量提升指南》要求</w:t>
      </w:r>
      <w:r>
        <w:rPr>
          <w:rFonts w:hint="eastAsia" w:ascii="宋体" w:hAnsi="宋体" w:eastAsia="宋体" w:cs="宋体"/>
          <w:color w:val="auto"/>
          <w:kern w:val="0"/>
          <w:sz w:val="24"/>
          <w:szCs w:val="24"/>
          <w:highlight w:val="none"/>
        </w:rPr>
        <w:t>。</w:t>
      </w:r>
    </w:p>
    <w:p w14:paraId="1AE1457E">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2 承包人的</w:t>
      </w:r>
      <w:r>
        <w:rPr>
          <w:rFonts w:hint="eastAsia" w:ascii="宋体" w:hAnsi="宋体" w:eastAsia="宋体" w:cs="宋体"/>
          <w:b/>
          <w:color w:val="auto"/>
          <w:sz w:val="24"/>
          <w:szCs w:val="24"/>
          <w:highlight w:val="none"/>
        </w:rPr>
        <w:t>质量</w:t>
      </w:r>
      <w:r>
        <w:rPr>
          <w:rFonts w:hint="eastAsia" w:ascii="宋体" w:hAnsi="宋体" w:eastAsia="宋体" w:cs="宋体"/>
          <w:b/>
          <w:color w:val="auto"/>
          <w:sz w:val="24"/>
          <w:szCs w:val="24"/>
          <w:highlight w:val="none"/>
          <w:lang w:val="en-US" w:eastAsia="zh-CN"/>
        </w:rPr>
        <w:t>管理</w:t>
      </w:r>
    </w:p>
    <w:p w14:paraId="70796C41">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13.2.1 </w:t>
      </w:r>
      <w:r>
        <w:rPr>
          <w:rFonts w:hint="eastAsia" w:ascii="宋体" w:hAnsi="宋体" w:eastAsia="宋体" w:cs="宋体"/>
          <w:color w:val="auto"/>
          <w:sz w:val="24"/>
          <w:szCs w:val="24"/>
          <w:highlight w:val="none"/>
        </w:rPr>
        <w:t>提</w:t>
      </w:r>
      <w:r>
        <w:rPr>
          <w:rFonts w:hint="eastAsia" w:ascii="宋体" w:hAnsi="宋体" w:eastAsia="宋体" w:cs="宋体"/>
          <w:color w:val="auto"/>
          <w:sz w:val="24"/>
          <w:szCs w:val="24"/>
          <w:highlight w:val="none"/>
          <w:lang w:eastAsia="zh-CN"/>
        </w:rPr>
        <w:t>交工</w:t>
      </w:r>
      <w:r>
        <w:rPr>
          <w:rFonts w:hint="eastAsia" w:ascii="宋体" w:hAnsi="宋体" w:eastAsia="宋体" w:cs="宋体"/>
          <w:color w:val="auto"/>
          <w:sz w:val="24"/>
          <w:szCs w:val="24"/>
          <w:highlight w:val="none"/>
        </w:rPr>
        <w:t>程质量保证措施文件</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监理人审批</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：监理人收到工程质量保证措施文件后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68D71CD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13.5 工程隐蔽部位覆盖前的检查</w:t>
      </w:r>
    </w:p>
    <w:p w14:paraId="5095CD51">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13.5.1 通知监理人检查</w:t>
      </w:r>
    </w:p>
    <w:p w14:paraId="1034C67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承包人通知及监理人检查时限：承包人在自检合格后，填写隐蔽工程验收申请单，在覆盖前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，通知监理人进行验收；监理人在接到通知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内进行验收。经监理人验收合格并在验收记录上签认后，承包人可进行覆盖和继续施工；若验收不合格，承包人应按监理人的要求整改并重新申请验收。</w:t>
      </w:r>
    </w:p>
    <w:p w14:paraId="4329BA1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 监理人重新检查</w:t>
      </w:r>
    </w:p>
    <w:p w14:paraId="0CD8DF9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通用条款中“经检验证明工程质量符合合同要求的，由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213F3FC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13.6 清除不合格工程</w:t>
      </w:r>
    </w:p>
    <w:p w14:paraId="1F39BA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通用条款本款第13.6.2项不适用</w:t>
      </w:r>
      <w:r>
        <w:rPr>
          <w:rFonts w:hint="eastAsia" w:ascii="宋体" w:hAnsi="宋体" w:eastAsia="宋体" w:cs="宋体"/>
          <w:color w:val="auto"/>
          <w:sz w:val="24"/>
          <w:szCs w:val="24"/>
          <w:highlight w:val="none"/>
          <w:lang w:eastAsia="zh-CN"/>
        </w:rPr>
        <w:t>于</w:t>
      </w:r>
      <w:r>
        <w:rPr>
          <w:rFonts w:hint="eastAsia" w:ascii="宋体" w:hAnsi="宋体" w:eastAsia="宋体" w:cs="宋体"/>
          <w:color w:val="auto"/>
          <w:sz w:val="24"/>
          <w:szCs w:val="24"/>
          <w:highlight w:val="none"/>
        </w:rPr>
        <w:t>本合同。</w:t>
      </w:r>
    </w:p>
    <w:p w14:paraId="6E0CB52A">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通用条款本条增加第13.7款</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13.8款</w:t>
      </w:r>
      <w:r>
        <w:rPr>
          <w:rFonts w:hint="eastAsia" w:ascii="宋体" w:hAnsi="宋体" w:eastAsia="宋体" w:cs="宋体"/>
          <w:b/>
          <w:color w:val="auto"/>
          <w:sz w:val="24"/>
          <w:szCs w:val="24"/>
          <w:highlight w:val="none"/>
        </w:rPr>
        <w:t>的内容：</w:t>
      </w:r>
    </w:p>
    <w:p w14:paraId="734BDC0E">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 质量监督与处罚</w:t>
      </w:r>
    </w:p>
    <w:p w14:paraId="56D9C8C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若质量监督部门有关检查工作中发现有涉及工程质量或安全问题，承包人不按要求整改，同一问题再次发生的，发包人有权对承包人处以</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万元/次</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。由此而发生质量事故、安全生产事故，承包人按照有关规定承担全部责任，同时发包人有权按第22.1.3项、22.1.4项约定解除本合同。</w:t>
      </w:r>
    </w:p>
    <w:p w14:paraId="0B96882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质量监督部门检验</w:t>
      </w:r>
    </w:p>
    <w:p w14:paraId="1EC10C84">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对承包人已完工程进行检验、试验或核验的，如检验、试验或核验发现工程质量不符合要求需要重新进行返工或修复的，承包人负责按要求进行返工或修复，由此增加的费用由承包人自行承担，工期不予延期。由此导致</w:t>
      </w: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需重新进场进行检验、试验或核验的（包括发包人委托第三方实施的），相关费用由承包人负责承担</w:t>
      </w:r>
      <w:r>
        <w:rPr>
          <w:rFonts w:hint="eastAsia" w:ascii="宋体" w:hAnsi="宋体" w:eastAsia="宋体" w:cs="宋体"/>
          <w:color w:val="auto"/>
          <w:sz w:val="24"/>
          <w:szCs w:val="24"/>
          <w:highlight w:val="none"/>
        </w:rPr>
        <w:t>。</w:t>
      </w:r>
    </w:p>
    <w:p w14:paraId="644B28B5">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6" w:name="_Toc29797"/>
      <w:bookmarkStart w:id="77" w:name="_Toc5457"/>
      <w:bookmarkStart w:id="78" w:name="_Toc17212_WPSOffice_Level2"/>
      <w:bookmarkStart w:id="79" w:name="_Toc8018_WPSOffice_Level2"/>
      <w:r>
        <w:rPr>
          <w:rFonts w:hint="eastAsia" w:ascii="宋体" w:hAnsi="宋体" w:eastAsia="宋体" w:cs="宋体"/>
          <w:color w:val="auto"/>
          <w:sz w:val="24"/>
          <w:szCs w:val="24"/>
          <w:highlight w:val="none"/>
        </w:rPr>
        <w:t>14．试验和检验</w:t>
      </w:r>
      <w:bookmarkEnd w:id="76"/>
      <w:bookmarkEnd w:id="77"/>
      <w:bookmarkEnd w:id="78"/>
      <w:bookmarkEnd w:id="79"/>
    </w:p>
    <w:p w14:paraId="0F94621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14.1 材料、工程设备和工程的试验和检验</w:t>
      </w:r>
    </w:p>
    <w:p w14:paraId="681A5B5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承包人进行材料、工程设备和工程的试验和检验的规定：</w:t>
      </w:r>
    </w:p>
    <w:p w14:paraId="6FD89D5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（1）有关试验和检验应严格按照相关规范执行；</w:t>
      </w:r>
    </w:p>
    <w:p w14:paraId="5B88FAF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（2）材料、构件、配件和工程设备订货前，承包人应向监理人提供生产厂家的生产许可证和相应资质证明文件等材料，对新材料、新产品还应提供鉴定证明和有关确认文件。</w:t>
      </w:r>
    </w:p>
    <w:p w14:paraId="7C8F114E">
      <w:pPr>
        <w:spacing w:line="36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监理人与承包人应共同进行试验和检验的项目：按最新</w:t>
      </w:r>
      <w:r>
        <w:rPr>
          <w:rFonts w:hint="eastAsia" w:ascii="宋体" w:hAnsi="宋体" w:eastAsia="宋体" w:cs="宋体"/>
          <w:color w:val="auto"/>
          <w:sz w:val="24"/>
          <w:szCs w:val="24"/>
          <w:highlight w:val="none"/>
          <w:lang w:val="en-US" w:eastAsia="zh-CN"/>
        </w:rPr>
        <w:t>的相关规程、</w:t>
      </w:r>
      <w:r>
        <w:rPr>
          <w:rFonts w:hint="eastAsia" w:ascii="宋体" w:hAnsi="宋体" w:eastAsia="宋体" w:cs="宋体"/>
          <w:color w:val="auto"/>
          <w:sz w:val="24"/>
          <w:szCs w:val="24"/>
          <w:highlight w:val="none"/>
        </w:rPr>
        <w:t>规范执行。</w:t>
      </w:r>
    </w:p>
    <w:p w14:paraId="560C494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为保障重要（重点）工程的质量，</w:t>
      </w:r>
      <w:r>
        <w:rPr>
          <w:rFonts w:hint="eastAsia" w:ascii="宋体" w:hAnsi="宋体" w:eastAsia="宋体" w:cs="宋体"/>
          <w:color w:val="auto"/>
          <w:sz w:val="24"/>
          <w:szCs w:val="24"/>
          <w:highlight w:val="none"/>
          <w:lang w:eastAsia="zh-CN"/>
        </w:rPr>
        <w:t>以下列</w:t>
      </w:r>
      <w:r>
        <w:rPr>
          <w:rFonts w:hint="eastAsia" w:ascii="宋体" w:hAnsi="宋体" w:eastAsia="宋体" w:cs="宋体"/>
          <w:color w:val="auto"/>
          <w:sz w:val="24"/>
          <w:szCs w:val="24"/>
          <w:highlight w:val="none"/>
        </w:rPr>
        <w:t>表里</w:t>
      </w:r>
      <w:r>
        <w:rPr>
          <w:rFonts w:hint="eastAsia" w:ascii="宋体" w:hAnsi="宋体" w:eastAsia="宋体" w:cs="宋体"/>
          <w:color w:val="auto"/>
          <w:sz w:val="24"/>
          <w:szCs w:val="24"/>
          <w:highlight w:val="none"/>
          <w:lang w:eastAsia="zh-CN"/>
        </w:rPr>
        <w:t>为需单独委托检测单位开展检测项目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应委托具备专业检测资质的单位对其在施工、生产制造、安装过程中进行抽检，并出具加盖</w:t>
      </w:r>
      <w:r>
        <w:rPr>
          <w:rFonts w:hint="eastAsia" w:ascii="宋体" w:hAnsi="宋体" w:eastAsia="宋体" w:cs="宋体"/>
          <w:color w:val="auto"/>
          <w:sz w:val="24"/>
          <w:szCs w:val="24"/>
          <w:highlight w:val="none"/>
          <w:lang w:val="en-US" w:eastAsia="zh-CN"/>
        </w:rPr>
        <w:t>CMA</w:t>
      </w:r>
      <w:r>
        <w:rPr>
          <w:rFonts w:hint="eastAsia" w:ascii="宋体" w:hAnsi="宋体" w:eastAsia="宋体" w:cs="宋体"/>
          <w:color w:val="auto"/>
          <w:sz w:val="24"/>
          <w:szCs w:val="24"/>
          <w:highlight w:val="none"/>
        </w:rPr>
        <w:t>章的检测报告</w:t>
      </w:r>
      <w:r>
        <w:rPr>
          <w:rFonts w:hint="eastAsia" w:ascii="宋体" w:hAnsi="宋体" w:eastAsia="宋体" w:cs="宋体"/>
          <w:color w:val="auto"/>
          <w:sz w:val="24"/>
          <w:szCs w:val="24"/>
          <w:highlight w:val="none"/>
          <w:lang w:eastAsia="zh-CN"/>
        </w:rPr>
        <w:t>。承包人委托的检测单位须报发包人审批。</w:t>
      </w:r>
      <w:r>
        <w:rPr>
          <w:rFonts w:hint="eastAsia" w:ascii="宋体" w:hAnsi="宋体" w:eastAsia="宋体" w:cs="宋体"/>
          <w:color w:val="auto"/>
          <w:sz w:val="24"/>
          <w:szCs w:val="24"/>
          <w:highlight w:val="none"/>
        </w:rPr>
        <w:t>上述费用已包含在合同总价中，不再另行支付。</w:t>
      </w:r>
    </w:p>
    <w:tbl>
      <w:tblPr>
        <w:tblStyle w:val="21"/>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9"/>
        <w:gridCol w:w="1268"/>
        <w:gridCol w:w="1992"/>
        <w:gridCol w:w="1316"/>
        <w:gridCol w:w="2234"/>
        <w:gridCol w:w="1283"/>
      </w:tblGrid>
      <w:tr w14:paraId="7E808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522" w:type="dxa"/>
            <w:gridSpan w:val="6"/>
            <w:tcBorders>
              <w:top w:val="nil"/>
              <w:left w:val="nil"/>
              <w:bottom w:val="nil"/>
              <w:right w:val="nil"/>
            </w:tcBorders>
            <w:shd w:val="clear" w:color="auto" w:fill="auto"/>
            <w:noWrap/>
            <w:vAlign w:val="center"/>
          </w:tcPr>
          <w:p w14:paraId="6EABE644">
            <w:pPr>
              <w:keepNext w:val="0"/>
              <w:keepLines w:val="0"/>
              <w:widowControl/>
              <w:suppressLineNumbers w:val="0"/>
              <w:jc w:val="center"/>
              <w:textAlignment w:val="center"/>
              <w:rPr>
                <w:rFonts w:hint="eastAsia" w:ascii="宋体" w:hAnsi="宋体" w:eastAsia="宋体" w:cs="宋体"/>
                <w:i w:val="0"/>
                <w:iCs w:val="0"/>
                <w:color w:val="auto"/>
                <w:sz w:val="44"/>
                <w:szCs w:val="44"/>
                <w:highlight w:val="none"/>
                <w:u w:val="none"/>
              </w:rPr>
            </w:pPr>
            <w:r>
              <w:rPr>
                <w:rFonts w:hint="eastAsia" w:ascii="宋体" w:hAnsi="宋体" w:eastAsia="宋体" w:cs="宋体"/>
                <w:i w:val="0"/>
                <w:iCs w:val="0"/>
                <w:color w:val="auto"/>
                <w:kern w:val="0"/>
                <w:sz w:val="44"/>
                <w:szCs w:val="44"/>
                <w:highlight w:val="none"/>
                <w:u w:val="none"/>
                <w:lang w:val="en-US" w:eastAsia="zh-CN" w:bidi="ar"/>
              </w:rPr>
              <w:t>需单独委托检测单位开展检测项目一览表</w:t>
            </w:r>
          </w:p>
        </w:tc>
      </w:tr>
      <w:tr w14:paraId="6212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2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418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45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5C0CEC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检测项目</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8FE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须单独委托专业检测资质单位进行抽检频率不低于</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CDA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备注</w:t>
            </w:r>
          </w:p>
        </w:tc>
      </w:tr>
      <w:tr w14:paraId="0357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59"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75BC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0A0B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地基基础工程（桩基、地连墙）</w:t>
            </w: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E0E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无损完整性检测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A6C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771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按100%</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BFB0C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《水运工程基桩试验检测技术规范》JTS 240 2020、《建筑地基基础检测规范》GD DBJT 15-60-2019及设计图纸</w:t>
            </w:r>
          </w:p>
        </w:tc>
      </w:tr>
      <w:tr w14:paraId="4F26C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7"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6860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47221">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A6947">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D8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25B1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单位工程地连墙抽检20%，且不少于3槽段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319DB">
            <w:pPr>
              <w:jc w:val="center"/>
              <w:rPr>
                <w:rFonts w:hint="eastAsia" w:ascii="宋体" w:hAnsi="宋体" w:eastAsia="宋体" w:cs="宋体"/>
                <w:i w:val="0"/>
                <w:iCs w:val="0"/>
                <w:color w:val="auto"/>
                <w:sz w:val="22"/>
                <w:szCs w:val="22"/>
                <w:highlight w:val="none"/>
                <w:u w:val="none"/>
              </w:rPr>
            </w:pPr>
          </w:p>
        </w:tc>
      </w:tr>
      <w:tr w14:paraId="458A8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12"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2B4FE3">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8E058">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9A7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钻芯法完整性检测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54F9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620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单位工程总桩数5%，且不少于2根</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F9EA0">
            <w:pPr>
              <w:jc w:val="center"/>
              <w:rPr>
                <w:rFonts w:hint="eastAsia" w:ascii="宋体" w:hAnsi="宋体" w:eastAsia="宋体" w:cs="宋体"/>
                <w:i w:val="0"/>
                <w:iCs w:val="0"/>
                <w:color w:val="auto"/>
                <w:sz w:val="22"/>
                <w:szCs w:val="22"/>
                <w:highlight w:val="none"/>
                <w:u w:val="none"/>
              </w:rPr>
            </w:pPr>
          </w:p>
        </w:tc>
      </w:tr>
      <w:tr w14:paraId="5D2CE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2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3365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A032B">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75EA8">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59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C7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单位工程地连墙抽检10%，且不少于3个槽段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93811">
            <w:pPr>
              <w:jc w:val="center"/>
              <w:rPr>
                <w:rFonts w:hint="eastAsia" w:ascii="宋体" w:hAnsi="宋体" w:eastAsia="宋体" w:cs="宋体"/>
                <w:i w:val="0"/>
                <w:iCs w:val="0"/>
                <w:color w:val="auto"/>
                <w:sz w:val="22"/>
                <w:szCs w:val="22"/>
                <w:highlight w:val="none"/>
                <w:u w:val="none"/>
              </w:rPr>
            </w:pPr>
          </w:p>
        </w:tc>
      </w:tr>
      <w:tr w14:paraId="43B14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6"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4C28C">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626C4">
            <w:pPr>
              <w:jc w:val="center"/>
              <w:rPr>
                <w:rFonts w:hint="eastAsia" w:ascii="宋体" w:hAnsi="宋体" w:eastAsia="宋体" w:cs="宋体"/>
                <w:i w:val="0"/>
                <w:iCs w:val="0"/>
                <w:color w:val="auto"/>
                <w:sz w:val="22"/>
                <w:szCs w:val="22"/>
                <w:highlight w:val="none"/>
                <w:u w:val="none"/>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2A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承载力试验</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881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F5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4D214">
            <w:pPr>
              <w:jc w:val="center"/>
              <w:rPr>
                <w:rFonts w:hint="eastAsia" w:ascii="宋体" w:hAnsi="宋体" w:eastAsia="宋体" w:cs="宋体"/>
                <w:i w:val="0"/>
                <w:iCs w:val="0"/>
                <w:color w:val="auto"/>
                <w:sz w:val="22"/>
                <w:szCs w:val="22"/>
                <w:highlight w:val="none"/>
                <w:u w:val="none"/>
              </w:rPr>
            </w:pPr>
          </w:p>
        </w:tc>
      </w:tr>
      <w:tr w14:paraId="21092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6"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1ED2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32524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金属结构工程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69B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背拉杆监测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3D02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373E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《钢结构工程施工质量验收规范》 GB 50205-2001及设计图纸</w:t>
            </w:r>
          </w:p>
        </w:tc>
      </w:tr>
      <w:tr w14:paraId="5800A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121A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1F1A8">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01758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安装、尺寸测量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C33F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定位轴线</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64D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057B1">
            <w:pPr>
              <w:jc w:val="center"/>
              <w:rPr>
                <w:rFonts w:hint="eastAsia" w:ascii="宋体" w:hAnsi="宋体" w:eastAsia="宋体" w:cs="宋体"/>
                <w:i w:val="0"/>
                <w:iCs w:val="0"/>
                <w:color w:val="auto"/>
                <w:sz w:val="22"/>
                <w:szCs w:val="22"/>
                <w:highlight w:val="none"/>
                <w:u w:val="none"/>
              </w:rPr>
            </w:pPr>
          </w:p>
        </w:tc>
      </w:tr>
      <w:tr w14:paraId="1641A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3506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CA0E3F">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D437B">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C6A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基础轴线和标高</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91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6B7AA">
            <w:pPr>
              <w:jc w:val="center"/>
              <w:rPr>
                <w:rFonts w:hint="eastAsia" w:ascii="宋体" w:hAnsi="宋体" w:eastAsia="宋体" w:cs="宋体"/>
                <w:i w:val="0"/>
                <w:iCs w:val="0"/>
                <w:color w:val="auto"/>
                <w:sz w:val="22"/>
                <w:szCs w:val="22"/>
                <w:highlight w:val="none"/>
                <w:u w:val="none"/>
              </w:rPr>
            </w:pPr>
          </w:p>
        </w:tc>
      </w:tr>
      <w:tr w14:paraId="7622F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1"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689F03">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73CD03">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2E1D5">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1E7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地脚螺栓规格及紧固</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14DC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90FF0">
            <w:pPr>
              <w:jc w:val="center"/>
              <w:rPr>
                <w:rFonts w:hint="eastAsia" w:ascii="宋体" w:hAnsi="宋体" w:eastAsia="宋体" w:cs="宋体"/>
                <w:i w:val="0"/>
                <w:iCs w:val="0"/>
                <w:color w:val="auto"/>
                <w:sz w:val="22"/>
                <w:szCs w:val="22"/>
                <w:highlight w:val="none"/>
                <w:u w:val="none"/>
              </w:rPr>
            </w:pPr>
          </w:p>
        </w:tc>
      </w:tr>
      <w:tr w14:paraId="7E779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844DF">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FF7B2">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DFFBD3">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9B3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底枢蘑菇头、闸阀门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8DED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48BF6">
            <w:pPr>
              <w:jc w:val="center"/>
              <w:rPr>
                <w:rFonts w:hint="eastAsia" w:ascii="宋体" w:hAnsi="宋体" w:eastAsia="宋体" w:cs="宋体"/>
                <w:i w:val="0"/>
                <w:iCs w:val="0"/>
                <w:color w:val="auto"/>
                <w:sz w:val="22"/>
                <w:szCs w:val="22"/>
                <w:highlight w:val="none"/>
                <w:u w:val="none"/>
              </w:rPr>
            </w:pPr>
          </w:p>
        </w:tc>
      </w:tr>
      <w:tr w14:paraId="5AA84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8B82E">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990CA">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0155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防腐涂层检测（涂层厚度、附着力）</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BD4F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闸门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C5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00FF5">
            <w:pPr>
              <w:jc w:val="center"/>
              <w:rPr>
                <w:rFonts w:hint="eastAsia" w:ascii="宋体" w:hAnsi="宋体" w:eastAsia="宋体" w:cs="宋体"/>
                <w:i w:val="0"/>
                <w:iCs w:val="0"/>
                <w:color w:val="auto"/>
                <w:sz w:val="22"/>
                <w:szCs w:val="22"/>
                <w:highlight w:val="none"/>
                <w:u w:val="none"/>
              </w:rPr>
            </w:pPr>
          </w:p>
        </w:tc>
      </w:tr>
      <w:tr w14:paraId="14A8C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DA185">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74223">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0E9F1">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8CA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5A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D06C9">
            <w:pPr>
              <w:jc w:val="center"/>
              <w:rPr>
                <w:rFonts w:hint="eastAsia" w:ascii="宋体" w:hAnsi="宋体" w:eastAsia="宋体" w:cs="宋体"/>
                <w:i w:val="0"/>
                <w:iCs w:val="0"/>
                <w:color w:val="auto"/>
                <w:sz w:val="22"/>
                <w:szCs w:val="22"/>
                <w:highlight w:val="none"/>
                <w:u w:val="none"/>
              </w:rPr>
            </w:pPr>
          </w:p>
        </w:tc>
      </w:tr>
      <w:tr w14:paraId="2BB83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5BF5A">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9F1FE">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6B03A1">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016D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检修门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58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F0F82">
            <w:pPr>
              <w:jc w:val="center"/>
              <w:rPr>
                <w:rFonts w:hint="eastAsia" w:ascii="宋体" w:hAnsi="宋体" w:eastAsia="宋体" w:cs="宋体"/>
                <w:i w:val="0"/>
                <w:iCs w:val="0"/>
                <w:color w:val="auto"/>
                <w:sz w:val="22"/>
                <w:szCs w:val="22"/>
                <w:highlight w:val="none"/>
                <w:u w:val="none"/>
              </w:rPr>
            </w:pPr>
          </w:p>
        </w:tc>
      </w:tr>
      <w:tr w14:paraId="30255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09B47">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60A27">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48AF7">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BFF9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浮式系船柱</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198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648AF">
            <w:pPr>
              <w:jc w:val="center"/>
              <w:rPr>
                <w:rFonts w:hint="eastAsia" w:ascii="宋体" w:hAnsi="宋体" w:eastAsia="宋体" w:cs="宋体"/>
                <w:i w:val="0"/>
                <w:iCs w:val="0"/>
                <w:color w:val="auto"/>
                <w:sz w:val="22"/>
                <w:szCs w:val="22"/>
                <w:highlight w:val="none"/>
                <w:u w:val="none"/>
              </w:rPr>
            </w:pPr>
          </w:p>
        </w:tc>
      </w:tr>
      <w:tr w14:paraId="74503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4F00B">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B381C">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8B8C73">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8C9C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钢护木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EA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F6569">
            <w:pPr>
              <w:jc w:val="center"/>
              <w:rPr>
                <w:rFonts w:hint="eastAsia" w:ascii="宋体" w:hAnsi="宋体" w:eastAsia="宋体" w:cs="宋体"/>
                <w:i w:val="0"/>
                <w:iCs w:val="0"/>
                <w:color w:val="auto"/>
                <w:sz w:val="22"/>
                <w:szCs w:val="22"/>
                <w:highlight w:val="none"/>
                <w:u w:val="none"/>
              </w:rPr>
            </w:pPr>
          </w:p>
        </w:tc>
      </w:tr>
      <w:tr w14:paraId="67E96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F7F96">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7E4002">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E7F8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焊缝检测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09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一类焊缝100%，二类焊缝20%</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CB83D">
            <w:pPr>
              <w:jc w:val="center"/>
              <w:rPr>
                <w:rFonts w:hint="eastAsia" w:ascii="宋体" w:hAnsi="宋体" w:eastAsia="宋体" w:cs="宋体"/>
                <w:i w:val="0"/>
                <w:iCs w:val="0"/>
                <w:color w:val="auto"/>
                <w:sz w:val="22"/>
                <w:szCs w:val="22"/>
                <w:highlight w:val="none"/>
                <w:u w:val="none"/>
              </w:rPr>
            </w:pPr>
          </w:p>
        </w:tc>
      </w:tr>
      <w:tr w14:paraId="63639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5E54C">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6A5754">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4EA2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原材料（钢材厚度、连接用紧固标准件）</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0677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按批次，按包装箱数5%,且不少于3箱</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121B2">
            <w:pPr>
              <w:jc w:val="center"/>
              <w:rPr>
                <w:rFonts w:hint="eastAsia" w:ascii="宋体" w:hAnsi="宋体" w:eastAsia="宋体" w:cs="宋体"/>
                <w:i w:val="0"/>
                <w:iCs w:val="0"/>
                <w:color w:val="auto"/>
                <w:sz w:val="22"/>
                <w:szCs w:val="22"/>
                <w:highlight w:val="none"/>
                <w:u w:val="none"/>
              </w:rPr>
            </w:pPr>
          </w:p>
        </w:tc>
      </w:tr>
      <w:tr w14:paraId="49D57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F09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12CE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消防设施专项工程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041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消防设施功能性检测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5B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应符合《建筑防火及消防设施检测技术规程DBJ/T 15-110-2015》</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B23BF">
            <w:pPr>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eastAsia="zh-CN"/>
              </w:rPr>
              <w:t>本项检测报告不做加盖</w:t>
            </w:r>
            <w:r>
              <w:rPr>
                <w:rFonts w:hint="eastAsia" w:ascii="宋体" w:hAnsi="宋体" w:eastAsia="宋体" w:cs="宋体"/>
                <w:i w:val="0"/>
                <w:iCs w:val="0"/>
                <w:color w:val="auto"/>
                <w:sz w:val="22"/>
                <w:szCs w:val="22"/>
                <w:highlight w:val="none"/>
                <w:u w:val="none"/>
                <w:lang w:val="en-US" w:eastAsia="zh-CN"/>
              </w:rPr>
              <w:t>CMA章要求</w:t>
            </w:r>
          </w:p>
        </w:tc>
      </w:tr>
    </w:tbl>
    <w:p w14:paraId="77F7F6ED">
      <w:pPr>
        <w:spacing w:line="360" w:lineRule="auto"/>
        <w:ind w:left="0" w:leftChars="0" w:firstLine="0" w:firstLineChars="0"/>
        <w:jc w:val="both"/>
        <w:rPr>
          <w:rFonts w:hint="eastAsia" w:ascii="宋体" w:hAnsi="宋体" w:eastAsia="宋体" w:cs="宋体"/>
          <w:color w:val="auto"/>
          <w:sz w:val="24"/>
          <w:szCs w:val="24"/>
          <w:highlight w:val="none"/>
        </w:rPr>
      </w:pPr>
    </w:p>
    <w:p w14:paraId="24383DA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通用条款中“重新试验和检验结果证明该项材料、工程设备和工程符合合同要求，由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由此增加的费用和（或）工期延误，并支付承包人合理利润”修改为“重新试验和检验结果证明该项材料、工程设备和工程符合合同要求，</w:t>
      </w:r>
      <w:r>
        <w:rPr>
          <w:rFonts w:hint="default" w:ascii="宋体" w:hAnsi="宋体" w:eastAsia="宋体" w:cs="宋体"/>
          <w:color w:val="auto"/>
          <w:sz w:val="24"/>
          <w:szCs w:val="24"/>
          <w:highlight w:val="none"/>
          <w:lang w:val="en-US"/>
        </w:rPr>
        <w:t>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07ECEC5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 现场材料试验</w:t>
      </w:r>
    </w:p>
    <w:p w14:paraId="6338DF3F">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通用条款本款增加14.2.3项：</w:t>
      </w:r>
    </w:p>
    <w:p w14:paraId="43CC6DC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14.2.3 若有需要，承包人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委托具有相应资质的单位试验检验。若有需要，发包人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委托第三方进行试验检验。</w:t>
      </w:r>
    </w:p>
    <w:p w14:paraId="3AF92DE3">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通用条款本条增加第14.4款的内容：</w:t>
      </w:r>
    </w:p>
    <w:p w14:paraId="792152B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14.4 试验和检验费用</w:t>
      </w:r>
    </w:p>
    <w:p w14:paraId="6CF86A15">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承包人应承担试验和检验所需的相关费用。</w:t>
      </w:r>
    </w:p>
    <w:p w14:paraId="37AC874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0" w:name="_Toc30052_WPSOffice_Level2"/>
      <w:bookmarkStart w:id="81" w:name="_Toc30322_WPSOffice_Level2"/>
      <w:bookmarkStart w:id="82" w:name="_Toc15612"/>
      <w:bookmarkStart w:id="83" w:name="_Toc12965"/>
      <w:r>
        <w:rPr>
          <w:rFonts w:hint="eastAsia" w:ascii="宋体" w:hAnsi="宋体" w:eastAsia="宋体" w:cs="宋体"/>
          <w:color w:val="auto"/>
          <w:sz w:val="24"/>
          <w:szCs w:val="24"/>
          <w:highlight w:val="none"/>
        </w:rPr>
        <w:t>15．变更</w:t>
      </w:r>
      <w:bookmarkEnd w:id="80"/>
      <w:bookmarkEnd w:id="81"/>
      <w:bookmarkEnd w:id="82"/>
      <w:bookmarkEnd w:id="83"/>
    </w:p>
    <w:p w14:paraId="53D24C41">
      <w:pPr>
        <w:spacing w:line="360" w:lineRule="auto"/>
        <w:ind w:firstLine="480" w:firstLineChars="200"/>
        <w:jc w:val="both"/>
        <w:outlineLvl w:val="3"/>
        <w:rPr>
          <w:rFonts w:hint="eastAsia" w:ascii="宋体" w:hAnsi="宋体" w:eastAsia="宋体" w:cs="宋体"/>
          <w:b/>
          <w:bCs w:val="0"/>
          <w:color w:val="auto"/>
          <w:sz w:val="24"/>
          <w:szCs w:val="24"/>
          <w:highlight w:val="none"/>
        </w:rPr>
      </w:pPr>
      <w:r>
        <w:rPr>
          <w:rFonts w:hint="eastAsia" w:ascii="宋体" w:hAnsi="宋体" w:eastAsia="宋体" w:cs="宋体"/>
          <w:b/>
          <w:i w:val="0"/>
          <w:color w:val="auto"/>
          <w:sz w:val="24"/>
          <w:szCs w:val="24"/>
          <w:highlight w:val="none"/>
        </w:rPr>
        <w:t>15.1</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rPr>
        <w:t>变更的范围和内容</w:t>
      </w:r>
    </w:p>
    <w:p w14:paraId="6CA9D124">
      <w:pPr>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b/>
          <w:color w:val="auto"/>
          <w:sz w:val="24"/>
          <w:szCs w:val="24"/>
          <w:highlight w:val="none"/>
        </w:rPr>
        <w:t>通用条款15.</w:t>
      </w:r>
      <w:r>
        <w:rPr>
          <w:rFonts w:hint="eastAsia" w:ascii="宋体" w:hAnsi="宋体" w:eastAsia="宋体" w:cs="宋体"/>
          <w:b/>
          <w:color w:val="auto"/>
          <w:sz w:val="24"/>
          <w:szCs w:val="24"/>
          <w:highlight w:val="none"/>
          <w:lang w:val="en-US" w:eastAsia="zh-CN"/>
        </w:rPr>
        <w:t>1条不适用，代之</w:t>
      </w:r>
      <w:r>
        <w:rPr>
          <w:rFonts w:hint="eastAsia" w:ascii="宋体" w:hAnsi="宋体" w:eastAsia="宋体" w:cs="宋体"/>
          <w:b/>
          <w:color w:val="auto"/>
          <w:sz w:val="24"/>
          <w:szCs w:val="24"/>
          <w:highlight w:val="none"/>
        </w:rPr>
        <w:t>以下内容：</w:t>
      </w:r>
    </w:p>
    <w:p w14:paraId="51389548">
      <w:pPr>
        <w:pStyle w:val="6"/>
        <w:spacing w:line="360" w:lineRule="auto"/>
        <w:ind w:firstLine="480"/>
        <w:jc w:val="both"/>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strike w:val="0"/>
          <w:color w:val="auto"/>
          <w:kern w:val="0"/>
          <w:sz w:val="24"/>
          <w:szCs w:val="24"/>
          <w:highlight w:val="none"/>
          <w:lang w:val="en-US" w:eastAsia="zh-CN"/>
        </w:rPr>
        <w:t>（1）变更的范围和内容按</w:t>
      </w:r>
      <w:r>
        <w:rPr>
          <w:rFonts w:hint="eastAsia" w:asciiTheme="minorEastAsia" w:hAnsiTheme="minorEastAsia" w:eastAsiaTheme="minorEastAsia" w:cstheme="minorEastAsia"/>
          <w:strike w:val="0"/>
          <w:color w:val="auto"/>
          <w:sz w:val="24"/>
          <w:szCs w:val="24"/>
          <w:highlight w:val="none"/>
          <w:lang w:val="en-US" w:eastAsia="zh-CN"/>
        </w:rPr>
        <w:t>交通运输部《航道工程建设管理规定》（2019年第44号令）等相关管理规定和发包人印发的</w:t>
      </w:r>
      <w:r>
        <w:rPr>
          <w:rFonts w:hint="eastAsia" w:asciiTheme="minorEastAsia" w:hAnsiTheme="minorEastAsia" w:eastAsiaTheme="minorEastAsia" w:cstheme="minorEastAsia"/>
          <w:strike w:val="0"/>
          <w:color w:val="auto"/>
          <w:kern w:val="0"/>
          <w:sz w:val="24"/>
          <w:szCs w:val="24"/>
          <w:highlight w:val="none"/>
          <w:lang w:val="en-US" w:eastAsia="zh-CN"/>
        </w:rPr>
        <w:t>《</w:t>
      </w:r>
      <w:r>
        <w:rPr>
          <w:rFonts w:hint="eastAsia" w:asciiTheme="minorEastAsia" w:hAnsiTheme="minorEastAsia" w:eastAsiaTheme="minorEastAsia" w:cstheme="minorEastAsia"/>
          <w:b w:val="0"/>
          <w:strike w:val="0"/>
          <w:color w:val="auto"/>
          <w:sz w:val="24"/>
          <w:szCs w:val="24"/>
          <w:highlight w:val="none"/>
          <w:lang w:val="en-US" w:eastAsia="zh-CN"/>
        </w:rPr>
        <w:t>北江航道扩能升级上延工程水运工程代建项目管理手册（试行）-</w:t>
      </w:r>
      <w:r>
        <w:rPr>
          <w:rFonts w:hint="eastAsia" w:asciiTheme="minorEastAsia" w:hAnsiTheme="minorEastAsia" w:eastAsiaTheme="minorEastAsia" w:cstheme="minorEastAsia"/>
          <w:b w:val="0"/>
          <w:bCs w:val="0"/>
          <w:color w:val="auto"/>
          <w:sz w:val="24"/>
          <w:szCs w:val="24"/>
          <w:highlight w:val="none"/>
          <w:lang w:val="en-US" w:eastAsia="zh-CN"/>
        </w:rPr>
        <w:t>设计变更管理细则</w:t>
      </w:r>
      <w:r>
        <w:rPr>
          <w:rFonts w:hint="eastAsia" w:asciiTheme="minorEastAsia" w:hAnsiTheme="minorEastAsia" w:eastAsiaTheme="minorEastAsia" w:cstheme="minorEastAsia"/>
          <w:color w:val="auto"/>
          <w:kern w:val="0"/>
          <w:sz w:val="24"/>
          <w:szCs w:val="24"/>
          <w:highlight w:val="none"/>
          <w:lang w:val="en-US" w:eastAsia="zh-CN"/>
        </w:rPr>
        <w:t>》确定。</w:t>
      </w:r>
    </w:p>
    <w:p w14:paraId="6E955961">
      <w:pPr>
        <w:pStyle w:val="6"/>
        <w:spacing w:line="360" w:lineRule="auto"/>
        <w:ind w:firstLine="480"/>
        <w:jc w:val="both"/>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设计变更调整工程量清单后，在合同履行过程中，如</w:t>
      </w:r>
      <w:r>
        <w:rPr>
          <w:rFonts w:hint="eastAsia" w:ascii="宋体" w:hAnsi="宋体" w:eastAsia="宋体" w:cs="宋体"/>
          <w:color w:val="auto"/>
          <w:kern w:val="0"/>
          <w:sz w:val="24"/>
          <w:szCs w:val="24"/>
          <w:highlight w:val="none"/>
        </w:rPr>
        <w:t>工程量清单中某单项工程量的变化幅度超过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%，且对合同总价影响幅度超过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%时，应</w:t>
      </w:r>
      <w:r>
        <w:rPr>
          <w:rFonts w:hint="eastAsia" w:ascii="宋体" w:hAnsi="宋体" w:eastAsia="宋体" w:cs="宋体"/>
          <w:color w:val="auto"/>
          <w:kern w:val="0"/>
          <w:sz w:val="24"/>
          <w:szCs w:val="24"/>
          <w:highlight w:val="none"/>
          <w:lang w:val="en-US" w:eastAsia="zh-CN"/>
        </w:rPr>
        <w:t>按以下原则</w:t>
      </w:r>
      <w:r>
        <w:rPr>
          <w:rFonts w:hint="eastAsia" w:ascii="宋体" w:hAnsi="宋体" w:eastAsia="宋体" w:cs="宋体"/>
          <w:color w:val="auto"/>
          <w:kern w:val="0"/>
          <w:sz w:val="24"/>
          <w:szCs w:val="24"/>
          <w:highlight w:val="none"/>
        </w:rPr>
        <w:t>调整该工程量清单项目综合单价</w:t>
      </w:r>
      <w:r>
        <w:rPr>
          <w:rFonts w:hint="eastAsia" w:ascii="宋体" w:hAnsi="宋体" w:eastAsia="宋体" w:cs="宋体"/>
          <w:color w:val="auto"/>
          <w:kern w:val="0"/>
          <w:sz w:val="24"/>
          <w:szCs w:val="24"/>
          <w:highlight w:val="none"/>
          <w:lang w:val="en-US" w:eastAsia="zh-CN"/>
        </w:rPr>
        <w:t>：对于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增加</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超过部分工程量对应的综合单价调整为原综合单价的95%；对于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减少</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综合单价不予调整。</w:t>
      </w:r>
    </w:p>
    <w:p w14:paraId="4C96B46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15.4 变更的估价原则</w:t>
      </w:r>
    </w:p>
    <w:p w14:paraId="4E3ED7D0">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通用条款15.4.3项增加以下内容：</w:t>
      </w:r>
    </w:p>
    <w:p w14:paraId="1F4A116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监理人按第3.5款商定或确定变更工作的单价时，按照交通运输部门现行预算编制规定及补充规定确定的“单价”乘以“中标价”除以“最高投标限价”的原则确定。</w:t>
      </w:r>
    </w:p>
    <w:p w14:paraId="09AD5F8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通用条款本款增加15.4.4项：</w:t>
      </w:r>
    </w:p>
    <w:p w14:paraId="43BC567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15.4.4 如果本工程的变更指示是因承包人过错、承包人违反合同或承包人责任造成的，则这种违约引起的任何额外费用应由承包人承担。</w:t>
      </w:r>
    </w:p>
    <w:p w14:paraId="1F2F30A7">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15.5 承包人的合理化建议</w:t>
      </w:r>
    </w:p>
    <w:p w14:paraId="5EE63C4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 对承包人合理化建议奖励的标准：</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A267A1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15.6 暂列金额</w:t>
      </w:r>
    </w:p>
    <w:p w14:paraId="4144AC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本项目暂列金额</w:t>
      </w:r>
      <w:r>
        <w:rPr>
          <w:rFonts w:hint="eastAsia" w:ascii="宋体" w:hAnsi="宋体" w:eastAsia="宋体" w:cs="宋体"/>
          <w:color w:val="auto"/>
          <w:sz w:val="24"/>
          <w:szCs w:val="24"/>
          <w:highlight w:val="none"/>
          <w:lang w:val="en-US"/>
        </w:rPr>
        <w:t>包含于投标总价中，具体额度详见工程量清单</w:t>
      </w:r>
      <w:r>
        <w:rPr>
          <w:rFonts w:hint="eastAsia" w:ascii="宋体" w:hAnsi="宋体" w:eastAsia="宋体" w:cs="宋体"/>
          <w:color w:val="auto"/>
          <w:sz w:val="24"/>
          <w:szCs w:val="24"/>
          <w:highlight w:val="none"/>
        </w:rPr>
        <w:t>。</w:t>
      </w:r>
    </w:p>
    <w:p w14:paraId="0FE411FF">
      <w:pPr>
        <w:spacing w:line="360" w:lineRule="auto"/>
        <w:ind w:firstLine="480" w:firstLineChars="200"/>
        <w:jc w:val="both"/>
        <w:outlineLvl w:val="3"/>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15.8 暂估价</w:t>
      </w:r>
    </w:p>
    <w:p w14:paraId="1F1FCB6A">
      <w:pPr>
        <w:pStyle w:val="9"/>
        <w:spacing w:after="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b w:val="0"/>
          <w:color w:val="auto"/>
          <w:kern w:val="0"/>
          <w:sz w:val="24"/>
          <w:szCs w:val="24"/>
          <w:highlight w:val="none"/>
          <w:lang w:val="en-US" w:eastAsia="zh-CN"/>
        </w:rPr>
        <w:t xml:space="preserve">15.8.1 </w:t>
      </w:r>
      <w:r>
        <w:rPr>
          <w:rFonts w:hint="eastAsia" w:ascii="宋体" w:hAnsi="宋体" w:eastAsia="宋体" w:cs="宋体"/>
          <w:color w:val="auto"/>
          <w:kern w:val="0"/>
          <w:sz w:val="24"/>
          <w:szCs w:val="24"/>
          <w:highlight w:val="none"/>
        </w:rPr>
        <w:t>发包人在工程量清单中给定暂估价的材料、工程设备和专业工程属于依法必须招标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的范围并达到规定的规模标准的，</w:t>
      </w:r>
      <w:r>
        <w:rPr>
          <w:rFonts w:hint="eastAsia" w:ascii="宋体" w:hAnsi="宋体" w:eastAsia="宋体" w:cs="宋体"/>
          <w:color w:val="auto"/>
          <w:kern w:val="0"/>
          <w:sz w:val="24"/>
          <w:szCs w:val="24"/>
          <w:highlight w:val="none"/>
          <w:lang w:val="en-US" w:eastAsia="zh-CN"/>
        </w:rPr>
        <w:t>招标方案经发包人批准后，</w:t>
      </w:r>
      <w:r>
        <w:rPr>
          <w:rFonts w:hint="eastAsia" w:ascii="宋体" w:hAnsi="宋体" w:eastAsia="宋体" w:cs="宋体"/>
          <w:color w:val="auto"/>
          <w:kern w:val="0"/>
          <w:sz w:val="24"/>
          <w:szCs w:val="24"/>
          <w:highlight w:val="none"/>
        </w:rPr>
        <w:t>由承包人以</w:t>
      </w:r>
      <w:r>
        <w:rPr>
          <w:rFonts w:hint="default" w:ascii="宋体" w:hAnsi="宋体" w:eastAsia="宋体" w:cs="宋体"/>
          <w:color w:val="auto"/>
          <w:kern w:val="0"/>
          <w:sz w:val="24"/>
          <w:szCs w:val="24"/>
          <w:highlight w:val="none"/>
          <w:lang w:val="en-US"/>
        </w:rPr>
        <w:t>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default" w:ascii="宋体" w:hAnsi="宋体" w:eastAsia="宋体" w:cs="宋体"/>
          <w:color w:val="auto"/>
          <w:kern w:val="0"/>
          <w:sz w:val="24"/>
          <w:szCs w:val="24"/>
          <w:highlight w:val="none"/>
          <w:lang w:val="en-US"/>
        </w:rPr>
        <w:t>的方式</w:t>
      </w:r>
      <w:r>
        <w:rPr>
          <w:rFonts w:hint="eastAsia" w:ascii="宋体" w:hAnsi="宋体" w:eastAsia="宋体" w:cs="宋体"/>
          <w:color w:val="auto"/>
          <w:kern w:val="0"/>
          <w:sz w:val="24"/>
          <w:szCs w:val="24"/>
          <w:highlight w:val="none"/>
        </w:rPr>
        <w:t>选</w:t>
      </w:r>
      <w:r>
        <w:rPr>
          <w:rFonts w:hint="eastAsia" w:ascii="宋体" w:hAnsi="宋体" w:eastAsia="宋体" w:cs="宋体"/>
          <w:color w:val="auto"/>
          <w:kern w:val="0"/>
          <w:sz w:val="24"/>
          <w:szCs w:val="24"/>
          <w:highlight w:val="none"/>
          <w:lang w:val="en-US" w:eastAsia="zh-CN"/>
        </w:rPr>
        <w:t>定</w:t>
      </w:r>
      <w:r>
        <w:rPr>
          <w:rFonts w:hint="eastAsia" w:ascii="宋体" w:hAnsi="宋体" w:eastAsia="宋体" w:cs="宋体"/>
          <w:color w:val="auto"/>
          <w:kern w:val="0"/>
          <w:sz w:val="24"/>
          <w:szCs w:val="24"/>
          <w:highlight w:val="none"/>
        </w:rPr>
        <w:t>供应商或分包人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并调整相应合同价格</w:t>
      </w:r>
      <w:r>
        <w:rPr>
          <w:rFonts w:hint="eastAsia" w:ascii="宋体" w:hAnsi="宋体" w:eastAsia="宋体" w:cs="宋体"/>
          <w:color w:val="auto"/>
          <w:kern w:val="0"/>
          <w:sz w:val="24"/>
          <w:szCs w:val="24"/>
          <w:highlight w:val="none"/>
        </w:rPr>
        <w:t>。</w:t>
      </w:r>
    </w:p>
    <w:p w14:paraId="476D4111">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通用条款本条增加15.9款内容：</w:t>
      </w:r>
    </w:p>
    <w:p w14:paraId="2FC2969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15.9 变更管理</w:t>
      </w:r>
    </w:p>
    <w:p w14:paraId="529F04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15.9.1 设计变更管理按照交通运输部、广东省交通运输厅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广东省航道事务中心</w:t>
      </w:r>
      <w:r>
        <w:rPr>
          <w:rFonts w:hint="eastAsia" w:ascii="宋体" w:hAnsi="宋体" w:eastAsia="宋体" w:cs="宋体"/>
          <w:color w:val="auto"/>
          <w:sz w:val="24"/>
          <w:szCs w:val="24"/>
          <w:highlight w:val="none"/>
        </w:rPr>
        <w:t>有关变更管理规定执行。</w:t>
      </w:r>
    </w:p>
    <w:p w14:paraId="76F9167E">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15.9.2 所有变更必须遵循提出—批复—实施的先后顺序原则进行。承包人必须在实施变更工程</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天（特殊紧急工程不少于</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rPr>
        <w:t>天）前报送书面的变更申请报告及相应的工程预算书，否则发包人有权拒绝支付全部或部分变更工程费用。由于承包人逾期提交变更申请报告及相应的工程预算书导致发包人全部或部分不支付变更工程费用的，不免除承包人按合同约定实施变更工程的责任和义务</w:t>
      </w:r>
      <w:r>
        <w:rPr>
          <w:rFonts w:hint="eastAsia" w:ascii="宋体" w:hAnsi="宋体" w:eastAsia="宋体" w:cs="宋体"/>
          <w:color w:val="auto"/>
          <w:sz w:val="24"/>
          <w:szCs w:val="24"/>
          <w:highlight w:val="none"/>
          <w:lang w:eastAsia="zh-CN"/>
        </w:rPr>
        <w:t>。</w:t>
      </w:r>
    </w:p>
    <w:p w14:paraId="12699CFB">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4" w:name="_Toc18891_WPSOffice_Level2"/>
      <w:bookmarkStart w:id="85" w:name="_Toc16503"/>
      <w:bookmarkStart w:id="86" w:name="_Toc6676"/>
      <w:bookmarkStart w:id="87" w:name="_Toc8043_WPSOffice_Level2"/>
      <w:r>
        <w:rPr>
          <w:rFonts w:hint="eastAsia" w:ascii="宋体" w:hAnsi="宋体" w:eastAsia="宋体" w:cs="宋体"/>
          <w:color w:val="auto"/>
          <w:sz w:val="24"/>
          <w:szCs w:val="24"/>
          <w:highlight w:val="none"/>
        </w:rPr>
        <w:t>16．价格调整</w:t>
      </w:r>
      <w:bookmarkEnd w:id="84"/>
      <w:bookmarkEnd w:id="85"/>
      <w:bookmarkEnd w:id="86"/>
      <w:bookmarkEnd w:id="87"/>
    </w:p>
    <w:p w14:paraId="42E9D9F7">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16.1 物价波动引起的价格调整</w:t>
      </w:r>
    </w:p>
    <w:p w14:paraId="115BF4DA">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本款约定为：</w:t>
      </w:r>
    </w:p>
    <w:p w14:paraId="21948538">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（1）因物价波动引起的价格调整应按照16.1.1项的约定原则处理；</w:t>
      </w:r>
    </w:p>
    <w:p w14:paraId="2589AB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通用条款本款修改为：</w:t>
      </w:r>
    </w:p>
    <w:p w14:paraId="1B85FF90">
      <w:pPr>
        <w:adjustRightInd w:val="0"/>
        <w:snapToGrid w:val="0"/>
        <w:spacing w:line="360" w:lineRule="auto"/>
        <w:ind w:firstLine="480" w:firstLineChars="200"/>
        <w:jc w:val="both"/>
        <w:outlineLvl w:val="4"/>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 采用信息价格法进行材料价差调整。</w:t>
      </w:r>
    </w:p>
    <w:p w14:paraId="038B930C">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本合同在合同期内，物价发生波动时，材料价差调整参照《广东省交通运输厅关于印发我省交通建设项目材料价差调整指导性意见的通知》（粤交基函〔2019〕1302 号）的相关要求执行，计算方法采用价格信息法。具体如下：</w:t>
      </w:r>
    </w:p>
    <w:p w14:paraId="40F1E36C">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（1）工程范围：本项目范围内。 </w:t>
      </w:r>
    </w:p>
    <w:p w14:paraId="52839865">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（2）调整材料品种：柴油（自备电源柴油除外）、汽油、钢材、水泥（32.5）、 水泥（42.5）、碎石、中粗砂、块（片）石，其他材料不予调整。钢材品类以《广东省交通运输厅关于印发我省交通建设项目材料价差调整指导性意见的通知》（粤交基函〔2019〕1302号）规定范围内且在本项目有实际发生的为准。 </w:t>
      </w:r>
    </w:p>
    <w:p w14:paraId="0F4A4E5D">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调整触发条件：当材料价格变化引起的疏浚和清（炸）礁工程、水工（整治）建筑物工程总费用变化额超过根据批复的施工图设计调整招标（或合同）工程量清单后的合同价格中对应的疏浚和清（炸）礁工程、水工（整治）建筑物工程合同总费用的正负5%时，方可启动材料调差机制，材料价差调整按月度信息价每月计算，并按</w:t>
      </w:r>
      <w:r>
        <w:rPr>
          <w:rFonts w:hint="eastAsia" w:ascii="宋体" w:hAnsi="宋体" w:eastAsia="宋体" w:cs="宋体"/>
          <w:color w:val="auto"/>
          <w:sz w:val="24"/>
          <w:szCs w:val="24"/>
          <w:highlight w:val="none"/>
        </w:rPr>
        <w:t>17.3.3.3</w:t>
      </w:r>
      <w:r>
        <w:rPr>
          <w:rFonts w:hint="eastAsia" w:ascii="宋体" w:hAnsi="宋体" w:eastAsia="宋体" w:cs="宋体"/>
          <w:color w:val="auto"/>
          <w:sz w:val="24"/>
          <w:szCs w:val="24"/>
          <w:highlight w:val="none"/>
          <w:lang w:val="en-US" w:eastAsia="zh-CN"/>
        </w:rPr>
        <w:t>款约定进行支付。</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lang w:val="en-US" w:eastAsia="zh-CN" w:bidi="ar"/>
        </w:rPr>
        <w:t xml:space="preserve"> </w:t>
      </w:r>
    </w:p>
    <w:p w14:paraId="1924C2F3">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（4）价差调整费计算:价格信息法 </w:t>
      </w:r>
    </w:p>
    <w:p w14:paraId="05EDFA51">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ΔC=（ΔP-Po×r）×Q，其中｜ΔP｜＞｜Po×r｜ </w:t>
      </w:r>
    </w:p>
    <w:p w14:paraId="42E25A97">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ΔP＝Pi（i=1，…，n）－Po，i 指工程计量上报时间。 </w:t>
      </w:r>
    </w:p>
    <w:p w14:paraId="591C3902">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式中：ΔC—价差调整费用，系按调价周期计算的当次费用； </w:t>
      </w:r>
    </w:p>
    <w:p w14:paraId="54E5FB6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ΔP—材料价格差； </w:t>
      </w:r>
    </w:p>
    <w:p w14:paraId="38324300">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Po—基准价，本招标项目确定最高投标限价时对应月度（即</w:t>
      </w:r>
      <w:r>
        <w:rPr>
          <w:rFonts w:hint="eastAsia" w:ascii="宋体" w:hAnsi="宋体" w:eastAsia="宋体" w:cs="宋体"/>
          <w:color w:val="auto"/>
          <w:kern w:val="0"/>
          <w:sz w:val="24"/>
          <w:szCs w:val="24"/>
          <w:highlight w:val="none"/>
          <w:u w:val="single"/>
          <w:lang w:val="en-US" w:eastAsia="zh-CN" w:bidi="ar"/>
        </w:rPr>
        <w:t xml:space="preserve"> 2025 </w:t>
      </w:r>
      <w:r>
        <w:rPr>
          <w:rFonts w:hint="eastAsia" w:ascii="宋体" w:hAnsi="宋体" w:eastAsia="宋体" w:cs="宋体"/>
          <w:color w:val="auto"/>
          <w:kern w:val="0"/>
          <w:sz w:val="24"/>
          <w:szCs w:val="24"/>
          <w:highlight w:val="none"/>
          <w:lang w:val="en-US" w:eastAsia="zh-CN" w:bidi="ar"/>
        </w:rPr>
        <w:t>年</w:t>
      </w:r>
      <w:r>
        <w:rPr>
          <w:rFonts w:hint="eastAsia" w:ascii="宋体" w:hAnsi="宋体" w:eastAsia="宋体" w:cs="宋体"/>
          <w:color w:val="auto"/>
          <w:kern w:val="0"/>
          <w:sz w:val="24"/>
          <w:szCs w:val="24"/>
          <w:highlight w:val="none"/>
          <w:u w:val="single"/>
          <w:lang w:val="en-US" w:eastAsia="zh-CN" w:bidi="ar"/>
        </w:rPr>
        <w:t xml:space="preserve">X </w:t>
      </w:r>
      <w:r>
        <w:rPr>
          <w:rFonts w:hint="eastAsia" w:ascii="宋体" w:hAnsi="宋体" w:eastAsia="宋体" w:cs="宋体"/>
          <w:color w:val="auto"/>
          <w:kern w:val="0"/>
          <w:sz w:val="24"/>
          <w:szCs w:val="24"/>
          <w:highlight w:val="none"/>
          <w:lang w:val="en-US" w:eastAsia="zh-CN" w:bidi="ar"/>
        </w:rPr>
        <w:t xml:space="preserve">月）《广东省交通建设工程主要外购材料信息价》； </w:t>
      </w:r>
    </w:p>
    <w:p w14:paraId="7F8A6294">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Pi—信息价，工程计量当月《广东省交通建设工程主要外购材料信息价》。 </w:t>
      </w:r>
    </w:p>
    <w:p w14:paraId="12B87A43">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Q—调整材料数量，按承包人当月计量的工程量及合同综合单价分析表中的材料含量或艘（台）班计算，且单类材料的调差总量不得超过其预算定额消耗量。 </w:t>
      </w:r>
    </w:p>
    <w:p w14:paraId="6FE63D20">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r—风险幅度系数： </w:t>
      </w:r>
    </w:p>
    <w:p w14:paraId="35FC2DC6">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（1）砂石料，r＝（-5～+5）%； </w:t>
      </w:r>
    </w:p>
    <w:p w14:paraId="727F314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（2）水泥，r＝（-4～+4）%； </w:t>
      </w:r>
    </w:p>
    <w:p w14:paraId="41AC50D4">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（3）钢材、汽油、柴油，r＝（-3～+3）%。 </w:t>
      </w:r>
    </w:p>
    <w:p w14:paraId="64CFAAA2">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（4）材料调差所产生的增值税增减额由发包人承担，增值税税率按国家现行规定执行。其他税费、采购及保管费、管理费等费用由承包人承担。 </w:t>
      </w:r>
    </w:p>
    <w:p w14:paraId="49BF86F1">
      <w:pPr>
        <w:keepNext w:val="0"/>
        <w:keepLines w:val="0"/>
        <w:widowControl/>
        <w:suppressLineNumbers w:val="0"/>
        <w:spacing w:line="360" w:lineRule="auto"/>
        <w:ind w:firstLine="480" w:firstLineChars="200"/>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由于承包人原因未在约定的工期内交工的，对原约定交工日期（含非承包人原因且根据本合同约定调整后的交工日期，下同）后继续施工的工程：与原约定交工日期对比，材料价格上涨的，不予调增；材料价格下跌且超过约定的风险幅度系数的，按上述原则予以调减。</w:t>
      </w:r>
    </w:p>
    <w:p w14:paraId="409A14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通用条款本项增加16.3款内容：</w:t>
      </w:r>
    </w:p>
    <w:p w14:paraId="2449B497">
      <w:pPr>
        <w:adjustRightInd w:val="0"/>
        <w:snapToGrid w:val="0"/>
        <w:spacing w:line="360" w:lineRule="auto"/>
        <w:ind w:firstLine="480" w:firstLineChars="200"/>
        <w:jc w:val="both"/>
        <w:outlineLvl w:val="3"/>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16.3 不平衡</w:t>
      </w:r>
      <w:r>
        <w:rPr>
          <w:rFonts w:hint="eastAsia" w:ascii="宋体" w:hAnsi="宋体" w:eastAsia="宋体" w:cs="宋体"/>
          <w:b/>
          <w:color w:val="auto"/>
          <w:sz w:val="24"/>
          <w:szCs w:val="24"/>
          <w:highlight w:val="none"/>
          <w:lang w:val="en-US" w:eastAsia="zh-CN"/>
        </w:rPr>
        <w:t>报价</w:t>
      </w:r>
      <w:r>
        <w:rPr>
          <w:rFonts w:hint="eastAsia" w:asciiTheme="minorEastAsia" w:hAnsiTheme="minorEastAsia" w:eastAsiaTheme="minorEastAsia" w:cstheme="minorEastAsia"/>
          <w:b/>
          <w:bCs/>
          <w:color w:val="auto"/>
          <w:sz w:val="24"/>
          <w:szCs w:val="24"/>
          <w:highlight w:val="none"/>
          <w:lang w:val="en-US" w:eastAsia="zh-CN"/>
        </w:rPr>
        <w:t>的处理</w:t>
      </w:r>
    </w:p>
    <w:p w14:paraId="353AAFE3">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default" w:asciiTheme="minorEastAsia" w:hAnsiTheme="minorEastAsia" w:eastAsiaTheme="minorEastAsia" w:cstheme="minorEastAsia"/>
          <w:b w:val="0"/>
          <w:bCs w:val="0"/>
          <w:color w:val="auto"/>
          <w:sz w:val="24"/>
          <w:szCs w:val="24"/>
          <w:highlight w:val="none"/>
          <w:lang w:val="en-US" w:eastAsia="zh-CN"/>
        </w:rPr>
        <w:t>在签订合同前，</w:t>
      </w:r>
      <w:r>
        <w:rPr>
          <w:rFonts w:hint="eastAsia" w:asciiTheme="minorEastAsia" w:hAnsiTheme="minorEastAsia" w:eastAsiaTheme="minorEastAsia" w:cstheme="minorEastAsia"/>
          <w:b w:val="0"/>
          <w:bCs w:val="0"/>
          <w:color w:val="auto"/>
          <w:sz w:val="24"/>
          <w:szCs w:val="24"/>
          <w:highlight w:val="none"/>
          <w:lang w:val="en-US" w:eastAsia="zh-CN"/>
        </w:rPr>
        <w:t>发包人可</w:t>
      </w:r>
      <w:r>
        <w:rPr>
          <w:rFonts w:hint="default" w:asciiTheme="minorEastAsia" w:hAnsiTheme="minorEastAsia" w:eastAsiaTheme="minorEastAsia" w:cstheme="minorEastAsia"/>
          <w:b w:val="0"/>
          <w:bCs w:val="0"/>
          <w:color w:val="auto"/>
          <w:sz w:val="24"/>
          <w:szCs w:val="24"/>
          <w:highlight w:val="none"/>
          <w:lang w:val="en-US" w:eastAsia="zh-CN"/>
        </w:rPr>
        <w:t>对</w:t>
      </w:r>
      <w:r>
        <w:rPr>
          <w:rFonts w:hint="eastAsia" w:asciiTheme="minorEastAsia" w:hAnsiTheme="minorEastAsia" w:eastAsiaTheme="minorEastAsia" w:cstheme="minorEastAsia"/>
          <w:b w:val="0"/>
          <w:bCs w:val="0"/>
          <w:color w:val="auto"/>
          <w:sz w:val="24"/>
          <w:szCs w:val="24"/>
          <w:highlight w:val="none"/>
          <w:lang w:val="en-US" w:eastAsia="zh-CN"/>
        </w:rPr>
        <w:t>承包人</w:t>
      </w:r>
      <w:r>
        <w:rPr>
          <w:rFonts w:hint="default" w:asciiTheme="minorEastAsia" w:hAnsiTheme="minorEastAsia" w:eastAsiaTheme="minorEastAsia" w:cstheme="minorEastAsia"/>
          <w:b w:val="0"/>
          <w:bCs w:val="0"/>
          <w:color w:val="auto"/>
          <w:sz w:val="24"/>
          <w:szCs w:val="24"/>
          <w:highlight w:val="none"/>
          <w:lang w:val="en-US" w:eastAsia="zh-CN"/>
        </w:rPr>
        <w:t>的</w:t>
      </w:r>
      <w:r>
        <w:rPr>
          <w:rFonts w:hint="eastAsia" w:asciiTheme="minorEastAsia" w:hAnsiTheme="minorEastAsia" w:eastAsiaTheme="minorEastAsia" w:cstheme="minorEastAsia"/>
          <w:b w:val="0"/>
          <w:bCs w:val="0"/>
          <w:color w:val="auto"/>
          <w:sz w:val="24"/>
          <w:szCs w:val="24"/>
          <w:highlight w:val="none"/>
          <w:lang w:val="en-US" w:eastAsia="zh-CN"/>
        </w:rPr>
        <w:t>中标</w:t>
      </w:r>
      <w:r>
        <w:rPr>
          <w:rFonts w:hint="default" w:asciiTheme="minorEastAsia" w:hAnsiTheme="minorEastAsia" w:eastAsiaTheme="minorEastAsia" w:cstheme="minorEastAsia"/>
          <w:b w:val="0"/>
          <w:bCs w:val="0"/>
          <w:color w:val="auto"/>
          <w:sz w:val="24"/>
          <w:szCs w:val="24"/>
          <w:highlight w:val="none"/>
          <w:lang w:val="en-US" w:eastAsia="zh-CN"/>
        </w:rPr>
        <w:t>工程量清单报价进行核定。如</w:t>
      </w:r>
      <w:r>
        <w:rPr>
          <w:rFonts w:hint="eastAsia" w:asciiTheme="minorEastAsia" w:hAnsiTheme="minorEastAsia" w:eastAsiaTheme="minorEastAsia" w:cstheme="minorEastAsia"/>
          <w:b w:val="0"/>
          <w:bCs w:val="0"/>
          <w:color w:val="auto"/>
          <w:sz w:val="24"/>
          <w:szCs w:val="24"/>
          <w:highlight w:val="none"/>
          <w:lang w:val="en-US" w:eastAsia="zh-CN"/>
        </w:rPr>
        <w:t>发包人</w:t>
      </w:r>
      <w:r>
        <w:rPr>
          <w:rFonts w:hint="default" w:asciiTheme="minorEastAsia" w:hAnsiTheme="minorEastAsia" w:eastAsiaTheme="minorEastAsia" w:cstheme="minorEastAsia"/>
          <w:b w:val="0"/>
          <w:bCs w:val="0"/>
          <w:color w:val="auto"/>
          <w:sz w:val="24"/>
          <w:szCs w:val="24"/>
          <w:highlight w:val="none"/>
          <w:lang w:val="en-US" w:eastAsia="zh-CN"/>
        </w:rPr>
        <w:t>认定为不平衡报价的，在保持</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标总价不变的前提下，按以下原则调整其工程量清单报价（不随报价调整的除外）：</w:t>
      </w:r>
    </w:p>
    <w:p w14:paraId="65A2DCA1">
      <w:pPr>
        <w:spacing w:line="360" w:lineRule="auto"/>
        <w:ind w:firstLine="480" w:firstLineChars="200"/>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w:t>
      </w:r>
      <w:r>
        <w:rPr>
          <w:rFonts w:hint="default" w:asciiTheme="minorEastAsia" w:hAnsiTheme="minorEastAsia" w:eastAsiaTheme="minorEastAsia" w:cstheme="minorEastAsia"/>
          <w:b w:val="0"/>
          <w:bCs w:val="0"/>
          <w:color w:val="auto"/>
          <w:sz w:val="24"/>
          <w:szCs w:val="24"/>
          <w:highlight w:val="none"/>
          <w:lang w:val="en-US" w:eastAsia="zh-CN"/>
        </w:rPr>
        <w:t>1）</w:t>
      </w:r>
      <w:r>
        <w:rPr>
          <w:rFonts w:hint="default" w:asciiTheme="minorEastAsia" w:hAnsiTheme="minorEastAsia" w:eastAsiaTheme="minorEastAsia" w:cstheme="minorEastAsia"/>
          <w:color w:val="auto"/>
          <w:sz w:val="24"/>
          <w:szCs w:val="24"/>
          <w:highlight w:val="none"/>
          <w:lang w:val="en-US" w:eastAsia="zh-CN"/>
        </w:rPr>
        <w:t>不平衡报价的认定:承包人的中标工程量清单报价，对比</w:t>
      </w:r>
      <w:r>
        <w:rPr>
          <w:rFonts w:hint="eastAsia" w:asciiTheme="minorEastAsia" w:hAnsiTheme="minorEastAsia" w:eastAsiaTheme="minorEastAsia" w:cstheme="minorEastAsia"/>
          <w:color w:val="auto"/>
          <w:sz w:val="24"/>
          <w:szCs w:val="24"/>
          <w:highlight w:val="none"/>
          <w:lang w:val="en-US" w:eastAsia="zh-CN"/>
        </w:rPr>
        <w:t>发包人提供的清单预算中</w:t>
      </w:r>
      <w:r>
        <w:rPr>
          <w:rFonts w:hint="default" w:asciiTheme="minorEastAsia" w:hAnsiTheme="minorEastAsia" w:eastAsiaTheme="minorEastAsia" w:cstheme="minorEastAsia"/>
          <w:color w:val="auto"/>
          <w:sz w:val="24"/>
          <w:szCs w:val="24"/>
          <w:highlight w:val="none"/>
          <w:lang w:val="en-US" w:eastAsia="zh-CN"/>
        </w:rPr>
        <w:t>工程清单单价偏差超过</w:t>
      </w:r>
      <w:r>
        <w:rPr>
          <w:rFonts w:hint="eastAsia" w:asciiTheme="minorEastAsia" w:hAnsiTheme="minorEastAsia" w:eastAsiaTheme="minorEastAsia" w:cstheme="minorEastAsia"/>
          <w:color w:val="auto"/>
          <w:sz w:val="24"/>
          <w:szCs w:val="24"/>
          <w:highlight w:val="none"/>
          <w:lang w:val="en-US" w:eastAsia="zh-CN"/>
        </w:rPr>
        <w:t>±</w:t>
      </w:r>
      <w:r>
        <w:rPr>
          <w:rFonts w:hint="default" w:asciiTheme="minorEastAsia" w:hAnsiTheme="minorEastAsia" w:eastAsiaTheme="minorEastAsia" w:cstheme="minorEastAsia"/>
          <w:color w:val="auto"/>
          <w:sz w:val="24"/>
          <w:szCs w:val="24"/>
          <w:highlight w:val="none"/>
          <w:lang w:val="en-US" w:eastAsia="zh-CN"/>
        </w:rPr>
        <w:t>20%的。</w:t>
      </w:r>
    </w:p>
    <w:p w14:paraId="3F8F0568">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default" w:asciiTheme="minorEastAsia" w:hAnsiTheme="minorEastAsia" w:eastAsiaTheme="minorEastAsia" w:cstheme="minorEastAsia"/>
          <w:b w:val="0"/>
          <w:bCs w:val="0"/>
          <w:color w:val="auto"/>
          <w:sz w:val="24"/>
          <w:szCs w:val="24"/>
          <w:highlight w:val="none"/>
          <w:lang w:val="en-US" w:eastAsia="zh-CN"/>
        </w:rPr>
        <w:t>对存在不平衡报价的工程量清单，按</w:t>
      </w:r>
      <w:r>
        <w:rPr>
          <w:rFonts w:hint="eastAsia" w:asciiTheme="minorEastAsia" w:hAnsiTheme="minorEastAsia" w:eastAsiaTheme="minorEastAsia" w:cstheme="minorEastAsia"/>
          <w:b w:val="0"/>
          <w:bCs w:val="0"/>
          <w:color w:val="auto"/>
          <w:sz w:val="24"/>
          <w:szCs w:val="24"/>
          <w:highlight w:val="none"/>
          <w:lang w:val="en-US" w:eastAsia="zh-CN"/>
        </w:rPr>
        <w:t>承包人投标报价时</w:t>
      </w:r>
      <w:r>
        <w:rPr>
          <w:rFonts w:hint="default" w:asciiTheme="minorEastAsia" w:hAnsiTheme="minorEastAsia" w:eastAsiaTheme="minorEastAsia" w:cstheme="minorEastAsia"/>
          <w:b w:val="0"/>
          <w:bCs w:val="0"/>
          <w:color w:val="auto"/>
          <w:sz w:val="24"/>
          <w:szCs w:val="24"/>
          <w:highlight w:val="none"/>
          <w:lang w:val="en-US" w:eastAsia="zh-CN"/>
        </w:rPr>
        <w:t>取费及下浮率，采用《水运建设工程概算预算编制规定》（JTS/T 116—2019）及其配套定额调整该项工程清单单价。</w:t>
      </w:r>
    </w:p>
    <w:p w14:paraId="163B1655">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w:t>
      </w:r>
      <w:r>
        <w:rPr>
          <w:rFonts w:hint="default" w:asciiTheme="minorEastAsia" w:hAnsiTheme="minorEastAsia" w:eastAsiaTheme="minorEastAsia" w:cstheme="minorEastAsia"/>
          <w:b w:val="0"/>
          <w:bCs w:val="0"/>
          <w:color w:val="auto"/>
          <w:sz w:val="24"/>
          <w:szCs w:val="24"/>
          <w:highlight w:val="none"/>
          <w:lang w:val="en-US" w:eastAsia="zh-CN"/>
        </w:rPr>
        <w:t>）按上述算术修正调整后，对以百分比计取的非固定报价项目作相应修正。</w:t>
      </w:r>
    </w:p>
    <w:p w14:paraId="45D5CC56">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（4</w:t>
      </w:r>
      <w:r>
        <w:rPr>
          <w:rFonts w:hint="default" w:asciiTheme="minorEastAsia" w:hAnsiTheme="minorEastAsia" w:eastAsiaTheme="minorEastAsia" w:cstheme="minorEastAsia"/>
          <w:b w:val="0"/>
          <w:bCs w:val="0"/>
          <w:color w:val="auto"/>
          <w:sz w:val="24"/>
          <w:szCs w:val="24"/>
          <w:highlight w:val="none"/>
          <w:lang w:val="en-US" w:eastAsia="zh-CN"/>
        </w:rPr>
        <w:t>）为使调整后的</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标总价保持不变，对其他项目单价按相同比例调整。</w:t>
      </w:r>
    </w:p>
    <w:p w14:paraId="6EBC1BBD">
      <w:pPr>
        <w:pStyle w:val="4"/>
        <w:numPr>
          <w:ilvl w:val="0"/>
          <w:numId w:val="0"/>
        </w:numPr>
        <w:adjustRightInd w:val="0"/>
        <w:snapToGrid w:val="0"/>
        <w:jc w:val="both"/>
        <w:outlineLvl w:val="1"/>
        <w:rPr>
          <w:rFonts w:hint="eastAsia" w:ascii="宋体" w:hAnsi="宋体" w:eastAsia="宋体" w:cs="宋体"/>
          <w:bCs/>
          <w:color w:val="auto"/>
          <w:sz w:val="24"/>
          <w:szCs w:val="24"/>
          <w:highlight w:val="none"/>
        </w:rPr>
      </w:pPr>
      <w:bookmarkStart w:id="88" w:name="_Toc7249_WPSOffice_Level2"/>
      <w:bookmarkStart w:id="89" w:name="_Toc2887"/>
      <w:bookmarkStart w:id="90" w:name="_Toc30911_WPSOffice_Level2"/>
      <w:bookmarkStart w:id="91" w:name="_Toc18022"/>
      <w:r>
        <w:rPr>
          <w:rFonts w:hint="eastAsia" w:ascii="宋体" w:hAnsi="宋体" w:eastAsia="宋体" w:cs="宋体"/>
          <w:color w:val="auto"/>
          <w:sz w:val="24"/>
          <w:szCs w:val="24"/>
          <w:highlight w:val="none"/>
        </w:rPr>
        <w:t>17．计量与支付</w:t>
      </w:r>
      <w:bookmarkEnd w:id="88"/>
      <w:bookmarkEnd w:id="89"/>
      <w:bookmarkEnd w:id="90"/>
      <w:bookmarkEnd w:id="91"/>
    </w:p>
    <w:p w14:paraId="36F8E24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 计量</w:t>
      </w:r>
    </w:p>
    <w:p w14:paraId="742E087D">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17.1.2 计量方法</w:t>
      </w:r>
    </w:p>
    <w:p w14:paraId="086B3141">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通用条款本款增加以下内容：</w:t>
      </w:r>
    </w:p>
    <w:p w14:paraId="11D99B24">
      <w:pPr>
        <w:widowControl/>
        <w:tabs>
          <w:tab w:val="left" w:pos="480"/>
          <w:tab w:val="left" w:pos="540"/>
          <w:tab w:val="left" w:pos="1080"/>
        </w:tabs>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工程量计量方法</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u w:val="single"/>
        </w:rPr>
        <w:t>《水运工程工程量清单计价规范》(JTS/T271-2020)附录B水运工程工程量计算规则</w:t>
      </w:r>
      <w:r>
        <w:rPr>
          <w:rFonts w:hint="eastAsia" w:ascii="宋体" w:hAnsi="宋体" w:eastAsia="宋体" w:cs="宋体"/>
          <w:color w:val="auto"/>
          <w:sz w:val="24"/>
          <w:szCs w:val="24"/>
          <w:highlight w:val="none"/>
          <w:u w:val="single"/>
          <w:lang w:val="en-US" w:eastAsia="zh-CN"/>
        </w:rPr>
        <w:t>和发包人印发的《北江航道扩能升级上延工程水运工程计量管理细则》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涉及安全生产费用的计量支付执行《广东省交通运输厅关于公路水运建设工程安全生产费用的管理办法》。</w:t>
      </w:r>
    </w:p>
    <w:p w14:paraId="70A885FC">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通用条款本款增加17.1.6项的内容：</w:t>
      </w:r>
    </w:p>
    <w:p w14:paraId="1E5F0536">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17.1.6</w:t>
      </w:r>
      <w:r>
        <w:rPr>
          <w:rFonts w:hint="eastAsia" w:ascii="宋体" w:hAnsi="宋体" w:eastAsia="宋体" w:cs="宋体"/>
          <w:color w:val="auto"/>
          <w:sz w:val="24"/>
          <w:szCs w:val="24"/>
          <w:highlight w:val="none"/>
          <w:lang w:val="en-US" w:eastAsia="zh-CN"/>
        </w:rPr>
        <w:t xml:space="preserve"> 因本项目由</w:t>
      </w:r>
      <w:r>
        <w:rPr>
          <w:rFonts w:hint="eastAsia" w:ascii="宋体" w:hAnsi="宋体" w:eastAsia="宋体" w:cs="宋体"/>
          <w:color w:val="auto"/>
          <w:sz w:val="24"/>
          <w:szCs w:val="24"/>
          <w:highlight w:val="none"/>
        </w:rPr>
        <w:t>政府投资建设，项目款项</w:t>
      </w:r>
      <w:r>
        <w:rPr>
          <w:rFonts w:hint="eastAsia" w:ascii="宋体" w:hAnsi="宋体" w:eastAsia="宋体" w:cs="宋体"/>
          <w:color w:val="auto"/>
          <w:sz w:val="24"/>
          <w:szCs w:val="24"/>
          <w:highlight w:val="none"/>
          <w:lang w:eastAsia="zh-CN"/>
        </w:rPr>
        <w:t>（包括但不局限于本合同约定的施工费用、补偿费用等）</w:t>
      </w:r>
      <w:r>
        <w:rPr>
          <w:rFonts w:hint="eastAsia" w:ascii="宋体" w:hAnsi="宋体" w:eastAsia="宋体" w:cs="宋体"/>
          <w:color w:val="auto"/>
          <w:sz w:val="24"/>
          <w:szCs w:val="24"/>
          <w:highlight w:val="none"/>
        </w:rPr>
        <w:t>的具体支付情况</w:t>
      </w:r>
      <w:r>
        <w:rPr>
          <w:rFonts w:hint="eastAsia" w:ascii="宋体" w:hAnsi="宋体" w:eastAsia="宋体" w:cs="宋体"/>
          <w:color w:val="auto"/>
          <w:sz w:val="24"/>
          <w:szCs w:val="24"/>
          <w:highlight w:val="none"/>
          <w:lang w:eastAsia="zh-CN"/>
        </w:rPr>
        <w:t>还应</w:t>
      </w:r>
      <w:r>
        <w:rPr>
          <w:rFonts w:hint="eastAsia" w:ascii="宋体" w:hAnsi="宋体" w:eastAsia="宋体" w:cs="宋体"/>
          <w:color w:val="auto"/>
          <w:sz w:val="24"/>
          <w:szCs w:val="24"/>
          <w:highlight w:val="none"/>
        </w:rPr>
        <w:t>按照财政资金预算安排和支付规定及国库集中支付等国家相关规定办理。发包人原则上根据专用合同条款第17.3条规定的支付条件和比例向承包人支付合同费用。发包人只负责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r>
        <w:rPr>
          <w:rFonts w:hint="eastAsia" w:ascii="宋体" w:hAnsi="宋体" w:eastAsia="宋体" w:cs="宋体"/>
          <w:color w:val="auto"/>
          <w:sz w:val="24"/>
          <w:szCs w:val="24"/>
          <w:highlight w:val="none"/>
        </w:rPr>
        <w:t>若因财政资金不到位引起合同款不能按合同要求或有关规定拨付的，发包人不承担因合同款延期拨付给承包人造成的各类损失，如利息、违约责任、连带责任等，也不得向发包人主张追讨合同款项所产生的律师费、诉讼费、仲裁费及其他实现债权的费用；承包人也不能因此为由而拖延工期</w:t>
      </w:r>
      <w:r>
        <w:rPr>
          <w:rFonts w:hint="eastAsia" w:ascii="宋体" w:hAnsi="宋体" w:eastAsia="宋体" w:cs="宋体"/>
          <w:color w:val="auto"/>
          <w:sz w:val="24"/>
          <w:szCs w:val="24"/>
          <w:highlight w:val="none"/>
          <w:lang w:eastAsia="zh-CN"/>
        </w:rPr>
        <w:t>，且须继续履行合同中要求的相关内容。</w:t>
      </w:r>
    </w:p>
    <w:p w14:paraId="68654296">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承包人应于每月</w:t>
      </w:r>
      <w:r>
        <w:rPr>
          <w:rFonts w:hint="eastAsia" w:ascii="宋体" w:hAnsi="宋体" w:eastAsia="宋体" w:cs="宋体"/>
          <w:color w:val="auto"/>
          <w:sz w:val="24"/>
          <w:szCs w:val="24"/>
          <w:highlight w:val="none"/>
          <w:u w:val="single"/>
          <w:lang w:val="en-US" w:eastAsia="zh-CN"/>
        </w:rPr>
        <w:t>22</w:t>
      </w:r>
      <w:r>
        <w:rPr>
          <w:rFonts w:hint="eastAsia" w:ascii="宋体" w:hAnsi="宋体" w:eastAsia="宋体" w:cs="宋体"/>
          <w:color w:val="auto"/>
          <w:sz w:val="24"/>
          <w:szCs w:val="24"/>
          <w:highlight w:val="none"/>
        </w:rPr>
        <w:t>日前将月度计量报表一式</w:t>
      </w:r>
      <w:r>
        <w:rPr>
          <w:rFonts w:hint="eastAsia" w:ascii="宋体" w:hAnsi="宋体" w:eastAsia="宋体" w:cs="宋体"/>
          <w:color w:val="auto"/>
          <w:sz w:val="24"/>
          <w:szCs w:val="24"/>
          <w:highlight w:val="none"/>
          <w:u w:val="single"/>
          <w:lang w:val="en-US" w:eastAsia="zh-CN"/>
        </w:rPr>
        <w:t>6</w:t>
      </w:r>
      <w:r>
        <w:rPr>
          <w:rFonts w:hint="eastAsia" w:ascii="宋体" w:hAnsi="宋体" w:eastAsia="宋体" w:cs="宋体"/>
          <w:color w:val="auto"/>
          <w:sz w:val="24"/>
          <w:szCs w:val="24"/>
          <w:highlight w:val="none"/>
        </w:rPr>
        <w:t>份报给监理人。</w:t>
      </w:r>
    </w:p>
    <w:p w14:paraId="1A89F97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17.2 预付款</w:t>
      </w:r>
    </w:p>
    <w:p w14:paraId="418D1EC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 预付款</w:t>
      </w:r>
    </w:p>
    <w:p w14:paraId="1AA04BC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预付款的额度：签约合同价的</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5F60A6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预付款的预付办法：在</w:t>
      </w:r>
      <w:r>
        <w:rPr>
          <w:rFonts w:hint="eastAsia" w:ascii="宋体" w:hAnsi="宋体" w:eastAsia="宋体" w:cs="宋体"/>
          <w:color w:val="auto"/>
          <w:sz w:val="24"/>
          <w:szCs w:val="24"/>
          <w:highlight w:val="none"/>
          <w:lang w:eastAsia="zh-CN"/>
        </w:rPr>
        <w:t>合同生效及</w:t>
      </w:r>
      <w:r>
        <w:rPr>
          <w:rFonts w:hint="eastAsia" w:ascii="宋体" w:hAnsi="宋体" w:eastAsia="宋体" w:cs="宋体"/>
          <w:color w:val="auto"/>
          <w:sz w:val="24"/>
          <w:szCs w:val="24"/>
          <w:highlight w:val="none"/>
        </w:rPr>
        <w:t>承包人提交</w:t>
      </w:r>
      <w:r>
        <w:rPr>
          <w:rFonts w:hint="eastAsia" w:ascii="宋体" w:hAnsi="宋体" w:eastAsia="宋体" w:cs="宋体"/>
          <w:color w:val="auto"/>
          <w:sz w:val="24"/>
          <w:szCs w:val="24"/>
          <w:highlight w:val="none"/>
          <w:lang w:eastAsia="zh-CN"/>
        </w:rPr>
        <w:t>了履约保证金</w:t>
      </w:r>
      <w:r>
        <w:rPr>
          <w:rFonts w:hint="eastAsia" w:ascii="宋体" w:hAnsi="宋体" w:eastAsia="宋体" w:cs="宋体"/>
          <w:color w:val="auto"/>
          <w:sz w:val="24"/>
          <w:szCs w:val="24"/>
          <w:highlight w:val="none"/>
        </w:rPr>
        <w:t>后支付签约合同价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10%给承包人</w:t>
      </w:r>
      <w:r>
        <w:rPr>
          <w:rFonts w:hint="eastAsia" w:ascii="宋体" w:hAnsi="宋体" w:eastAsia="宋体" w:cs="宋体"/>
          <w:color w:val="auto"/>
          <w:sz w:val="24"/>
          <w:szCs w:val="24"/>
          <w:highlight w:val="none"/>
          <w:lang w:eastAsia="zh-CN"/>
        </w:rPr>
        <w:t>。</w:t>
      </w:r>
    </w:p>
    <w:p w14:paraId="2F13AF0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 预付款保函</w:t>
      </w:r>
    </w:p>
    <w:p w14:paraId="44D995C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本项目不需要提交预付款保函，投标人提交的履约保</w:t>
      </w:r>
      <w:r>
        <w:rPr>
          <w:rFonts w:hint="eastAsia" w:ascii="宋体" w:hAnsi="宋体" w:eastAsia="宋体" w:cs="宋体"/>
          <w:color w:val="auto"/>
          <w:sz w:val="24"/>
          <w:szCs w:val="24"/>
          <w:highlight w:val="none"/>
          <w:lang w:eastAsia="zh-CN"/>
        </w:rPr>
        <w:t>证金</w:t>
      </w:r>
      <w:r>
        <w:rPr>
          <w:rFonts w:hint="eastAsia" w:ascii="宋体" w:hAnsi="宋体" w:eastAsia="宋体" w:cs="宋体"/>
          <w:color w:val="auto"/>
          <w:sz w:val="24"/>
          <w:szCs w:val="24"/>
          <w:highlight w:val="none"/>
        </w:rPr>
        <w:t>对预付款提供担保。</w:t>
      </w:r>
    </w:p>
    <w:p w14:paraId="4888C16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 预付款的扣回与还清</w:t>
      </w:r>
    </w:p>
    <w:p w14:paraId="409A416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当工程进度款累计支付比例达到合同总价的30%后，开始按工程进度，以固定比例（即每完成合同价格的1%，扣回开工预付款的2%）分期从各月中期支付证书中扣回，工程进度款累计支付至80%时扣清。</w:t>
      </w:r>
    </w:p>
    <w:p w14:paraId="60CBDD4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 工程进度付款</w:t>
      </w:r>
    </w:p>
    <w:p w14:paraId="6E946C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 进度付款申请单</w:t>
      </w:r>
    </w:p>
    <w:p w14:paraId="2C5B277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a.进度付款申请单8份</w:t>
      </w:r>
    </w:p>
    <w:p w14:paraId="12F044C7">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b.工程款支付报审表3份</w:t>
      </w:r>
    </w:p>
    <w:p w14:paraId="226B2109">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c.进度计量表3份</w:t>
      </w:r>
    </w:p>
    <w:p w14:paraId="660DEB82">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d.测图3份</w:t>
      </w:r>
    </w:p>
    <w:p w14:paraId="1C33A482">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e.中标人开具的正式发票1份</w:t>
      </w:r>
    </w:p>
    <w:p w14:paraId="00D7AA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 进度付款证书和支付时间</w:t>
      </w:r>
    </w:p>
    <w:p w14:paraId="4953E43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27CEE68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17.3.3.1 进度款支付：监理工程师在接到进度付款申请单后</w:t>
      </w:r>
      <w:r>
        <w:rPr>
          <w:rFonts w:hint="eastAsia" w:ascii="宋体" w:hAnsi="宋体" w:eastAsia="宋体" w:cs="宋体"/>
          <w:color w:val="auto"/>
          <w:sz w:val="24"/>
          <w:szCs w:val="24"/>
          <w:highlight w:val="none"/>
          <w:u w:val="single"/>
          <w:lang w:val="en-US" w:eastAsia="zh-CN"/>
        </w:rPr>
        <w:t xml:space="preserve"> 14 </w:t>
      </w:r>
      <w:r>
        <w:rPr>
          <w:rFonts w:hint="eastAsia" w:ascii="宋体" w:hAnsi="宋体" w:eastAsia="宋体" w:cs="宋体"/>
          <w:color w:val="auto"/>
          <w:sz w:val="24"/>
          <w:szCs w:val="24"/>
          <w:highlight w:val="none"/>
        </w:rPr>
        <w:t>天内确认并报发包人，发包人在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天内审核完后，在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申请</w:t>
      </w:r>
      <w:r>
        <w:rPr>
          <w:rFonts w:hint="eastAsia" w:ascii="宋体" w:hAnsi="宋体" w:eastAsia="宋体" w:cs="宋体"/>
          <w:color w:val="auto"/>
          <w:sz w:val="24"/>
          <w:szCs w:val="24"/>
          <w:highlight w:val="none"/>
        </w:rPr>
        <w:t>。每期进度款按当期应付进度款扣除如下款项后支付。</w:t>
      </w:r>
    </w:p>
    <w:p w14:paraId="1A8F39EA">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扣除专用条款第17.2款中应扣回的预付款；</w:t>
      </w:r>
    </w:p>
    <w:p w14:paraId="5AB30994">
      <w:pPr>
        <w:spacing w:line="360" w:lineRule="auto"/>
        <w:ind w:firstLine="588" w:firstLineChars="245"/>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扣除根据合同约定，应扣除的其他费用</w:t>
      </w:r>
      <w:r>
        <w:rPr>
          <w:rFonts w:hint="eastAsia" w:ascii="宋体" w:hAnsi="宋体" w:eastAsia="宋体" w:cs="宋体"/>
          <w:color w:val="auto"/>
          <w:sz w:val="24"/>
          <w:szCs w:val="24"/>
          <w:highlight w:val="none"/>
          <w:lang w:eastAsia="zh-CN"/>
        </w:rPr>
        <w:t>。</w:t>
      </w:r>
    </w:p>
    <w:p w14:paraId="32553559">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每期支付进度款的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。项目交工后，支付至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w:t>
      </w:r>
    </w:p>
    <w:p w14:paraId="58D90A5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17.3.3.2 变更支付：在支付进度款时，经审批同意并已实施的设计变更增加的项目内容可先按变更价款暂定金额的</w:t>
      </w:r>
      <w:r>
        <w:rPr>
          <w:rFonts w:hint="eastAsia" w:ascii="宋体" w:hAnsi="宋体" w:eastAsia="宋体" w:cs="宋体"/>
          <w:color w:val="auto"/>
          <w:sz w:val="24"/>
          <w:szCs w:val="24"/>
          <w:highlight w:val="none"/>
          <w:u w:val="single"/>
        </w:rPr>
        <w:t>80%</w:t>
      </w:r>
      <w:r>
        <w:rPr>
          <w:rFonts w:hint="eastAsia" w:ascii="宋体" w:hAnsi="宋体" w:eastAsia="宋体" w:cs="宋体"/>
          <w:color w:val="auto"/>
          <w:sz w:val="24"/>
          <w:szCs w:val="24"/>
          <w:highlight w:val="none"/>
        </w:rPr>
        <w:t>支付，待工程</w:t>
      </w:r>
      <w:r>
        <w:rPr>
          <w:rFonts w:hint="eastAsia" w:ascii="宋体" w:hAnsi="宋体" w:eastAsia="宋体" w:cs="宋体"/>
          <w:color w:val="auto"/>
          <w:sz w:val="24"/>
          <w:szCs w:val="24"/>
          <w:highlight w:val="none"/>
          <w:lang w:val="en-US"/>
        </w:rPr>
        <w:t>交工</w:t>
      </w:r>
      <w:r>
        <w:rPr>
          <w:rFonts w:hint="eastAsia" w:ascii="宋体" w:hAnsi="宋体" w:eastAsia="宋体" w:cs="宋体"/>
          <w:color w:val="auto"/>
          <w:sz w:val="24"/>
          <w:szCs w:val="24"/>
          <w:highlight w:val="none"/>
        </w:rPr>
        <w:t>验收后支付至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%，设计变更减少内容的按进度款正常支付规定进行支付。</w:t>
      </w:r>
    </w:p>
    <w:p w14:paraId="13FE5B3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17.3.3.3 调价支付：按专用条款第16条的规定调价，</w:t>
      </w:r>
      <w:r>
        <w:rPr>
          <w:rFonts w:hint="eastAsia" w:ascii="宋体" w:hAnsi="宋体" w:eastAsia="宋体" w:cs="宋体"/>
          <w:color w:val="auto"/>
          <w:sz w:val="24"/>
          <w:szCs w:val="24"/>
          <w:highlight w:val="none"/>
          <w:lang w:val="en-US" w:eastAsia="zh-CN"/>
        </w:rPr>
        <w:t>每期支付调价费用的80%，剩余调整费用在工程结算批复后</w:t>
      </w:r>
      <w:r>
        <w:rPr>
          <w:rFonts w:hint="eastAsia" w:ascii="宋体" w:hAnsi="宋体" w:eastAsia="宋体" w:cs="宋体"/>
          <w:color w:val="auto"/>
          <w:sz w:val="24"/>
          <w:szCs w:val="24"/>
          <w:highlight w:val="none"/>
        </w:rPr>
        <w:t>进行支付。</w:t>
      </w:r>
    </w:p>
    <w:p w14:paraId="688D98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17.3.3.4 承包人发生合同约定的违约情况时，无论发包人是否解除合同，发包人均有权按本合同的规定向承包人扣罚违约金，发包人按合同规定向承包人开出的任何违约金，除合同另有规定外，均从发包人应向承包人支付的工程款中直接扣除。除非合同另有规定，发包人向承包人开出的任何违约金将导致承包人最终的应得结算价款相应地减少。承包人必须完全接受上述条款。发包人按合同规定向承包人开出的任何违约金的扣除时间，可以在发包人认为合适的任何一个期中支付月份中扣除。发包人扣除违约金时间的延迟或滞后并不代表对承包人当时各种行为的认可或默认。</w:t>
      </w:r>
    </w:p>
    <w:p w14:paraId="089242E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17.3.3.5 监理人出具进度付款证书，应视为监理人已同意、批准或接受了承包人完成的该部分工作。但是监理人的同意、批准或接受不免除承包人应承担的工程质量责任。</w:t>
      </w:r>
    </w:p>
    <w:p w14:paraId="7BCB2F3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17.3.3.6 付款前，承包人需要开具相应金额的增值税发票。进度付款涉及政府投资资金的，按照国库集中支付等政府相关规定和专用合同条款的约定办理。涉及到财政资金的，按财政资金支付管理办法执行。</w:t>
      </w:r>
    </w:p>
    <w:p w14:paraId="27FE879D">
      <w:pPr>
        <w:pStyle w:val="61"/>
        <w:shd w:val="clear" w:color="auto" w:fill="auto"/>
        <w:spacing w:line="360" w:lineRule="auto"/>
        <w:ind w:firstLine="480" w:firstLineChars="200"/>
        <w:jc w:val="both"/>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eastAsia="zh-CN"/>
        </w:rPr>
        <w:t>通用条款本款增加</w:t>
      </w:r>
      <w:r>
        <w:rPr>
          <w:rFonts w:hint="eastAsia" w:ascii="宋体" w:hAnsi="宋体" w:eastAsia="宋体" w:cs="宋体"/>
          <w:color w:val="auto"/>
          <w:spacing w:val="0"/>
          <w:kern w:val="2"/>
          <w:sz w:val="24"/>
          <w:szCs w:val="24"/>
          <w:highlight w:val="none"/>
          <w:lang w:val="en-US" w:eastAsia="zh-CN"/>
        </w:rPr>
        <w:t>17.3.5项的内容：</w:t>
      </w:r>
    </w:p>
    <w:p w14:paraId="4E8B7347">
      <w:pPr>
        <w:pStyle w:val="61"/>
        <w:shd w:val="clear" w:color="auto" w:fill="auto"/>
        <w:spacing w:line="360" w:lineRule="auto"/>
        <w:ind w:firstLine="480" w:firstLineChars="200"/>
        <w:jc w:val="both"/>
        <w:rPr>
          <w:rFonts w:hint="eastAsia" w:ascii="宋体" w:hAnsi="宋体" w:eastAsia="宋体" w:cs="宋体"/>
          <w:b w:val="0"/>
          <w:bCs w:val="0"/>
          <w:color w:val="auto"/>
          <w:spacing w:val="0"/>
          <w:kern w:val="2"/>
          <w:sz w:val="24"/>
          <w:szCs w:val="24"/>
          <w:highlight w:val="none"/>
        </w:rPr>
      </w:pPr>
      <w:r>
        <w:rPr>
          <w:rFonts w:hint="eastAsia" w:ascii="宋体" w:hAnsi="宋体" w:eastAsia="宋体" w:cs="宋体"/>
          <w:color w:val="auto"/>
          <w:spacing w:val="0"/>
          <w:kern w:val="2"/>
          <w:sz w:val="24"/>
          <w:szCs w:val="24"/>
          <w:highlight w:val="none"/>
        </w:rPr>
        <w:t>17.3.5</w:t>
      </w:r>
      <w:r>
        <w:rPr>
          <w:rFonts w:hint="eastAsia" w:ascii="宋体" w:hAnsi="宋体" w:eastAsia="宋体" w:cs="宋体"/>
          <w:color w:val="auto"/>
          <w:spacing w:val="0"/>
          <w:kern w:val="2"/>
          <w:sz w:val="24"/>
          <w:szCs w:val="24"/>
          <w:highlight w:val="none"/>
          <w:lang w:val="en-US" w:eastAsia="zh-CN"/>
        </w:rPr>
        <w:t xml:space="preserve"> </w:t>
      </w:r>
      <w:r>
        <w:rPr>
          <w:rFonts w:hint="eastAsia" w:ascii="宋体" w:hAnsi="宋体" w:eastAsia="宋体" w:cs="宋体"/>
          <w:bCs w:val="0"/>
          <w:color w:val="auto"/>
          <w:spacing w:val="0"/>
          <w:kern w:val="2"/>
          <w:sz w:val="24"/>
          <w:szCs w:val="24"/>
          <w:highlight w:val="none"/>
        </w:rPr>
        <w:t>农民工工资保证金</w:t>
      </w:r>
    </w:p>
    <w:p w14:paraId="7D80579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lang w:val="en-US"/>
        </w:rPr>
        <w:t>广东省交通运输厅转发人力资源社会保障部等部门</w:t>
      </w:r>
      <w:r>
        <w:rPr>
          <w:rFonts w:hint="eastAsia" w:ascii="宋体" w:hAnsi="宋体" w:eastAsia="宋体" w:cs="宋体"/>
          <w:color w:val="auto"/>
          <w:sz w:val="24"/>
          <w:szCs w:val="24"/>
          <w:highlight w:val="none"/>
          <w:lang w:val="en-US" w:eastAsia="zh-CN"/>
        </w:rPr>
        <w:t>&lt;</w:t>
      </w:r>
      <w:r>
        <w:rPr>
          <w:rFonts w:hint="eastAsia" w:ascii="宋体" w:hAnsi="宋体" w:eastAsia="宋体" w:cs="宋体"/>
          <w:color w:val="auto"/>
          <w:sz w:val="24"/>
          <w:szCs w:val="24"/>
          <w:highlight w:val="none"/>
          <w:lang w:val="en-US"/>
        </w:rPr>
        <w:t>工程建设领域农民工工资保证金规定</w:t>
      </w:r>
      <w:r>
        <w:rPr>
          <w:rFonts w:hint="eastAsia" w:ascii="宋体" w:hAnsi="宋体" w:eastAsia="宋体" w:cs="宋体"/>
          <w:color w:val="auto"/>
          <w:sz w:val="24"/>
          <w:szCs w:val="24"/>
          <w:highlight w:val="none"/>
          <w:lang w:val="en-US" w:eastAsia="zh-CN"/>
        </w:rPr>
        <w:t>&gt;</w:t>
      </w:r>
      <w:r>
        <w:rPr>
          <w:rFonts w:hint="eastAsia" w:ascii="宋体" w:hAnsi="宋体" w:eastAsia="宋体" w:cs="宋体"/>
          <w:color w:val="auto"/>
          <w:sz w:val="24"/>
          <w:szCs w:val="24"/>
          <w:highlight w:val="none"/>
          <w:lang w:val="en-US"/>
        </w:rPr>
        <w:t>的通知</w:t>
      </w:r>
      <w:r>
        <w:rPr>
          <w:rFonts w:hint="eastAsia" w:ascii="宋体" w:hAnsi="宋体" w:eastAsia="宋体" w:cs="宋体"/>
          <w:color w:val="auto"/>
          <w:sz w:val="24"/>
          <w:szCs w:val="24"/>
          <w:highlight w:val="none"/>
          <w:lang w:eastAsia="zh-CN"/>
        </w:rPr>
        <w:t>》（粤交基函</w:t>
      </w:r>
      <w:r>
        <w:rPr>
          <w:rFonts w:hint="eastAsia" w:ascii="宋体" w:hAnsi="宋体" w:eastAsia="宋体" w:cs="宋体"/>
          <w:color w:val="auto"/>
          <w:sz w:val="24"/>
          <w:szCs w:val="24"/>
          <w:highlight w:val="none"/>
          <w:lang w:val="en-US" w:eastAsia="zh-CN"/>
        </w:rPr>
        <w:t>[2021]606号</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rPr>
        <w:t>。</w:t>
      </w:r>
    </w:p>
    <w:p w14:paraId="106EDA1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17.4 质量保证金</w:t>
      </w:r>
    </w:p>
    <w:p w14:paraId="2E20E7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投标人提交的履约保</w:t>
      </w:r>
      <w:r>
        <w:rPr>
          <w:rFonts w:hint="eastAsia" w:ascii="宋体" w:hAnsi="宋体" w:eastAsia="宋体" w:cs="宋体"/>
          <w:color w:val="auto"/>
          <w:sz w:val="24"/>
          <w:szCs w:val="24"/>
          <w:highlight w:val="none"/>
          <w:lang w:eastAsia="zh-CN"/>
        </w:rPr>
        <w:t>证金已包含质量保证金</w:t>
      </w:r>
      <w:r>
        <w:rPr>
          <w:rFonts w:hint="eastAsia" w:ascii="宋体" w:hAnsi="宋体" w:eastAsia="宋体" w:cs="宋体"/>
          <w:color w:val="auto"/>
          <w:sz w:val="24"/>
          <w:szCs w:val="24"/>
          <w:highlight w:val="none"/>
        </w:rPr>
        <w:t>。</w:t>
      </w:r>
    </w:p>
    <w:p w14:paraId="6AD64CF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17.5 竣工结算</w:t>
      </w:r>
    </w:p>
    <w:p w14:paraId="214B905B">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用条款中的“竣工付款申请单”统一修改为“工程结算书”。工程结算工作按照《广东省交通运输厅关于规范升级水运工程项目结（决）算审核工作的通知》（粤交基函[2017]3079号）文所要求、规定进行，并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审查意见批复为准</w:t>
      </w:r>
      <w:r>
        <w:rPr>
          <w:rFonts w:hint="eastAsia" w:ascii="宋体" w:hAnsi="宋体" w:eastAsia="宋体" w:cs="宋体"/>
          <w:color w:val="auto"/>
          <w:sz w:val="24"/>
          <w:szCs w:val="24"/>
          <w:highlight w:val="none"/>
          <w:lang w:eastAsia="zh-CN"/>
        </w:rPr>
        <w:t>。</w:t>
      </w:r>
    </w:p>
    <w:p w14:paraId="1ADB71FE">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17.5.1 工程结算书</w:t>
      </w:r>
    </w:p>
    <w:p w14:paraId="4FF4C7D7">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工程交工验收证书签发后</w:t>
      </w:r>
      <w:r>
        <w:rPr>
          <w:rFonts w:hint="eastAsia" w:ascii="宋体" w:hAnsi="宋体" w:eastAsia="宋体" w:cs="宋体"/>
          <w:bCs/>
          <w:color w:val="auto"/>
          <w:sz w:val="24"/>
          <w:szCs w:val="24"/>
          <w:highlight w:val="none"/>
          <w:u w:val="single"/>
          <w:lang w:val="en-US" w:eastAsia="zh-CN"/>
        </w:rPr>
        <w:t>90</w:t>
      </w:r>
      <w:r>
        <w:rPr>
          <w:rFonts w:hint="eastAsia" w:ascii="宋体" w:hAnsi="宋体" w:eastAsia="宋体" w:cs="宋体"/>
          <w:bCs/>
          <w:color w:val="auto"/>
          <w:sz w:val="24"/>
          <w:szCs w:val="24"/>
          <w:highlight w:val="none"/>
        </w:rPr>
        <w:t>天内，承包人应向监理人提交</w:t>
      </w:r>
      <w:r>
        <w:rPr>
          <w:rFonts w:hint="eastAsia" w:ascii="宋体" w:hAnsi="宋体" w:eastAsia="宋体" w:cs="宋体"/>
          <w:bCs/>
          <w:color w:val="auto"/>
          <w:sz w:val="24"/>
          <w:szCs w:val="24"/>
          <w:highlight w:val="none"/>
          <w:u w:val="single"/>
        </w:rPr>
        <w:t>一式</w:t>
      </w:r>
      <w:r>
        <w:rPr>
          <w:rFonts w:hint="eastAsia" w:ascii="宋体" w:hAnsi="宋体" w:eastAsia="宋体"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份</w:t>
      </w:r>
      <w:r>
        <w:rPr>
          <w:rFonts w:hint="eastAsia" w:ascii="宋体" w:hAnsi="宋体" w:eastAsia="宋体" w:cs="宋体"/>
          <w:bCs/>
          <w:color w:val="auto"/>
          <w:sz w:val="24"/>
          <w:szCs w:val="24"/>
          <w:highlight w:val="none"/>
        </w:rPr>
        <w:t>工程结算书等完整的合同结算材料</w:t>
      </w:r>
      <w:r>
        <w:rPr>
          <w:rFonts w:hint="eastAsia" w:ascii="宋体" w:hAnsi="宋体" w:eastAsia="宋体" w:cs="宋体"/>
          <w:color w:val="auto"/>
          <w:sz w:val="24"/>
          <w:szCs w:val="24"/>
          <w:highlight w:val="none"/>
        </w:rPr>
        <w:t>（包括但不局限于工程量计算书、工程变更、工程索赔、竣工图纸等）</w:t>
      </w:r>
      <w:r>
        <w:rPr>
          <w:rFonts w:hint="eastAsia" w:ascii="宋体" w:hAnsi="宋体" w:eastAsia="宋体" w:cs="宋体"/>
          <w:bCs/>
          <w:color w:val="auto"/>
          <w:sz w:val="24"/>
          <w:szCs w:val="24"/>
          <w:highlight w:val="none"/>
        </w:rPr>
        <w:t>，且对提供的合同结算资料的真实性、完整性及有效性负责并书面承诺。</w:t>
      </w:r>
    </w:p>
    <w:p w14:paraId="5276C59F">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val="0"/>
          <w:color w:val="auto"/>
          <w:sz w:val="24"/>
          <w:szCs w:val="24"/>
          <w:highlight w:val="none"/>
        </w:rPr>
        <w:t>监理人收到完整的合同结算</w:t>
      </w:r>
      <w:r>
        <w:rPr>
          <w:rFonts w:hint="eastAsia" w:ascii="宋体" w:hAnsi="宋体" w:eastAsia="宋体" w:cs="宋体"/>
          <w:bCs w:val="0"/>
          <w:color w:val="auto"/>
          <w:sz w:val="24"/>
          <w:szCs w:val="24"/>
          <w:highlight w:val="none"/>
          <w:lang w:val="en-US" w:eastAsia="zh-CN"/>
        </w:rPr>
        <w:t>材</w:t>
      </w:r>
      <w:r>
        <w:rPr>
          <w:rFonts w:hint="eastAsia" w:ascii="宋体" w:hAnsi="宋体" w:eastAsia="宋体" w:cs="宋体"/>
          <w:bCs w:val="0"/>
          <w:color w:val="auto"/>
          <w:sz w:val="24"/>
          <w:szCs w:val="24"/>
          <w:highlight w:val="none"/>
        </w:rPr>
        <w:t>料</w:t>
      </w:r>
      <w:r>
        <w:rPr>
          <w:rFonts w:hint="eastAsia" w:ascii="宋体" w:hAnsi="宋体" w:eastAsia="宋体" w:cs="宋体"/>
          <w:bCs w:val="0"/>
          <w:color w:val="auto"/>
          <w:sz w:val="24"/>
          <w:szCs w:val="24"/>
          <w:highlight w:val="none"/>
          <w:lang w:val="en-US" w:eastAsia="zh-CN"/>
        </w:rPr>
        <w:t>后</w:t>
      </w:r>
      <w:r>
        <w:rPr>
          <w:rFonts w:hint="eastAsia" w:ascii="宋体" w:hAnsi="宋体" w:eastAsia="宋体" w:cs="宋体"/>
          <w:bCs w:val="0"/>
          <w:color w:val="auto"/>
          <w:sz w:val="24"/>
          <w:szCs w:val="24"/>
          <w:highlight w:val="none"/>
          <w:u w:val="none"/>
          <w:lang w:val="en-US" w:eastAsia="zh-CN"/>
        </w:rPr>
        <w:t>90</w:t>
      </w:r>
      <w:r>
        <w:rPr>
          <w:rFonts w:hint="eastAsia" w:ascii="宋体" w:hAnsi="宋体" w:eastAsia="宋体" w:cs="宋体"/>
          <w:bCs w:val="0"/>
          <w:color w:val="auto"/>
          <w:sz w:val="24"/>
          <w:szCs w:val="24"/>
          <w:highlight w:val="none"/>
        </w:rPr>
        <w:t>天内完成结算审核并提交发包人</w:t>
      </w:r>
      <w:r>
        <w:rPr>
          <w:rFonts w:hint="eastAsia" w:ascii="宋体" w:hAnsi="宋体" w:eastAsia="宋体" w:cs="宋体"/>
          <w:bCs w:val="0"/>
          <w:color w:val="auto"/>
          <w:sz w:val="24"/>
          <w:szCs w:val="24"/>
          <w:highlight w:val="none"/>
          <w:u w:val="none"/>
        </w:rPr>
        <w:t>一式</w:t>
      </w:r>
      <w:r>
        <w:rPr>
          <w:rFonts w:hint="eastAsia" w:ascii="宋体" w:hAnsi="宋体" w:eastAsia="宋体" w:cs="宋体"/>
          <w:bCs w:val="0"/>
          <w:color w:val="auto"/>
          <w:sz w:val="24"/>
          <w:szCs w:val="24"/>
          <w:highlight w:val="none"/>
          <w:u w:val="none"/>
          <w:lang w:val="en-US" w:eastAsia="zh-CN"/>
        </w:rPr>
        <w:t>8</w:t>
      </w:r>
      <w:r>
        <w:rPr>
          <w:rFonts w:hint="eastAsia" w:ascii="宋体" w:hAnsi="宋体" w:eastAsia="宋体" w:cs="宋体"/>
          <w:bCs w:val="0"/>
          <w:color w:val="auto"/>
          <w:sz w:val="24"/>
          <w:szCs w:val="24"/>
          <w:highlight w:val="none"/>
          <w:u w:val="none"/>
        </w:rPr>
        <w:t>份</w:t>
      </w:r>
      <w:r>
        <w:rPr>
          <w:rFonts w:hint="eastAsia" w:ascii="宋体" w:hAnsi="宋体" w:eastAsia="宋体" w:cs="宋体"/>
          <w:bCs w:val="0"/>
          <w:color w:val="auto"/>
          <w:sz w:val="24"/>
          <w:szCs w:val="24"/>
          <w:highlight w:val="none"/>
        </w:rPr>
        <w:t>审核意见。</w:t>
      </w:r>
      <w:r>
        <w:rPr>
          <w:rFonts w:hint="eastAsia" w:ascii="宋体" w:hAnsi="宋体" w:eastAsia="宋体" w:cs="宋体"/>
          <w:bCs w:val="0"/>
          <w:color w:val="auto"/>
          <w:sz w:val="24"/>
          <w:szCs w:val="24"/>
          <w:highlight w:val="none"/>
          <w:lang w:val="en-US" w:eastAsia="zh-CN"/>
        </w:rPr>
        <w:t>发包人初步审核后报业主审批，在收到业主的批复意见后30天内双方签订工程结算书。</w:t>
      </w:r>
      <w:r>
        <w:rPr>
          <w:rFonts w:hint="eastAsia" w:ascii="宋体" w:hAnsi="宋体" w:eastAsia="宋体" w:cs="宋体"/>
          <w:color w:val="auto"/>
          <w:sz w:val="24"/>
          <w:szCs w:val="24"/>
          <w:highlight w:val="none"/>
          <w:lang w:val="en-US" w:eastAsia="zh-CN"/>
        </w:rPr>
        <w:t>承包人充分理解并同意本合同专用条款</w:t>
      </w: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4条的相关约定，工程结算以业主审批结果为准，如因业主原因不予批准或迟延审批，承包人不得以任何理由追究发包人的任何违约责任。</w:t>
      </w:r>
    </w:p>
    <w:p w14:paraId="35325658">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承包人未按合同约定及发包人要求的时间内提交完整的合同结算材料且经书面通知后30天内仍不提交完整结算材料的，按照发包人提出的结算造价予以结算。承包人对发包人提出的工程结算书不予回复或不在限定期限内提异议，经发包人书面通知30天后仍无改变的，按照发包人提出的工程结算书予以结算。</w:t>
      </w:r>
    </w:p>
    <w:p w14:paraId="130C3F07">
      <w:pPr>
        <w:adjustRightInd w:val="0"/>
        <w:snapToGrid w:val="0"/>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竣工付款证书及支付时间</w:t>
      </w:r>
    </w:p>
    <w:p w14:paraId="5B365FE8">
      <w:pPr>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通用条款本项第（</w:t>
      </w:r>
      <w:r>
        <w:rPr>
          <w:rFonts w:hint="eastAsia" w:ascii="宋体" w:hAnsi="宋体" w:eastAsia="宋体" w:cs="宋体"/>
          <w:color w:val="auto"/>
          <w:sz w:val="24"/>
          <w:szCs w:val="24"/>
          <w:highlight w:val="none"/>
          <w:lang w:val="en-US" w:eastAsia="zh-CN"/>
        </w:rPr>
        <w:t>2）和（4）的内容不适用于本合同，代之以：</w:t>
      </w:r>
    </w:p>
    <w:p w14:paraId="2137EDEB">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付款证书后的</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出具初步审核意见，并提交业主审核，</w:t>
      </w:r>
      <w:r>
        <w:rPr>
          <w:rFonts w:hint="eastAsia" w:ascii="宋体" w:hAnsi="宋体" w:eastAsia="宋体" w:cs="宋体"/>
          <w:color w:val="auto"/>
          <w:sz w:val="24"/>
          <w:szCs w:val="24"/>
          <w:highlight w:val="none"/>
          <w:lang w:val="en-US" w:eastAsia="zh-CN"/>
        </w:rPr>
        <w:t>在取得业主批准后</w:t>
      </w:r>
      <w:r>
        <w:rPr>
          <w:rFonts w:hint="eastAsia" w:ascii="宋体" w:hAnsi="宋体" w:eastAsia="宋体" w:cs="宋体"/>
          <w:color w:val="auto"/>
          <w:sz w:val="24"/>
          <w:szCs w:val="24"/>
          <w:highlight w:val="none"/>
          <w:lang w:eastAsia="zh-CN"/>
        </w:rPr>
        <w:t>支付。</w:t>
      </w:r>
      <w:r>
        <w:rPr>
          <w:rFonts w:hint="eastAsia" w:ascii="宋体" w:hAnsi="宋体" w:eastAsia="宋体" w:cs="宋体"/>
          <w:color w:val="auto"/>
          <w:sz w:val="24"/>
          <w:szCs w:val="24"/>
          <w:highlight w:val="none"/>
          <w:lang w:val="en-US" w:eastAsia="zh-CN"/>
        </w:rPr>
        <w:t>承包人充分理解并同意</w:t>
      </w:r>
      <w:r>
        <w:rPr>
          <w:rFonts w:hint="eastAsia" w:ascii="宋体" w:hAnsi="宋体" w:eastAsia="宋体" w:cs="宋体"/>
          <w:color w:val="auto"/>
          <w:sz w:val="24"/>
          <w:szCs w:val="24"/>
          <w:highlight w:val="none"/>
        </w:rPr>
        <w:t>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p>
    <w:p w14:paraId="62364521">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2CD39116">
      <w:pPr>
        <w:adjustRightInd w:val="0"/>
        <w:snapToGrid w:val="0"/>
        <w:spacing w:line="360" w:lineRule="auto"/>
        <w:ind w:firstLine="480" w:firstLineChars="200"/>
        <w:jc w:val="both"/>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17.6 最终结清</w:t>
      </w:r>
    </w:p>
    <w:p w14:paraId="3C0F249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 最终结清申请单</w:t>
      </w:r>
    </w:p>
    <w:p w14:paraId="1C1B50D6">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最终结算费用以广东省交通运输厅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审查批复意见为准，承包人同意发包人按批复意见调整承包人最终合同费用。广东省交通运输厅</w:t>
      </w:r>
      <w:r>
        <w:rPr>
          <w:rFonts w:hint="eastAsia" w:ascii="宋体" w:hAnsi="宋体" w:eastAsia="宋体" w:cs="宋体"/>
          <w:color w:val="auto"/>
          <w:sz w:val="24"/>
          <w:szCs w:val="24"/>
          <w:highlight w:val="none"/>
          <w:lang w:eastAsia="zh-CN"/>
        </w:rPr>
        <w:t>对决算</w:t>
      </w:r>
      <w:r>
        <w:rPr>
          <w:rFonts w:hint="eastAsia" w:ascii="宋体" w:hAnsi="宋体" w:eastAsia="宋体" w:cs="宋体"/>
          <w:color w:val="auto"/>
          <w:sz w:val="24"/>
          <w:szCs w:val="24"/>
          <w:highlight w:val="none"/>
        </w:rPr>
        <w:t>审查批复</w:t>
      </w:r>
      <w:r>
        <w:rPr>
          <w:rFonts w:hint="eastAsia" w:ascii="宋体" w:hAnsi="宋体" w:eastAsia="宋体" w:cs="宋体"/>
          <w:color w:val="auto"/>
          <w:sz w:val="24"/>
          <w:szCs w:val="24"/>
          <w:highlight w:val="none"/>
          <w:lang w:eastAsia="zh-CN"/>
        </w:rPr>
        <w:t>后，</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rPr>
        <w:t>整体</w:t>
      </w:r>
      <w:r>
        <w:rPr>
          <w:rFonts w:hint="eastAsia" w:ascii="宋体" w:hAnsi="宋体" w:eastAsia="宋体" w:cs="宋体"/>
          <w:color w:val="auto"/>
          <w:sz w:val="24"/>
          <w:szCs w:val="24"/>
          <w:highlight w:val="none"/>
        </w:rPr>
        <w:t>竣工验收通过后，承包人应在</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天内按照批复意见的金额向监理人提交尾款支付申请一式</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份，并提供相关证明材料。发包人、监理人根据批复意见，向上级申请支付余下未付款项。</w:t>
      </w:r>
    </w:p>
    <w:p w14:paraId="25AE374F">
      <w:pPr>
        <w:spacing w:line="360" w:lineRule="auto"/>
        <w:ind w:firstLine="480" w:firstLineChars="200"/>
        <w:jc w:val="both"/>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lang w:val="en-US" w:eastAsia="zh-CN"/>
        </w:rPr>
        <w:t>17.6.2</w:t>
      </w:r>
      <w:r>
        <w:rPr>
          <w:rFonts w:hint="eastAsia" w:ascii="宋体" w:hAnsi="宋体" w:eastAsia="宋体" w:cs="宋体"/>
          <w:b/>
          <w:bCs/>
          <w:color w:val="auto"/>
          <w:sz w:val="24"/>
          <w:szCs w:val="24"/>
          <w:highlight w:val="none"/>
          <w:lang w:eastAsia="zh-CN"/>
        </w:rPr>
        <w:t>项第（</w:t>
      </w:r>
      <w:r>
        <w:rPr>
          <w:rFonts w:hint="eastAsia" w:ascii="宋体" w:hAnsi="宋体" w:eastAsia="宋体" w:cs="宋体"/>
          <w:b/>
          <w:bCs/>
          <w:color w:val="auto"/>
          <w:sz w:val="24"/>
          <w:szCs w:val="24"/>
          <w:highlight w:val="none"/>
          <w:lang w:val="en-US" w:eastAsia="zh-CN"/>
        </w:rPr>
        <w:t>2）和（4）内容不适用于本合同，代之以：</w:t>
      </w:r>
    </w:p>
    <w:p w14:paraId="3306A8BD">
      <w:pPr>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最终结清证书</w:t>
      </w:r>
      <w:r>
        <w:rPr>
          <w:rFonts w:hint="eastAsia" w:ascii="宋体" w:hAnsi="宋体" w:eastAsia="宋体" w:cs="宋体"/>
          <w:color w:val="auto"/>
          <w:sz w:val="24"/>
          <w:szCs w:val="24"/>
          <w:highlight w:val="none"/>
        </w:rPr>
        <w:t>后的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天内，将应支付款支付给承包人。发包人不按期支付的，将逾期付款违约金支付给承包人</w:t>
      </w:r>
      <w:r>
        <w:rPr>
          <w:rFonts w:hint="eastAsia" w:ascii="宋体" w:hAnsi="宋体" w:eastAsia="宋体" w:cs="宋体"/>
          <w:color w:val="auto"/>
          <w:sz w:val="24"/>
          <w:szCs w:val="24"/>
          <w:highlight w:val="none"/>
          <w:lang w:eastAsia="zh-CN"/>
        </w:rPr>
        <w:t>，但合同条款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约定</w:t>
      </w:r>
      <w:r>
        <w:rPr>
          <w:rFonts w:hint="eastAsia" w:ascii="宋体" w:hAnsi="宋体" w:eastAsia="宋体" w:cs="宋体"/>
          <w:color w:val="auto"/>
          <w:sz w:val="24"/>
          <w:szCs w:val="24"/>
          <w:highlight w:val="none"/>
          <w:lang w:eastAsia="zh-CN"/>
        </w:rPr>
        <w:t>的除外。</w:t>
      </w:r>
    </w:p>
    <w:p w14:paraId="2D42E48E">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最终结清</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0E11D03D">
      <w:pPr>
        <w:adjustRightInd w:val="0"/>
        <w:snapToGrid w:val="0"/>
        <w:spacing w:line="360" w:lineRule="auto"/>
        <w:ind w:firstLine="480"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bCs/>
          <w:color w:val="auto"/>
          <w:sz w:val="24"/>
          <w:szCs w:val="24"/>
          <w:highlight w:val="none"/>
        </w:rPr>
        <w:t>通用条款本</w:t>
      </w:r>
      <w:r>
        <w:rPr>
          <w:rFonts w:hint="eastAsia" w:ascii="宋体" w:hAnsi="宋体" w:eastAsia="宋体" w:cs="宋体"/>
          <w:b/>
          <w:bCs/>
          <w:color w:val="auto"/>
          <w:sz w:val="24"/>
          <w:szCs w:val="24"/>
          <w:highlight w:val="none"/>
          <w:lang w:val="en-US" w:eastAsia="zh-CN"/>
        </w:rPr>
        <w:t>条</w:t>
      </w:r>
      <w:r>
        <w:rPr>
          <w:rFonts w:hint="eastAsia" w:ascii="宋体" w:hAnsi="宋体" w:eastAsia="宋体" w:cs="宋体"/>
          <w:b/>
          <w:color w:val="auto"/>
          <w:sz w:val="24"/>
          <w:szCs w:val="24"/>
          <w:highlight w:val="none"/>
          <w:lang w:val="en-US" w:eastAsia="zh-CN"/>
        </w:rPr>
        <w:t>增加17.7款：</w:t>
      </w:r>
    </w:p>
    <w:p w14:paraId="7A69CABA">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17.7 安全生产费的计量支付及审核程序</w:t>
      </w:r>
    </w:p>
    <w:p w14:paraId="5B57DD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 xml:space="preserve">17.7.1 </w:t>
      </w:r>
      <w:r>
        <w:rPr>
          <w:rFonts w:hint="eastAsia" w:ascii="宋体" w:hAnsi="宋体" w:eastAsia="宋体" w:cs="宋体"/>
          <w:b w:val="0"/>
          <w:bCs w:val="0"/>
          <w:color w:val="auto"/>
          <w:sz w:val="24"/>
          <w:szCs w:val="24"/>
          <w:highlight w:val="none"/>
          <w:lang w:val="en-US" w:eastAsia="zh-CN"/>
        </w:rPr>
        <w:t>工程项目开工前，预付</w:t>
      </w:r>
      <w:r>
        <w:rPr>
          <w:rFonts w:hint="eastAsia" w:ascii="宋体" w:hAnsi="宋体" w:eastAsia="宋体" w:cs="宋体"/>
          <w:color w:val="auto"/>
          <w:sz w:val="24"/>
          <w:szCs w:val="24"/>
          <w:highlight w:val="none"/>
          <w:lang w:val="en-US" w:eastAsia="zh-CN"/>
        </w:rPr>
        <w:t>安全生产费用总额</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0%给承包人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预付的安全生产费用在后续工程计量中扣回。</w:t>
      </w:r>
    </w:p>
    <w:p w14:paraId="763B169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17.7.2 项目实施工程中，承包人应根据每一计量周期投入安全生产费用使用情况，按照合同文件规定，编制安全生产费用工程量清单计量申请表（附相关凭证）和下期使用计划，经安全负责人与项目负责人签字盖章后，报送监理工程师审核。</w:t>
      </w:r>
    </w:p>
    <w:p w14:paraId="1286903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监理工程师收到安全生产费用计量申请表后，应当在</w:t>
      </w:r>
      <w:r>
        <w:rPr>
          <w:rFonts w:hint="eastAsia" w:ascii="宋体" w:hAnsi="宋体" w:eastAsia="宋体" w:cs="宋体"/>
          <w:color w:val="auto"/>
          <w:sz w:val="24"/>
          <w:szCs w:val="24"/>
          <w:highlight w:val="none"/>
          <w:u w:val="single"/>
        </w:rPr>
        <w:t>7天内</w:t>
      </w:r>
      <w:r>
        <w:rPr>
          <w:rFonts w:hint="eastAsia" w:ascii="宋体" w:hAnsi="宋体" w:eastAsia="宋体" w:cs="宋体"/>
          <w:color w:val="auto"/>
          <w:sz w:val="24"/>
          <w:szCs w:val="24"/>
          <w:highlight w:val="none"/>
        </w:rPr>
        <w:t>完成对计量申请表的审核，核实无误签字后报</w:t>
      </w:r>
      <w:r>
        <w:rPr>
          <w:rFonts w:hint="eastAsia" w:ascii="宋体" w:hAnsi="宋体" w:eastAsia="宋体" w:cs="宋体"/>
          <w:color w:val="auto"/>
          <w:sz w:val="24"/>
          <w:szCs w:val="24"/>
          <w:highlight w:val="none"/>
          <w:lang w:eastAsia="zh-CN"/>
        </w:rPr>
        <w:t>监理人</w:t>
      </w:r>
      <w:r>
        <w:rPr>
          <w:rFonts w:hint="eastAsia" w:ascii="宋体" w:hAnsi="宋体" w:eastAsia="宋体" w:cs="宋体"/>
          <w:color w:val="auto"/>
          <w:sz w:val="24"/>
          <w:szCs w:val="24"/>
          <w:highlight w:val="none"/>
        </w:rPr>
        <w:t>再审核。</w:t>
      </w:r>
    </w:p>
    <w:p w14:paraId="0B8CB35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发包人对经监理单位审核后的安全生产费用计量表进行审定后，按时</w:t>
      </w:r>
      <w:r>
        <w:rPr>
          <w:rFonts w:hint="eastAsia" w:ascii="宋体" w:hAnsi="宋体" w:eastAsia="宋体" w:cs="宋体"/>
          <w:color w:val="auto"/>
          <w:sz w:val="24"/>
          <w:szCs w:val="24"/>
          <w:highlight w:val="none"/>
          <w:lang w:eastAsia="zh-CN"/>
        </w:rPr>
        <w:t>提交业主审核，</w:t>
      </w:r>
      <w:r>
        <w:rPr>
          <w:rFonts w:hint="eastAsia" w:ascii="宋体" w:hAnsi="宋体" w:eastAsia="宋体" w:cs="宋体"/>
          <w:color w:val="auto"/>
          <w:sz w:val="24"/>
          <w:szCs w:val="24"/>
          <w:highlight w:val="none"/>
        </w:rPr>
        <w:t>将安全生产费用支付给施工单位。</w:t>
      </w:r>
    </w:p>
    <w:p w14:paraId="21BE99E3">
      <w:pPr>
        <w:pStyle w:val="12"/>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17.7.3 工程结算时安全生产费用未计量部分原则上不再计量支付</w:t>
      </w:r>
      <w:r>
        <w:rPr>
          <w:rFonts w:hint="eastAsia" w:ascii="宋体" w:hAnsi="宋体" w:eastAsia="宋体" w:cs="宋体"/>
          <w:color w:val="auto"/>
          <w:sz w:val="24"/>
          <w:szCs w:val="24"/>
          <w:highlight w:val="none"/>
        </w:rPr>
        <w:t>。</w:t>
      </w:r>
    </w:p>
    <w:p w14:paraId="2CC550C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2" w:name="_Toc32272"/>
      <w:bookmarkStart w:id="93" w:name="_Toc30109_WPSOffice_Level2"/>
      <w:bookmarkStart w:id="94" w:name="_Toc24856_WPSOffice_Level2"/>
      <w:bookmarkStart w:id="95" w:name="_Toc7408"/>
      <w:r>
        <w:rPr>
          <w:rFonts w:hint="eastAsia" w:ascii="宋体" w:hAnsi="宋体" w:eastAsia="宋体" w:cs="宋体"/>
          <w:color w:val="auto"/>
          <w:sz w:val="24"/>
          <w:szCs w:val="24"/>
          <w:highlight w:val="none"/>
        </w:rPr>
        <w:t>18．竣工验收</w:t>
      </w:r>
      <w:bookmarkEnd w:id="92"/>
      <w:bookmarkEnd w:id="93"/>
      <w:bookmarkEnd w:id="94"/>
      <w:bookmarkEnd w:id="95"/>
    </w:p>
    <w:p w14:paraId="0FE1232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18.1 竣工验收的含义</w:t>
      </w:r>
    </w:p>
    <w:p w14:paraId="7F0D61AE">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通用条款本款增加18.1.4项：</w:t>
      </w:r>
    </w:p>
    <w:p w14:paraId="7542DEE2">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档案专项验收前，承包人应在档案专项验收30天前，向发包人提供已通过建设（代建）单位内部验收的全套竣工资料（含竣工资料、声像、图纸等）一式</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份。通过档案专项验收后，承包人应在通过档案专项验收后90天内，向发包人提供已通过档案验收的全套竣工资料（含竣工资料、声像、图纸等）一式</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份（含此前已移交的1份）。</w:t>
      </w:r>
    </w:p>
    <w:p w14:paraId="1E8E822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18.4 单位工程验收</w:t>
      </w:r>
    </w:p>
    <w:p w14:paraId="43D998F6">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通用条款本款第18.4.2项本合同不适用。</w:t>
      </w:r>
    </w:p>
    <w:p w14:paraId="1153B16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344AE2FE">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357652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18.6.1 </w:t>
      </w:r>
      <w:r>
        <w:rPr>
          <w:rFonts w:hint="eastAsia" w:asciiTheme="minorEastAsia" w:hAnsiTheme="minorEastAsia" w:eastAsiaTheme="minorEastAsia" w:cstheme="minorEastAsia"/>
          <w:b w:val="0"/>
          <w:bCs w:val="0"/>
          <w:color w:val="auto"/>
          <w:sz w:val="24"/>
          <w:szCs w:val="24"/>
          <w:highlight w:val="none"/>
          <w:lang w:eastAsia="zh-CN"/>
        </w:rPr>
        <w:t>船闸工程</w:t>
      </w:r>
      <w:r>
        <w:rPr>
          <w:rFonts w:hint="default" w:asciiTheme="minorEastAsia" w:hAnsiTheme="minorEastAsia" w:eastAsiaTheme="minorEastAsia" w:cstheme="minorEastAsia"/>
          <w:b w:val="0"/>
          <w:bCs w:val="0"/>
          <w:color w:val="auto"/>
          <w:sz w:val="24"/>
          <w:szCs w:val="24"/>
          <w:highlight w:val="none"/>
        </w:rPr>
        <w:t>交工验收后，</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工作由</w:t>
      </w:r>
      <w:r>
        <w:rPr>
          <w:rFonts w:hint="default" w:asciiTheme="minorEastAsia" w:hAnsiTheme="minorEastAsia" w:eastAsiaTheme="minorEastAsia" w:cstheme="minorEastAsia"/>
          <w:b w:val="0"/>
          <w:bCs w:val="0"/>
          <w:color w:val="auto"/>
          <w:sz w:val="24"/>
          <w:szCs w:val="24"/>
          <w:highlight w:val="none"/>
          <w:lang w:eastAsia="zh-CN"/>
        </w:rPr>
        <w:t>业主</w:t>
      </w:r>
      <w:r>
        <w:rPr>
          <w:rFonts w:hint="eastAsia" w:asciiTheme="minorEastAsia" w:hAnsiTheme="minorEastAsia" w:eastAsiaTheme="minorEastAsia" w:cstheme="minorEastAsia"/>
          <w:b w:val="0"/>
          <w:bCs w:val="0"/>
          <w:color w:val="auto"/>
          <w:sz w:val="24"/>
          <w:szCs w:val="24"/>
          <w:highlight w:val="none"/>
          <w:lang w:eastAsia="zh-CN"/>
        </w:rPr>
        <w:t>负责</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lang w:eastAsia="zh-CN"/>
        </w:rPr>
        <w:t>承包人须为</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工作提供必要的协助</w:t>
      </w:r>
      <w:r>
        <w:rPr>
          <w:rFonts w:hint="eastAsia" w:asciiTheme="minorEastAsia" w:hAnsiTheme="minorEastAsia" w:eastAsiaTheme="minorEastAsia" w:cstheme="minorEastAsia"/>
          <w:b w:val="0"/>
          <w:bCs w:val="0"/>
          <w:color w:val="auto"/>
          <w:sz w:val="24"/>
          <w:szCs w:val="24"/>
          <w:highlight w:val="none"/>
        </w:rPr>
        <w:t>。</w:t>
      </w:r>
    </w:p>
    <w:p w14:paraId="7CC205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w:t>
      </w:r>
    </w:p>
    <w:p w14:paraId="16D5719D">
      <w:pPr>
        <w:adjustRightInd w:val="0"/>
        <w:snapToGrid w:val="0"/>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通用条款本条增加18.9款的内容：</w:t>
      </w:r>
    </w:p>
    <w:p w14:paraId="5136EC2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18.9 竣工资料</w:t>
      </w:r>
    </w:p>
    <w:p w14:paraId="344ED825">
      <w:pPr>
        <w:tabs>
          <w:tab w:val="left" w:pos="1092"/>
        </w:tabs>
        <w:spacing w:line="360" w:lineRule="auto"/>
        <w:ind w:firstLine="480" w:firstLineChars="200"/>
        <w:jc w:val="both"/>
        <w:rPr>
          <w:rFonts w:hint="default" w:ascii="Arial" w:hAnsi="Arial" w:eastAsia="宋体" w:cs="Arial"/>
          <w:color w:val="auto"/>
          <w:sz w:val="21"/>
          <w:szCs w:val="21"/>
          <w:highlight w:val="none"/>
          <w:lang w:val="en-US" w:eastAsia="zh-CN"/>
        </w:rPr>
      </w:pPr>
      <w:r>
        <w:rPr>
          <w:rFonts w:hint="eastAsia" w:ascii="宋体" w:hAnsi="宋体" w:eastAsia="宋体" w:cs="宋体"/>
          <w:color w:val="auto"/>
          <w:sz w:val="24"/>
          <w:szCs w:val="24"/>
          <w:highlight w:val="none"/>
        </w:rPr>
        <w:t>承包人应按照交通运输部《水运建设项目文件材料立卷归档管理办法》《广东省交通运输厅关于交通运输部&lt;水运建设项目文件材料立卷归档管理办法&gt;的实施细则》《广东省航道工程建设项目档案收集与整理标准化指南》及项目相关行政主管部门的要求进行竣工资料的整理、归档及移交，承包人应在签发竣工验收证书前提交一式8份符合要求的竣工资料给发包人。竣工资料主要包括但不限于下列内容：</w:t>
      </w:r>
    </w:p>
    <w:p w14:paraId="0771F70A">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竣工图纸和资料；</w:t>
      </w:r>
    </w:p>
    <w:p w14:paraId="0876F358">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工程质量自评报告；</w:t>
      </w:r>
    </w:p>
    <w:p w14:paraId="22B4A50D">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阶段验收和隐蔽工程验收资料；</w:t>
      </w:r>
    </w:p>
    <w:p w14:paraId="717788E6">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工程材料及设备试验与检验资料；</w:t>
      </w:r>
    </w:p>
    <w:p w14:paraId="75FA4537">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沉降及位移观测资料；</w:t>
      </w:r>
    </w:p>
    <w:p w14:paraId="72D2F1E2">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竣工工程整体尺度测量报告；</w:t>
      </w:r>
    </w:p>
    <w:p w14:paraId="262EA6D3">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施工报告；</w:t>
      </w:r>
    </w:p>
    <w:p w14:paraId="279212B2">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工程结算报告；</w:t>
      </w:r>
    </w:p>
    <w:p w14:paraId="008C1203">
      <w:pPr>
        <w:numPr>
          <w:ilvl w:val="0"/>
          <w:numId w:val="0"/>
        </w:numPr>
        <w:tabs>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上述资料的电子文件；</w:t>
      </w:r>
    </w:p>
    <w:p w14:paraId="30E8A5CC">
      <w:pPr>
        <w:numPr>
          <w:ilvl w:val="0"/>
          <w:numId w:val="0"/>
        </w:numPr>
        <w:tabs>
          <w:tab w:val="left" w:pos="0"/>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声像资料。</w:t>
      </w:r>
    </w:p>
    <w:p w14:paraId="27EC1463">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6" w:name="_Toc25813"/>
      <w:bookmarkStart w:id="97" w:name="_Toc19172"/>
      <w:bookmarkStart w:id="98" w:name="_Toc30449_WPSOffice_Level2"/>
      <w:bookmarkStart w:id="99" w:name="_Toc14303_WPSOffice_Level2"/>
      <w:r>
        <w:rPr>
          <w:rFonts w:hint="eastAsia" w:ascii="宋体" w:hAnsi="宋体" w:eastAsia="宋体" w:cs="宋体"/>
          <w:color w:val="auto"/>
          <w:sz w:val="24"/>
          <w:szCs w:val="24"/>
          <w:highlight w:val="none"/>
        </w:rPr>
        <w:t>19．缺陷责任与保修责任</w:t>
      </w:r>
      <w:bookmarkEnd w:id="96"/>
      <w:bookmarkEnd w:id="97"/>
      <w:bookmarkEnd w:id="98"/>
      <w:bookmarkEnd w:id="99"/>
    </w:p>
    <w:p w14:paraId="4231C3C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0" w:name="_Toc52371258"/>
      <w:r>
        <w:rPr>
          <w:rFonts w:hint="eastAsia" w:ascii="宋体" w:hAnsi="宋体" w:eastAsia="宋体" w:cs="宋体"/>
          <w:b/>
          <w:color w:val="auto"/>
          <w:sz w:val="24"/>
          <w:szCs w:val="24"/>
          <w:highlight w:val="none"/>
        </w:rPr>
        <w:t>19.1 缺陷责任期的起算时间</w:t>
      </w:r>
      <w:bookmarkEnd w:id="100"/>
    </w:p>
    <w:p w14:paraId="1BE8715D">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通用条款本款第19.1项修改为：</w:t>
      </w:r>
    </w:p>
    <w:p w14:paraId="1A69A6F3">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19.1缺陷责任期从工程交工之日起算，分别为：</w:t>
      </w:r>
    </w:p>
    <w:p w14:paraId="406F5AC7">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24867BA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6F5B650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142DC4F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1" w:name="_Toc52371259"/>
      <w:r>
        <w:rPr>
          <w:rFonts w:hint="eastAsia" w:ascii="宋体" w:hAnsi="宋体" w:eastAsia="宋体" w:cs="宋体"/>
          <w:b/>
          <w:color w:val="auto"/>
          <w:sz w:val="24"/>
          <w:szCs w:val="24"/>
          <w:highlight w:val="none"/>
        </w:rPr>
        <w:t>19.2 缺陷责任</w:t>
      </w:r>
      <w:bookmarkEnd w:id="101"/>
    </w:p>
    <w:p w14:paraId="59B6D5A7">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删除本条第19.2.3项内容，代之以：</w:t>
      </w:r>
    </w:p>
    <w:p w14:paraId="3DD4ECB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监理人和承包人应共同査清缺陷和（或）损坏的原因。经査明属承包人原因造成的，应由承包人承担修复和査验的费用。</w:t>
      </w:r>
      <w:r>
        <w:rPr>
          <w:rFonts w:hint="eastAsia" w:ascii="宋体" w:hAnsi="宋体" w:eastAsia="宋体" w:cs="宋体"/>
          <w:strike w:val="0"/>
          <w:color w:val="auto"/>
          <w:sz w:val="24"/>
          <w:szCs w:val="24"/>
          <w:highlight w:val="none"/>
        </w:rPr>
        <w:t>经査验属发包人原因造成的，发包人应承担修复和查验的费用</w:t>
      </w:r>
      <w:r>
        <w:rPr>
          <w:rFonts w:hint="eastAsia" w:ascii="宋体" w:hAnsi="宋体" w:eastAsia="宋体" w:cs="宋体"/>
          <w:color w:val="auto"/>
          <w:sz w:val="24"/>
          <w:szCs w:val="24"/>
          <w:highlight w:val="none"/>
        </w:rPr>
        <w:t>。</w:t>
      </w:r>
    </w:p>
    <w:p w14:paraId="7891A1F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301F1A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7C54BF1">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19.7.1至19.7.4项的内容：</w:t>
      </w:r>
    </w:p>
    <w:p w14:paraId="7DE69575">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19.7.1</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保修期自实际</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日期起计算，期限按相关行业规定执行。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5DE2F4C1">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19.7.2</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金属结构、机电设备</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属液压启闭机厂家责任的除外</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保修期内发现设备有缺陷，承包人按合同有关规定修复或更换，如设备在</w:t>
      </w:r>
      <w:r>
        <w:rPr>
          <w:rFonts w:hint="eastAsia" w:ascii="宋体" w:hAnsi="宋体" w:eastAsia="宋体" w:cs="宋体"/>
          <w:bCs/>
          <w:color w:val="auto"/>
          <w:sz w:val="24"/>
          <w:szCs w:val="24"/>
          <w:highlight w:val="none"/>
          <w:lang w:val="en-US" w:eastAsia="zh-CN"/>
        </w:rPr>
        <w:t>深化</w:t>
      </w:r>
      <w:r>
        <w:rPr>
          <w:rFonts w:hint="eastAsia" w:ascii="宋体" w:hAnsi="宋体" w:eastAsia="宋体" w:cs="宋体"/>
          <w:bCs/>
          <w:color w:val="auto"/>
          <w:sz w:val="24"/>
          <w:szCs w:val="24"/>
          <w:highlight w:val="none"/>
        </w:rPr>
        <w:t>设计、制造、工艺、材料或性能等方面因缺陷造成设备不能正常运行，除应相应延长保修期外，承包方还应承担对发包人造成的经济损失。</w:t>
      </w:r>
    </w:p>
    <w:p w14:paraId="58CBFBA5">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19.7.3</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在全部工程</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工验收前，已经发包人提前验收的区段工程，其保修期的起算日期相应提前。</w:t>
      </w:r>
    </w:p>
    <w:p w14:paraId="790C08D4">
      <w:pPr>
        <w:adjustRightInd w:val="0"/>
        <w:snapToGrid w:val="0"/>
        <w:spacing w:line="360" w:lineRule="auto"/>
        <w:ind w:firstLine="480" w:firstLineChars="200"/>
        <w:jc w:val="both"/>
        <w:rPr>
          <w:rFonts w:hint="eastAsia" w:ascii="宋体" w:hAnsi="宋体" w:eastAsia="宋体" w:cs="宋体"/>
          <w:b w:val="0"/>
          <w:bCs/>
          <w:color w:val="auto"/>
          <w:sz w:val="24"/>
          <w:szCs w:val="24"/>
          <w:highlight w:val="none"/>
        </w:rPr>
      </w:pPr>
      <w:r>
        <w:rPr>
          <w:rFonts w:hint="eastAsia" w:ascii="宋体" w:hAnsi="宋体" w:eastAsia="宋体" w:cs="宋体"/>
          <w:bCs/>
          <w:color w:val="auto"/>
          <w:sz w:val="24"/>
          <w:szCs w:val="24"/>
          <w:highlight w:val="none"/>
        </w:rPr>
        <w:t>19.7.4</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工程保修期终止后28天内，监理人签发保修期终止证书。</w:t>
      </w:r>
    </w:p>
    <w:p w14:paraId="6F8468D1">
      <w:pPr>
        <w:adjustRightInd w:val="0"/>
        <w:snapToGrid w:val="0"/>
        <w:ind w:firstLine="480" w:firstLineChars="200"/>
        <w:jc w:val="both"/>
        <w:outlineLvl w:val="1"/>
        <w:rPr>
          <w:rFonts w:hint="eastAsia" w:ascii="宋体" w:hAnsi="宋体" w:eastAsia="宋体" w:cs="宋体"/>
          <w:b/>
          <w:bCs/>
          <w:color w:val="auto"/>
          <w:sz w:val="24"/>
          <w:szCs w:val="24"/>
          <w:highlight w:val="none"/>
          <w:lang w:eastAsia="zh-CN"/>
        </w:rPr>
      </w:pPr>
      <w:bookmarkStart w:id="102" w:name="_Toc19419"/>
      <w:bookmarkStart w:id="103" w:name="_Toc5055_WPSOffice_Level2"/>
      <w:bookmarkStart w:id="104" w:name="_Toc30152_WPSOffice_Level2"/>
      <w:bookmarkStart w:id="105" w:name="_Toc23801"/>
      <w:r>
        <w:rPr>
          <w:rFonts w:hint="eastAsia" w:ascii="宋体" w:hAnsi="宋体" w:eastAsia="宋体" w:cs="宋体"/>
          <w:b/>
          <w:bCs/>
          <w:color w:val="auto"/>
          <w:sz w:val="24"/>
          <w:szCs w:val="24"/>
          <w:highlight w:val="none"/>
        </w:rPr>
        <w:t>20．保险</w:t>
      </w:r>
      <w:bookmarkEnd w:id="102"/>
      <w:bookmarkEnd w:id="103"/>
      <w:bookmarkEnd w:id="104"/>
      <w:bookmarkEnd w:id="105"/>
    </w:p>
    <w:p w14:paraId="216E14A7">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20.1 工程保险</w:t>
      </w:r>
    </w:p>
    <w:p w14:paraId="0A723483">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工程一切险由发包人负责统一投保</w:t>
      </w:r>
      <w:r>
        <w:rPr>
          <w:rFonts w:hint="eastAsia" w:hAnsi="宋体" w:eastAsia="宋体" w:cs="宋体"/>
          <w:color w:val="auto"/>
          <w:sz w:val="24"/>
          <w:szCs w:val="24"/>
          <w:highlight w:val="none"/>
          <w:lang w:eastAsia="zh-CN"/>
        </w:rPr>
        <w:t>，</w:t>
      </w:r>
      <w:r>
        <w:rPr>
          <w:rFonts w:hint="eastAsia" w:hAnsi="宋体" w:eastAsia="宋体" w:cs="宋体"/>
          <w:color w:val="auto"/>
          <w:sz w:val="24"/>
          <w:szCs w:val="24"/>
          <w:highlight w:val="none"/>
        </w:rPr>
        <w:t>保险期限</w:t>
      </w:r>
      <w:r>
        <w:rPr>
          <w:rFonts w:hint="eastAsia" w:hAnsi="宋体" w:eastAsia="宋体" w:cs="宋体"/>
          <w:color w:val="auto"/>
          <w:sz w:val="24"/>
          <w:szCs w:val="24"/>
          <w:highlight w:val="none"/>
          <w:lang w:val="en-US" w:eastAsia="zh-CN"/>
        </w:rPr>
        <w:t>不低于42</w:t>
      </w:r>
      <w:r>
        <w:rPr>
          <w:rFonts w:hint="eastAsia" w:hAnsi="宋体" w:eastAsia="宋体" w:cs="宋体"/>
          <w:color w:val="auto"/>
          <w:sz w:val="24"/>
          <w:szCs w:val="24"/>
          <w:highlight w:val="none"/>
        </w:rPr>
        <w:t>个月</w:t>
      </w:r>
      <w:r>
        <w:rPr>
          <w:rFonts w:hint="eastAsia" w:hAnsi="宋体" w:eastAsia="宋体" w:cs="宋体"/>
          <w:color w:val="auto"/>
          <w:sz w:val="24"/>
          <w:szCs w:val="24"/>
          <w:highlight w:val="none"/>
          <w:lang w:eastAsia="zh-CN"/>
        </w:rPr>
        <w:t>（具体以保险单内容为准）</w:t>
      </w:r>
      <w:r>
        <w:rPr>
          <w:rFonts w:hint="eastAsia" w:hAnsi="宋体" w:eastAsia="宋体" w:cs="宋体"/>
          <w:color w:val="auto"/>
          <w:sz w:val="24"/>
          <w:szCs w:val="24"/>
          <w:highlight w:val="none"/>
        </w:rPr>
        <w:t>，如有超出此期限，本合同工程保险续保按20.6.3 约定办理。若发生索赔事件，由承包人负责索赔，必要时发包人提供协助。</w:t>
      </w:r>
    </w:p>
    <w:p w14:paraId="3F8578FC">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20.3 人身意外伤害保险</w:t>
      </w:r>
    </w:p>
    <w:p w14:paraId="14522BDE">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20.3.2承包人（含分包人）应自费为履行本合同雇佣的人员（包括临时工、聘用人员）投保人身意外险保险，并维持其有效，保险范围应包括事故或工人受伤，投保金额赔偿条款应符合法律的规定，并且每人赔偿责任限额不低于人民币100万元。</w:t>
      </w:r>
    </w:p>
    <w:p w14:paraId="7E6EE9A1">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20.4 第三者责任险</w:t>
      </w:r>
    </w:p>
    <w:p w14:paraId="58E3508F">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20.4.2 第三方责任险由发包人负责统一投保</w:t>
      </w:r>
      <w:r>
        <w:rPr>
          <w:rFonts w:hint="eastAsia" w:hAnsi="宋体" w:eastAsia="宋体" w:cs="宋体"/>
          <w:color w:val="auto"/>
          <w:sz w:val="24"/>
          <w:szCs w:val="24"/>
          <w:highlight w:val="none"/>
          <w:lang w:eastAsia="zh-CN"/>
        </w:rPr>
        <w:t>，</w:t>
      </w:r>
      <w:r>
        <w:rPr>
          <w:rFonts w:hint="eastAsia" w:hAnsi="宋体" w:eastAsia="宋体" w:cs="宋体"/>
          <w:color w:val="auto"/>
          <w:sz w:val="24"/>
          <w:szCs w:val="24"/>
          <w:highlight w:val="none"/>
        </w:rPr>
        <w:t>保险期限</w:t>
      </w:r>
      <w:r>
        <w:rPr>
          <w:rFonts w:hint="eastAsia" w:hAnsi="宋体" w:eastAsia="宋体" w:cs="宋体"/>
          <w:color w:val="auto"/>
          <w:sz w:val="24"/>
          <w:szCs w:val="24"/>
          <w:highlight w:val="none"/>
          <w:lang w:val="en-US" w:eastAsia="zh-CN"/>
        </w:rPr>
        <w:t>不低于42个月</w:t>
      </w:r>
      <w:r>
        <w:rPr>
          <w:rFonts w:hint="eastAsia" w:hAnsi="宋体" w:eastAsia="宋体" w:cs="宋体"/>
          <w:color w:val="auto"/>
          <w:sz w:val="24"/>
          <w:szCs w:val="24"/>
          <w:highlight w:val="none"/>
          <w:lang w:eastAsia="zh-CN"/>
        </w:rPr>
        <w:t>（具体以保险单内容为准）</w:t>
      </w:r>
      <w:r>
        <w:rPr>
          <w:rFonts w:hint="eastAsia" w:hAnsi="宋体" w:eastAsia="宋体" w:cs="宋体"/>
          <w:color w:val="auto"/>
          <w:sz w:val="24"/>
          <w:szCs w:val="24"/>
          <w:highlight w:val="none"/>
        </w:rPr>
        <w:t>，如有超出此期限，本合同工程保险续保按20.6.3 约定办理。若发生索赔事件，由承包人负责索赔，必要时发包人提供协助。</w:t>
      </w:r>
    </w:p>
    <w:p w14:paraId="6ABE9046">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20.5 其他保险</w:t>
      </w:r>
    </w:p>
    <w:p w14:paraId="7E166DEE">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20.5.1承包人应当按照法律法规或相关规章制度要求自费投保安全生产责任保险，保障范围应当覆盖本</w:t>
      </w:r>
      <w:r>
        <w:rPr>
          <w:rFonts w:hint="eastAsia" w:hAnsi="宋体" w:eastAsia="宋体" w:cs="宋体"/>
          <w:color w:val="auto"/>
          <w:sz w:val="24"/>
          <w:szCs w:val="24"/>
          <w:highlight w:val="none"/>
          <w:lang w:eastAsia="zh-CN"/>
        </w:rPr>
        <w:t>项目</w:t>
      </w:r>
      <w:r>
        <w:rPr>
          <w:rFonts w:hint="eastAsia" w:hAnsi="宋体" w:eastAsia="宋体" w:cs="宋体"/>
          <w:color w:val="auto"/>
          <w:sz w:val="24"/>
          <w:szCs w:val="24"/>
          <w:highlight w:val="none"/>
        </w:rPr>
        <w:t>全体从业人员，投保金额赔偿条款应符合法律的规定，每人累计赔偿限额不得低于上一年度事故发生地所在地级以上市城镇居民人均可支配收入的20倍，并且每人赔偿限额并不得低于140万人民币。</w:t>
      </w:r>
    </w:p>
    <w:p w14:paraId="274CD994">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20.5.2 承包人应为用于履行本合同项下服务的施工机具、装置、设备以及自有或租用的车辆、船舶等办理保险（包括第三方责任险等），并维持其有效。</w:t>
      </w:r>
    </w:p>
    <w:p w14:paraId="1E98F889">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20.5.3承包人应自费投保并维持其它中国适用的法律要求承包人投保的以及发包人合理要求的保险。</w:t>
      </w:r>
    </w:p>
    <w:p w14:paraId="698DE468">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20.5.4承包人为履行上述义务，应促使并保证分包人购买适当的保险，其保险应按本合同第20条之规定安排，并保证分包人履行承包人在本合同下所需履行的同样义务。分包人违反本合同第20条规定视同承包人</w:t>
      </w:r>
      <w:r>
        <w:rPr>
          <w:rFonts w:hint="eastAsia" w:hAnsi="宋体" w:eastAsia="宋体" w:cs="宋体"/>
          <w:color w:val="auto"/>
          <w:sz w:val="24"/>
          <w:szCs w:val="24"/>
          <w:highlight w:val="none"/>
          <w:lang w:eastAsia="zh-CN"/>
        </w:rPr>
        <w:t>违约</w:t>
      </w:r>
      <w:r>
        <w:rPr>
          <w:rFonts w:hint="eastAsia" w:hAnsi="宋体" w:eastAsia="宋体" w:cs="宋体"/>
          <w:color w:val="auto"/>
          <w:sz w:val="24"/>
          <w:szCs w:val="24"/>
          <w:highlight w:val="none"/>
        </w:rPr>
        <w:t>。</w:t>
      </w:r>
    </w:p>
    <w:p w14:paraId="77873F0B">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20.6 对各项保险的一般要求</w:t>
      </w:r>
    </w:p>
    <w:p w14:paraId="3450BE4B">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20.6.1 保险凭证</w:t>
      </w:r>
    </w:p>
    <w:p w14:paraId="6A8CBC0A">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承包人在办理各项保险时，保险方案应经发包人审核办理，并在开工后 30 天内向发包人提交各项保险生效的证据和保险单副本。</w:t>
      </w:r>
    </w:p>
    <w:p w14:paraId="5FAC50A7">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20.6.3 持续保险</w:t>
      </w:r>
    </w:p>
    <w:p w14:paraId="1E46BCFC">
      <w:pPr>
        <w:pStyle w:val="12"/>
        <w:spacing w:line="360" w:lineRule="auto"/>
        <w:ind w:firstLine="480" w:firstLineChars="200"/>
        <w:jc w:val="both"/>
        <w:rPr>
          <w:rFonts w:hint="eastAsia" w:hAnsi="宋体" w:eastAsia="宋体" w:cs="宋体"/>
          <w:b/>
          <w:bCs/>
          <w:color w:val="auto"/>
          <w:sz w:val="24"/>
          <w:szCs w:val="24"/>
          <w:highlight w:val="none"/>
        </w:rPr>
      </w:pPr>
      <w:r>
        <w:rPr>
          <w:rFonts w:hint="eastAsia" w:hAnsi="宋体" w:eastAsia="宋体" w:cs="宋体"/>
          <w:b/>
          <w:bCs/>
          <w:color w:val="auto"/>
          <w:sz w:val="24"/>
          <w:szCs w:val="24"/>
          <w:highlight w:val="none"/>
        </w:rPr>
        <w:t>通用条款本项增加以下内容：</w:t>
      </w:r>
    </w:p>
    <w:p w14:paraId="776E12C6">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若</w:t>
      </w:r>
      <w:r>
        <w:rPr>
          <w:rFonts w:hint="eastAsia" w:hAnsi="宋体" w:eastAsia="宋体" w:cs="宋体"/>
          <w:color w:val="auto"/>
          <w:sz w:val="24"/>
          <w:szCs w:val="24"/>
          <w:highlight w:val="none"/>
          <w:lang w:eastAsia="zh-CN"/>
        </w:rPr>
        <w:t>本</w:t>
      </w:r>
      <w:r>
        <w:rPr>
          <w:rFonts w:hint="eastAsia" w:hAnsi="宋体" w:eastAsia="宋体" w:cs="宋体"/>
          <w:color w:val="auto"/>
          <w:sz w:val="24"/>
          <w:szCs w:val="24"/>
          <w:highlight w:val="none"/>
        </w:rPr>
        <w:t>工程延期</w:t>
      </w:r>
      <w:r>
        <w:rPr>
          <w:rFonts w:hint="eastAsia" w:hAnsi="宋体" w:eastAsia="宋体" w:cs="宋体"/>
          <w:color w:val="auto"/>
          <w:sz w:val="24"/>
          <w:szCs w:val="24"/>
          <w:highlight w:val="none"/>
          <w:lang w:eastAsia="zh-CN"/>
        </w:rPr>
        <w:t>超出</w:t>
      </w:r>
      <w:r>
        <w:rPr>
          <w:rFonts w:hint="eastAsia" w:hAnsi="宋体" w:eastAsia="宋体" w:cs="宋体"/>
          <w:color w:val="auto"/>
          <w:sz w:val="24"/>
          <w:szCs w:val="24"/>
          <w:highlight w:val="none"/>
        </w:rPr>
        <w:t>统一投保</w:t>
      </w:r>
      <w:r>
        <w:rPr>
          <w:rFonts w:hint="eastAsia" w:hAnsi="宋体" w:eastAsia="宋体" w:cs="宋体"/>
          <w:color w:val="auto"/>
          <w:sz w:val="24"/>
          <w:szCs w:val="24"/>
          <w:highlight w:val="none"/>
          <w:lang w:eastAsia="zh-CN"/>
        </w:rPr>
        <w:t>保险期限（具体以保险单内容为准）</w:t>
      </w:r>
      <w:r>
        <w:rPr>
          <w:rFonts w:hint="eastAsia" w:hAnsi="宋体" w:eastAsia="宋体" w:cs="宋体"/>
          <w:color w:val="auto"/>
          <w:sz w:val="24"/>
          <w:szCs w:val="24"/>
          <w:highlight w:val="none"/>
        </w:rPr>
        <w:t>，承包人应及时无条件续保，并承担相应费用，相关费用含在合同总价中，发包人不另行支付费用</w:t>
      </w:r>
      <w:r>
        <w:rPr>
          <w:rFonts w:hint="eastAsia" w:hAnsi="宋体" w:eastAsia="宋体" w:cs="宋体"/>
          <w:color w:val="auto"/>
          <w:sz w:val="24"/>
          <w:szCs w:val="24"/>
          <w:highlight w:val="none"/>
          <w:lang w:eastAsia="zh-CN"/>
        </w:rPr>
        <w:t>，</w:t>
      </w:r>
      <w:r>
        <w:rPr>
          <w:rFonts w:hint="eastAsia" w:hAnsi="宋体" w:eastAsia="宋体" w:cs="宋体"/>
          <w:color w:val="auto"/>
          <w:sz w:val="24"/>
          <w:szCs w:val="24"/>
          <w:highlight w:val="none"/>
        </w:rPr>
        <w:t>在此情形下</w:t>
      </w:r>
      <w:r>
        <w:rPr>
          <w:rFonts w:hint="eastAsia" w:hAnsi="宋体" w:eastAsia="宋体" w:cs="宋体"/>
          <w:color w:val="auto"/>
          <w:sz w:val="24"/>
          <w:szCs w:val="24"/>
          <w:highlight w:val="none"/>
          <w:lang w:eastAsia="zh-CN"/>
        </w:rPr>
        <w:t>，</w:t>
      </w:r>
      <w:r>
        <w:rPr>
          <w:rFonts w:hint="eastAsia" w:hAnsi="宋体" w:eastAsia="宋体" w:cs="宋体"/>
          <w:color w:val="auto"/>
          <w:sz w:val="24"/>
          <w:szCs w:val="24"/>
          <w:highlight w:val="none"/>
        </w:rPr>
        <w:t>发包人有权代承包人续保，由此产生的相关费用将从工程款中划扣。</w:t>
      </w:r>
    </w:p>
    <w:p w14:paraId="27BDA9A7">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20.6.4 保险金不足的补偿</w:t>
      </w:r>
    </w:p>
    <w:p w14:paraId="64982AE1">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保险金不足以补偿损失的部分由承包人自行承担，相关费用含在合同总价中。</w:t>
      </w:r>
    </w:p>
    <w:p w14:paraId="59FB8209">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20.6.5 未按约定投保的补救</w:t>
      </w:r>
    </w:p>
    <w:p w14:paraId="7CB6BB46">
      <w:pPr>
        <w:pStyle w:val="12"/>
        <w:spacing w:line="360" w:lineRule="auto"/>
        <w:ind w:firstLine="480" w:firstLineChars="200"/>
        <w:jc w:val="both"/>
        <w:rPr>
          <w:rFonts w:hint="eastAsia" w:hAnsi="宋体" w:eastAsia="宋体" w:cs="宋体"/>
          <w:color w:val="auto"/>
          <w:sz w:val="24"/>
          <w:szCs w:val="24"/>
          <w:highlight w:val="none"/>
        </w:rPr>
      </w:pPr>
      <w:r>
        <w:rPr>
          <w:rFonts w:hint="eastAsia" w:hAnsi="宋体" w:eastAsia="宋体" w:cs="宋体"/>
          <w:color w:val="auto"/>
          <w:sz w:val="24"/>
          <w:szCs w:val="24"/>
          <w:highlight w:val="none"/>
        </w:rPr>
        <w:t>本合同约定为：由于承包人未按合同约定办理各项保险，或未按保险单规定的条件和期限及时向保险人报告事故情况，或未按要求的保险期限进行投保，或未按要求投保足够的保险金额，承包人应承担一切经济损失和赔偿责任。</w:t>
      </w:r>
    </w:p>
    <w:p w14:paraId="28967DF1">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06" w:name="_Toc2506"/>
      <w:bookmarkStart w:id="107" w:name="_Toc29123"/>
      <w:bookmarkStart w:id="108" w:name="_Toc24644_WPSOffice_Level2"/>
      <w:bookmarkStart w:id="109" w:name="_Toc16807_WPSOffice_Level2"/>
      <w:r>
        <w:rPr>
          <w:rFonts w:hint="eastAsia" w:ascii="宋体" w:hAnsi="宋体" w:eastAsia="宋体" w:cs="宋体"/>
          <w:color w:val="auto"/>
          <w:sz w:val="24"/>
          <w:szCs w:val="24"/>
          <w:highlight w:val="none"/>
        </w:rPr>
        <w:t>21．不可抗力</w:t>
      </w:r>
      <w:bookmarkEnd w:id="106"/>
      <w:bookmarkEnd w:id="107"/>
      <w:bookmarkEnd w:id="108"/>
      <w:bookmarkEnd w:id="109"/>
    </w:p>
    <w:p w14:paraId="6BA858B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21.3 不可抗力后果及其处理</w:t>
      </w:r>
    </w:p>
    <w:p w14:paraId="01727B9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 不可抗力造成损害的责任</w:t>
      </w:r>
    </w:p>
    <w:p w14:paraId="453F0F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通用条款本项第（1）目的内容不适用于本合同，代之以：承包人须按专用条款第20条约定办理相关保险，否则，一切责任由承包人承担。</w:t>
      </w:r>
    </w:p>
    <w:p w14:paraId="34D2781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0" w:name="_Toc14056_WPSOffice_Level2"/>
      <w:bookmarkStart w:id="111" w:name="_Toc13149_WPSOffice_Level2"/>
      <w:bookmarkStart w:id="112" w:name="_Toc26610"/>
      <w:bookmarkStart w:id="113" w:name="_Toc13748"/>
      <w:r>
        <w:rPr>
          <w:rFonts w:hint="eastAsia" w:ascii="宋体" w:hAnsi="宋体" w:eastAsia="宋体" w:cs="宋体"/>
          <w:color w:val="auto"/>
          <w:sz w:val="24"/>
          <w:szCs w:val="24"/>
          <w:highlight w:val="none"/>
        </w:rPr>
        <w:t>22．违约</w:t>
      </w:r>
      <w:bookmarkEnd w:id="110"/>
      <w:bookmarkEnd w:id="111"/>
      <w:bookmarkEnd w:id="112"/>
      <w:bookmarkEnd w:id="113"/>
    </w:p>
    <w:p w14:paraId="2F16E6D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22.1 承包人违约</w:t>
      </w:r>
    </w:p>
    <w:p w14:paraId="2FC0848D">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 承包人违约的情形</w:t>
      </w:r>
    </w:p>
    <w:p w14:paraId="747FCF68">
      <w:pPr>
        <w:spacing w:line="360" w:lineRule="auto"/>
        <w:ind w:firstLine="480"/>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通用条款本项增加(8)、(9)、(10)、（11）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（12）目：</w:t>
      </w:r>
    </w:p>
    <w:p w14:paraId="68E28464">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）承包人未能按期开工；</w:t>
      </w:r>
    </w:p>
    <w:p w14:paraId="263E5831">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）承包人违反第4.6款关于按投标文件及时配备称职的主要管理人员与技术骨干的规定，违反第9.4款关于环境保护的规定；</w:t>
      </w:r>
    </w:p>
    <w:p w14:paraId="3541E2B3">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（10）承包人未按专用条款6.1.1和6.1.3项投入施工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的；</w:t>
      </w:r>
    </w:p>
    <w:p w14:paraId="4818C11E">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（11）承包人提供虚假资料，导致发包人遭受损失</w:t>
      </w:r>
      <w:r>
        <w:rPr>
          <w:rFonts w:hint="eastAsia" w:ascii="宋体" w:hAnsi="宋体" w:eastAsia="宋体" w:cs="宋体"/>
          <w:color w:val="auto"/>
          <w:sz w:val="24"/>
          <w:szCs w:val="24"/>
          <w:highlight w:val="none"/>
          <w:lang w:eastAsia="zh-CN"/>
        </w:rPr>
        <w:t>；</w:t>
      </w:r>
    </w:p>
    <w:p w14:paraId="0C73E070">
      <w:pPr>
        <w:pStyle w:val="1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（12）承包人被发现确定存在偷卸、偷砂等</w:t>
      </w:r>
      <w:r>
        <w:rPr>
          <w:rFonts w:hint="eastAsia" w:hAnsi="宋体" w:eastAsia="宋体" w:cs="宋体"/>
          <w:color w:val="auto"/>
          <w:sz w:val="24"/>
          <w:szCs w:val="24"/>
          <w:highlight w:val="none"/>
          <w:lang w:val="en-US" w:eastAsia="zh-CN"/>
        </w:rPr>
        <w:t>违法、</w:t>
      </w:r>
      <w:r>
        <w:rPr>
          <w:rFonts w:hint="eastAsia" w:ascii="宋体" w:hAnsi="宋体" w:eastAsia="宋体" w:cs="宋体"/>
          <w:color w:val="auto"/>
          <w:sz w:val="24"/>
          <w:szCs w:val="24"/>
          <w:highlight w:val="none"/>
        </w:rPr>
        <w:t>违规行为共达到2次以上的。</w:t>
      </w:r>
    </w:p>
    <w:p w14:paraId="6EA405BC">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 对承包人违约的处理</w:t>
      </w:r>
    </w:p>
    <w:p w14:paraId="41B603B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通用条款本项第（2）目文末补充：</w:t>
      </w:r>
      <w:r>
        <w:rPr>
          <w:rFonts w:hint="eastAsia" w:ascii="宋体" w:hAnsi="宋体" w:eastAsia="宋体" w:cs="宋体"/>
          <w:color w:val="auto"/>
          <w:sz w:val="24"/>
          <w:szCs w:val="24"/>
          <w:highlight w:val="none"/>
        </w:rPr>
        <w:t>承包人违约的，无论发包人是否解除合同，发包人均有权向承包人扣以合同总价</w:t>
      </w:r>
      <w:r>
        <w:rPr>
          <w:rFonts w:hint="eastAsia" w:ascii="宋体" w:hAnsi="宋体" w:eastAsia="宋体" w:cs="宋体"/>
          <w:color w:val="auto"/>
          <w:sz w:val="24"/>
          <w:szCs w:val="24"/>
          <w:highlight w:val="none"/>
          <w:u w:val="single"/>
          <w:lang w:val="en-US" w:eastAsia="zh-CN"/>
        </w:rPr>
        <w:t>0.1%～5%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并要求承包人承担由此给发包人造成的实际损失。</w:t>
      </w:r>
    </w:p>
    <w:p w14:paraId="52975DC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通用条款本项增加第（4）目：</w:t>
      </w:r>
      <w:r>
        <w:rPr>
          <w:rFonts w:hint="eastAsia" w:ascii="宋体" w:hAnsi="宋体" w:eastAsia="宋体" w:cs="宋体"/>
          <w:color w:val="auto"/>
          <w:sz w:val="24"/>
          <w:szCs w:val="24"/>
          <w:highlight w:val="none"/>
        </w:rPr>
        <w:t>承包人违约的，发包人将上报上级交通行政主管部门，计入承包人的诚信档案。</w:t>
      </w:r>
    </w:p>
    <w:p w14:paraId="40C8F0B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 承包人违约解除合同</w:t>
      </w:r>
    </w:p>
    <w:p w14:paraId="0B5B142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3CE852C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天后，承包人仍不纠正违约行为的，发包人可向承包人发出解除合同通知。合同解除后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天内，承包人须完成现场设备、材料、农民工的清退工作。否则视为承包人二次违约，发包人有权向承包人索赔合同总价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p>
    <w:p w14:paraId="77586B7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4" w:name="_Toc13604"/>
      <w:bookmarkStart w:id="115" w:name="_Toc13900"/>
      <w:r>
        <w:rPr>
          <w:rFonts w:hint="eastAsia" w:ascii="宋体" w:hAnsi="宋体" w:eastAsia="宋体" w:cs="宋体"/>
          <w:color w:val="auto"/>
          <w:sz w:val="24"/>
          <w:szCs w:val="24"/>
          <w:highlight w:val="none"/>
        </w:rPr>
        <w:t>24．争议的解决</w:t>
      </w:r>
      <w:bookmarkEnd w:id="114"/>
      <w:bookmarkEnd w:id="115"/>
    </w:p>
    <w:p w14:paraId="12A8F605">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24.1 争议的解决方式</w:t>
      </w:r>
    </w:p>
    <w:p w14:paraId="5807E9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凡本合同引起的或与本合同有关的任何争议，合同双方当事人应友好协商，协商解决不成、不愿提请争议评审或者不接受争议评审组意见的，均提请广州仲裁委员会按照该会仲裁规则进行仲裁，仲裁裁决是终局的，对双方均有约束力。</w:t>
      </w:r>
    </w:p>
    <w:p w14:paraId="037CC06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6" w:name="_Toc7803"/>
      <w:bookmarkStart w:id="117" w:name="_Toc16054"/>
      <w:r>
        <w:rPr>
          <w:rFonts w:hint="eastAsia" w:ascii="宋体" w:hAnsi="宋体" w:eastAsia="宋体" w:cs="宋体"/>
          <w:color w:val="auto"/>
          <w:sz w:val="24"/>
          <w:szCs w:val="24"/>
          <w:highlight w:val="none"/>
        </w:rPr>
        <w:t>25．其他约定</w:t>
      </w:r>
      <w:bookmarkEnd w:id="116"/>
      <w:bookmarkEnd w:id="117"/>
    </w:p>
    <w:p w14:paraId="22557B8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25.1 合同当事人和人员姓名及联系方式</w:t>
      </w:r>
    </w:p>
    <w:p w14:paraId="0D4D07A3">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25.1.1 监理人：</w:t>
      </w:r>
      <w:r>
        <w:rPr>
          <w:rFonts w:hint="eastAsia" w:ascii="宋体" w:hAnsi="宋体" w:eastAsia="宋体" w:cs="宋体"/>
          <w:color w:val="auto"/>
          <w:sz w:val="24"/>
          <w:szCs w:val="24"/>
          <w:highlight w:val="none"/>
          <w:u w:val="single"/>
        </w:rPr>
        <w:t xml:space="preserve">　　　          联系电话：　　　   电子邮箱：         </w:t>
      </w:r>
      <w:r>
        <w:rPr>
          <w:rFonts w:hint="eastAsia" w:ascii="宋体" w:hAnsi="宋体" w:eastAsia="宋体" w:cs="宋体"/>
          <w:color w:val="auto"/>
          <w:sz w:val="24"/>
          <w:szCs w:val="24"/>
          <w:highlight w:val="none"/>
        </w:rPr>
        <w:t>。</w:t>
      </w:r>
    </w:p>
    <w:p w14:paraId="3DFBB2A6">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25.1.2 总监理工程师：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电子邮箱：</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p>
    <w:p w14:paraId="69CEA85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25.1.3 承包人项目负责人：</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rPr>
        <w:t>。</w:t>
      </w:r>
    </w:p>
    <w:p w14:paraId="4C3D5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25.1.4 承包人</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技术负责人：</w:t>
      </w:r>
      <w:r>
        <w:rPr>
          <w:rFonts w:hint="eastAsia" w:ascii="宋体" w:hAnsi="宋体" w:eastAsia="宋体" w:cs="宋体"/>
          <w:b w:val="0"/>
          <w:bCs w:val="0"/>
          <w:color w:val="auto"/>
          <w:sz w:val="24"/>
          <w:szCs w:val="24"/>
          <w:highlight w:val="none"/>
          <w:lang w:val="en-US" w:eastAsia="zh-CN"/>
        </w:rPr>
        <w:t>XX</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5E3DDE">
      <w:pPr>
        <w:spacing w:line="360" w:lineRule="auto"/>
        <w:ind w:firstLine="480" w:firstLineChars="200"/>
        <w:jc w:val="both"/>
        <w:rPr>
          <w:rFonts w:hint="eastAsia" w:ascii="宋体" w:hAnsi="宋体" w:eastAsia="宋体" w:cs="宋体"/>
          <w:strike w:val="0"/>
          <w:color w:val="auto"/>
          <w:sz w:val="24"/>
          <w:szCs w:val="24"/>
          <w:highlight w:val="none"/>
        </w:rPr>
      </w:pPr>
      <w:r>
        <w:rPr>
          <w:rFonts w:hint="eastAsia" w:ascii="宋体" w:hAnsi="宋体" w:eastAsia="宋体" w:cs="宋体"/>
          <w:strike w:val="0"/>
          <w:color w:val="auto"/>
          <w:sz w:val="24"/>
          <w:szCs w:val="24"/>
          <w:highlight w:val="none"/>
        </w:rPr>
        <w:t>25.1.5 发包人代表：</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联系电话：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电子邮箱：</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rPr>
        <w:t>。</w:t>
      </w:r>
    </w:p>
    <w:p w14:paraId="07DF2D4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25.2 工程和占地</w:t>
      </w:r>
    </w:p>
    <w:p w14:paraId="74625802">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临时工程：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81DCA2B">
      <w:pPr>
        <w:spacing w:line="360" w:lineRule="auto"/>
        <w:ind w:firstLine="480"/>
        <w:jc w:val="both"/>
        <w:rPr>
          <w:rFonts w:hint="eastAsia" w:ascii="宋体" w:hAnsi="宋体" w:eastAsia="宋体" w:cs="宋体"/>
          <w:color w:val="auto"/>
          <w:sz w:val="24"/>
          <w:szCs w:val="24"/>
          <w:highlight w:val="none"/>
          <w:u w:val="single"/>
          <w:bdr w:val="single" w:color="auto" w:sz="4" w:space="0"/>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永久工程：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0963382B">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25.2.3 永久占地：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30A1C1F">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25.2.4 临时占地：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E32412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25.3 日期</w:t>
      </w:r>
    </w:p>
    <w:p w14:paraId="29E1757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25.3.1 计划开工日期：</w:t>
      </w:r>
      <w:r>
        <w:rPr>
          <w:rFonts w:hint="eastAsia" w:ascii="宋体" w:hAnsi="宋体" w:eastAsia="宋体" w:cs="宋体"/>
          <w:color w:val="auto"/>
          <w:sz w:val="24"/>
          <w:szCs w:val="24"/>
          <w:highlight w:val="none"/>
          <w:u w:val="single"/>
        </w:rPr>
        <w:t>计划开工日期为</w:t>
      </w:r>
      <w:r>
        <w:rPr>
          <w:rFonts w:hint="eastAsia" w:ascii="宋体" w:hAnsi="宋体" w:eastAsia="宋体" w:cs="宋体"/>
          <w:color w:val="auto"/>
          <w:sz w:val="24"/>
          <w:szCs w:val="24"/>
          <w:highlight w:val="none"/>
          <w:u w:val="single"/>
          <w:lang w:val="en-US" w:eastAsia="zh-CN"/>
        </w:rPr>
        <w:t>2025年10月</w:t>
      </w:r>
      <w:r>
        <w:rPr>
          <w:rFonts w:hint="eastAsia" w:ascii="宋体" w:hAnsi="宋体" w:eastAsia="宋体" w:cs="宋体"/>
          <w:color w:val="auto"/>
          <w:sz w:val="24"/>
          <w:szCs w:val="24"/>
          <w:highlight w:val="none"/>
          <w:u w:val="single"/>
        </w:rPr>
        <w:t>，具体以</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开始起算；重要节点计划开工日期：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D1DAE3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25.3.2 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计划交工日期为</w:t>
      </w:r>
      <w:r>
        <w:rPr>
          <w:rFonts w:hint="eastAsia" w:ascii="宋体" w:hAnsi="宋体" w:eastAsia="宋体" w:cs="宋体"/>
          <w:color w:val="auto"/>
          <w:sz w:val="24"/>
          <w:szCs w:val="24"/>
          <w:highlight w:val="none"/>
          <w:u w:val="single"/>
          <w:lang w:val="en-US" w:eastAsia="zh-CN"/>
        </w:rPr>
        <w:t>2028年12月</w:t>
      </w:r>
      <w:r>
        <w:rPr>
          <w:rFonts w:hint="eastAsia" w:ascii="宋体" w:hAnsi="宋体" w:eastAsia="宋体" w:cs="宋体"/>
          <w:color w:val="auto"/>
          <w:sz w:val="24"/>
          <w:szCs w:val="24"/>
          <w:highlight w:val="none"/>
        </w:rPr>
        <w:t>；重要节点计划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34B35C7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25.4 其他</w:t>
      </w:r>
    </w:p>
    <w:p w14:paraId="2A267EFB">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25.4.1 账户查询</w:t>
      </w:r>
    </w:p>
    <w:p w14:paraId="509998F1">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为确保专款专用，发包人要求承包人在项目所在地设立专用帐户，并要求承包人在银行开户时将其中一个印鉴留在发包人代表处，承包人提款或转帐须经发包人代表同意，接受发包人代表和监理监督。</w:t>
      </w:r>
    </w:p>
    <w:p w14:paraId="126EDF71">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专用账户信息如下：</w:t>
      </w:r>
      <w:r>
        <w:rPr>
          <w:rFonts w:hint="eastAsia" w:ascii="宋体" w:hAnsi="宋体" w:eastAsia="宋体" w:cs="宋体"/>
          <w:color w:val="auto"/>
          <w:sz w:val="24"/>
          <w:szCs w:val="24"/>
          <w:highlight w:val="none"/>
          <w:lang w:eastAsia="zh-CN"/>
        </w:rPr>
        <w:t>（待承包人开具专用账户后，以书面通知方式补充）</w:t>
      </w:r>
    </w:p>
    <w:tbl>
      <w:tblPr>
        <w:tblStyle w:val="21"/>
        <w:tblW w:w="8316" w:type="dxa"/>
        <w:jc w:val="center"/>
        <w:tblLayout w:type="fixed"/>
        <w:tblCellMar>
          <w:top w:w="0" w:type="dxa"/>
          <w:left w:w="108" w:type="dxa"/>
          <w:bottom w:w="0" w:type="dxa"/>
          <w:right w:w="108" w:type="dxa"/>
        </w:tblCellMar>
      </w:tblPr>
      <w:tblGrid>
        <w:gridCol w:w="2415"/>
        <w:gridCol w:w="5901"/>
      </w:tblGrid>
      <w:tr w14:paraId="0428FA2D">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610DFAC6">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5B3007F8">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US" w:eastAsia="zh-CN"/>
              </w:rPr>
            </w:pPr>
          </w:p>
        </w:tc>
      </w:tr>
      <w:tr w14:paraId="78A0AADA">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179DC2D">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49A6FE78">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5FB474D3">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6DFF0BD4">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75C23C8">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7EE8A3E2">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3F0C9091">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54A943DF">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6772BDFD">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5EEEA8C">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49DF6CF1">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2B8739DC">
      <w:pPr>
        <w:tabs>
          <w:tab w:val="left" w:pos="7200"/>
        </w:tabs>
        <w:spacing w:line="360" w:lineRule="auto"/>
        <w:jc w:val="both"/>
        <w:rPr>
          <w:rFonts w:hint="eastAsia" w:ascii="宋体" w:hAnsi="宋体" w:eastAsia="宋体" w:cs="宋体"/>
          <w:color w:val="auto"/>
          <w:kern w:val="2"/>
          <w:sz w:val="24"/>
          <w:szCs w:val="24"/>
          <w:highlight w:val="none"/>
        </w:rPr>
      </w:pPr>
    </w:p>
    <w:p w14:paraId="7A4E6301">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开发票信息如下：</w:t>
      </w:r>
    </w:p>
    <w:tbl>
      <w:tblPr>
        <w:tblStyle w:val="21"/>
        <w:tblW w:w="8316" w:type="dxa"/>
        <w:jc w:val="center"/>
        <w:tblLayout w:type="fixed"/>
        <w:tblCellMar>
          <w:top w:w="0" w:type="dxa"/>
          <w:left w:w="108" w:type="dxa"/>
          <w:bottom w:w="0" w:type="dxa"/>
          <w:right w:w="108" w:type="dxa"/>
        </w:tblCellMar>
      </w:tblPr>
      <w:tblGrid>
        <w:gridCol w:w="2415"/>
        <w:gridCol w:w="5901"/>
      </w:tblGrid>
      <w:tr w14:paraId="116AD52E">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1FE1A4AF">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DC8B8AD">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2E1F91BB">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1F2B67F7">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79B2C35D">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0D1B7B93">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4EE50993">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292C4D54">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1D9E60FC">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1A82A6DF">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8E62D90">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2A300D8D">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7FA8A196">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29C1A703">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74DE9E65">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567E5690">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税号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355D5E7D">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3E9C6E02">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向发包人授权进行本合同工程开户银行工程资金的查询，发包人支付的预付款、工程进度款应为本工程的专款专用资金，不得转移或用于其他工程。发包人的中期支付款将转入承包人指定并经发包人批准的银行所设的专门帐户, 发包人及其派出机构有权不定期对承包人工程资金使用情况进行检查,发现问题及时责令承包人限期改正，否则，将终止月支付，直至承包人改正为止。</w:t>
      </w:r>
    </w:p>
    <w:p w14:paraId="3427CE02">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25.4.2 关于阳光工程</w:t>
      </w:r>
    </w:p>
    <w:p w14:paraId="19FBB26B">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将着力打造成为“阳光工程”，在合同执行过程中，将加强合同管理，严格依照合同约定执行，对于违反合同的行为，决不姑息。一旦发现，将直接提交相关主管部门严肃处理，并计入诚信评价体系。同时将从业单位信用评价及绩效考核结果在项目现场公示，向参建各方公开。</w:t>
      </w:r>
    </w:p>
    <w:p w14:paraId="2035FC31">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25.4.3 关于水运工程施工标准化管理</w:t>
      </w:r>
    </w:p>
    <w:p w14:paraId="03C3B213">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交通运输部办公厅关于开展水运工程施工标准化示范创建活动的通知》《关于加强公路水运工程质量和安全管理工作的若干意见》《广东省交通运输厅关于印发广东省水运工程施工标准化活动实施方案的通知》</w:t>
      </w:r>
      <w:r>
        <w:rPr>
          <w:rFonts w:hint="eastAsia" w:ascii="宋体" w:hAnsi="宋体" w:eastAsia="宋体" w:cs="宋体"/>
          <w:color w:val="auto"/>
          <w:kern w:val="0"/>
          <w:sz w:val="24"/>
          <w:szCs w:val="24"/>
          <w:highlight w:val="none"/>
          <w:lang w:eastAsia="zh-CN"/>
        </w:rPr>
        <w:t>《广东省水运工程施工标准化指南》</w:t>
      </w:r>
      <w:r>
        <w:rPr>
          <w:rFonts w:hint="eastAsia" w:ascii="宋体" w:hAnsi="宋体" w:eastAsia="宋体" w:cs="宋体"/>
          <w:color w:val="auto"/>
          <w:kern w:val="0"/>
          <w:sz w:val="24"/>
          <w:szCs w:val="24"/>
          <w:highlight w:val="none"/>
        </w:rPr>
        <w:t>,承包人应参照上述文件以及之后公布的有关水运工程施工标准化活动的规定，加强</w:t>
      </w:r>
      <w:r>
        <w:rPr>
          <w:rFonts w:hint="eastAsia" w:ascii="宋体" w:hAnsi="宋体" w:eastAsia="宋体" w:cs="宋体"/>
          <w:color w:val="auto"/>
          <w:kern w:val="0"/>
          <w:sz w:val="24"/>
          <w:szCs w:val="24"/>
          <w:highlight w:val="none"/>
          <w:lang w:eastAsia="zh-CN"/>
        </w:rPr>
        <w:t>施工</w:t>
      </w:r>
      <w:r>
        <w:rPr>
          <w:rFonts w:hint="eastAsia" w:ascii="宋体" w:hAnsi="宋体" w:eastAsia="宋体" w:cs="宋体"/>
          <w:color w:val="auto"/>
          <w:kern w:val="0"/>
          <w:sz w:val="24"/>
          <w:szCs w:val="24"/>
          <w:highlight w:val="none"/>
        </w:rPr>
        <w:t>标准化管理，所需费用包含在合同总价中，发包人不另行支付其他费用。承包人的施工标准化建设方案须报经发包人同意并按发包人意见执行。</w:t>
      </w:r>
    </w:p>
    <w:p w14:paraId="194BF413">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kern w:val="0"/>
          <w:sz w:val="24"/>
          <w:szCs w:val="24"/>
          <w:highlight w:val="none"/>
        </w:rPr>
        <w:t xml:space="preserve"> 本项目在施工期间按交通运输部、</w:t>
      </w:r>
      <w:r>
        <w:rPr>
          <w:rFonts w:hint="eastAsia" w:ascii="宋体" w:hAnsi="宋体" w:eastAsia="宋体" w:cs="宋体"/>
          <w:color w:val="auto"/>
          <w:kern w:val="0"/>
          <w:sz w:val="24"/>
          <w:szCs w:val="24"/>
          <w:highlight w:val="none"/>
          <w:lang w:eastAsia="zh-CN"/>
        </w:rPr>
        <w:t>广东</w:t>
      </w:r>
      <w:r>
        <w:rPr>
          <w:rFonts w:hint="eastAsia" w:ascii="宋体" w:hAnsi="宋体" w:eastAsia="宋体" w:cs="宋体"/>
          <w:color w:val="auto"/>
          <w:kern w:val="0"/>
          <w:sz w:val="24"/>
          <w:szCs w:val="24"/>
          <w:highlight w:val="none"/>
        </w:rPr>
        <w:t>省交通</w:t>
      </w:r>
      <w:r>
        <w:rPr>
          <w:rFonts w:hint="eastAsia" w:ascii="宋体" w:hAnsi="宋体" w:eastAsia="宋体" w:cs="宋体"/>
          <w:color w:val="auto"/>
          <w:kern w:val="0"/>
          <w:sz w:val="24"/>
          <w:szCs w:val="24"/>
          <w:highlight w:val="none"/>
          <w:lang w:eastAsia="zh-CN"/>
        </w:rPr>
        <w:t>运输</w:t>
      </w:r>
      <w:r>
        <w:rPr>
          <w:rFonts w:hint="eastAsia" w:ascii="宋体" w:hAnsi="宋体" w:eastAsia="宋体" w:cs="宋体"/>
          <w:color w:val="auto"/>
          <w:kern w:val="0"/>
          <w:sz w:val="24"/>
          <w:szCs w:val="24"/>
          <w:highlight w:val="none"/>
        </w:rPr>
        <w:t>厅有关文件要求开展平安工地建设活动，所需费用包含在合同总价中，发包人不另行支付费用。</w:t>
      </w:r>
    </w:p>
    <w:p w14:paraId="0FCBEC4F">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本项目将使用从业人员实名制管理系统等项目管理软件。若政策需要购买相关的项目管理软件或软件配套需购置相关设备的，所需费用包含在合同总价中，推行实名管理所需费用，在工程安全文明措施费列支，发包人不另行支付费用。</w:t>
      </w:r>
    </w:p>
    <w:p w14:paraId="13640E27">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 xml:space="preserve">6 </w:t>
      </w:r>
      <w:r>
        <w:rPr>
          <w:rFonts w:hint="eastAsia" w:ascii="宋体" w:hAnsi="宋体" w:eastAsia="宋体" w:cs="宋体"/>
          <w:color w:val="auto"/>
          <w:kern w:val="0"/>
          <w:sz w:val="24"/>
          <w:szCs w:val="24"/>
          <w:highlight w:val="none"/>
        </w:rPr>
        <w:t>承包人退出机制</w:t>
      </w:r>
    </w:p>
    <w:p w14:paraId="13CD73A8">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发包人对不能满足各阶段工作目标的承包人实行强制退出本项目建设的办法。</w:t>
      </w:r>
    </w:p>
    <w:p w14:paraId="401BDA15">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将视承包人的实际施工能力情况，可将该标段内剩余工程的部分或全部进行特殊分包，强制部分或整体退出。由发包人在本项目选择履约情况好的承包人承接剩余工程或采用招标方式选择承包人。如承包人逾期不退场的，发包人有权委托第三方清理，所需费用由承包人承担。</w:t>
      </w:r>
    </w:p>
    <w:p w14:paraId="173EE1BD">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.1</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部分退出</w:t>
      </w:r>
    </w:p>
    <w:p w14:paraId="75CD643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（1）人员退出：承包人的主要管理人员和技术骨干如不满足要求的，按</w:t>
      </w:r>
      <w:r>
        <w:rPr>
          <w:rFonts w:hint="eastAsia" w:ascii="宋体" w:hAnsi="宋体" w:eastAsia="宋体" w:cs="宋体"/>
          <w:color w:val="auto"/>
          <w:kern w:val="2"/>
          <w:sz w:val="24"/>
          <w:szCs w:val="24"/>
          <w:highlight w:val="none"/>
          <w:lang w:val="en-US"/>
        </w:rPr>
        <w:t>合同条款</w:t>
      </w:r>
      <w:r>
        <w:rPr>
          <w:rFonts w:hint="eastAsia" w:ascii="宋体" w:hAnsi="宋体" w:eastAsia="宋体" w:cs="宋体"/>
          <w:color w:val="auto"/>
          <w:kern w:val="2"/>
          <w:sz w:val="24"/>
          <w:szCs w:val="24"/>
          <w:highlight w:val="none"/>
        </w:rPr>
        <w:t>的规定进行违约处理</w:t>
      </w:r>
      <w:r>
        <w:rPr>
          <w:rFonts w:hint="eastAsia" w:ascii="宋体" w:hAnsi="宋体" w:eastAsia="宋体" w:cs="宋体"/>
          <w:color w:val="auto"/>
          <w:kern w:val="2"/>
          <w:sz w:val="24"/>
          <w:szCs w:val="24"/>
          <w:highlight w:val="none"/>
          <w:lang w:eastAsia="zh-CN"/>
        </w:rPr>
        <w:t>；</w:t>
      </w:r>
    </w:p>
    <w:p w14:paraId="5E25A6F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（2）机械退出：机械设备达不到额定产能的85%者退出，并按监理人或发包人的要求及时组织性能良好的同类型的机械进驻施工现场</w:t>
      </w:r>
      <w:r>
        <w:rPr>
          <w:rFonts w:hint="eastAsia" w:ascii="宋体" w:hAnsi="宋体" w:eastAsia="宋体" w:cs="宋体"/>
          <w:color w:val="auto"/>
          <w:kern w:val="2"/>
          <w:sz w:val="24"/>
          <w:szCs w:val="24"/>
          <w:highlight w:val="none"/>
          <w:lang w:eastAsia="zh-CN"/>
        </w:rPr>
        <w:t>；</w:t>
      </w:r>
    </w:p>
    <w:p w14:paraId="695F98D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（3）专业队伍退出：在施工过程中累计发生两次较大质量问题者强制退出</w:t>
      </w:r>
      <w:r>
        <w:rPr>
          <w:rFonts w:hint="eastAsia" w:ascii="宋体" w:hAnsi="宋体" w:eastAsia="宋体" w:cs="宋体"/>
          <w:color w:val="auto"/>
          <w:kern w:val="2"/>
          <w:sz w:val="24"/>
          <w:szCs w:val="24"/>
          <w:highlight w:val="none"/>
          <w:lang w:eastAsia="zh-CN"/>
        </w:rPr>
        <w:t>；</w:t>
      </w:r>
    </w:p>
    <w:p w14:paraId="5717623B">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（4）工程进度达不到上述要求，承包人增加人员、设备仍达不到进度要求的，发包人有权对相应分项工程进行强制分割处理。</w:t>
      </w:r>
    </w:p>
    <w:p w14:paraId="5D24A2B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.2</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整体退出</w:t>
      </w:r>
    </w:p>
    <w:p w14:paraId="48DD54E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（1）出现转包、非法分包；</w:t>
      </w:r>
    </w:p>
    <w:p w14:paraId="7872745D">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（2）出现重大安全责任，造成严重社会影响；</w:t>
      </w:r>
    </w:p>
    <w:p w14:paraId="732CB59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（3）出现重大质量事故，严重影响工程质量和进度，造成严重社会影响；</w:t>
      </w:r>
    </w:p>
    <w:p w14:paraId="5978D89E">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（4）由承包人自身原因导致使上述计划任务无法完成的</w:t>
      </w:r>
      <w:r>
        <w:rPr>
          <w:rFonts w:hint="eastAsia" w:ascii="宋体" w:hAnsi="宋体" w:eastAsia="宋体" w:cs="宋体"/>
          <w:color w:val="auto"/>
          <w:kern w:val="2"/>
          <w:sz w:val="24"/>
          <w:szCs w:val="24"/>
          <w:highlight w:val="none"/>
          <w:lang w:eastAsia="zh-CN"/>
        </w:rPr>
        <w:t>。</w:t>
      </w:r>
    </w:p>
    <w:p w14:paraId="21BA81F0">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整体退出的施工企业，发包人将建议交通主管部门降低其信用等级。</w:t>
      </w:r>
    </w:p>
    <w:p w14:paraId="480171B0">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.3</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退出清算</w:t>
      </w:r>
    </w:p>
    <w:p w14:paraId="427569C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（1）发包人对承包人整体退出本项目工程建设进行公示，并要求承包人对拖欠款项的单位和个人及时清算</w:t>
      </w:r>
      <w:r>
        <w:rPr>
          <w:rFonts w:hint="eastAsia" w:ascii="宋体" w:hAnsi="宋体" w:eastAsia="宋体" w:cs="宋体"/>
          <w:color w:val="auto"/>
          <w:kern w:val="2"/>
          <w:sz w:val="24"/>
          <w:szCs w:val="24"/>
          <w:highlight w:val="none"/>
          <w:lang w:eastAsia="zh-CN"/>
        </w:rPr>
        <w:t>；</w:t>
      </w:r>
    </w:p>
    <w:p w14:paraId="45A3700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（2）发包人扣押</w:t>
      </w:r>
      <w:r>
        <w:rPr>
          <w:rFonts w:hint="eastAsia" w:ascii="宋体" w:hAnsi="宋体" w:eastAsia="宋体" w:cs="宋体"/>
          <w:color w:val="auto"/>
          <w:kern w:val="2"/>
          <w:sz w:val="24"/>
          <w:szCs w:val="24"/>
          <w:highlight w:val="none"/>
          <w:lang w:eastAsia="zh-CN"/>
        </w:rPr>
        <w:t>履约保证金</w:t>
      </w:r>
      <w:r>
        <w:rPr>
          <w:rFonts w:hint="eastAsia" w:ascii="宋体" w:hAnsi="宋体" w:eastAsia="宋体" w:cs="宋体"/>
          <w:color w:val="auto"/>
          <w:kern w:val="2"/>
          <w:sz w:val="24"/>
          <w:szCs w:val="24"/>
          <w:highlight w:val="none"/>
        </w:rPr>
        <w:t>、质量保证金、停止计量支付</w:t>
      </w:r>
      <w:r>
        <w:rPr>
          <w:rFonts w:hint="eastAsia" w:ascii="宋体" w:hAnsi="宋体" w:eastAsia="宋体" w:cs="宋体"/>
          <w:color w:val="auto"/>
          <w:kern w:val="2"/>
          <w:sz w:val="24"/>
          <w:szCs w:val="24"/>
          <w:highlight w:val="none"/>
          <w:lang w:eastAsia="zh-CN"/>
        </w:rPr>
        <w:t>；</w:t>
      </w:r>
    </w:p>
    <w:p w14:paraId="019A40D5">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（3）承包人必须向发包人提交已完成工程的齐全的施工资料</w:t>
      </w:r>
      <w:r>
        <w:rPr>
          <w:rFonts w:hint="eastAsia" w:ascii="宋体" w:hAnsi="宋体" w:eastAsia="宋体" w:cs="宋体"/>
          <w:color w:val="auto"/>
          <w:kern w:val="2"/>
          <w:sz w:val="24"/>
          <w:szCs w:val="24"/>
          <w:highlight w:val="none"/>
          <w:lang w:eastAsia="zh-CN"/>
        </w:rPr>
        <w:t>；</w:t>
      </w:r>
    </w:p>
    <w:p w14:paraId="43908129">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（4）清算后特殊分包单位及分包价的确定原则</w:t>
      </w:r>
      <w:r>
        <w:rPr>
          <w:rFonts w:hint="eastAsia" w:ascii="宋体" w:hAnsi="宋体" w:eastAsia="宋体" w:cs="宋体"/>
          <w:color w:val="auto"/>
          <w:kern w:val="2"/>
          <w:sz w:val="24"/>
          <w:szCs w:val="24"/>
          <w:highlight w:val="none"/>
          <w:lang w:eastAsia="zh-CN"/>
        </w:rPr>
        <w:t>：</w:t>
      </w:r>
    </w:p>
    <w:p w14:paraId="298B0A32">
      <w:pPr>
        <w:spacing w:line="360" w:lineRule="auto"/>
        <w:ind w:firstLine="480" w:firstLineChars="200"/>
        <w:jc w:val="both"/>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rPr>
        <w:t>由发包人选择本项目实力较强、质量进度评比排名</w:t>
      </w:r>
      <w:r>
        <w:rPr>
          <w:rFonts w:hint="eastAsia" w:ascii="宋体" w:hAnsi="宋体" w:eastAsia="宋体" w:cs="宋体"/>
          <w:color w:val="auto"/>
          <w:kern w:val="2"/>
          <w:sz w:val="24"/>
          <w:szCs w:val="24"/>
          <w:highlight w:val="none"/>
          <w:lang w:val="en-US"/>
        </w:rPr>
        <w:t>靠前</w:t>
      </w:r>
      <w:r>
        <w:rPr>
          <w:rFonts w:hint="eastAsia" w:ascii="宋体" w:hAnsi="宋体" w:eastAsia="宋体" w:cs="宋体"/>
          <w:color w:val="auto"/>
          <w:kern w:val="2"/>
          <w:sz w:val="24"/>
          <w:szCs w:val="24"/>
          <w:highlight w:val="none"/>
        </w:rPr>
        <w:t>的承包单位</w:t>
      </w:r>
      <w:r>
        <w:rPr>
          <w:rFonts w:hint="eastAsia" w:ascii="宋体" w:hAnsi="宋体" w:eastAsia="宋体" w:cs="宋体"/>
          <w:color w:val="auto"/>
          <w:kern w:val="2"/>
          <w:sz w:val="24"/>
          <w:szCs w:val="24"/>
          <w:highlight w:val="none"/>
          <w:lang w:eastAsia="zh-CN"/>
        </w:rPr>
        <w:t>；</w:t>
      </w:r>
    </w:p>
    <w:p w14:paraId="33C04D8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对承包人进行询价，并将分包单位选择情况上报上级行政主管部门；</w:t>
      </w:r>
    </w:p>
    <w:p w14:paraId="54583875">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特殊分包单位应具备特殊分包工程相对应的资质要求。</w:t>
      </w:r>
    </w:p>
    <w:p w14:paraId="52A68C4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（5）清算后费用承担：特殊分包范围内的项目，由于上述（4）确定的分包价与承包人合同价产生的价差由承包人承担。</w:t>
      </w:r>
    </w:p>
    <w:p w14:paraId="13BB16E5">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（6）承包人应无条件接受，指定特殊分包单位无须向承包人交纳管理费。</w:t>
      </w:r>
    </w:p>
    <w:p w14:paraId="1B04DFF9">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但无论如何，承包人应按发包人要求提供已有的临时设施（如便道、电力线路等）供特殊分包人使用，承包人不得为此要求增加任何费用。</w:t>
      </w:r>
    </w:p>
    <w:p w14:paraId="0967A6E6">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25.4.7 工程优质优价考评 </w:t>
      </w:r>
    </w:p>
    <w:p w14:paraId="2AEC4ED7">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为了加强施工过程管理、提高管理水平，确保本项目的工程进度、质量和安全等管理目标的实现，体现只有“优质”才有“优价”的原则，全面推行标准化管理，设立工程质量、进度、安全等优质优价价款。承包人的报价中已包含 2 %的优质优价价款费用，考核及支付按发包人印发的工程优质优价相关制度执行。 </w:t>
      </w:r>
    </w:p>
    <w:p w14:paraId="600EB267">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25.4.8  标准化建设</w:t>
      </w:r>
    </w:p>
    <w:p w14:paraId="0052C634">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为了提高项目施工管理水平，消除质量通病，承包人应实行临建设施、人员管理、材料管理、质量管理行为、现场安全文明施工、施工工艺等标准化管理，具体参照《广东省水运工程施工标准化指南》及《公路水运工程施工安全标准化指南》及发包人下发的相关文件执行，所需费用包含在合同总价中，发包人不另行计量支付。</w:t>
      </w:r>
    </w:p>
    <w:p w14:paraId="526D1FF2">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25.4.9 平安工地建设</w:t>
      </w:r>
    </w:p>
    <w:p w14:paraId="6BC37A23">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在项目建设过程中，承包人要认真履行主体责任，按发包人下发的相关文件的要求，积极主动开展“平安工地”的相关工作，所需费用包含在合同总价中，发包人不另行计量支付。</w:t>
      </w:r>
    </w:p>
    <w:p w14:paraId="08AAA28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10</w:t>
      </w:r>
      <w:r>
        <w:rPr>
          <w:rFonts w:hint="eastAsia" w:ascii="宋体" w:hAnsi="宋体" w:eastAsia="宋体" w:cs="宋体"/>
          <w:color w:val="auto"/>
          <w:kern w:val="2"/>
          <w:sz w:val="24"/>
          <w:szCs w:val="24"/>
          <w:highlight w:val="none"/>
        </w:rPr>
        <w:t xml:space="preserve"> 合同结算</w:t>
      </w:r>
    </w:p>
    <w:p w14:paraId="58C068D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本合同工程交工验收后，承包人应按</w:t>
      </w:r>
      <w:r>
        <w:rPr>
          <w:rFonts w:hint="eastAsia" w:ascii="宋体" w:hAnsi="宋体" w:eastAsia="宋体" w:cs="宋体"/>
          <w:color w:val="auto"/>
          <w:kern w:val="2"/>
          <w:sz w:val="24"/>
          <w:szCs w:val="24"/>
          <w:highlight w:val="none"/>
          <w:lang w:val="en-US"/>
        </w:rPr>
        <w:t>广东省相关</w:t>
      </w:r>
      <w:r>
        <w:rPr>
          <w:rFonts w:hint="eastAsia" w:ascii="宋体" w:hAnsi="宋体" w:eastAsia="宋体" w:cs="宋体"/>
          <w:color w:val="auto"/>
          <w:kern w:val="2"/>
          <w:sz w:val="24"/>
          <w:szCs w:val="24"/>
          <w:highlight w:val="none"/>
        </w:rPr>
        <w:t>文件的具体要求</w:t>
      </w:r>
      <w:r>
        <w:rPr>
          <w:rFonts w:hint="eastAsia" w:ascii="宋体" w:hAnsi="宋体" w:eastAsia="宋体" w:cs="宋体"/>
          <w:color w:val="auto"/>
          <w:kern w:val="2"/>
          <w:sz w:val="24"/>
          <w:szCs w:val="24"/>
          <w:highlight w:val="none"/>
          <w:lang w:eastAsia="zh-CN"/>
        </w:rPr>
        <w:t>以及本合同约定</w:t>
      </w:r>
      <w:r>
        <w:rPr>
          <w:rFonts w:hint="eastAsia" w:ascii="宋体" w:hAnsi="宋体" w:eastAsia="宋体" w:cs="宋体"/>
          <w:color w:val="auto"/>
          <w:kern w:val="2"/>
          <w:sz w:val="24"/>
          <w:szCs w:val="24"/>
          <w:highlight w:val="none"/>
        </w:rPr>
        <w:t>完成结算工作，发包人可根据项目实际情况制定相应的奖罚措施。</w:t>
      </w:r>
    </w:p>
    <w:p w14:paraId="7E5FC07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为了按期完成工程竣工决算审查、审计及竣工验收工作，如发包人和承包人对结算确实存在分歧，经双方协商未果情况下，发包人有权进行合同单方结算，承包人须无条件接受。</w:t>
      </w:r>
    </w:p>
    <w:p w14:paraId="12452C16">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 xml:space="preserve">11 </w:t>
      </w:r>
      <w:r>
        <w:rPr>
          <w:rFonts w:hint="eastAsia" w:ascii="宋体" w:hAnsi="宋体" w:eastAsia="宋体" w:cs="宋体"/>
          <w:color w:val="auto"/>
          <w:kern w:val="2"/>
          <w:sz w:val="24"/>
          <w:szCs w:val="24"/>
          <w:highlight w:val="none"/>
        </w:rPr>
        <w:t>本合同未尽事宜</w:t>
      </w:r>
    </w:p>
    <w:p w14:paraId="6443D8F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本合同未能明确的有关规定，如质量管理、计划管理、计量与支付管理、台帐管理办法、变更管理、材料管理、安全管理、有关评比方案以及奖惩办法等，按发包人在项目建设管理过程中颁发的</w:t>
      </w:r>
      <w:r>
        <w:rPr>
          <w:rFonts w:hint="eastAsia" w:ascii="宋体" w:hAnsi="宋体" w:eastAsia="宋体" w:cs="宋体"/>
          <w:color w:val="auto"/>
          <w:kern w:val="2"/>
          <w:sz w:val="24"/>
          <w:szCs w:val="24"/>
          <w:highlight w:val="none"/>
          <w:lang w:eastAsia="zh-CN"/>
        </w:rPr>
        <w:t>代建</w:t>
      </w:r>
      <w:r>
        <w:rPr>
          <w:rFonts w:hint="eastAsia" w:ascii="宋体" w:hAnsi="宋体" w:eastAsia="宋体" w:cs="宋体"/>
          <w:color w:val="auto"/>
          <w:kern w:val="2"/>
          <w:sz w:val="24"/>
          <w:szCs w:val="24"/>
          <w:highlight w:val="none"/>
        </w:rPr>
        <w:t>项目管理手册或另行发布的相关管理办法执行。（</w:t>
      </w:r>
      <w:r>
        <w:rPr>
          <w:rFonts w:hint="eastAsia" w:ascii="宋体" w:hAnsi="宋体" w:eastAsia="宋体" w:cs="宋体"/>
          <w:color w:val="auto"/>
          <w:kern w:val="2"/>
          <w:sz w:val="24"/>
          <w:szCs w:val="24"/>
          <w:highlight w:val="none"/>
          <w:lang w:val="en-US"/>
        </w:rPr>
        <w:t>如有</w:t>
      </w:r>
      <w:r>
        <w:rPr>
          <w:rFonts w:hint="eastAsia" w:ascii="宋体" w:hAnsi="宋体" w:eastAsia="宋体" w:cs="宋体"/>
          <w:color w:val="auto"/>
          <w:kern w:val="2"/>
          <w:sz w:val="24"/>
          <w:szCs w:val="24"/>
          <w:highlight w:val="none"/>
        </w:rPr>
        <w:t>）</w:t>
      </w:r>
    </w:p>
    <w:p w14:paraId="37FC1160">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发包人对项目实施动态管理，根据工程进展情况及项目目标实现情况，通过修正专用项目管理制度，不断建设完善项目管理责任体系，承包人须积极配合并无条件的接受。</w:t>
      </w:r>
    </w:p>
    <w:p w14:paraId="6A3C7DB7">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hAnsi="宋体" w:cs="Times New Roman"/>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12</w:t>
      </w:r>
      <w:r>
        <w:rPr>
          <w:rFonts w:hint="eastAsia" w:hAnsi="宋体" w:cs="Times New Roman"/>
          <w:color w:val="auto"/>
          <w:kern w:val="2"/>
          <w:sz w:val="24"/>
          <w:szCs w:val="24"/>
          <w:highlight w:val="none"/>
          <w:u w:val="none"/>
          <w:lang w:val="en-US" w:eastAsia="zh-CN" w:bidi="ar-SA"/>
        </w:rPr>
        <w:t>承包人违约清单</w:t>
      </w:r>
    </w:p>
    <w:p w14:paraId="10BE529F">
      <w:pPr>
        <w:jc w:val="center"/>
        <w:rPr>
          <w:rFonts w:hint="eastAsia" w:eastAsia="楷体"/>
          <w:color w:val="auto"/>
          <w:highlight w:val="none"/>
          <w:lang w:eastAsia="zh-CN"/>
        </w:rPr>
      </w:pPr>
      <w:bookmarkStart w:id="118" w:name="_Toc483637608"/>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（一）</w:t>
      </w:r>
    </w:p>
    <w:tbl>
      <w:tblPr>
        <w:tblStyle w:val="21"/>
        <w:tblW w:w="9616"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1044"/>
        <w:gridCol w:w="5597"/>
        <w:gridCol w:w="690"/>
        <w:gridCol w:w="968"/>
        <w:gridCol w:w="1317"/>
      </w:tblGrid>
      <w:tr w14:paraId="63D783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restart"/>
            <w:tcBorders>
              <w:tl2br w:val="nil"/>
              <w:tr2bl w:val="nil"/>
            </w:tcBorders>
            <w:vAlign w:val="center"/>
          </w:tcPr>
          <w:p w14:paraId="7633DDC5">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编号</w:t>
            </w:r>
          </w:p>
        </w:tc>
        <w:tc>
          <w:tcPr>
            <w:tcW w:w="5597" w:type="dxa"/>
            <w:vMerge w:val="restart"/>
            <w:tcBorders>
              <w:tl2br w:val="nil"/>
              <w:tr2bl w:val="nil"/>
            </w:tcBorders>
            <w:vAlign w:val="center"/>
          </w:tcPr>
          <w:p w14:paraId="3C14ADF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违约内容</w:t>
            </w:r>
          </w:p>
        </w:tc>
        <w:tc>
          <w:tcPr>
            <w:tcW w:w="1658" w:type="dxa"/>
            <w:gridSpan w:val="2"/>
            <w:tcBorders>
              <w:tl2br w:val="nil"/>
              <w:tr2bl w:val="nil"/>
            </w:tcBorders>
            <w:vAlign w:val="center"/>
          </w:tcPr>
          <w:p w14:paraId="065C76D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违约金标准</w:t>
            </w:r>
          </w:p>
        </w:tc>
        <w:tc>
          <w:tcPr>
            <w:tcW w:w="1317" w:type="dxa"/>
            <w:tcBorders>
              <w:tl2br w:val="nil"/>
              <w:tr2bl w:val="nil"/>
            </w:tcBorders>
            <w:vAlign w:val="center"/>
          </w:tcPr>
          <w:p w14:paraId="2C322A6E">
            <w:pPr>
              <w:widowControl/>
              <w:jc w:val="center"/>
              <w:textAlignment w:val="center"/>
              <w:rPr>
                <w:rFonts w:hint="eastAsia" w:ascii="楷体" w:hAnsi="楷体" w:eastAsia="楷体" w:cs="仿宋"/>
                <w:b/>
                <w:color w:val="auto"/>
                <w:kern w:val="0"/>
                <w:szCs w:val="21"/>
                <w:highlight w:val="none"/>
                <w:lang w:eastAsia="zh-CN" w:bidi="ar"/>
              </w:rPr>
            </w:pPr>
          </w:p>
          <w:p w14:paraId="682014BE">
            <w:pPr>
              <w:widowControl/>
              <w:jc w:val="center"/>
              <w:textAlignment w:val="center"/>
              <w:rPr>
                <w:rFonts w:hint="eastAsia" w:ascii="楷体" w:hAnsi="楷体" w:eastAsia="楷体" w:cs="仿宋"/>
                <w:b/>
                <w:color w:val="auto"/>
                <w:kern w:val="0"/>
                <w:szCs w:val="21"/>
                <w:highlight w:val="none"/>
                <w:lang w:eastAsia="zh-CN" w:bidi="ar"/>
              </w:rPr>
            </w:pPr>
            <w:r>
              <w:rPr>
                <w:rFonts w:hint="eastAsia" w:ascii="楷体" w:hAnsi="楷体" w:eastAsia="楷体" w:cs="仿宋"/>
                <w:b/>
                <w:color w:val="auto"/>
                <w:kern w:val="0"/>
                <w:szCs w:val="21"/>
                <w:highlight w:val="none"/>
                <w:lang w:eastAsia="zh-CN" w:bidi="ar"/>
              </w:rPr>
              <w:t>备注</w:t>
            </w:r>
          </w:p>
        </w:tc>
      </w:tr>
      <w:tr w14:paraId="167C59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continue"/>
            <w:tcBorders>
              <w:tl2br w:val="nil"/>
              <w:tr2bl w:val="nil"/>
            </w:tcBorders>
            <w:vAlign w:val="center"/>
          </w:tcPr>
          <w:p w14:paraId="45DF9147">
            <w:pPr>
              <w:jc w:val="center"/>
              <w:rPr>
                <w:rFonts w:ascii="楷体" w:hAnsi="楷体" w:eastAsia="楷体" w:cs="仿宋"/>
                <w:b/>
                <w:color w:val="auto"/>
                <w:szCs w:val="21"/>
                <w:highlight w:val="none"/>
              </w:rPr>
            </w:pPr>
          </w:p>
        </w:tc>
        <w:tc>
          <w:tcPr>
            <w:tcW w:w="5597" w:type="dxa"/>
            <w:vMerge w:val="continue"/>
            <w:tcBorders>
              <w:tl2br w:val="nil"/>
              <w:tr2bl w:val="nil"/>
            </w:tcBorders>
            <w:vAlign w:val="center"/>
          </w:tcPr>
          <w:p w14:paraId="589248FF">
            <w:pPr>
              <w:jc w:val="center"/>
              <w:rPr>
                <w:rFonts w:ascii="楷体" w:hAnsi="楷体" w:eastAsia="楷体" w:cs="仿宋"/>
                <w:b/>
                <w:color w:val="auto"/>
                <w:szCs w:val="21"/>
                <w:highlight w:val="none"/>
              </w:rPr>
            </w:pPr>
          </w:p>
        </w:tc>
        <w:tc>
          <w:tcPr>
            <w:tcW w:w="690" w:type="dxa"/>
            <w:tcBorders>
              <w:tl2br w:val="nil"/>
              <w:tr2bl w:val="nil"/>
            </w:tcBorders>
            <w:vAlign w:val="center"/>
          </w:tcPr>
          <w:p w14:paraId="3B6608AA">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968" w:type="dxa"/>
            <w:tcBorders>
              <w:tl2br w:val="nil"/>
              <w:tr2bl w:val="nil"/>
            </w:tcBorders>
            <w:vAlign w:val="center"/>
          </w:tcPr>
          <w:p w14:paraId="30657CA4">
            <w:pPr>
              <w:widowControl/>
              <w:jc w:val="center"/>
              <w:textAlignment w:val="center"/>
              <w:rPr>
                <w:rFonts w:hint="eastAsia" w:ascii="楷体" w:hAnsi="楷体" w:eastAsia="楷体" w:cs="仿宋"/>
                <w:b/>
                <w:color w:val="auto"/>
                <w:szCs w:val="21"/>
                <w:highlight w:val="none"/>
                <w:lang w:eastAsia="zh-CN"/>
              </w:rPr>
            </w:pPr>
            <w:r>
              <w:rPr>
                <w:rFonts w:hint="eastAsia" w:ascii="楷体" w:hAnsi="楷体" w:eastAsia="楷体" w:cs="仿宋"/>
                <w:b/>
                <w:color w:val="auto"/>
                <w:kern w:val="0"/>
                <w:szCs w:val="21"/>
                <w:highlight w:val="none"/>
                <w:lang w:bidi="ar"/>
              </w:rPr>
              <w:t>金额</w:t>
            </w:r>
          </w:p>
        </w:tc>
        <w:tc>
          <w:tcPr>
            <w:tcW w:w="1317" w:type="dxa"/>
            <w:tcBorders>
              <w:tl2br w:val="nil"/>
              <w:tr2bl w:val="nil"/>
            </w:tcBorders>
            <w:vAlign w:val="center"/>
          </w:tcPr>
          <w:p w14:paraId="5F10CF99">
            <w:pPr>
              <w:widowControl/>
              <w:jc w:val="center"/>
              <w:textAlignment w:val="center"/>
              <w:rPr>
                <w:rFonts w:hint="eastAsia" w:ascii="楷体" w:hAnsi="楷体" w:eastAsia="楷体" w:cs="仿宋"/>
                <w:b/>
                <w:color w:val="auto"/>
                <w:kern w:val="0"/>
                <w:szCs w:val="21"/>
                <w:highlight w:val="none"/>
                <w:lang w:bidi="ar"/>
              </w:rPr>
            </w:pPr>
          </w:p>
        </w:tc>
      </w:tr>
      <w:tr w14:paraId="5286706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12ADBC51">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001</w:t>
            </w:r>
          </w:p>
        </w:tc>
        <w:tc>
          <w:tcPr>
            <w:tcW w:w="5597" w:type="dxa"/>
            <w:tcBorders>
              <w:tl2br w:val="nil"/>
              <w:tr2bl w:val="nil"/>
            </w:tcBorders>
            <w:vAlign w:val="center"/>
          </w:tcPr>
          <w:p w14:paraId="3873AECF">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承包人及其施工船舶、施工设备应严格遵守发包人对疏浚和清（炸）礁的土（石）抛卸的管理规定，若存在偷卸（不按指定位置抛卸）、偷砂等行为。</w:t>
            </w:r>
          </w:p>
          <w:p w14:paraId="13198DA4">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或核实存在明显超载作业的。</w:t>
            </w:r>
          </w:p>
        </w:tc>
        <w:tc>
          <w:tcPr>
            <w:tcW w:w="690" w:type="dxa"/>
            <w:tcBorders>
              <w:tl2br w:val="nil"/>
              <w:tr2bl w:val="nil"/>
            </w:tcBorders>
            <w:vAlign w:val="center"/>
          </w:tcPr>
          <w:p w14:paraId="04E17ED7">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/艘</w:t>
            </w:r>
          </w:p>
        </w:tc>
        <w:tc>
          <w:tcPr>
            <w:tcW w:w="968" w:type="dxa"/>
            <w:tcBorders>
              <w:tl2br w:val="nil"/>
              <w:tr2bl w:val="nil"/>
            </w:tcBorders>
            <w:shd w:val="clear" w:color="auto" w:fill="auto"/>
            <w:vAlign w:val="center"/>
          </w:tcPr>
          <w:p w14:paraId="17AEFEB8">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5万元/次</w:t>
            </w:r>
          </w:p>
          <w:p w14:paraId="2B34B657">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10万元/艘</w:t>
            </w:r>
          </w:p>
        </w:tc>
        <w:tc>
          <w:tcPr>
            <w:tcW w:w="1317" w:type="dxa"/>
            <w:tcBorders>
              <w:tl2br w:val="nil"/>
              <w:tr2bl w:val="nil"/>
            </w:tcBorders>
            <w:shd w:val="clear" w:color="auto" w:fill="auto"/>
            <w:vAlign w:val="center"/>
          </w:tcPr>
          <w:p w14:paraId="18231F8C">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4.1.10.20</w:t>
            </w:r>
          </w:p>
        </w:tc>
      </w:tr>
      <w:tr w14:paraId="0D5B54F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7987DF60">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002</w:t>
            </w:r>
          </w:p>
        </w:tc>
        <w:tc>
          <w:tcPr>
            <w:tcW w:w="5597" w:type="dxa"/>
            <w:tcBorders>
              <w:tl2br w:val="nil"/>
              <w:tr2bl w:val="nil"/>
            </w:tcBorders>
            <w:vAlign w:val="center"/>
          </w:tcPr>
          <w:p w14:paraId="3C7BA3C6">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val="en-US" w:eastAsia="zh-CN"/>
              </w:rPr>
              <w:t>开展清（炸）礁工作中，若因承包人管理不力或证明资料缺失引发审计问题的。</w:t>
            </w:r>
          </w:p>
        </w:tc>
        <w:tc>
          <w:tcPr>
            <w:tcW w:w="690" w:type="dxa"/>
            <w:tcBorders>
              <w:tl2br w:val="nil"/>
              <w:tr2bl w:val="nil"/>
            </w:tcBorders>
            <w:vAlign w:val="center"/>
          </w:tcPr>
          <w:p w14:paraId="01CC5E54">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7BC03FEB">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 xml:space="preserve">10万元 </w:t>
            </w:r>
          </w:p>
        </w:tc>
        <w:tc>
          <w:tcPr>
            <w:tcW w:w="1317" w:type="dxa"/>
            <w:tcBorders>
              <w:tl2br w:val="nil"/>
              <w:tr2bl w:val="nil"/>
            </w:tcBorders>
            <w:shd w:val="clear" w:color="auto" w:fill="auto"/>
            <w:vAlign w:val="center"/>
          </w:tcPr>
          <w:p w14:paraId="25280A59">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4.1.10.26</w:t>
            </w:r>
          </w:p>
        </w:tc>
      </w:tr>
      <w:tr w14:paraId="2D92A2E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1364" w:hRule="atLeast"/>
          <w:tblHeader/>
          <w:jc w:val="center"/>
        </w:trPr>
        <w:tc>
          <w:tcPr>
            <w:tcW w:w="1044" w:type="dxa"/>
            <w:tcBorders>
              <w:tl2br w:val="nil"/>
              <w:tr2bl w:val="nil"/>
            </w:tcBorders>
            <w:vAlign w:val="center"/>
          </w:tcPr>
          <w:p w14:paraId="21892FED">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003</w:t>
            </w:r>
          </w:p>
        </w:tc>
        <w:tc>
          <w:tcPr>
            <w:tcW w:w="5597" w:type="dxa"/>
            <w:tcBorders>
              <w:tl2br w:val="nil"/>
              <w:tr2bl w:val="nil"/>
            </w:tcBorders>
            <w:vAlign w:val="center"/>
          </w:tcPr>
          <w:p w14:paraId="38428C6A">
            <w:pPr>
              <w:jc w:val="left"/>
              <w:rPr>
                <w:rFonts w:hint="eastAsia" w:ascii="楷体" w:hAnsi="楷体" w:eastAsia="楷体"/>
                <w:color w:val="auto"/>
                <w:szCs w:val="21"/>
                <w:highlight w:val="none"/>
                <w:lang w:val="en-US" w:eastAsia="zh-CN"/>
              </w:rPr>
            </w:pPr>
            <w:r>
              <w:rPr>
                <w:rFonts w:hint="eastAsia" w:ascii="楷体" w:hAnsi="楷体" w:eastAsia="楷体" w:cs="Arial"/>
                <w:color w:val="auto"/>
                <w:kern w:val="0"/>
                <w:sz w:val="21"/>
                <w:szCs w:val="21"/>
                <w:highlight w:val="none"/>
                <w:lang w:val="en-US" w:eastAsia="zh-CN"/>
              </w:rPr>
              <w:t>承包人应加强对分包人的管理，不得以包代管。承包人要制定详细的分包管理细则，监理人和发包人将对承包人对分包人的管理进行考核，如发现分包人的工作影响工程的质量、安全、进度等，将每次对承包人处以5万元的罚金。</w:t>
            </w:r>
          </w:p>
        </w:tc>
        <w:tc>
          <w:tcPr>
            <w:tcW w:w="690" w:type="dxa"/>
            <w:tcBorders>
              <w:tl2br w:val="nil"/>
              <w:tr2bl w:val="nil"/>
            </w:tcBorders>
            <w:vAlign w:val="center"/>
          </w:tcPr>
          <w:p w14:paraId="263C4CED">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6E3F370B">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624FD08A">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4.3.6</w:t>
            </w:r>
          </w:p>
        </w:tc>
      </w:tr>
      <w:tr w14:paraId="67D276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6E53E25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004</w:t>
            </w:r>
          </w:p>
        </w:tc>
        <w:tc>
          <w:tcPr>
            <w:tcW w:w="5597" w:type="dxa"/>
            <w:tcBorders>
              <w:tl2br w:val="nil"/>
              <w:tr2bl w:val="nil"/>
            </w:tcBorders>
            <w:vAlign w:val="center"/>
          </w:tcPr>
          <w:p w14:paraId="067BCCDA">
            <w:pPr>
              <w:pStyle w:val="9"/>
              <w:spacing w:line="360" w:lineRule="auto"/>
              <w:ind w:firstLine="0" w:firstLineChars="0"/>
              <w:rPr>
                <w:rFonts w:hint="eastAsia" w:ascii="楷体" w:hAnsi="楷体" w:eastAsia="楷体" w:cs="Arial"/>
                <w:color w:val="auto"/>
                <w:kern w:val="0"/>
                <w:sz w:val="21"/>
                <w:szCs w:val="21"/>
                <w:highlight w:val="none"/>
                <w:lang w:val="en-US" w:eastAsia="zh-CN"/>
              </w:rPr>
            </w:pPr>
            <w:r>
              <w:rPr>
                <w:rFonts w:hint="eastAsia" w:ascii="楷体" w:hAnsi="楷体" w:eastAsia="楷体" w:cs="Arial"/>
                <w:color w:val="auto"/>
                <w:kern w:val="0"/>
                <w:sz w:val="21"/>
                <w:szCs w:val="21"/>
                <w:highlight w:val="none"/>
                <w:lang w:val="en-US" w:eastAsia="zh-CN"/>
              </w:rPr>
              <w:t>承包人必须保证分包人在本项目现场遵纪守法，不得聚众闹事，不得用任何形式干扰本项目的顺利开展，不得拖欠、克扣民工工资。如发生4.3.7项约定的情形，发包人将每次对承包人处以1万元的罚金。</w:t>
            </w:r>
          </w:p>
        </w:tc>
        <w:tc>
          <w:tcPr>
            <w:tcW w:w="690" w:type="dxa"/>
            <w:tcBorders>
              <w:tl2br w:val="nil"/>
              <w:tr2bl w:val="nil"/>
            </w:tcBorders>
            <w:vAlign w:val="center"/>
          </w:tcPr>
          <w:p w14:paraId="24CEB46F">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C51A341">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1万元</w:t>
            </w:r>
          </w:p>
        </w:tc>
        <w:tc>
          <w:tcPr>
            <w:tcW w:w="1317" w:type="dxa"/>
            <w:tcBorders>
              <w:tl2br w:val="nil"/>
              <w:tr2bl w:val="nil"/>
            </w:tcBorders>
            <w:shd w:val="clear" w:color="auto" w:fill="auto"/>
            <w:vAlign w:val="center"/>
          </w:tcPr>
          <w:p w14:paraId="76577F55">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4.3.7</w:t>
            </w:r>
          </w:p>
        </w:tc>
      </w:tr>
      <w:tr w14:paraId="6EB0FF2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3B364C07">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005</w:t>
            </w:r>
          </w:p>
        </w:tc>
        <w:tc>
          <w:tcPr>
            <w:tcW w:w="5597" w:type="dxa"/>
            <w:tcBorders>
              <w:tl2br w:val="nil"/>
              <w:tr2bl w:val="nil"/>
            </w:tcBorders>
            <w:vAlign w:val="center"/>
          </w:tcPr>
          <w:p w14:paraId="12B5C90E">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承包人更换项目负责人或项目技术负责人的</w:t>
            </w:r>
            <w:r>
              <w:rPr>
                <w:rFonts w:hint="eastAsia" w:ascii="楷体" w:hAnsi="楷体" w:eastAsia="楷体" w:cs="Arial"/>
                <w:color w:val="auto"/>
                <w:sz w:val="21"/>
                <w:szCs w:val="21"/>
                <w:highlight w:val="none"/>
                <w:lang w:eastAsia="zh-CN"/>
              </w:rPr>
              <w:t>（包括发包人按合同</w:t>
            </w:r>
            <w:r>
              <w:rPr>
                <w:rFonts w:hint="eastAsia" w:ascii="楷体" w:hAnsi="楷体" w:eastAsia="楷体" w:cs="Arial"/>
                <w:color w:val="auto"/>
                <w:sz w:val="21"/>
                <w:szCs w:val="21"/>
                <w:highlight w:val="none"/>
                <w:lang w:val="en-US" w:eastAsia="zh-CN"/>
              </w:rPr>
              <w:t>4.7款要求承包人更换的情况</w:t>
            </w:r>
            <w:r>
              <w:rPr>
                <w:rFonts w:hint="eastAsia" w:ascii="楷体" w:hAnsi="楷体" w:eastAsia="楷体" w:cs="Arial"/>
                <w:color w:val="auto"/>
                <w:sz w:val="21"/>
                <w:szCs w:val="21"/>
                <w:highlight w:val="none"/>
                <w:lang w:eastAsia="zh-CN"/>
              </w:rPr>
              <w:t>），</w:t>
            </w:r>
            <w:r>
              <w:rPr>
                <w:rFonts w:hint="eastAsia" w:ascii="楷体" w:hAnsi="楷体" w:eastAsia="楷体"/>
                <w:color w:val="auto"/>
                <w:szCs w:val="21"/>
                <w:highlight w:val="none"/>
                <w:lang w:eastAsia="zh-CN"/>
              </w:rPr>
              <w:t>每次发包人有权对承包人处以</w:t>
            </w:r>
            <w:r>
              <w:rPr>
                <w:rFonts w:hint="eastAsia" w:ascii="楷体" w:hAnsi="楷体" w:eastAsia="楷体"/>
                <w:color w:val="auto"/>
                <w:szCs w:val="21"/>
                <w:highlight w:val="none"/>
                <w:lang w:val="en-US" w:eastAsia="zh-CN"/>
              </w:rPr>
              <w:t>100万元的违约金。</w:t>
            </w:r>
          </w:p>
        </w:tc>
        <w:tc>
          <w:tcPr>
            <w:tcW w:w="690" w:type="dxa"/>
            <w:tcBorders>
              <w:tl2br w:val="nil"/>
              <w:tr2bl w:val="nil"/>
            </w:tcBorders>
            <w:vAlign w:val="center"/>
          </w:tcPr>
          <w:p w14:paraId="434A3765">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5924A4FC">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7C32F5B6">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4.5.1（1）</w:t>
            </w:r>
          </w:p>
        </w:tc>
      </w:tr>
      <w:tr w14:paraId="3FB2476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625C6CB6">
            <w:pPr>
              <w:widowControl/>
              <w:jc w:val="center"/>
              <w:textAlignment w:val="auto"/>
              <w:rPr>
                <w:rFonts w:hint="eastAsia" w:ascii="楷体" w:hAnsi="楷体" w:eastAsia="楷体" w:cs="Arial"/>
                <w:color w:val="auto"/>
                <w:kern w:val="0"/>
                <w:szCs w:val="21"/>
                <w:highlight w:val="none"/>
                <w:lang w:val="en-US" w:eastAsia="zh-CN" w:bidi="ar"/>
              </w:rPr>
            </w:pPr>
            <w:r>
              <w:rPr>
                <w:rFonts w:hint="eastAsia" w:ascii="楷体" w:hAnsi="楷体" w:eastAsia="楷体" w:cs="Arial"/>
                <w:color w:val="auto"/>
                <w:kern w:val="0"/>
                <w:szCs w:val="21"/>
                <w:highlight w:val="none"/>
                <w:lang w:val="en-US" w:eastAsia="zh-CN" w:bidi="ar"/>
              </w:rPr>
              <w:t>006</w:t>
            </w:r>
          </w:p>
        </w:tc>
        <w:tc>
          <w:tcPr>
            <w:tcW w:w="5597" w:type="dxa"/>
            <w:tcBorders>
              <w:tl2br w:val="nil"/>
              <w:tr2bl w:val="nil"/>
            </w:tcBorders>
            <w:vAlign w:val="center"/>
          </w:tcPr>
          <w:p w14:paraId="7A43DD37">
            <w:pPr>
              <w:jc w:val="left"/>
              <w:rPr>
                <w:rFonts w:hint="eastAsia" w:ascii="楷体" w:hAnsi="楷体" w:eastAsia="楷体"/>
                <w:color w:val="auto"/>
                <w:szCs w:val="21"/>
                <w:highlight w:val="none"/>
                <w:lang w:eastAsia="zh-CN"/>
              </w:rPr>
            </w:pPr>
            <w:r>
              <w:rPr>
                <w:rFonts w:hint="eastAsia" w:ascii="楷体" w:hAnsi="楷体" w:eastAsia="楷体" w:cs="Arial"/>
                <w:color w:val="auto"/>
                <w:sz w:val="21"/>
                <w:szCs w:val="21"/>
                <w:highlight w:val="none"/>
                <w:lang w:eastAsia="zh-CN"/>
              </w:rPr>
              <w:t>承包人在投标中承诺投入本工程的项目负责人及项目技术负责人必须在签定合同后的3天内进场，在现场的时间不得低于22天/月，到期未到现场或在现场的时间不足的</w:t>
            </w:r>
            <w:r>
              <w:rPr>
                <w:rFonts w:hint="eastAsia" w:ascii="楷体" w:hAnsi="楷体" w:eastAsia="楷体"/>
                <w:color w:val="auto"/>
                <w:szCs w:val="21"/>
                <w:highlight w:val="none"/>
                <w:lang w:eastAsia="zh-CN"/>
              </w:rPr>
              <w:t>。</w:t>
            </w:r>
          </w:p>
        </w:tc>
        <w:tc>
          <w:tcPr>
            <w:tcW w:w="690" w:type="dxa"/>
            <w:tcBorders>
              <w:tl2br w:val="nil"/>
              <w:tr2bl w:val="nil"/>
            </w:tcBorders>
            <w:vAlign w:val="center"/>
          </w:tcPr>
          <w:p w14:paraId="4032662C">
            <w:pPr>
              <w:widowControl/>
              <w:jc w:val="center"/>
              <w:textAlignment w:val="center"/>
              <w:rPr>
                <w:rFonts w:hint="default" w:ascii="楷体" w:hAnsi="楷体" w:eastAsia="楷体" w:cs="仿宋"/>
                <w:color w:val="auto"/>
                <w:kern w:val="0"/>
                <w:szCs w:val="21"/>
                <w:highlight w:val="none"/>
                <w:lang w:val="en-US"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3EF488C3">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 xml:space="preserve">5000元 </w:t>
            </w:r>
          </w:p>
        </w:tc>
        <w:tc>
          <w:tcPr>
            <w:tcW w:w="1317" w:type="dxa"/>
            <w:tcBorders>
              <w:tl2br w:val="nil"/>
              <w:tr2bl w:val="nil"/>
            </w:tcBorders>
            <w:shd w:val="clear" w:color="auto" w:fill="auto"/>
            <w:vAlign w:val="center"/>
          </w:tcPr>
          <w:p w14:paraId="6CBC8876">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5AAF82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1ADEEED">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007</w:t>
            </w:r>
          </w:p>
        </w:tc>
        <w:tc>
          <w:tcPr>
            <w:tcW w:w="5597" w:type="dxa"/>
            <w:tcBorders>
              <w:tl2br w:val="nil"/>
              <w:tr2bl w:val="nil"/>
            </w:tcBorders>
            <w:vAlign w:val="center"/>
          </w:tcPr>
          <w:p w14:paraId="72AD5642">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投入本工程的项目负责人、项目技术负责人在本工程开工至全部内容完工前，不得兼任其他工程的项目管理职责。</w:t>
            </w:r>
            <w:r>
              <w:rPr>
                <w:rFonts w:hint="eastAsia" w:ascii="楷体" w:hAnsi="楷体" w:eastAsia="楷体" w:cs="Arial"/>
                <w:color w:val="auto"/>
                <w:sz w:val="21"/>
                <w:szCs w:val="21"/>
                <w:highlight w:val="none"/>
                <w:lang w:eastAsia="zh-CN"/>
              </w:rPr>
              <w:t>若经发现核实，处以每人次</w:t>
            </w:r>
            <w:r>
              <w:rPr>
                <w:rFonts w:hint="eastAsia" w:ascii="楷体" w:hAnsi="楷体" w:eastAsia="楷体" w:cs="Arial"/>
                <w:color w:val="auto"/>
                <w:sz w:val="21"/>
                <w:szCs w:val="21"/>
                <w:highlight w:val="none"/>
                <w:u w:val="none"/>
                <w:lang w:val="en-US" w:eastAsia="zh-CN"/>
              </w:rPr>
              <w:t>100</w:t>
            </w:r>
            <w:r>
              <w:rPr>
                <w:rFonts w:hint="eastAsia" w:ascii="楷体" w:hAnsi="楷体" w:eastAsia="楷体" w:cs="Arial"/>
                <w:color w:val="auto"/>
                <w:sz w:val="21"/>
                <w:szCs w:val="21"/>
                <w:highlight w:val="none"/>
                <w:lang w:eastAsia="zh-CN"/>
              </w:rPr>
              <w:t>万元违约金。若有继续违反的，可视为承包人违约，发包人有权解除合同。</w:t>
            </w:r>
          </w:p>
        </w:tc>
        <w:tc>
          <w:tcPr>
            <w:tcW w:w="690" w:type="dxa"/>
            <w:tcBorders>
              <w:tl2br w:val="nil"/>
              <w:tr2bl w:val="nil"/>
            </w:tcBorders>
            <w:vAlign w:val="center"/>
          </w:tcPr>
          <w:p w14:paraId="1E5E62DA">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187963D5">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4C0713BF">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6A7329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2641204">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008</w:t>
            </w:r>
          </w:p>
        </w:tc>
        <w:tc>
          <w:tcPr>
            <w:tcW w:w="5597" w:type="dxa"/>
            <w:tcBorders>
              <w:tl2br w:val="nil"/>
              <w:tr2bl w:val="nil"/>
            </w:tcBorders>
            <w:vAlign w:val="center"/>
          </w:tcPr>
          <w:p w14:paraId="556C4C71">
            <w:pPr>
              <w:rPr>
                <w:rFonts w:hint="default" w:ascii="Arial" w:hAnsi="Arial" w:eastAsia="Arial"/>
                <w:color w:val="auto"/>
                <w:szCs w:val="21"/>
                <w:highlight w:val="none"/>
                <w:lang w:val="en-US" w:eastAsia="zh-CN"/>
              </w:rPr>
            </w:pPr>
            <w:r>
              <w:rPr>
                <w:rFonts w:hint="eastAsia" w:ascii="楷体" w:hAnsi="楷体" w:eastAsia="楷体"/>
                <w:color w:val="auto"/>
                <w:szCs w:val="21"/>
                <w:highlight w:val="none"/>
                <w:lang w:eastAsia="zh-CN"/>
              </w:rPr>
              <w:t>承包人更换主要技术人员和管理人员，每次发包人有权处违约金，安全总监</w:t>
            </w:r>
            <w:r>
              <w:rPr>
                <w:rFonts w:hint="eastAsia" w:ascii="楷体" w:hAnsi="楷体" w:eastAsia="楷体"/>
                <w:color w:val="auto"/>
                <w:szCs w:val="21"/>
                <w:highlight w:val="none"/>
                <w:lang w:val="en-US" w:eastAsia="zh-CN"/>
              </w:rPr>
              <w:t>每次处于50万元违约金，其他主要技术人员和管理人员每人次处以10万元违约金；</w:t>
            </w:r>
          </w:p>
          <w:p w14:paraId="5327E4D5">
            <w:pPr>
              <w:jc w:val="left"/>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承包人承诺投入本工程的其他管理人员，在现场的时间不得低于22天/月，若在现场的时间不足的，承包人应按</w:t>
            </w:r>
            <w:r>
              <w:rPr>
                <w:rFonts w:hint="eastAsia" w:ascii="楷体" w:hAnsi="楷体" w:eastAsia="楷体"/>
                <w:color w:val="auto"/>
                <w:szCs w:val="21"/>
                <w:highlight w:val="none"/>
                <w:lang w:val="en-US" w:eastAsia="zh-CN"/>
              </w:rPr>
              <w:t>2000</w:t>
            </w:r>
            <w:r>
              <w:rPr>
                <w:rFonts w:hint="eastAsia" w:ascii="楷体" w:hAnsi="楷体" w:eastAsia="楷体"/>
                <w:color w:val="auto"/>
                <w:szCs w:val="21"/>
                <w:highlight w:val="none"/>
                <w:lang w:eastAsia="zh-CN"/>
              </w:rPr>
              <w:t>元/人/</w:t>
            </w:r>
            <w:r>
              <w:rPr>
                <w:rFonts w:hint="eastAsia" w:ascii="楷体" w:hAnsi="楷体" w:eastAsia="楷体"/>
                <w:color w:val="auto"/>
                <w:szCs w:val="21"/>
                <w:highlight w:val="none"/>
                <w:lang w:val="en-US" w:eastAsia="zh-CN"/>
              </w:rPr>
              <w:t>天</w:t>
            </w:r>
            <w:r>
              <w:rPr>
                <w:rFonts w:hint="eastAsia" w:ascii="楷体" w:hAnsi="楷体" w:eastAsia="楷体"/>
                <w:color w:val="auto"/>
                <w:szCs w:val="21"/>
                <w:highlight w:val="none"/>
                <w:lang w:eastAsia="zh-CN"/>
              </w:rPr>
              <w:t>标准向发包人支付违约金</w:t>
            </w:r>
            <w:r>
              <w:rPr>
                <w:rFonts w:hint="eastAsia" w:ascii="楷体" w:hAnsi="楷体" w:eastAsia="楷体"/>
                <w:color w:val="auto"/>
                <w:szCs w:val="21"/>
                <w:highlight w:val="none"/>
                <w:lang w:val="en-US" w:eastAsia="zh-CN"/>
              </w:rPr>
              <w:t>；</w:t>
            </w:r>
          </w:p>
          <w:p w14:paraId="27FAF732">
            <w:pPr>
              <w:jc w:val="left"/>
              <w:rPr>
                <w:rFonts w:hint="default"/>
                <w:color w:val="auto"/>
                <w:highlight w:val="none"/>
                <w:lang w:val="en-US"/>
              </w:rPr>
            </w:pPr>
            <w:r>
              <w:rPr>
                <w:rFonts w:hint="eastAsia" w:ascii="楷体" w:hAnsi="楷体" w:eastAsia="楷体" w:cs="Arial"/>
                <w:bCs w:val="0"/>
                <w:color w:val="auto"/>
                <w:sz w:val="21"/>
                <w:szCs w:val="21"/>
                <w:highlight w:val="none"/>
                <w:lang w:eastAsia="zh-CN"/>
              </w:rPr>
              <w:t>如发包人提出要求承包人增加现场技术和管理人员的，承包人应在接到发包人书面通知后7天内，无条件按发包人提出的增加人数、资格等条件要求到达现场，如未按时到达，承包人应按5000元/人/天标准向发包人支付违约金。</w:t>
            </w:r>
          </w:p>
        </w:tc>
        <w:tc>
          <w:tcPr>
            <w:tcW w:w="690" w:type="dxa"/>
            <w:tcBorders>
              <w:tl2br w:val="nil"/>
              <w:tr2bl w:val="nil"/>
            </w:tcBorders>
            <w:vAlign w:val="center"/>
          </w:tcPr>
          <w:p w14:paraId="1628A61F">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7B562185">
            <w:pPr>
              <w:jc w:val="center"/>
              <w:rPr>
                <w:rFonts w:hint="eastAsia"/>
                <w:color w:val="auto"/>
                <w:highlight w:val="none"/>
                <w:lang w:val="en-US" w:eastAsia="zh-CN"/>
              </w:rPr>
            </w:pPr>
            <w:r>
              <w:rPr>
                <w:rFonts w:hint="eastAsia"/>
                <w:color w:val="auto"/>
                <w:highlight w:val="none"/>
                <w:lang w:val="en-US" w:eastAsia="zh-CN"/>
              </w:rPr>
              <w:t>50万元/</w:t>
            </w:r>
          </w:p>
          <w:p w14:paraId="1C324174">
            <w:pPr>
              <w:jc w:val="center"/>
              <w:rPr>
                <w:rFonts w:hint="default"/>
                <w:color w:val="auto"/>
                <w:highlight w:val="none"/>
                <w:lang w:val="en-US" w:eastAsia="zh-CN"/>
              </w:rPr>
            </w:pPr>
            <w:r>
              <w:rPr>
                <w:rFonts w:hint="eastAsia"/>
                <w:color w:val="auto"/>
                <w:highlight w:val="none"/>
                <w:lang w:val="en-US" w:eastAsia="zh-CN"/>
              </w:rPr>
              <w:t>10万元/</w:t>
            </w:r>
          </w:p>
          <w:p w14:paraId="4DE4DD2E">
            <w:pPr>
              <w:jc w:val="center"/>
              <w:rPr>
                <w:rFonts w:hint="eastAsia"/>
                <w:color w:val="auto"/>
                <w:highlight w:val="none"/>
                <w:lang w:val="en-US" w:eastAsia="zh-CN"/>
              </w:rPr>
            </w:pPr>
            <w:r>
              <w:rPr>
                <w:rFonts w:hint="eastAsia"/>
                <w:color w:val="auto"/>
                <w:highlight w:val="none"/>
                <w:lang w:val="en-US" w:eastAsia="zh-CN"/>
              </w:rPr>
              <w:t>2000元/</w:t>
            </w:r>
          </w:p>
          <w:p w14:paraId="5F730E1F">
            <w:pPr>
              <w:pStyle w:val="20"/>
              <w:rPr>
                <w:rFonts w:hint="default"/>
                <w:color w:val="auto"/>
                <w:highlight w:val="none"/>
                <w:lang w:val="en-US" w:eastAsia="zh-CN"/>
              </w:rPr>
            </w:pPr>
            <w:r>
              <w:rPr>
                <w:rFonts w:hint="eastAsia" w:ascii="楷体" w:hAnsi="楷体" w:eastAsia="楷体"/>
                <w:color w:val="auto"/>
                <w:szCs w:val="21"/>
                <w:highlight w:val="none"/>
                <w:lang w:val="en-US" w:eastAsia="zh-CN"/>
              </w:rPr>
              <w:t>5000元</w:t>
            </w:r>
          </w:p>
        </w:tc>
        <w:tc>
          <w:tcPr>
            <w:tcW w:w="1317" w:type="dxa"/>
            <w:tcBorders>
              <w:tl2br w:val="nil"/>
              <w:tr2bl w:val="nil"/>
            </w:tcBorders>
            <w:shd w:val="clear" w:color="auto" w:fill="auto"/>
            <w:vAlign w:val="center"/>
          </w:tcPr>
          <w:p w14:paraId="79E329F0">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4.6.2</w:t>
            </w:r>
          </w:p>
        </w:tc>
      </w:tr>
      <w:tr w14:paraId="6172D74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FFE3AE9">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009</w:t>
            </w:r>
          </w:p>
        </w:tc>
        <w:tc>
          <w:tcPr>
            <w:tcW w:w="5597" w:type="dxa"/>
            <w:tcBorders>
              <w:tl2br w:val="nil"/>
              <w:tr2bl w:val="nil"/>
            </w:tcBorders>
            <w:vAlign w:val="center"/>
          </w:tcPr>
          <w:p w14:paraId="5E83BD67">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投入本工程的安全负责人为项目现场的安全直接责任人，不能与项目负责人或项目技术负责人为同一个人。在本工程开工至全部内容完工前，不得兼任其他工程的项目管理职责，若经发现核实，每次处以50万元的违约金。</w:t>
            </w:r>
          </w:p>
        </w:tc>
        <w:tc>
          <w:tcPr>
            <w:tcW w:w="690" w:type="dxa"/>
            <w:tcBorders>
              <w:tl2br w:val="nil"/>
              <w:tr2bl w:val="nil"/>
            </w:tcBorders>
            <w:vAlign w:val="center"/>
          </w:tcPr>
          <w:p w14:paraId="4FF1EAC8">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2DA5F58C">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50万元</w:t>
            </w:r>
          </w:p>
        </w:tc>
        <w:tc>
          <w:tcPr>
            <w:tcW w:w="1317" w:type="dxa"/>
            <w:tcBorders>
              <w:tl2br w:val="nil"/>
              <w:tr2bl w:val="nil"/>
            </w:tcBorders>
            <w:shd w:val="clear" w:color="auto" w:fill="auto"/>
            <w:vAlign w:val="center"/>
          </w:tcPr>
          <w:p w14:paraId="1F8B31EF">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4.6.5</w:t>
            </w:r>
          </w:p>
        </w:tc>
      </w:tr>
      <w:tr w14:paraId="60F2371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45513A84">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010</w:t>
            </w:r>
          </w:p>
        </w:tc>
        <w:tc>
          <w:tcPr>
            <w:tcW w:w="5597" w:type="dxa"/>
            <w:tcBorders>
              <w:tl2br w:val="nil"/>
              <w:tr2bl w:val="nil"/>
            </w:tcBorders>
            <w:vAlign w:val="center"/>
          </w:tcPr>
          <w:p w14:paraId="13337881">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承包人投入的施工设备如未按时到位，发包人有权对承包人处以违约金人民币5万元/天。</w:t>
            </w:r>
          </w:p>
        </w:tc>
        <w:tc>
          <w:tcPr>
            <w:tcW w:w="690" w:type="dxa"/>
            <w:tcBorders>
              <w:tl2br w:val="nil"/>
              <w:tr2bl w:val="nil"/>
            </w:tcBorders>
            <w:vAlign w:val="center"/>
          </w:tcPr>
          <w:p w14:paraId="11E103A5">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天</w:t>
            </w:r>
          </w:p>
        </w:tc>
        <w:tc>
          <w:tcPr>
            <w:tcW w:w="968" w:type="dxa"/>
            <w:tcBorders>
              <w:tl2br w:val="nil"/>
              <w:tr2bl w:val="nil"/>
            </w:tcBorders>
            <w:shd w:val="clear" w:color="auto" w:fill="auto"/>
            <w:vAlign w:val="center"/>
          </w:tcPr>
          <w:p w14:paraId="73B6D2E7">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551B390D">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6.1.3</w:t>
            </w:r>
          </w:p>
        </w:tc>
      </w:tr>
      <w:tr w14:paraId="14414C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208C03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011</w:t>
            </w:r>
          </w:p>
        </w:tc>
        <w:tc>
          <w:tcPr>
            <w:tcW w:w="5597" w:type="dxa"/>
            <w:tcBorders>
              <w:tl2br w:val="nil"/>
              <w:tr2bl w:val="nil"/>
            </w:tcBorders>
            <w:vAlign w:val="center"/>
          </w:tcPr>
          <w:p w14:paraId="33FD20BE">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在生产过程中所产生的危险废物，不可随意排放、弃置或者转移，如发生上述违法、违规行为，发包人将按照有关的规定进行严肃处理，由此导致的一切责任和损失承包人承担，同时发包人有权对承包人处以 5万元/次的违约金处罚。</w:t>
            </w:r>
          </w:p>
        </w:tc>
        <w:tc>
          <w:tcPr>
            <w:tcW w:w="690" w:type="dxa"/>
            <w:tcBorders>
              <w:tl2br w:val="nil"/>
              <w:tr2bl w:val="nil"/>
            </w:tcBorders>
            <w:vAlign w:val="center"/>
          </w:tcPr>
          <w:p w14:paraId="617D06B2">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626A8DC7">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253EA5CA">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9.4.6.2</w:t>
            </w:r>
          </w:p>
        </w:tc>
      </w:tr>
      <w:tr w14:paraId="19905A1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C000BD3">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012</w:t>
            </w:r>
          </w:p>
        </w:tc>
        <w:tc>
          <w:tcPr>
            <w:tcW w:w="5597" w:type="dxa"/>
            <w:tcBorders>
              <w:tl2br w:val="nil"/>
              <w:tr2bl w:val="nil"/>
            </w:tcBorders>
            <w:vAlign w:val="center"/>
          </w:tcPr>
          <w:p w14:paraId="209CA7D4">
            <w:pPr>
              <w:widowControl/>
              <w:textAlignment w:val="center"/>
              <w:rPr>
                <w:rFonts w:hint="eastAsia" w:ascii="宋体" w:hAnsi="宋体" w:eastAsia="宋体" w:cs="宋体"/>
                <w:color w:val="auto"/>
                <w:highlight w:val="none"/>
              </w:rPr>
            </w:pPr>
            <w:r>
              <w:rPr>
                <w:rFonts w:hint="eastAsia" w:ascii="楷体" w:hAnsi="楷体" w:eastAsia="楷体" w:cs="Times New Roman"/>
                <w:color w:val="auto"/>
                <w:kern w:val="2"/>
                <w:sz w:val="21"/>
                <w:szCs w:val="21"/>
                <w:highlight w:val="none"/>
                <w:lang w:val="en-US" w:eastAsia="zh-CN" w:bidi="ar-SA"/>
              </w:rPr>
              <w:t>施工船舶产生的含油污水委托有资质的单位接收后上岸送污水处理厂达标处理，严禁直接外排。施工船舶产生的污油属危险废物，不得擅自处置及排放，应交有资质的单位处理，如果发生上述擅自处理或偷排的现象，发包人有权对承包人处以5万元/次的违约金处罚。</w:t>
            </w:r>
          </w:p>
        </w:tc>
        <w:tc>
          <w:tcPr>
            <w:tcW w:w="690" w:type="dxa"/>
            <w:tcBorders>
              <w:tl2br w:val="nil"/>
              <w:tr2bl w:val="nil"/>
            </w:tcBorders>
            <w:vAlign w:val="center"/>
          </w:tcPr>
          <w:p w14:paraId="2419B698">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BCBF1D8">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35912DD7">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9.4.7</w:t>
            </w:r>
          </w:p>
        </w:tc>
      </w:tr>
      <w:tr w14:paraId="3CC1BF1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7C580E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013</w:t>
            </w:r>
          </w:p>
        </w:tc>
        <w:tc>
          <w:tcPr>
            <w:tcW w:w="5597" w:type="dxa"/>
            <w:tcBorders>
              <w:tl2br w:val="nil"/>
              <w:tr2bl w:val="nil"/>
            </w:tcBorders>
            <w:vAlign w:val="center"/>
          </w:tcPr>
          <w:p w14:paraId="36799FB5">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施工期船舶污水环保处理、固体废物环保处理、弃土区吹填后场地绿化以及施工过程采取其他环保措施应满足环保监测要求，拒不整改的或整改不到位的由发包人在工程计量款中扣除相应费用，并有权对承包人处以10万元/次的违约金处罚。</w:t>
            </w:r>
          </w:p>
        </w:tc>
        <w:tc>
          <w:tcPr>
            <w:tcW w:w="690" w:type="dxa"/>
            <w:tcBorders>
              <w:tl2br w:val="nil"/>
              <w:tr2bl w:val="nil"/>
            </w:tcBorders>
            <w:vAlign w:val="center"/>
          </w:tcPr>
          <w:p w14:paraId="7B8F5A72">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72E4FDF">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1438FC58">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9.4.8</w:t>
            </w:r>
          </w:p>
        </w:tc>
      </w:tr>
      <w:tr w14:paraId="434709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739E7D4F">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014</w:t>
            </w:r>
          </w:p>
        </w:tc>
        <w:tc>
          <w:tcPr>
            <w:tcW w:w="5597" w:type="dxa"/>
            <w:tcBorders>
              <w:tl2br w:val="nil"/>
              <w:tr2bl w:val="nil"/>
            </w:tcBorders>
            <w:vAlign w:val="center"/>
          </w:tcPr>
          <w:p w14:paraId="2E41E365">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若质量监督部门有关检查工作中发现有涉及工程质量或安全问题，承包人不按要求整改，同一问题再次发生的，发包人有权对承包人处以2万元/次违约金。</w:t>
            </w:r>
          </w:p>
        </w:tc>
        <w:tc>
          <w:tcPr>
            <w:tcW w:w="690" w:type="dxa"/>
            <w:tcBorders>
              <w:tl2br w:val="nil"/>
              <w:tr2bl w:val="nil"/>
            </w:tcBorders>
            <w:vAlign w:val="center"/>
          </w:tcPr>
          <w:p w14:paraId="7436577D">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6C748360">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2万元</w:t>
            </w:r>
          </w:p>
        </w:tc>
        <w:tc>
          <w:tcPr>
            <w:tcW w:w="1317" w:type="dxa"/>
            <w:tcBorders>
              <w:tl2br w:val="nil"/>
              <w:tr2bl w:val="nil"/>
            </w:tcBorders>
            <w:shd w:val="clear" w:color="auto" w:fill="auto"/>
            <w:vAlign w:val="center"/>
          </w:tcPr>
          <w:p w14:paraId="4F739BC0">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13.7</w:t>
            </w:r>
          </w:p>
        </w:tc>
      </w:tr>
      <w:tr w14:paraId="6ACBBD0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0CE68E21">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015</w:t>
            </w:r>
          </w:p>
        </w:tc>
        <w:tc>
          <w:tcPr>
            <w:tcW w:w="5597" w:type="dxa"/>
            <w:tcBorders>
              <w:tl2br w:val="nil"/>
              <w:tr2bl w:val="nil"/>
            </w:tcBorders>
            <w:vAlign w:val="center"/>
          </w:tcPr>
          <w:p w14:paraId="554F82A1">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如承包人不履行本协议所约定的保密义务，应当向发包人承担违约责任，一次性向发包人支付违约金人民币10万元。</w:t>
            </w:r>
          </w:p>
        </w:tc>
        <w:tc>
          <w:tcPr>
            <w:tcW w:w="690" w:type="dxa"/>
            <w:tcBorders>
              <w:tl2br w:val="nil"/>
              <w:tr2bl w:val="nil"/>
            </w:tcBorders>
            <w:vAlign w:val="center"/>
          </w:tcPr>
          <w:p w14:paraId="4A441ADA">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446F7F97">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5C602DF6">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保密协议</w:t>
            </w:r>
          </w:p>
          <w:p w14:paraId="42297AFB">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第四条第</w:t>
            </w:r>
            <w:r>
              <w:rPr>
                <w:rFonts w:hint="eastAsia" w:ascii="楷体" w:hAnsi="楷体" w:eastAsia="楷体"/>
                <w:color w:val="auto"/>
                <w:szCs w:val="21"/>
                <w:highlight w:val="none"/>
                <w:lang w:val="en-US" w:eastAsia="zh-CN"/>
              </w:rPr>
              <w:t>1款</w:t>
            </w:r>
          </w:p>
        </w:tc>
      </w:tr>
    </w:tbl>
    <w:p w14:paraId="6CF1BF82">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（一）</w:t>
      </w:r>
      <w:r>
        <w:rPr>
          <w:rFonts w:hint="eastAsia" w:ascii="宋体" w:hAnsi="宋体" w:eastAsia="宋体" w:cs="Times New Roman"/>
          <w:color w:val="auto"/>
          <w:kern w:val="2"/>
          <w:sz w:val="24"/>
          <w:szCs w:val="24"/>
          <w:highlight w:val="none"/>
          <w:lang w:val="en-US" w:eastAsia="zh-CN" w:bidi="ar-SA"/>
        </w:rPr>
        <w:t>为专用条款</w:t>
      </w:r>
      <w:r>
        <w:rPr>
          <w:rFonts w:hint="eastAsia" w:ascii="宋体" w:hAnsi="宋体" w:cs="Times New Roman"/>
          <w:color w:val="auto"/>
          <w:kern w:val="2"/>
          <w:sz w:val="24"/>
          <w:szCs w:val="24"/>
          <w:highlight w:val="none"/>
          <w:lang w:val="en-US" w:eastAsia="zh-CN" w:bidi="ar-SA"/>
        </w:rPr>
        <w:t>约定</w:t>
      </w:r>
      <w:r>
        <w:rPr>
          <w:rFonts w:hint="eastAsia" w:ascii="宋体" w:hAnsi="宋体" w:eastAsia="宋体" w:cs="Times New Roman"/>
          <w:color w:val="auto"/>
          <w:kern w:val="2"/>
          <w:sz w:val="24"/>
          <w:szCs w:val="24"/>
          <w:highlight w:val="none"/>
          <w:lang w:val="en-US" w:eastAsia="zh-CN" w:bidi="ar-SA"/>
        </w:rPr>
        <w:t>内容摘要，具体以合同条款约定为准。</w:t>
      </w:r>
    </w:p>
    <w:p w14:paraId="3A3492F1">
      <w:pPr>
        <w:rPr>
          <w:rFonts w:hint="eastAsia" w:ascii="楷体" w:hAnsi="楷体" w:eastAsia="楷体" w:cs="楷体"/>
          <w:b/>
          <w:bCs/>
          <w:color w:val="auto"/>
          <w:sz w:val="24"/>
          <w:highlight w:val="none"/>
        </w:rPr>
      </w:pPr>
    </w:p>
    <w:p w14:paraId="474B9386">
      <w:pPr>
        <w:jc w:val="center"/>
        <w:rPr>
          <w:rFonts w:hint="eastAsia" w:eastAsia="楷体"/>
          <w:color w:val="auto"/>
          <w:highlight w:val="none"/>
          <w:lang w:eastAsia="zh-CN"/>
        </w:rPr>
      </w:pPr>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（二）</w:t>
      </w:r>
    </w:p>
    <w:tbl>
      <w:tblPr>
        <w:tblStyle w:val="21"/>
        <w:tblW w:w="9776"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15" w:type="dxa"/>
          <w:left w:w="15" w:type="dxa"/>
          <w:bottom w:w="15" w:type="dxa"/>
          <w:right w:w="15" w:type="dxa"/>
        </w:tblCellMar>
      </w:tblPr>
      <w:tblGrid>
        <w:gridCol w:w="612"/>
        <w:gridCol w:w="827"/>
        <w:gridCol w:w="541"/>
        <w:gridCol w:w="2256"/>
        <w:gridCol w:w="3346"/>
        <w:gridCol w:w="1104"/>
        <w:gridCol w:w="1090"/>
      </w:tblGrid>
      <w:tr w14:paraId="6CB3A43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restart"/>
            <w:tcBorders>
              <w:top w:val="single" w:color="000000" w:sz="12" w:space="0"/>
              <w:left w:val="single" w:color="000000" w:sz="12" w:space="0"/>
              <w:bottom w:val="single" w:color="000000" w:sz="4" w:space="0"/>
              <w:right w:val="single" w:color="000000" w:sz="4" w:space="0"/>
            </w:tcBorders>
            <w:vAlign w:val="center"/>
          </w:tcPr>
          <w:p w14:paraId="2EFBEF67">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类别</w:t>
            </w:r>
          </w:p>
        </w:tc>
        <w:tc>
          <w:tcPr>
            <w:tcW w:w="541" w:type="dxa"/>
            <w:vMerge w:val="restart"/>
            <w:tcBorders>
              <w:top w:val="single" w:color="000000" w:sz="12" w:space="0"/>
              <w:left w:val="single" w:color="000000" w:sz="4" w:space="0"/>
              <w:bottom w:val="single" w:color="000000" w:sz="4" w:space="0"/>
              <w:right w:val="single" w:color="000000" w:sz="4" w:space="0"/>
            </w:tcBorders>
            <w:vAlign w:val="center"/>
          </w:tcPr>
          <w:p w14:paraId="0F5CFC43">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编号</w:t>
            </w:r>
          </w:p>
        </w:tc>
        <w:tc>
          <w:tcPr>
            <w:tcW w:w="5602" w:type="dxa"/>
            <w:gridSpan w:val="2"/>
            <w:vMerge w:val="restart"/>
            <w:tcBorders>
              <w:top w:val="single" w:color="000000" w:sz="12" w:space="0"/>
              <w:left w:val="single" w:color="000000" w:sz="4" w:space="0"/>
              <w:bottom w:val="single" w:color="000000" w:sz="4" w:space="0"/>
              <w:right w:val="single" w:color="000000" w:sz="4" w:space="0"/>
            </w:tcBorders>
            <w:vAlign w:val="center"/>
          </w:tcPr>
          <w:p w14:paraId="75A8802A">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违约内容</w:t>
            </w:r>
          </w:p>
        </w:tc>
        <w:tc>
          <w:tcPr>
            <w:tcW w:w="2194" w:type="dxa"/>
            <w:gridSpan w:val="2"/>
            <w:tcBorders>
              <w:top w:val="single" w:color="000000" w:sz="12" w:space="0"/>
              <w:left w:val="single" w:color="000000" w:sz="4" w:space="0"/>
              <w:bottom w:val="single" w:color="000000" w:sz="4" w:space="0"/>
              <w:right w:val="single" w:color="000000" w:sz="12" w:space="0"/>
            </w:tcBorders>
            <w:vAlign w:val="center"/>
          </w:tcPr>
          <w:p w14:paraId="65F803DD">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违约金标准</w:t>
            </w:r>
          </w:p>
        </w:tc>
      </w:tr>
      <w:tr w14:paraId="16ABA7B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continue"/>
            <w:tcBorders>
              <w:top w:val="single" w:color="000000" w:sz="4" w:space="0"/>
              <w:left w:val="single" w:color="000000" w:sz="12" w:space="0"/>
              <w:bottom w:val="single" w:color="000000" w:sz="4" w:space="0"/>
              <w:right w:val="single" w:color="000000" w:sz="4" w:space="0"/>
            </w:tcBorders>
            <w:vAlign w:val="center"/>
          </w:tcPr>
          <w:p w14:paraId="6B6A06EE">
            <w:pPr>
              <w:widowControl/>
              <w:jc w:val="center"/>
              <w:textAlignment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5B1B75A3">
            <w:pPr>
              <w:widowControl/>
              <w:jc w:val="center"/>
              <w:textAlignment w:val="center"/>
              <w:rPr>
                <w:rFonts w:ascii="楷体" w:hAnsi="楷体" w:eastAsia="楷体" w:cs="仿宋"/>
                <w:b/>
                <w:color w:val="auto"/>
                <w:szCs w:val="21"/>
                <w:highlight w:val="none"/>
              </w:rPr>
            </w:pPr>
          </w:p>
        </w:tc>
        <w:tc>
          <w:tcPr>
            <w:tcW w:w="560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995B25F">
            <w:pPr>
              <w:widowControl/>
              <w:jc w:val="center"/>
              <w:textAlignment w:val="center"/>
              <w:rPr>
                <w:rFonts w:ascii="楷体" w:hAnsi="楷体" w:eastAsia="楷体" w:cs="仿宋"/>
                <w:b/>
                <w:color w:val="auto"/>
                <w:szCs w:val="21"/>
                <w:highlight w:val="none"/>
              </w:rPr>
            </w:pPr>
          </w:p>
        </w:tc>
        <w:tc>
          <w:tcPr>
            <w:tcW w:w="1104" w:type="dxa"/>
            <w:tcBorders>
              <w:top w:val="single" w:color="000000" w:sz="4" w:space="0"/>
              <w:left w:val="single" w:color="000000" w:sz="4" w:space="0"/>
              <w:bottom w:val="single" w:color="000000" w:sz="4" w:space="0"/>
              <w:right w:val="single" w:color="000000" w:sz="4" w:space="0"/>
            </w:tcBorders>
            <w:vAlign w:val="center"/>
          </w:tcPr>
          <w:p w14:paraId="6BFC59D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1090" w:type="dxa"/>
            <w:tcBorders>
              <w:top w:val="single" w:color="000000" w:sz="4" w:space="0"/>
              <w:left w:val="single" w:color="000000" w:sz="4" w:space="0"/>
              <w:bottom w:val="single" w:color="000000" w:sz="4" w:space="0"/>
              <w:right w:val="single" w:color="000000" w:sz="12" w:space="0"/>
            </w:tcBorders>
            <w:vAlign w:val="center"/>
          </w:tcPr>
          <w:p w14:paraId="1ABECA8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金额</w:t>
            </w:r>
          </w:p>
        </w:tc>
      </w:tr>
      <w:bookmarkEnd w:id="118"/>
      <w:tr w14:paraId="600CEB9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70FC1E12">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A.</w:t>
            </w:r>
          </w:p>
          <w:p w14:paraId="12035C8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合</w:t>
            </w:r>
          </w:p>
          <w:p w14:paraId="4965FA08">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同</w:t>
            </w:r>
          </w:p>
          <w:p w14:paraId="4CBDDAFC">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4E72DFEB">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7D18ECA">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51FBC63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E46C7B1">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违规分包或转包</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BE84DC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CA2FD6B">
            <w:pPr>
              <w:widowControl/>
              <w:jc w:val="right"/>
              <w:rPr>
                <w:rFonts w:hint="default" w:ascii="楷体" w:hAnsi="楷体" w:eastAsia="楷体"/>
                <w:color w:val="auto"/>
                <w:kern w:val="0"/>
                <w:szCs w:val="21"/>
                <w:highlight w:val="none"/>
                <w:lang w:val="en-US" w:eastAsia="zh-CN"/>
              </w:rPr>
            </w:pPr>
            <w:r>
              <w:rPr>
                <w:rFonts w:hint="eastAsia" w:ascii="楷体" w:hAnsi="楷体" w:eastAsia="楷体"/>
                <w:color w:val="auto"/>
                <w:szCs w:val="21"/>
                <w:highlight w:val="none"/>
                <w:lang w:val="en-US" w:eastAsia="zh-CN"/>
              </w:rPr>
              <w:t>2,000,000</w:t>
            </w:r>
          </w:p>
        </w:tc>
      </w:tr>
      <w:tr w14:paraId="7780996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26DF6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7B9FAC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26205F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07ACF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对监理</w:t>
            </w:r>
            <w:r>
              <w:rPr>
                <w:rFonts w:hint="eastAsia" w:ascii="楷体" w:hAnsi="楷体" w:eastAsia="楷体" w:cs="仿宋"/>
                <w:color w:val="auto"/>
                <w:kern w:val="0"/>
                <w:szCs w:val="21"/>
                <w:highlight w:val="none"/>
                <w:lang w:eastAsia="zh-CN" w:bidi="ar"/>
              </w:rPr>
              <w:t>人、发包人</w:t>
            </w:r>
            <w:r>
              <w:rPr>
                <w:rFonts w:hint="eastAsia" w:ascii="楷体" w:hAnsi="楷体" w:eastAsia="楷体" w:cs="仿宋"/>
                <w:color w:val="auto"/>
                <w:kern w:val="0"/>
                <w:szCs w:val="21"/>
                <w:highlight w:val="none"/>
                <w:lang w:bidi="ar"/>
              </w:rPr>
              <w:t>指令未及时反馈</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405D24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67A4D0">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8FFDCA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60BF9D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3F1EBF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85C682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AD6041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未经监理人同意，将本工程专用的材料、工程设备、施工设备和临时设施运离场或挪作他用。</w:t>
            </w:r>
          </w:p>
        </w:tc>
        <w:tc>
          <w:tcPr>
            <w:tcW w:w="1104" w:type="dxa"/>
            <w:tcBorders>
              <w:top w:val="single" w:color="000000" w:sz="4" w:space="0"/>
              <w:left w:val="single" w:color="000000" w:sz="4" w:space="0"/>
              <w:bottom w:val="single" w:color="000000" w:sz="4" w:space="0"/>
              <w:right w:val="single" w:color="000000" w:sz="4" w:space="0"/>
            </w:tcBorders>
            <w:vAlign w:val="center"/>
          </w:tcPr>
          <w:p w14:paraId="6D3C6F3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2566A8F">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387B406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2DB6412">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CCB4085">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vMerge w:val="restart"/>
            <w:tcBorders>
              <w:top w:val="single" w:color="000000" w:sz="4" w:space="0"/>
              <w:left w:val="single" w:color="000000" w:sz="4" w:space="0"/>
              <w:bottom w:val="single" w:color="000000" w:sz="4" w:space="0"/>
              <w:right w:val="single" w:color="000000" w:sz="4" w:space="0"/>
            </w:tcBorders>
            <w:vAlign w:val="center"/>
          </w:tcPr>
          <w:p w14:paraId="43C88BB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A201</w:t>
            </w:r>
          </w:p>
        </w:tc>
        <w:tc>
          <w:tcPr>
            <w:tcW w:w="2256" w:type="dxa"/>
            <w:vMerge w:val="restart"/>
            <w:tcBorders>
              <w:top w:val="single" w:color="000000" w:sz="4" w:space="0"/>
              <w:left w:val="single" w:color="000000" w:sz="4" w:space="0"/>
              <w:bottom w:val="single" w:color="000000" w:sz="4" w:space="0"/>
              <w:right w:val="single" w:color="000000" w:sz="4" w:space="0"/>
            </w:tcBorders>
            <w:vAlign w:val="center"/>
          </w:tcPr>
          <w:p w14:paraId="0F41261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主要人员未按要求的条件和时间到位</w:t>
            </w:r>
          </w:p>
        </w:tc>
        <w:tc>
          <w:tcPr>
            <w:tcW w:w="3346" w:type="dxa"/>
            <w:tcBorders>
              <w:top w:val="single" w:color="000000" w:sz="4" w:space="0"/>
              <w:left w:val="single" w:color="000000" w:sz="4" w:space="0"/>
              <w:bottom w:val="single" w:color="000000" w:sz="4" w:space="0"/>
              <w:right w:val="single" w:color="000000" w:sz="4" w:space="0"/>
            </w:tcBorders>
            <w:vAlign w:val="center"/>
          </w:tcPr>
          <w:p w14:paraId="50B83DBD">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374F">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7A275746">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5,000</w:t>
            </w:r>
          </w:p>
        </w:tc>
      </w:tr>
      <w:tr w14:paraId="5E9966E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5F5EE5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8199B22">
            <w:pPr>
              <w:jc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086FFF48">
            <w:pPr>
              <w:jc w:val="center"/>
              <w:rPr>
                <w:rFonts w:ascii="楷体" w:hAnsi="楷体" w:eastAsia="楷体" w:cs="仿宋"/>
                <w:color w:val="auto"/>
                <w:szCs w:val="21"/>
                <w:highlight w:val="none"/>
              </w:rPr>
            </w:pPr>
          </w:p>
        </w:tc>
        <w:tc>
          <w:tcPr>
            <w:tcW w:w="2256" w:type="dxa"/>
            <w:vMerge w:val="continue"/>
            <w:tcBorders>
              <w:top w:val="single" w:color="000000" w:sz="4" w:space="0"/>
              <w:left w:val="single" w:color="000000" w:sz="4" w:space="0"/>
              <w:bottom w:val="single" w:color="000000" w:sz="4" w:space="0"/>
              <w:right w:val="single" w:color="000000" w:sz="4" w:space="0"/>
            </w:tcBorders>
            <w:vAlign w:val="center"/>
          </w:tcPr>
          <w:p w14:paraId="532B1E57">
            <w:pPr>
              <w:jc w:val="center"/>
              <w:rPr>
                <w:rFonts w:ascii="楷体" w:hAnsi="楷体" w:eastAsia="楷体" w:cs="仿宋"/>
                <w:color w:val="auto"/>
                <w:szCs w:val="21"/>
                <w:highlight w:val="none"/>
              </w:rPr>
            </w:pPr>
          </w:p>
        </w:tc>
        <w:tc>
          <w:tcPr>
            <w:tcW w:w="3346" w:type="dxa"/>
            <w:tcBorders>
              <w:top w:val="single" w:color="000000" w:sz="4" w:space="0"/>
              <w:left w:val="single" w:color="000000" w:sz="4" w:space="0"/>
              <w:bottom w:val="single" w:color="000000" w:sz="4" w:space="0"/>
              <w:right w:val="single" w:color="000000" w:sz="4" w:space="0"/>
            </w:tcBorders>
            <w:vAlign w:val="center"/>
          </w:tcPr>
          <w:p w14:paraId="6D3FF467">
            <w:pPr>
              <w:widowControl/>
              <w:jc w:val="left"/>
              <w:textAlignment w:val="auto"/>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其他主要技术人员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 w:val="21"/>
                <w:szCs w:val="21"/>
                <w:highlight w:val="none"/>
                <w:lang w:val="en-US" w:eastAsia="zh-CN" w:bidi="ar"/>
              </w:rPr>
              <w:t>投标承诺到位人员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A43F">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666EA36E">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2,000</w:t>
            </w:r>
          </w:p>
        </w:tc>
      </w:tr>
      <w:tr w14:paraId="69A90ED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FEB918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3A15C5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FB2458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F6EBF3C">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档案资料负责人在本合同段连续工作不足</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年。</w:t>
            </w:r>
          </w:p>
        </w:tc>
        <w:tc>
          <w:tcPr>
            <w:tcW w:w="1104" w:type="dxa"/>
            <w:tcBorders>
              <w:top w:val="single" w:color="000000" w:sz="4" w:space="0"/>
              <w:left w:val="single" w:color="000000" w:sz="4" w:space="0"/>
              <w:bottom w:val="single" w:color="000000" w:sz="4" w:space="0"/>
              <w:right w:val="single" w:color="000000" w:sz="4" w:space="0"/>
            </w:tcBorders>
            <w:vAlign w:val="center"/>
          </w:tcPr>
          <w:p w14:paraId="68CB138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4402F5A">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0,000</w:t>
            </w:r>
          </w:p>
        </w:tc>
      </w:tr>
      <w:tr w14:paraId="578E479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1584FB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0D84ED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C9071AF">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94CE8D">
            <w:pPr>
              <w:snapToGrid w:val="0"/>
              <w:jc w:val="left"/>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szCs w:val="21"/>
                <w:highlight w:val="none"/>
              </w:rPr>
              <w:t>驻守现场不足22天/月。</w:t>
            </w:r>
          </w:p>
        </w:tc>
        <w:tc>
          <w:tcPr>
            <w:tcW w:w="1104" w:type="dxa"/>
            <w:tcBorders>
              <w:top w:val="single" w:color="000000" w:sz="4" w:space="0"/>
              <w:left w:val="single" w:color="000000" w:sz="4" w:space="0"/>
              <w:bottom w:val="single" w:color="000000" w:sz="4" w:space="0"/>
              <w:right w:val="single" w:color="000000" w:sz="4" w:space="0"/>
            </w:tcBorders>
            <w:vAlign w:val="center"/>
          </w:tcPr>
          <w:p w14:paraId="391B1D36">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元/人.天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A53848C">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682F9B3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298148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39F5B7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89D9E7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766B3E">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未按规定配备专职安全生产管理人员</w:t>
            </w:r>
            <w:r>
              <w:rPr>
                <w:rFonts w:hint="eastAsia" w:ascii="楷体" w:hAnsi="楷体" w:eastAsia="楷体" w:cs="仿宋"/>
                <w:color w:val="auto"/>
                <w:kern w:val="0"/>
                <w:szCs w:val="21"/>
                <w:highlight w:val="none"/>
                <w:lang w:val="en-US" w:eastAsia="zh-CN" w:bidi="ar"/>
              </w:rPr>
              <w:t>或人员资质不符合要求</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E84E0D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251C334">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3B91D74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E0CDD92">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46FE266">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3</w:t>
            </w:r>
            <w:r>
              <w:rPr>
                <w:rFonts w:hint="eastAsia" w:ascii="楷体" w:hAnsi="楷体" w:eastAsia="楷体" w:cs="仿宋"/>
                <w:b/>
                <w:color w:val="auto"/>
                <w:kern w:val="0"/>
                <w:szCs w:val="21"/>
                <w:highlight w:val="none"/>
                <w:lang w:bidi="ar"/>
              </w:rPr>
              <w:t>.计划</w:t>
            </w:r>
          </w:p>
        </w:tc>
        <w:tc>
          <w:tcPr>
            <w:tcW w:w="541" w:type="dxa"/>
            <w:tcBorders>
              <w:top w:val="single" w:color="000000" w:sz="4" w:space="0"/>
              <w:left w:val="single" w:color="000000" w:sz="4" w:space="0"/>
              <w:bottom w:val="single" w:color="000000" w:sz="4" w:space="0"/>
              <w:right w:val="single" w:color="000000" w:sz="4" w:space="0"/>
            </w:tcBorders>
            <w:vAlign w:val="center"/>
          </w:tcPr>
          <w:p w14:paraId="3470FE9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5BA45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自身原因导致未按期开工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5646E8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D409FE0">
            <w:pPr>
              <w:jc w:val="right"/>
              <w:rPr>
                <w:rFonts w:ascii="楷体" w:hAnsi="楷体" w:eastAsia="楷体"/>
                <w:color w:val="auto"/>
                <w:szCs w:val="21"/>
                <w:highlight w:val="none"/>
              </w:rPr>
            </w:pPr>
            <w:r>
              <w:rPr>
                <w:rFonts w:hint="eastAsia" w:ascii="楷体" w:hAnsi="楷体" w:eastAsia="楷体"/>
                <w:color w:val="auto"/>
                <w:szCs w:val="21"/>
                <w:highlight w:val="none"/>
              </w:rPr>
              <w:t>20,000</w:t>
            </w:r>
          </w:p>
        </w:tc>
      </w:tr>
      <w:tr w14:paraId="4805BC8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3C17DC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F18D06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FF83CC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B8A62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每月</w:t>
            </w:r>
            <w:r>
              <w:rPr>
                <w:rFonts w:hint="eastAsia" w:ascii="楷体" w:hAnsi="楷体" w:eastAsia="楷体" w:cs="仿宋"/>
                <w:color w:val="auto"/>
                <w:kern w:val="0"/>
                <w:szCs w:val="21"/>
                <w:highlight w:val="none"/>
                <w:lang w:bidi="ar"/>
              </w:rPr>
              <w:t>进度滞后10%以上而未采取相应补救措施</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E21A54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BB78802">
            <w:pPr>
              <w:jc w:val="right"/>
              <w:rPr>
                <w:rFonts w:ascii="楷体" w:hAnsi="楷体" w:eastAsia="楷体"/>
                <w:color w:val="auto"/>
                <w:szCs w:val="21"/>
                <w:highlight w:val="none"/>
              </w:rPr>
            </w:pPr>
            <w:r>
              <w:rPr>
                <w:rFonts w:hint="eastAsia" w:ascii="楷体" w:hAnsi="楷体" w:eastAsia="楷体"/>
                <w:color w:val="auto"/>
                <w:szCs w:val="21"/>
                <w:highlight w:val="none"/>
              </w:rPr>
              <w:t>50,000</w:t>
            </w:r>
          </w:p>
        </w:tc>
      </w:tr>
      <w:tr w14:paraId="6085D65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BF7EAC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9A20A7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238DAB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A31320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未按规定要求编制、上报和评审施工计划</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31351C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5CC20CF">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04FABC2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64EE5A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716F0B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C317A6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6B55AE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w:t>
            </w:r>
            <w:r>
              <w:rPr>
                <w:rStyle w:val="69"/>
                <w:rFonts w:hint="default" w:ascii="楷体" w:hAnsi="楷体" w:eastAsia="楷体"/>
                <w:color w:val="auto"/>
                <w:highlight w:val="none"/>
                <w:lang w:bidi="ar"/>
              </w:rPr>
              <w:t>按要求编制分部分项工程施工方案。</w:t>
            </w:r>
          </w:p>
        </w:tc>
        <w:tc>
          <w:tcPr>
            <w:tcW w:w="1104" w:type="dxa"/>
            <w:tcBorders>
              <w:top w:val="single" w:color="000000" w:sz="4" w:space="0"/>
              <w:left w:val="single" w:color="000000" w:sz="4" w:space="0"/>
              <w:bottom w:val="single" w:color="000000" w:sz="4" w:space="0"/>
              <w:right w:val="single" w:color="000000" w:sz="4" w:space="0"/>
            </w:tcBorders>
            <w:vAlign w:val="center"/>
          </w:tcPr>
          <w:p w14:paraId="0E92F1A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794AF3B">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096E50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F9D397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BFF7B4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EE6548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F64483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关键分部、分项工程</w:t>
            </w:r>
            <w:r>
              <w:rPr>
                <w:rFonts w:hint="eastAsia" w:ascii="楷体" w:hAnsi="楷体" w:eastAsia="楷体" w:cs="仿宋"/>
                <w:color w:val="auto"/>
                <w:kern w:val="0"/>
                <w:szCs w:val="21"/>
                <w:highlight w:val="none"/>
                <w:lang w:eastAsia="zh-CN" w:bidi="ar"/>
              </w:rPr>
              <w:t>及危险性较大的分部分项工程</w:t>
            </w:r>
            <w:r>
              <w:rPr>
                <w:rFonts w:hint="eastAsia" w:ascii="楷体" w:hAnsi="楷体" w:eastAsia="楷体" w:cs="仿宋"/>
                <w:color w:val="auto"/>
                <w:kern w:val="0"/>
                <w:szCs w:val="21"/>
                <w:highlight w:val="none"/>
                <w:lang w:bidi="ar"/>
              </w:rPr>
              <w:t>的施工方案未组织专家审查论证</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3CCE07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8E17F54">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511050F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990BA96">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right w:val="single" w:color="000000" w:sz="4" w:space="0"/>
            </w:tcBorders>
            <w:vAlign w:val="center"/>
          </w:tcPr>
          <w:p w14:paraId="302D294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4</w:t>
            </w:r>
            <w:r>
              <w:rPr>
                <w:rFonts w:hint="eastAsia" w:ascii="楷体" w:hAnsi="楷体" w:eastAsia="楷体" w:cs="仿宋"/>
                <w:b/>
                <w:color w:val="auto"/>
                <w:kern w:val="0"/>
                <w:szCs w:val="21"/>
                <w:highlight w:val="none"/>
                <w:lang w:bidi="ar"/>
              </w:rPr>
              <w:t>.资料</w:t>
            </w:r>
          </w:p>
        </w:tc>
        <w:tc>
          <w:tcPr>
            <w:tcW w:w="541" w:type="dxa"/>
            <w:tcBorders>
              <w:top w:val="single" w:color="000000" w:sz="4" w:space="0"/>
              <w:left w:val="single" w:color="000000" w:sz="4" w:space="0"/>
              <w:bottom w:val="single" w:color="000000" w:sz="4" w:space="0"/>
              <w:right w:val="single" w:color="000000" w:sz="4" w:space="0"/>
            </w:tcBorders>
            <w:vAlign w:val="center"/>
          </w:tcPr>
          <w:p w14:paraId="2BDCFF1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9A87780">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未履行规定程序而擅自改变设计(包括设计方案、尺寸、位置)</w:t>
            </w:r>
          </w:p>
        </w:tc>
        <w:tc>
          <w:tcPr>
            <w:tcW w:w="1104" w:type="dxa"/>
            <w:tcBorders>
              <w:top w:val="single" w:color="000000" w:sz="4" w:space="0"/>
              <w:left w:val="single" w:color="000000" w:sz="4" w:space="0"/>
              <w:bottom w:val="single" w:color="000000" w:sz="4" w:space="0"/>
              <w:right w:val="single" w:color="000000" w:sz="4" w:space="0"/>
            </w:tcBorders>
            <w:vAlign w:val="center"/>
          </w:tcPr>
          <w:p w14:paraId="2C4019C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35445D">
            <w:pPr>
              <w:jc w:val="right"/>
              <w:rPr>
                <w:rFonts w:ascii="楷体" w:hAnsi="楷体" w:eastAsia="楷体"/>
                <w:color w:val="auto"/>
                <w:szCs w:val="21"/>
                <w:highlight w:val="none"/>
              </w:rPr>
            </w:pPr>
            <w:r>
              <w:rPr>
                <w:rFonts w:hint="eastAsia" w:ascii="楷体" w:hAnsi="楷体" w:eastAsia="楷体"/>
                <w:color w:val="auto"/>
                <w:szCs w:val="21"/>
                <w:highlight w:val="none"/>
              </w:rPr>
              <w:t>200,000</w:t>
            </w:r>
          </w:p>
        </w:tc>
      </w:tr>
      <w:tr w14:paraId="152B2C8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587EC23">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3BC7841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D957A9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CF42E8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设备</w:t>
            </w:r>
            <w:r>
              <w:rPr>
                <w:rStyle w:val="69"/>
                <w:rFonts w:hint="default" w:ascii="楷体" w:hAnsi="楷体" w:eastAsia="楷体"/>
                <w:color w:val="auto"/>
                <w:highlight w:val="none"/>
                <w:lang w:bidi="ar"/>
              </w:rPr>
              <w:t>和试验室无管理台帐。</w:t>
            </w:r>
          </w:p>
        </w:tc>
        <w:tc>
          <w:tcPr>
            <w:tcW w:w="1104" w:type="dxa"/>
            <w:tcBorders>
              <w:top w:val="single" w:color="000000" w:sz="4" w:space="0"/>
              <w:left w:val="single" w:color="000000" w:sz="4" w:space="0"/>
              <w:bottom w:val="single" w:color="000000" w:sz="4" w:space="0"/>
              <w:right w:val="single" w:color="000000" w:sz="4" w:space="0"/>
            </w:tcBorders>
            <w:vAlign w:val="center"/>
          </w:tcPr>
          <w:p w14:paraId="7A64D5A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377744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0D3224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4ECEF1C">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570F15B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CE2A15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115E24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试验资料不齐全</w:t>
            </w:r>
            <w:r>
              <w:rPr>
                <w:rStyle w:val="69"/>
                <w:rFonts w:hint="default" w:ascii="楷体" w:hAnsi="楷体" w:eastAsia="楷体"/>
                <w:color w:val="auto"/>
                <w:highlight w:val="none"/>
                <w:lang w:bidi="ar"/>
              </w:rPr>
              <w:t>，填写不标准，签字不全。</w:t>
            </w:r>
          </w:p>
        </w:tc>
        <w:tc>
          <w:tcPr>
            <w:tcW w:w="1104" w:type="dxa"/>
            <w:tcBorders>
              <w:top w:val="single" w:color="000000" w:sz="4" w:space="0"/>
              <w:left w:val="single" w:color="000000" w:sz="4" w:space="0"/>
              <w:bottom w:val="single" w:color="000000" w:sz="4" w:space="0"/>
              <w:right w:val="single" w:color="000000" w:sz="4" w:space="0"/>
            </w:tcBorders>
            <w:vAlign w:val="center"/>
          </w:tcPr>
          <w:p w14:paraId="63EEF49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12A8A2C">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1986975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2EC6BCB">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4724889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AEE0EA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027007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测试资料不真实</w:t>
            </w:r>
            <w:r>
              <w:rPr>
                <w:rStyle w:val="69"/>
                <w:rFonts w:hint="default" w:ascii="楷体" w:hAnsi="楷体" w:eastAsia="楷体"/>
                <w:color w:val="auto"/>
                <w:highlight w:val="none"/>
                <w:lang w:bidi="ar"/>
              </w:rPr>
              <w:t>、有涂改的。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10B8C93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30455B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F4A50B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604A097">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3D65059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3B3379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F5CC00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未按规定做好各项</w:t>
            </w:r>
            <w:r>
              <w:rPr>
                <w:rFonts w:hint="eastAsia" w:ascii="楷体" w:hAnsi="楷体" w:eastAsia="楷体" w:cs="仿宋"/>
                <w:color w:val="auto"/>
                <w:kern w:val="0"/>
                <w:szCs w:val="21"/>
                <w:highlight w:val="none"/>
                <w:lang w:eastAsia="zh-CN" w:bidi="ar"/>
              </w:rPr>
              <w:t>资料的编制</w:t>
            </w:r>
            <w:r>
              <w:rPr>
                <w:rFonts w:hint="eastAsia" w:ascii="楷体" w:hAnsi="楷体" w:eastAsia="楷体" w:cs="仿宋"/>
                <w:color w:val="auto"/>
                <w:kern w:val="0"/>
                <w:szCs w:val="21"/>
                <w:highlight w:val="none"/>
                <w:lang w:bidi="ar"/>
              </w:rPr>
              <w:t>，又未按要求整改的。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0BD9092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B99C57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2DF5F6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520D097">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02E8D6B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308C68B">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2926773">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原始资料弄虚作假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2BB5956">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E1A86A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CEE101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D38809A">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4F7885A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18C945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3B1FCEE">
            <w:pPr>
              <w:widowControl/>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未按规定</w:t>
            </w:r>
            <w:r>
              <w:rPr>
                <w:rFonts w:hint="eastAsia" w:ascii="楷体" w:hAnsi="楷体" w:eastAsia="楷体" w:cs="仿宋"/>
                <w:color w:val="auto"/>
                <w:szCs w:val="21"/>
                <w:highlight w:val="none"/>
                <w:lang w:eastAsia="zh-CN"/>
              </w:rPr>
              <w:t>时间、</w:t>
            </w:r>
            <w:r>
              <w:rPr>
                <w:rFonts w:hint="eastAsia" w:ascii="楷体" w:hAnsi="楷体" w:eastAsia="楷体" w:cs="仿宋"/>
                <w:color w:val="auto"/>
                <w:szCs w:val="21"/>
                <w:highlight w:val="none"/>
              </w:rPr>
              <w:t>路径或程序上报文件。</w:t>
            </w:r>
          </w:p>
        </w:tc>
        <w:tc>
          <w:tcPr>
            <w:tcW w:w="1104" w:type="dxa"/>
            <w:tcBorders>
              <w:top w:val="single" w:color="000000" w:sz="4" w:space="0"/>
              <w:left w:val="single" w:color="000000" w:sz="4" w:space="0"/>
              <w:bottom w:val="single" w:color="000000" w:sz="4" w:space="0"/>
              <w:right w:val="single" w:color="000000" w:sz="4" w:space="0"/>
            </w:tcBorders>
            <w:vAlign w:val="center"/>
          </w:tcPr>
          <w:p w14:paraId="3F13991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508F852">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6D3E25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A469FF7">
            <w:pPr>
              <w:jc w:val="center"/>
              <w:rPr>
                <w:rFonts w:ascii="楷体" w:hAnsi="楷体" w:eastAsia="楷体" w:cs="仿宋"/>
                <w:b/>
                <w:color w:val="auto"/>
                <w:szCs w:val="21"/>
                <w:highlight w:val="none"/>
              </w:rPr>
            </w:pPr>
          </w:p>
        </w:tc>
        <w:tc>
          <w:tcPr>
            <w:tcW w:w="827" w:type="dxa"/>
            <w:vMerge w:val="continue"/>
            <w:tcBorders>
              <w:left w:val="single" w:color="000000" w:sz="4" w:space="0"/>
              <w:bottom w:val="single" w:color="000000" w:sz="4" w:space="0"/>
              <w:right w:val="single" w:color="000000" w:sz="4" w:space="0"/>
            </w:tcBorders>
            <w:vAlign w:val="center"/>
          </w:tcPr>
          <w:p w14:paraId="70A1891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6574C9C">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w:t>
            </w:r>
            <w:r>
              <w:rPr>
                <w:rFonts w:hint="eastAsia" w:ascii="楷体" w:hAnsi="楷体" w:eastAsia="楷体" w:cs="仿宋"/>
                <w:color w:val="auto"/>
                <w:szCs w:val="21"/>
                <w:highlight w:val="none"/>
                <w:lang w:val="en-US" w:eastAsia="zh-CN"/>
              </w:rPr>
              <w:t>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6C2FAF7">
            <w:pPr>
              <w:widowControl/>
              <w:textAlignment w:val="center"/>
              <w:rPr>
                <w:rFonts w:hint="eastAsia" w:ascii="楷体" w:hAnsi="楷体" w:eastAsia="楷体" w:cs="仿宋"/>
                <w:color w:val="auto"/>
                <w:szCs w:val="21"/>
                <w:highlight w:val="none"/>
              </w:rPr>
            </w:pPr>
            <w:r>
              <w:rPr>
                <w:rFonts w:hint="eastAsia" w:ascii="楷体" w:hAnsi="楷体" w:eastAsia="楷体" w:cs="仿宋"/>
                <w:color w:val="auto"/>
                <w:highlight w:val="none"/>
              </w:rPr>
              <w:t>检验批、分项、分部、试验等</w:t>
            </w:r>
            <w:r>
              <w:rPr>
                <w:rFonts w:hint="eastAsia" w:ascii="楷体" w:hAnsi="楷体" w:eastAsia="楷体" w:cs="仿宋"/>
                <w:color w:val="auto"/>
                <w:highlight w:val="none"/>
                <w:lang w:eastAsia="zh-CN"/>
              </w:rPr>
              <w:t>施工</w:t>
            </w:r>
            <w:r>
              <w:rPr>
                <w:rFonts w:hint="eastAsia" w:ascii="楷体" w:hAnsi="楷体" w:eastAsia="楷体" w:cs="仿宋"/>
                <w:color w:val="auto"/>
                <w:highlight w:val="none"/>
              </w:rPr>
              <w:t>资料</w:t>
            </w:r>
            <w:r>
              <w:rPr>
                <w:rFonts w:hint="eastAsia" w:ascii="楷体" w:hAnsi="楷体" w:eastAsia="楷体" w:cs="仿宋"/>
                <w:color w:val="auto"/>
                <w:highlight w:val="none"/>
                <w:lang w:eastAsia="zh-CN"/>
              </w:rPr>
              <w:t>编制，比</w:t>
            </w:r>
            <w:r>
              <w:rPr>
                <w:rFonts w:hint="eastAsia" w:ascii="楷体" w:hAnsi="楷体" w:eastAsia="楷体" w:cs="仿宋"/>
                <w:color w:val="auto"/>
                <w:highlight w:val="none"/>
              </w:rPr>
              <w:t>工程进度</w:t>
            </w:r>
            <w:r>
              <w:rPr>
                <w:rFonts w:hint="eastAsia" w:ascii="楷体" w:hAnsi="楷体" w:eastAsia="楷体" w:cs="仿宋"/>
                <w:color w:val="auto"/>
                <w:highlight w:val="none"/>
                <w:lang w:eastAsia="zh-CN"/>
              </w:rPr>
              <w:t>滞后达</w:t>
            </w:r>
            <w:r>
              <w:rPr>
                <w:rFonts w:hint="eastAsia" w:ascii="楷体" w:hAnsi="楷体" w:eastAsia="楷体" w:cs="仿宋"/>
                <w:color w:val="auto"/>
                <w:highlight w:val="none"/>
              </w:rPr>
              <w:t>1个月以上</w:t>
            </w:r>
            <w:r>
              <w:rPr>
                <w:rFonts w:hint="eastAsia" w:ascii="楷体" w:hAnsi="楷体" w:eastAsia="楷体" w:cs="仿宋"/>
                <w:color w:val="auto"/>
                <w:highlight w:val="none"/>
                <w:lang w:eastAsia="zh-CN"/>
              </w:rPr>
              <w:t>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4968354B">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261A861">
            <w:pPr>
              <w:jc w:val="right"/>
              <w:rPr>
                <w:rFonts w:hint="eastAsia" w:ascii="楷体" w:hAnsi="楷体" w:eastAsia="楷体"/>
                <w:color w:val="auto"/>
                <w:szCs w:val="21"/>
                <w:highlight w:val="none"/>
              </w:rPr>
            </w:pPr>
            <w:r>
              <w:rPr>
                <w:rFonts w:hint="eastAsia" w:ascii="楷体" w:hAnsi="楷体" w:eastAsia="楷体"/>
                <w:color w:val="auto"/>
                <w:szCs w:val="21"/>
                <w:highlight w:val="none"/>
              </w:rPr>
              <w:t>2,000</w:t>
            </w:r>
          </w:p>
        </w:tc>
      </w:tr>
      <w:tr w14:paraId="1528627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D9C6921">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157B9AD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5</w:t>
            </w:r>
            <w:r>
              <w:rPr>
                <w:rFonts w:hint="eastAsia" w:ascii="楷体" w:hAnsi="楷体" w:eastAsia="楷体" w:cs="仿宋"/>
                <w:b/>
                <w:color w:val="auto"/>
                <w:kern w:val="0"/>
                <w:szCs w:val="21"/>
                <w:highlight w:val="none"/>
                <w:lang w:bidi="ar"/>
              </w:rPr>
              <w:t>.其它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26199CE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EBF1EB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施工现场管理混乱，不符合“双标管理”的要求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E10FBF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3BF65B">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6340C82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3C390C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E473FC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CB27DD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C2A699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未经批准（请假），相关人员缺席发包人或监理人召集的重要会议。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7087D3B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77C06C9">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19007BB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F695FC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A2349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1FB926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0D91F8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非法使用农民工，或拖</w:t>
            </w:r>
            <w:r>
              <w:rPr>
                <w:rStyle w:val="69"/>
                <w:rFonts w:hint="default" w:ascii="楷体" w:hAnsi="楷体" w:eastAsia="楷体"/>
                <w:color w:val="auto"/>
                <w:highlight w:val="none"/>
                <w:lang w:bidi="ar"/>
              </w:rPr>
              <w:t>欠农民工工资，由此造成上访或劳动纠纷的。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35DE5F8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982CA77">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63A59E2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157B7F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A94B72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1CBCAD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8676EE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未按规定做好缺陷责任期的留守安排。</w:t>
            </w:r>
          </w:p>
        </w:tc>
        <w:tc>
          <w:tcPr>
            <w:tcW w:w="1104" w:type="dxa"/>
            <w:tcBorders>
              <w:top w:val="single" w:color="000000" w:sz="4" w:space="0"/>
              <w:left w:val="single" w:color="000000" w:sz="4" w:space="0"/>
              <w:bottom w:val="single" w:color="000000" w:sz="4" w:space="0"/>
              <w:right w:val="single" w:color="000000" w:sz="4" w:space="0"/>
            </w:tcBorders>
            <w:vAlign w:val="center"/>
          </w:tcPr>
          <w:p w14:paraId="7C9DDA2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B0CB8E1">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2432C7A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1507AFE7">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B.</w:t>
            </w:r>
          </w:p>
          <w:p w14:paraId="50C11C26">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质</w:t>
            </w:r>
          </w:p>
          <w:p w14:paraId="0E6826C9">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量</w:t>
            </w:r>
          </w:p>
          <w:p w14:paraId="7B80F1A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1D526B5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1228D793">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5A53D5E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B18F15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未执</w:t>
            </w:r>
            <w:r>
              <w:rPr>
                <w:rStyle w:val="69"/>
                <w:rFonts w:hint="default" w:ascii="楷体" w:hAnsi="楷体" w:eastAsia="楷体"/>
                <w:color w:val="auto"/>
                <w:highlight w:val="none"/>
                <w:lang w:bidi="ar"/>
              </w:rPr>
              <w:t>行监理人关于缺陷工程修补、修复或返工的指令。</w:t>
            </w:r>
          </w:p>
        </w:tc>
        <w:tc>
          <w:tcPr>
            <w:tcW w:w="1104" w:type="dxa"/>
            <w:tcBorders>
              <w:top w:val="single" w:color="000000" w:sz="4" w:space="0"/>
              <w:left w:val="single" w:color="000000" w:sz="4" w:space="0"/>
              <w:bottom w:val="single" w:color="000000" w:sz="4" w:space="0"/>
              <w:right w:val="single" w:color="000000" w:sz="4" w:space="0"/>
            </w:tcBorders>
            <w:vAlign w:val="center"/>
          </w:tcPr>
          <w:p w14:paraId="3CEBC62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A3ADAB3">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A11A1B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2A571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385027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13677F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EA0009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工序完工后未向监理报验，或未经监理抽检（或同意）就进行下道工序施工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8859CE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58E893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74FB073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BA157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E0C247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E53C16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BFEF15C">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分项工程的施工现场没有技术管理人员</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6C13F9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167B2A8">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78FDA1D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7935B7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35FB9C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5011A4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C201838">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重要工序</w:t>
            </w:r>
            <w:r>
              <w:rPr>
                <w:rStyle w:val="69"/>
                <w:rFonts w:hint="default" w:ascii="楷体" w:hAnsi="楷体" w:eastAsia="楷体"/>
                <w:color w:val="auto"/>
                <w:highlight w:val="none"/>
                <w:lang w:bidi="ar"/>
              </w:rPr>
              <w:t>的施工现场没有技术管理员。</w:t>
            </w:r>
          </w:p>
        </w:tc>
        <w:tc>
          <w:tcPr>
            <w:tcW w:w="1104" w:type="dxa"/>
            <w:tcBorders>
              <w:top w:val="single" w:color="000000" w:sz="4" w:space="0"/>
              <w:left w:val="single" w:color="000000" w:sz="4" w:space="0"/>
              <w:bottom w:val="single" w:color="000000" w:sz="4" w:space="0"/>
              <w:right w:val="single" w:color="000000" w:sz="4" w:space="0"/>
            </w:tcBorders>
            <w:vAlign w:val="center"/>
          </w:tcPr>
          <w:p w14:paraId="01AC418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7EECEB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D9B9EA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63D4BD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39A82A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6F09FB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74A8791">
            <w:pPr>
              <w:widowControl/>
              <w:textAlignment w:val="center"/>
              <w:rPr>
                <w:rFonts w:ascii="楷体" w:hAnsi="楷体" w:eastAsia="楷体" w:cs="仿宋"/>
                <w:color w:val="auto"/>
                <w:szCs w:val="21"/>
                <w:highlight w:val="none"/>
              </w:rPr>
            </w:pPr>
            <w:r>
              <w:rPr>
                <w:rStyle w:val="69"/>
                <w:rFonts w:hint="default" w:ascii="楷体" w:hAnsi="楷体" w:eastAsia="楷体"/>
                <w:color w:val="auto"/>
                <w:highlight w:val="none"/>
                <w:lang w:bidi="ar"/>
              </w:rPr>
              <w:t>没有技术管理员在场而</w:t>
            </w:r>
            <w:r>
              <w:rPr>
                <w:rStyle w:val="69"/>
                <w:rFonts w:hint="eastAsia" w:ascii="楷体" w:hAnsi="楷体" w:eastAsia="楷体"/>
                <w:color w:val="auto"/>
                <w:highlight w:val="none"/>
                <w:lang w:eastAsia="zh-CN" w:bidi="ar"/>
              </w:rPr>
              <w:t>在</w:t>
            </w:r>
            <w:r>
              <w:rPr>
                <w:rStyle w:val="69"/>
                <w:rFonts w:hint="default" w:ascii="楷体" w:hAnsi="楷体" w:eastAsia="楷体"/>
                <w:color w:val="auto"/>
                <w:highlight w:val="none"/>
                <w:lang w:bidi="ar"/>
              </w:rPr>
              <w:t>施工。</w:t>
            </w:r>
          </w:p>
        </w:tc>
        <w:tc>
          <w:tcPr>
            <w:tcW w:w="1104" w:type="dxa"/>
            <w:tcBorders>
              <w:top w:val="single" w:color="000000" w:sz="4" w:space="0"/>
              <w:left w:val="single" w:color="000000" w:sz="4" w:space="0"/>
              <w:bottom w:val="single" w:color="000000" w:sz="4" w:space="0"/>
              <w:right w:val="single" w:color="000000" w:sz="4" w:space="0"/>
            </w:tcBorders>
            <w:vAlign w:val="center"/>
          </w:tcPr>
          <w:p w14:paraId="6649285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69AED0B">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255B34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066E063">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5817F7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2.材料</w:t>
            </w:r>
          </w:p>
        </w:tc>
        <w:tc>
          <w:tcPr>
            <w:tcW w:w="541" w:type="dxa"/>
            <w:tcBorders>
              <w:top w:val="single" w:color="000000" w:sz="4" w:space="0"/>
              <w:left w:val="single" w:color="000000" w:sz="4" w:space="0"/>
              <w:bottom w:val="single" w:color="000000" w:sz="4" w:space="0"/>
              <w:right w:val="single" w:color="000000" w:sz="4" w:space="0"/>
            </w:tcBorders>
            <w:vAlign w:val="center"/>
          </w:tcPr>
          <w:p w14:paraId="29D6D9F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139C95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使用不合格材料或未经检验的材料</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69BD78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7E3B1BD">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5376A7C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1CE977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9F5B9B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DAB678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DBEC18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材料管理混乱，未按要求分类存放、标志和防护</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0316AA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636122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BD8D21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9140D3F">
            <w:pPr>
              <w:jc w:val="center"/>
              <w:rPr>
                <w:rFonts w:ascii="楷体" w:hAnsi="楷体" w:eastAsia="楷体" w:cs="仿宋"/>
                <w:b/>
                <w:color w:val="auto"/>
                <w:szCs w:val="21"/>
                <w:highlight w:val="none"/>
              </w:rPr>
            </w:pPr>
          </w:p>
        </w:tc>
        <w:tc>
          <w:tcPr>
            <w:tcW w:w="827" w:type="dxa"/>
            <w:tcBorders>
              <w:top w:val="single" w:color="000000" w:sz="4" w:space="0"/>
              <w:left w:val="single" w:color="000000" w:sz="4" w:space="0"/>
              <w:bottom w:val="single" w:color="000000" w:sz="4" w:space="0"/>
              <w:right w:val="single" w:color="000000" w:sz="4" w:space="0"/>
            </w:tcBorders>
            <w:vAlign w:val="center"/>
          </w:tcPr>
          <w:p w14:paraId="25B1496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3.设备</w:t>
            </w:r>
          </w:p>
        </w:tc>
        <w:tc>
          <w:tcPr>
            <w:tcW w:w="541" w:type="dxa"/>
            <w:tcBorders>
              <w:top w:val="single" w:color="000000" w:sz="4" w:space="0"/>
              <w:left w:val="single" w:color="000000" w:sz="4" w:space="0"/>
              <w:bottom w:val="single" w:color="000000" w:sz="4" w:space="0"/>
              <w:right w:val="single" w:color="000000" w:sz="4" w:space="0"/>
            </w:tcBorders>
            <w:vAlign w:val="center"/>
          </w:tcPr>
          <w:p w14:paraId="55315B0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998AB8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未按监理人要求增加或更换施工设备，影响工程进度或质量。</w:t>
            </w:r>
          </w:p>
        </w:tc>
        <w:tc>
          <w:tcPr>
            <w:tcW w:w="1104" w:type="dxa"/>
            <w:tcBorders>
              <w:top w:val="single" w:color="000000" w:sz="4" w:space="0"/>
              <w:left w:val="single" w:color="000000" w:sz="4" w:space="0"/>
              <w:bottom w:val="single" w:color="000000" w:sz="4" w:space="0"/>
              <w:right w:val="single" w:color="000000" w:sz="4" w:space="0"/>
            </w:tcBorders>
            <w:vAlign w:val="center"/>
          </w:tcPr>
          <w:p w14:paraId="719865D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80BC8AF">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34AF12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E0B280C">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3BCB8C5">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4.工艺</w:t>
            </w:r>
          </w:p>
        </w:tc>
        <w:tc>
          <w:tcPr>
            <w:tcW w:w="541" w:type="dxa"/>
            <w:tcBorders>
              <w:top w:val="single" w:color="000000" w:sz="4" w:space="0"/>
              <w:left w:val="single" w:color="000000" w:sz="4" w:space="0"/>
              <w:bottom w:val="single" w:color="000000" w:sz="4" w:space="0"/>
              <w:right w:val="single" w:color="000000" w:sz="4" w:space="0"/>
            </w:tcBorders>
            <w:vAlign w:val="center"/>
          </w:tcPr>
          <w:p w14:paraId="07BE9E9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5A7D5E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施工流程或施工工艺违反施工规范而不及时纠正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C7003E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BDB8827">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F8907D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DD7145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8828BE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F3045A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27E74D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实体工程自检合格，</w:t>
            </w:r>
            <w:r>
              <w:rPr>
                <w:rStyle w:val="69"/>
                <w:rFonts w:hint="default" w:ascii="楷体" w:hAnsi="楷体" w:eastAsia="楷体"/>
                <w:color w:val="auto"/>
                <w:highlight w:val="none"/>
                <w:lang w:bidi="ar"/>
              </w:rPr>
              <w:t>但经监理或业主抽检不合格，有弄虚作假嫌疑的。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31B3746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AE3D15E">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605D7E1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53899B9">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303BF8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5.检验</w:t>
            </w:r>
          </w:p>
        </w:tc>
        <w:tc>
          <w:tcPr>
            <w:tcW w:w="541" w:type="dxa"/>
            <w:tcBorders>
              <w:top w:val="single" w:color="000000" w:sz="4" w:space="0"/>
              <w:left w:val="single" w:color="000000" w:sz="4" w:space="0"/>
              <w:bottom w:val="single" w:color="000000" w:sz="4" w:space="0"/>
              <w:right w:val="single" w:color="000000" w:sz="4" w:space="0"/>
            </w:tcBorders>
            <w:vAlign w:val="center"/>
          </w:tcPr>
          <w:p w14:paraId="792A322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F2E53C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试验检测操作未按规定程序进行</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9A443B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E5885E0">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227CC45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677FE2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86FB1D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DD89A1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2A4EA7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检测频</w:t>
            </w:r>
            <w:r>
              <w:rPr>
                <w:rStyle w:val="69"/>
                <w:rFonts w:hint="default" w:ascii="楷体" w:hAnsi="楷体" w:eastAsia="楷体"/>
                <w:color w:val="auto"/>
                <w:highlight w:val="none"/>
                <w:lang w:bidi="ar"/>
              </w:rPr>
              <w:t>率不够，项目不全，报检不及时。</w:t>
            </w:r>
          </w:p>
        </w:tc>
        <w:tc>
          <w:tcPr>
            <w:tcW w:w="1104" w:type="dxa"/>
            <w:tcBorders>
              <w:top w:val="single" w:color="000000" w:sz="4" w:space="0"/>
              <w:left w:val="single" w:color="000000" w:sz="4" w:space="0"/>
              <w:bottom w:val="single" w:color="000000" w:sz="4" w:space="0"/>
              <w:right w:val="single" w:color="000000" w:sz="4" w:space="0"/>
            </w:tcBorders>
            <w:vAlign w:val="center"/>
          </w:tcPr>
          <w:p w14:paraId="1188063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9AB520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51ECD2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D1A3D4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79C800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C95D5B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A211FA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试验仪器、器具逾期未标定</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ABAECA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件</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4C67AB4">
            <w:pPr>
              <w:jc w:val="right"/>
              <w:rPr>
                <w:rFonts w:ascii="楷体" w:hAnsi="楷体" w:eastAsia="楷体"/>
                <w:color w:val="auto"/>
                <w:szCs w:val="21"/>
                <w:highlight w:val="none"/>
              </w:rPr>
            </w:pPr>
            <w:r>
              <w:rPr>
                <w:rFonts w:hint="eastAsia" w:ascii="楷体" w:hAnsi="楷体" w:eastAsia="楷体"/>
                <w:color w:val="auto"/>
                <w:szCs w:val="21"/>
                <w:highlight w:val="none"/>
              </w:rPr>
              <w:t>500</w:t>
            </w:r>
          </w:p>
        </w:tc>
      </w:tr>
      <w:tr w14:paraId="476CB30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C507B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22839A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7447B6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362330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进场设备、材料验收程序不符合规范</w:t>
            </w:r>
            <w:r>
              <w:rPr>
                <w:rFonts w:hint="eastAsia" w:ascii="楷体" w:hAnsi="楷体" w:eastAsia="楷体" w:cs="仿宋"/>
                <w:color w:val="auto"/>
                <w:kern w:val="0"/>
                <w:szCs w:val="21"/>
                <w:highlight w:val="none"/>
                <w:lang w:eastAsia="zh-CN" w:bidi="ar"/>
              </w:rPr>
              <w:t>及项目管理制度</w:t>
            </w:r>
            <w:r>
              <w:rPr>
                <w:rFonts w:hint="eastAsia" w:ascii="楷体" w:hAnsi="楷体" w:eastAsia="楷体" w:cs="仿宋"/>
                <w:color w:val="auto"/>
                <w:kern w:val="0"/>
                <w:szCs w:val="21"/>
                <w:highlight w:val="none"/>
                <w:lang w:bidi="ar"/>
              </w:rPr>
              <w:t>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E1E637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0FA6B7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6DF422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0AD693E">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7CF376E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2546D6E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85D1F5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质量问题整改不力、不及时</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C65FCF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9FFE736">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1130ED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578738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A10EFE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246C40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B41A56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工程质量受到省级主管部门通报批评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A3D48F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0486A4">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540AA01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1FB6EFE6">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0119B5B8">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07B4546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4A1F0EC6">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5E85714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6C05C8C1">
            <w:pPr>
              <w:widowControl/>
              <w:jc w:val="center"/>
              <w:textAlignment w:val="center"/>
              <w:rPr>
                <w:rFonts w:ascii="楷体" w:hAnsi="楷体" w:eastAsia="楷体" w:cs="仿宋"/>
                <w:b/>
                <w:color w:val="auto"/>
                <w:kern w:val="0"/>
                <w:szCs w:val="21"/>
                <w:highlight w:val="none"/>
                <w:lang w:bidi="ar"/>
              </w:rPr>
            </w:pPr>
          </w:p>
          <w:p w14:paraId="69CD8DF3">
            <w:pPr>
              <w:widowControl/>
              <w:jc w:val="center"/>
              <w:textAlignment w:val="center"/>
              <w:rPr>
                <w:rFonts w:ascii="楷体" w:hAnsi="楷体" w:eastAsia="楷体" w:cs="仿宋"/>
                <w:b/>
                <w:color w:val="auto"/>
                <w:kern w:val="0"/>
                <w:szCs w:val="21"/>
                <w:highlight w:val="none"/>
                <w:lang w:bidi="ar"/>
              </w:rPr>
            </w:pPr>
          </w:p>
          <w:p w14:paraId="31936BAB">
            <w:pPr>
              <w:widowControl/>
              <w:jc w:val="center"/>
              <w:textAlignment w:val="center"/>
              <w:rPr>
                <w:rFonts w:ascii="楷体" w:hAnsi="楷体" w:eastAsia="楷体" w:cs="仿宋"/>
                <w:b/>
                <w:color w:val="auto"/>
                <w:kern w:val="0"/>
                <w:szCs w:val="21"/>
                <w:highlight w:val="none"/>
                <w:lang w:bidi="ar"/>
              </w:rPr>
            </w:pPr>
          </w:p>
          <w:p w14:paraId="627BC3E9">
            <w:pPr>
              <w:widowControl/>
              <w:jc w:val="center"/>
              <w:textAlignment w:val="center"/>
              <w:rPr>
                <w:rFonts w:ascii="楷体" w:hAnsi="楷体" w:eastAsia="楷体" w:cs="仿宋"/>
                <w:b/>
                <w:color w:val="auto"/>
                <w:kern w:val="0"/>
                <w:szCs w:val="21"/>
                <w:highlight w:val="none"/>
                <w:lang w:bidi="ar"/>
              </w:rPr>
            </w:pPr>
          </w:p>
          <w:p w14:paraId="66C05320">
            <w:pPr>
              <w:widowControl/>
              <w:jc w:val="center"/>
              <w:textAlignment w:val="center"/>
              <w:rPr>
                <w:rFonts w:ascii="楷体" w:hAnsi="楷体" w:eastAsia="楷体" w:cs="仿宋"/>
                <w:b/>
                <w:color w:val="auto"/>
                <w:kern w:val="0"/>
                <w:szCs w:val="21"/>
                <w:highlight w:val="none"/>
                <w:lang w:bidi="ar"/>
              </w:rPr>
            </w:pPr>
          </w:p>
          <w:p w14:paraId="34A97886">
            <w:pPr>
              <w:widowControl/>
              <w:jc w:val="center"/>
              <w:textAlignment w:val="center"/>
              <w:rPr>
                <w:rFonts w:ascii="楷体" w:hAnsi="楷体" w:eastAsia="楷体" w:cs="仿宋"/>
                <w:b/>
                <w:color w:val="auto"/>
                <w:kern w:val="0"/>
                <w:szCs w:val="21"/>
                <w:highlight w:val="none"/>
                <w:lang w:bidi="ar"/>
              </w:rPr>
            </w:pPr>
          </w:p>
          <w:p w14:paraId="408D631E">
            <w:pPr>
              <w:widowControl/>
              <w:jc w:val="center"/>
              <w:textAlignment w:val="center"/>
              <w:rPr>
                <w:rFonts w:ascii="楷体" w:hAnsi="楷体" w:eastAsia="楷体" w:cs="仿宋"/>
                <w:b/>
                <w:color w:val="auto"/>
                <w:kern w:val="0"/>
                <w:szCs w:val="21"/>
                <w:highlight w:val="none"/>
                <w:lang w:bidi="ar"/>
              </w:rPr>
            </w:pPr>
          </w:p>
          <w:p w14:paraId="6CEE141D">
            <w:pPr>
              <w:widowControl/>
              <w:jc w:val="center"/>
              <w:textAlignment w:val="center"/>
              <w:rPr>
                <w:rFonts w:ascii="楷体" w:hAnsi="楷体" w:eastAsia="楷体" w:cs="仿宋"/>
                <w:b/>
                <w:color w:val="auto"/>
                <w:kern w:val="0"/>
                <w:szCs w:val="21"/>
                <w:highlight w:val="none"/>
                <w:lang w:bidi="ar"/>
              </w:rPr>
            </w:pPr>
          </w:p>
          <w:p w14:paraId="153D99A3">
            <w:pPr>
              <w:widowControl/>
              <w:jc w:val="center"/>
              <w:textAlignment w:val="center"/>
              <w:rPr>
                <w:rFonts w:ascii="楷体" w:hAnsi="楷体" w:eastAsia="楷体" w:cs="仿宋"/>
                <w:b/>
                <w:color w:val="auto"/>
                <w:kern w:val="0"/>
                <w:szCs w:val="21"/>
                <w:highlight w:val="none"/>
                <w:lang w:bidi="ar"/>
              </w:rPr>
            </w:pPr>
          </w:p>
          <w:p w14:paraId="0061BF23">
            <w:pPr>
              <w:widowControl/>
              <w:jc w:val="center"/>
              <w:textAlignment w:val="center"/>
              <w:rPr>
                <w:rFonts w:ascii="楷体" w:hAnsi="楷体" w:eastAsia="楷体" w:cs="仿宋"/>
                <w:b/>
                <w:color w:val="auto"/>
                <w:kern w:val="0"/>
                <w:szCs w:val="21"/>
                <w:highlight w:val="none"/>
                <w:lang w:bidi="ar"/>
              </w:rPr>
            </w:pPr>
          </w:p>
          <w:p w14:paraId="57A6FD35">
            <w:pPr>
              <w:widowControl/>
              <w:jc w:val="center"/>
              <w:textAlignment w:val="center"/>
              <w:rPr>
                <w:rFonts w:ascii="楷体" w:hAnsi="楷体" w:eastAsia="楷体" w:cs="仿宋"/>
                <w:b/>
                <w:color w:val="auto"/>
                <w:kern w:val="0"/>
                <w:szCs w:val="21"/>
                <w:highlight w:val="none"/>
                <w:lang w:bidi="ar"/>
              </w:rPr>
            </w:pPr>
          </w:p>
          <w:p w14:paraId="2231C16F">
            <w:pPr>
              <w:widowControl/>
              <w:jc w:val="center"/>
              <w:textAlignment w:val="center"/>
              <w:rPr>
                <w:rFonts w:ascii="楷体" w:hAnsi="楷体" w:eastAsia="楷体" w:cs="仿宋"/>
                <w:b/>
                <w:color w:val="auto"/>
                <w:kern w:val="0"/>
                <w:szCs w:val="21"/>
                <w:highlight w:val="none"/>
                <w:lang w:bidi="ar"/>
              </w:rPr>
            </w:pPr>
          </w:p>
          <w:p w14:paraId="5576D1F1">
            <w:pPr>
              <w:widowControl/>
              <w:jc w:val="center"/>
              <w:textAlignment w:val="center"/>
              <w:rPr>
                <w:rFonts w:ascii="楷体" w:hAnsi="楷体" w:eastAsia="楷体" w:cs="仿宋"/>
                <w:b/>
                <w:color w:val="auto"/>
                <w:kern w:val="0"/>
                <w:szCs w:val="21"/>
                <w:highlight w:val="none"/>
                <w:lang w:bidi="ar"/>
              </w:rPr>
            </w:pPr>
          </w:p>
          <w:p w14:paraId="39515BEA">
            <w:pPr>
              <w:widowControl/>
              <w:jc w:val="center"/>
              <w:textAlignment w:val="center"/>
              <w:rPr>
                <w:rFonts w:ascii="楷体" w:hAnsi="楷体" w:eastAsia="楷体" w:cs="仿宋"/>
                <w:b/>
                <w:color w:val="auto"/>
                <w:kern w:val="0"/>
                <w:szCs w:val="21"/>
                <w:highlight w:val="none"/>
                <w:lang w:bidi="ar"/>
              </w:rPr>
            </w:pPr>
          </w:p>
          <w:p w14:paraId="21889337">
            <w:pPr>
              <w:widowControl/>
              <w:jc w:val="center"/>
              <w:textAlignment w:val="center"/>
              <w:rPr>
                <w:rFonts w:ascii="楷体" w:hAnsi="楷体" w:eastAsia="楷体" w:cs="仿宋"/>
                <w:b/>
                <w:color w:val="auto"/>
                <w:kern w:val="0"/>
                <w:szCs w:val="21"/>
                <w:highlight w:val="none"/>
                <w:lang w:bidi="ar"/>
              </w:rPr>
            </w:pPr>
          </w:p>
          <w:p w14:paraId="05D6052F">
            <w:pPr>
              <w:widowControl/>
              <w:jc w:val="center"/>
              <w:textAlignment w:val="center"/>
              <w:rPr>
                <w:rFonts w:ascii="楷体" w:hAnsi="楷体" w:eastAsia="楷体" w:cs="仿宋"/>
                <w:b/>
                <w:color w:val="auto"/>
                <w:kern w:val="0"/>
                <w:szCs w:val="21"/>
                <w:highlight w:val="none"/>
                <w:lang w:bidi="ar"/>
              </w:rPr>
            </w:pPr>
          </w:p>
          <w:p w14:paraId="3078DC56">
            <w:pPr>
              <w:widowControl/>
              <w:jc w:val="center"/>
              <w:textAlignment w:val="center"/>
              <w:rPr>
                <w:rFonts w:ascii="楷体" w:hAnsi="楷体" w:eastAsia="楷体" w:cs="仿宋"/>
                <w:b/>
                <w:color w:val="auto"/>
                <w:kern w:val="0"/>
                <w:szCs w:val="21"/>
                <w:highlight w:val="none"/>
                <w:lang w:bidi="ar"/>
              </w:rPr>
            </w:pPr>
          </w:p>
          <w:p w14:paraId="3CEB7200">
            <w:pPr>
              <w:widowControl/>
              <w:jc w:val="center"/>
              <w:textAlignment w:val="center"/>
              <w:rPr>
                <w:rFonts w:ascii="楷体" w:hAnsi="楷体" w:eastAsia="楷体" w:cs="仿宋"/>
                <w:b/>
                <w:color w:val="auto"/>
                <w:kern w:val="0"/>
                <w:szCs w:val="21"/>
                <w:highlight w:val="none"/>
                <w:lang w:bidi="ar"/>
              </w:rPr>
            </w:pPr>
          </w:p>
          <w:p w14:paraId="204EA925">
            <w:pPr>
              <w:widowControl/>
              <w:jc w:val="center"/>
              <w:textAlignment w:val="center"/>
              <w:rPr>
                <w:rFonts w:ascii="楷体" w:hAnsi="楷体" w:eastAsia="楷体" w:cs="仿宋"/>
                <w:b/>
                <w:color w:val="auto"/>
                <w:kern w:val="0"/>
                <w:szCs w:val="21"/>
                <w:highlight w:val="none"/>
                <w:lang w:bidi="ar"/>
              </w:rPr>
            </w:pPr>
          </w:p>
          <w:p w14:paraId="2A10C19F">
            <w:pPr>
              <w:widowControl/>
              <w:jc w:val="center"/>
              <w:textAlignment w:val="center"/>
              <w:rPr>
                <w:rFonts w:ascii="楷体" w:hAnsi="楷体" w:eastAsia="楷体" w:cs="仿宋"/>
                <w:b/>
                <w:color w:val="auto"/>
                <w:kern w:val="0"/>
                <w:szCs w:val="21"/>
                <w:highlight w:val="none"/>
                <w:lang w:bidi="ar"/>
              </w:rPr>
            </w:pPr>
          </w:p>
          <w:p w14:paraId="2FBCB8B7">
            <w:pPr>
              <w:widowControl/>
              <w:jc w:val="center"/>
              <w:textAlignment w:val="center"/>
              <w:rPr>
                <w:rFonts w:ascii="楷体" w:hAnsi="楷体" w:eastAsia="楷体" w:cs="仿宋"/>
                <w:b/>
                <w:color w:val="auto"/>
                <w:kern w:val="0"/>
                <w:szCs w:val="21"/>
                <w:highlight w:val="none"/>
                <w:lang w:bidi="ar"/>
              </w:rPr>
            </w:pPr>
          </w:p>
          <w:p w14:paraId="74EEE5F0">
            <w:pPr>
              <w:widowControl/>
              <w:jc w:val="center"/>
              <w:textAlignment w:val="center"/>
              <w:rPr>
                <w:rFonts w:ascii="楷体" w:hAnsi="楷体" w:eastAsia="楷体" w:cs="仿宋"/>
                <w:b/>
                <w:color w:val="auto"/>
                <w:kern w:val="0"/>
                <w:szCs w:val="21"/>
                <w:highlight w:val="none"/>
                <w:lang w:bidi="ar"/>
              </w:rPr>
            </w:pPr>
          </w:p>
          <w:p w14:paraId="110E897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1BE3A4F4">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6367B8D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021AA163">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07A53BC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2A74A94E">
            <w:pPr>
              <w:widowControl/>
              <w:jc w:val="center"/>
              <w:textAlignment w:val="center"/>
              <w:rPr>
                <w:rFonts w:ascii="楷体" w:hAnsi="楷体" w:eastAsia="楷体" w:cs="仿宋"/>
                <w:b/>
                <w:color w:val="auto"/>
                <w:kern w:val="0"/>
                <w:szCs w:val="21"/>
                <w:highlight w:val="none"/>
                <w:lang w:bidi="ar"/>
              </w:rPr>
            </w:pPr>
          </w:p>
          <w:p w14:paraId="530D56FC">
            <w:pPr>
              <w:widowControl/>
              <w:jc w:val="center"/>
              <w:textAlignment w:val="center"/>
              <w:rPr>
                <w:rFonts w:ascii="楷体" w:hAnsi="楷体" w:eastAsia="楷体" w:cs="仿宋"/>
                <w:b/>
                <w:color w:val="auto"/>
                <w:kern w:val="0"/>
                <w:szCs w:val="21"/>
                <w:highlight w:val="none"/>
                <w:lang w:bidi="ar"/>
              </w:rPr>
            </w:pPr>
          </w:p>
          <w:p w14:paraId="0DFB4298">
            <w:pPr>
              <w:widowControl/>
              <w:jc w:val="center"/>
              <w:textAlignment w:val="center"/>
              <w:rPr>
                <w:rFonts w:ascii="楷体" w:hAnsi="楷体" w:eastAsia="楷体" w:cs="仿宋"/>
                <w:b/>
                <w:color w:val="auto"/>
                <w:kern w:val="0"/>
                <w:szCs w:val="21"/>
                <w:highlight w:val="none"/>
                <w:lang w:bidi="ar"/>
              </w:rPr>
            </w:pPr>
          </w:p>
          <w:p w14:paraId="08F9FB66">
            <w:pPr>
              <w:widowControl/>
              <w:jc w:val="center"/>
              <w:textAlignment w:val="center"/>
              <w:rPr>
                <w:rFonts w:ascii="楷体" w:hAnsi="楷体" w:eastAsia="楷体" w:cs="仿宋"/>
                <w:b/>
                <w:color w:val="auto"/>
                <w:kern w:val="0"/>
                <w:szCs w:val="21"/>
                <w:highlight w:val="none"/>
                <w:lang w:bidi="ar"/>
              </w:rPr>
            </w:pPr>
          </w:p>
          <w:p w14:paraId="6D737475">
            <w:pPr>
              <w:widowControl/>
              <w:jc w:val="center"/>
              <w:textAlignment w:val="center"/>
              <w:rPr>
                <w:rFonts w:ascii="楷体" w:hAnsi="楷体" w:eastAsia="楷体" w:cs="仿宋"/>
                <w:b/>
                <w:color w:val="auto"/>
                <w:kern w:val="0"/>
                <w:szCs w:val="21"/>
                <w:highlight w:val="none"/>
                <w:lang w:bidi="ar"/>
              </w:rPr>
            </w:pPr>
          </w:p>
          <w:p w14:paraId="5E892AFD">
            <w:pPr>
              <w:widowControl/>
              <w:jc w:val="center"/>
              <w:textAlignment w:val="center"/>
              <w:rPr>
                <w:rFonts w:ascii="楷体" w:hAnsi="楷体" w:eastAsia="楷体" w:cs="仿宋"/>
                <w:b/>
                <w:color w:val="auto"/>
                <w:kern w:val="0"/>
                <w:szCs w:val="21"/>
                <w:highlight w:val="none"/>
                <w:lang w:bidi="ar"/>
              </w:rPr>
            </w:pPr>
          </w:p>
          <w:p w14:paraId="2ADB518F">
            <w:pPr>
              <w:widowControl/>
              <w:jc w:val="center"/>
              <w:textAlignment w:val="center"/>
              <w:rPr>
                <w:rFonts w:ascii="楷体" w:hAnsi="楷体" w:eastAsia="楷体" w:cs="仿宋"/>
                <w:b/>
                <w:color w:val="auto"/>
                <w:kern w:val="0"/>
                <w:szCs w:val="21"/>
                <w:highlight w:val="none"/>
                <w:lang w:bidi="ar"/>
              </w:rPr>
            </w:pPr>
          </w:p>
          <w:p w14:paraId="3D1E6C11">
            <w:pPr>
              <w:widowControl/>
              <w:jc w:val="center"/>
              <w:textAlignment w:val="center"/>
              <w:rPr>
                <w:rFonts w:ascii="楷体" w:hAnsi="楷体" w:eastAsia="楷体" w:cs="仿宋"/>
                <w:b/>
                <w:color w:val="auto"/>
                <w:kern w:val="0"/>
                <w:szCs w:val="21"/>
                <w:highlight w:val="none"/>
                <w:lang w:bidi="ar"/>
              </w:rPr>
            </w:pPr>
          </w:p>
          <w:p w14:paraId="32911DAA">
            <w:pPr>
              <w:widowControl/>
              <w:jc w:val="center"/>
              <w:textAlignment w:val="center"/>
              <w:rPr>
                <w:rFonts w:ascii="楷体" w:hAnsi="楷体" w:eastAsia="楷体" w:cs="仿宋"/>
                <w:b/>
                <w:color w:val="auto"/>
                <w:kern w:val="0"/>
                <w:szCs w:val="21"/>
                <w:highlight w:val="none"/>
                <w:lang w:bidi="ar"/>
              </w:rPr>
            </w:pPr>
          </w:p>
          <w:p w14:paraId="34EA3692">
            <w:pPr>
              <w:widowControl/>
              <w:jc w:val="center"/>
              <w:textAlignment w:val="center"/>
              <w:rPr>
                <w:rFonts w:ascii="楷体" w:hAnsi="楷体" w:eastAsia="楷体" w:cs="仿宋"/>
                <w:b/>
                <w:color w:val="auto"/>
                <w:kern w:val="0"/>
                <w:szCs w:val="21"/>
                <w:highlight w:val="none"/>
                <w:lang w:bidi="ar"/>
              </w:rPr>
            </w:pPr>
          </w:p>
          <w:p w14:paraId="57C33273">
            <w:pPr>
              <w:widowControl/>
              <w:jc w:val="center"/>
              <w:textAlignment w:val="center"/>
              <w:rPr>
                <w:rFonts w:ascii="楷体" w:hAnsi="楷体" w:eastAsia="楷体" w:cs="仿宋"/>
                <w:b/>
                <w:color w:val="auto"/>
                <w:kern w:val="0"/>
                <w:szCs w:val="21"/>
                <w:highlight w:val="none"/>
                <w:lang w:bidi="ar"/>
              </w:rPr>
            </w:pPr>
          </w:p>
          <w:p w14:paraId="364F1E7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24C9C42C">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468190EF">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39E15233">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18CB3F8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5670A7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265500F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31BDC7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分部分项工程施工安全方案未向施工班组交底或</w:t>
            </w:r>
            <w:r>
              <w:rPr>
                <w:rFonts w:hint="eastAsia" w:ascii="楷体" w:hAnsi="楷体" w:eastAsia="楷体" w:cs="仿宋"/>
                <w:color w:val="auto"/>
                <w:kern w:val="0"/>
                <w:szCs w:val="21"/>
                <w:highlight w:val="none"/>
                <w:lang w:eastAsia="zh-CN" w:bidi="ar"/>
              </w:rPr>
              <w:t>方</w:t>
            </w:r>
            <w:r>
              <w:rPr>
                <w:rFonts w:hint="eastAsia" w:ascii="楷体" w:hAnsi="楷体" w:eastAsia="楷体" w:cs="仿宋"/>
                <w:color w:val="auto"/>
                <w:kern w:val="0"/>
                <w:szCs w:val="21"/>
                <w:highlight w:val="none"/>
                <w:lang w:val="en-US" w:eastAsia="zh-CN" w:bidi="ar"/>
              </w:rPr>
              <w:t>案未履行审批手续先行施工的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5A2F51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A4AC104">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0C5A4AA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D276DB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857764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A3ACE1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B77BDC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安全生产体系</w:t>
            </w:r>
            <w:r>
              <w:rPr>
                <w:rFonts w:hint="eastAsia" w:ascii="楷体" w:hAnsi="楷体" w:eastAsia="楷体" w:cs="仿宋"/>
                <w:color w:val="auto"/>
                <w:kern w:val="0"/>
                <w:szCs w:val="21"/>
                <w:highlight w:val="none"/>
                <w:lang w:eastAsia="zh-CN" w:bidi="ar"/>
              </w:rPr>
              <w:t>（制度）</w:t>
            </w:r>
            <w:r>
              <w:rPr>
                <w:rFonts w:hint="eastAsia" w:ascii="楷体" w:hAnsi="楷体" w:eastAsia="楷体" w:cs="仿宋"/>
                <w:color w:val="auto"/>
                <w:kern w:val="0"/>
                <w:szCs w:val="21"/>
                <w:highlight w:val="none"/>
                <w:lang w:bidi="ar"/>
              </w:rPr>
              <w:t>不健全又未按要求完善整改的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37A1D7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F14B4B5">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8AC5B9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BAB99B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B124E1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3FE735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F84632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未按要求逐级签订年度安全责任书。</w:t>
            </w:r>
          </w:p>
        </w:tc>
        <w:tc>
          <w:tcPr>
            <w:tcW w:w="1104" w:type="dxa"/>
            <w:tcBorders>
              <w:top w:val="single" w:color="000000" w:sz="4" w:space="0"/>
              <w:left w:val="single" w:color="000000" w:sz="4" w:space="0"/>
              <w:bottom w:val="single" w:color="000000" w:sz="4" w:space="0"/>
              <w:right w:val="single" w:color="000000" w:sz="4" w:space="0"/>
            </w:tcBorders>
            <w:vAlign w:val="center"/>
          </w:tcPr>
          <w:p w14:paraId="23019CF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52EDBD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4DC11B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FC88AD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E2339F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5BB291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5739B2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未建立健全安全生产应急预案，或未在规定期间内组织预案演练。</w:t>
            </w:r>
          </w:p>
        </w:tc>
        <w:tc>
          <w:tcPr>
            <w:tcW w:w="1104" w:type="dxa"/>
            <w:tcBorders>
              <w:top w:val="single" w:color="000000" w:sz="4" w:space="0"/>
              <w:left w:val="single" w:color="000000" w:sz="4" w:space="0"/>
              <w:bottom w:val="single" w:color="000000" w:sz="4" w:space="0"/>
              <w:right w:val="single" w:color="000000" w:sz="4" w:space="0"/>
            </w:tcBorders>
            <w:vAlign w:val="center"/>
          </w:tcPr>
          <w:p w14:paraId="75297FE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485DD4E">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D043AF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8783E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E8457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641C17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521AB6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对业主</w:t>
            </w:r>
            <w:r>
              <w:rPr>
                <w:rFonts w:hint="eastAsia" w:ascii="楷体" w:hAnsi="楷体" w:eastAsia="楷体" w:cs="仿宋"/>
                <w:color w:val="auto"/>
                <w:kern w:val="0"/>
                <w:szCs w:val="21"/>
                <w:highlight w:val="none"/>
                <w:lang w:eastAsia="zh-CN" w:bidi="ar"/>
              </w:rPr>
              <w:t>、代建单位</w:t>
            </w:r>
            <w:r>
              <w:rPr>
                <w:rFonts w:hint="eastAsia" w:ascii="楷体" w:hAnsi="楷体" w:eastAsia="楷体" w:cs="仿宋"/>
                <w:color w:val="auto"/>
                <w:kern w:val="0"/>
                <w:szCs w:val="21"/>
                <w:highlight w:val="none"/>
                <w:lang w:bidi="ar"/>
              </w:rPr>
              <w:t>或监理发出的隐患整改通知书未及时回复或按期整改。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0C7D137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BAE8DDF">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E7D027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CDEB70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AA5034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F71FB0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338BD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安全隐患整改弄虚作假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B24AA6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5C1914E">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5D30D02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F694E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18185A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E7D6D4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64C918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未按要求编</w:t>
            </w:r>
            <w:r>
              <w:rPr>
                <w:rStyle w:val="69"/>
                <w:rFonts w:hint="default" w:ascii="楷体" w:hAnsi="楷体" w:eastAsia="楷体"/>
                <w:color w:val="auto"/>
                <w:highlight w:val="none"/>
                <w:lang w:bidi="ar"/>
              </w:rPr>
              <w:t>制安全专项施工方案，</w:t>
            </w:r>
            <w:r>
              <w:rPr>
                <w:rStyle w:val="69"/>
                <w:rFonts w:hint="eastAsia" w:ascii="楷体" w:hAnsi="楷体" w:eastAsia="楷体"/>
                <w:color w:val="auto"/>
                <w:highlight w:val="none"/>
                <w:lang w:val="en-US" w:eastAsia="zh-CN" w:bidi="ar"/>
              </w:rPr>
              <w:t>需组织专家评审而</w:t>
            </w:r>
            <w:r>
              <w:rPr>
                <w:rStyle w:val="69"/>
                <w:rFonts w:hint="default" w:ascii="楷体" w:hAnsi="楷体" w:eastAsia="楷体"/>
                <w:color w:val="auto"/>
                <w:highlight w:val="none"/>
                <w:lang w:bidi="ar"/>
              </w:rPr>
              <w:t>未组织专家评审。</w:t>
            </w:r>
          </w:p>
        </w:tc>
        <w:tc>
          <w:tcPr>
            <w:tcW w:w="1104" w:type="dxa"/>
            <w:tcBorders>
              <w:top w:val="single" w:color="000000" w:sz="4" w:space="0"/>
              <w:left w:val="single" w:color="000000" w:sz="4" w:space="0"/>
              <w:bottom w:val="single" w:color="000000" w:sz="4" w:space="0"/>
              <w:right w:val="single" w:color="000000" w:sz="4" w:space="0"/>
            </w:tcBorders>
            <w:vAlign w:val="center"/>
          </w:tcPr>
          <w:p w14:paraId="12A9D33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09D41F0">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306303F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809102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C52549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A9D1F6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286078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工程船舶未按规定办法审核批准手续</w:t>
            </w:r>
            <w:r>
              <w:rPr>
                <w:rStyle w:val="69"/>
                <w:rFonts w:hint="default" w:ascii="楷体" w:hAnsi="楷体" w:eastAsia="楷体"/>
                <w:color w:val="auto"/>
                <w:highlight w:val="none"/>
                <w:lang w:bidi="ar"/>
              </w:rPr>
              <w:t>而擅自施工的。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6630D8D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艘.天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FCC15A9">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067A22D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6C37EA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9A8FC3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3D4D0B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E4E796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特种设备或其它应检验设施、材料未经过相关部门检查合格</w:t>
            </w:r>
            <w:r>
              <w:rPr>
                <w:rFonts w:hint="eastAsia" w:ascii="楷体" w:hAnsi="楷体" w:eastAsia="楷体" w:cs="仿宋"/>
                <w:color w:val="auto"/>
                <w:kern w:val="0"/>
                <w:szCs w:val="21"/>
                <w:highlight w:val="none"/>
                <w:lang w:eastAsia="zh-CN" w:bidi="ar"/>
              </w:rPr>
              <w:t>或未办理审核批准手续</w:t>
            </w:r>
            <w:r>
              <w:rPr>
                <w:rStyle w:val="69"/>
                <w:rFonts w:hint="default" w:ascii="楷体" w:hAnsi="楷体" w:eastAsia="楷体"/>
                <w:color w:val="auto"/>
                <w:highlight w:val="none"/>
                <w:lang w:bidi="ar"/>
              </w:rPr>
              <w:t>而直接施工作业。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42F5A42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台</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A9A420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F99AE1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492848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8218C9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EFD5B4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5B28F6F">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发生安全事故后未按规定时限和程序上报，或</w:t>
            </w:r>
            <w:r>
              <w:rPr>
                <w:rStyle w:val="69"/>
                <w:rFonts w:hint="default" w:ascii="楷体" w:hAnsi="楷体" w:eastAsia="楷体"/>
                <w:color w:val="auto"/>
                <w:highlight w:val="none"/>
                <w:lang w:bidi="ar"/>
              </w:rPr>
              <w:t>隐瞒事故不报。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43EED09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B7126DD">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1AAC06E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848AC6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8B9E62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3098DF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2E034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安全生产措施费用未按照规定做好计划或审报。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1EFDEB5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A92DA9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05A96E1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67333B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D75462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988BC78">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E4C27D6">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安全生产</w:t>
            </w:r>
            <w:r>
              <w:rPr>
                <w:rFonts w:hint="eastAsia" w:ascii="楷体" w:hAnsi="楷体" w:eastAsia="楷体" w:cs="仿宋"/>
                <w:color w:val="auto"/>
                <w:kern w:val="0"/>
                <w:szCs w:val="21"/>
                <w:highlight w:val="none"/>
                <w:lang w:val="en-US" w:eastAsia="zh-CN" w:bidi="ar"/>
              </w:rPr>
              <w:t>检查、会议、考核，教育培训等未按上级部门关于安全生产工作的部署和要求执行落实的。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3CD58555">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BE3894">
            <w:pPr>
              <w:jc w:val="right"/>
              <w:rPr>
                <w:rFonts w:ascii="楷体" w:hAnsi="楷体" w:eastAsia="楷体"/>
                <w:color w:val="auto"/>
                <w:szCs w:val="21"/>
                <w:highlight w:val="none"/>
              </w:rPr>
            </w:pPr>
            <w:r>
              <w:rPr>
                <w:rFonts w:hint="eastAsia" w:ascii="楷体" w:hAnsi="楷体" w:eastAsia="楷体"/>
                <w:color w:val="auto"/>
                <w:szCs w:val="21"/>
                <w:highlight w:val="none"/>
              </w:rPr>
              <w:t>1,000　</w:t>
            </w:r>
          </w:p>
        </w:tc>
      </w:tr>
      <w:tr w14:paraId="1B20188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88BC4B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BACB44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D3ACDAB">
            <w:pPr>
              <w:widowControl/>
              <w:jc w:val="center"/>
              <w:textAlignment w:val="center"/>
              <w:rPr>
                <w:rFonts w:hint="eastAsia"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F11E6BE">
            <w:pPr>
              <w:widowControl/>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被上级部门监督检查、暗访</w:t>
            </w:r>
            <w:r>
              <w:rPr>
                <w:rFonts w:hint="eastAsia" w:ascii="楷体" w:hAnsi="楷体" w:eastAsia="楷体" w:cs="仿宋"/>
                <w:color w:val="auto"/>
                <w:kern w:val="0"/>
                <w:szCs w:val="21"/>
                <w:highlight w:val="none"/>
                <w:lang w:eastAsia="zh-CN" w:bidi="ar"/>
              </w:rPr>
              <w:t>，因</w:t>
            </w:r>
            <w:r>
              <w:rPr>
                <w:rFonts w:hint="eastAsia" w:ascii="楷体" w:hAnsi="楷体" w:eastAsia="楷体" w:cs="仿宋"/>
                <w:color w:val="auto"/>
                <w:kern w:val="0"/>
                <w:szCs w:val="21"/>
                <w:highlight w:val="none"/>
                <w:lang w:bidi="ar"/>
              </w:rPr>
              <w:t>违反法律法规等</w:t>
            </w:r>
            <w:r>
              <w:rPr>
                <w:rFonts w:hint="eastAsia" w:ascii="楷体" w:hAnsi="楷体" w:eastAsia="楷体" w:cs="仿宋"/>
                <w:color w:val="auto"/>
                <w:kern w:val="0"/>
                <w:szCs w:val="21"/>
                <w:highlight w:val="none"/>
                <w:lang w:eastAsia="zh-CN" w:bidi="ar"/>
              </w:rPr>
              <w:t>受到警告、</w:t>
            </w:r>
            <w:r>
              <w:rPr>
                <w:rFonts w:hint="eastAsia" w:ascii="楷体" w:hAnsi="楷体" w:eastAsia="楷体" w:cs="仿宋"/>
                <w:color w:val="auto"/>
                <w:kern w:val="0"/>
                <w:szCs w:val="21"/>
                <w:highlight w:val="none"/>
                <w:lang w:bidi="ar"/>
              </w:rPr>
              <w:t>通报批评</w:t>
            </w:r>
            <w:r>
              <w:rPr>
                <w:rFonts w:hint="eastAsia" w:ascii="楷体" w:hAnsi="楷体" w:eastAsia="楷体" w:cs="仿宋"/>
                <w:color w:val="auto"/>
                <w:kern w:val="0"/>
                <w:szCs w:val="21"/>
                <w:highlight w:val="none"/>
                <w:lang w:eastAsia="zh-CN" w:bidi="ar"/>
              </w:rPr>
              <w:t>等行政处罚</w:t>
            </w:r>
            <w:r>
              <w:rPr>
                <w:rFonts w:hint="eastAsia" w:ascii="楷体" w:hAnsi="楷体" w:eastAsia="楷体" w:cs="仿宋"/>
                <w:color w:val="auto"/>
                <w:kern w:val="0"/>
                <w:szCs w:val="21"/>
                <w:highlight w:val="none"/>
                <w:lang w:bidi="ar"/>
              </w:rPr>
              <w:t>导致建设</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代建</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单位财产或名誉受损的</w:t>
            </w:r>
            <w:r>
              <w:rPr>
                <w:rFonts w:hint="eastAsia" w:ascii="楷体" w:hAnsi="楷体" w:eastAsia="楷体" w:cs="仿宋"/>
                <w:color w:val="auto"/>
                <w:kern w:val="0"/>
                <w:szCs w:val="21"/>
                <w:highlight w:val="none"/>
                <w:lang w:val="en-US" w:eastAsia="zh-CN"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DD6CAD7">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8E6CD35">
            <w:pPr>
              <w:jc w:val="righ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w:t>
            </w:r>
          </w:p>
        </w:tc>
      </w:tr>
      <w:tr w14:paraId="4A23056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5CF3569">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650FE2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tcBorders>
              <w:top w:val="single" w:color="000000" w:sz="4" w:space="0"/>
              <w:left w:val="single" w:color="000000" w:sz="4" w:space="0"/>
              <w:bottom w:val="single" w:color="000000" w:sz="4" w:space="0"/>
              <w:right w:val="single" w:color="000000" w:sz="4" w:space="0"/>
            </w:tcBorders>
            <w:vAlign w:val="center"/>
          </w:tcPr>
          <w:p w14:paraId="76A2DE8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05604E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未按要求组织新进场施工人员上岗前安全教育、班前教育、安全技术交</w:t>
            </w:r>
            <w:r>
              <w:rPr>
                <w:rStyle w:val="69"/>
                <w:rFonts w:hint="default" w:ascii="楷体" w:hAnsi="楷体" w:eastAsia="楷体"/>
                <w:color w:val="auto"/>
                <w:highlight w:val="none"/>
                <w:lang w:bidi="ar"/>
              </w:rPr>
              <w:t>底。</w:t>
            </w:r>
          </w:p>
        </w:tc>
        <w:tc>
          <w:tcPr>
            <w:tcW w:w="1104" w:type="dxa"/>
            <w:tcBorders>
              <w:top w:val="single" w:color="000000" w:sz="4" w:space="0"/>
              <w:left w:val="single" w:color="000000" w:sz="4" w:space="0"/>
              <w:bottom w:val="single" w:color="000000" w:sz="4" w:space="0"/>
              <w:right w:val="single" w:color="000000" w:sz="4" w:space="0"/>
            </w:tcBorders>
            <w:vAlign w:val="center"/>
          </w:tcPr>
          <w:p w14:paraId="1FE766B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75AE3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2EC08E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7D60A8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0DFFF6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2DA4C0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EA11C4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施工点无安全管理员，或</w:t>
            </w:r>
            <w:r>
              <w:rPr>
                <w:rStyle w:val="69"/>
                <w:rFonts w:hint="default" w:ascii="楷体" w:hAnsi="楷体" w:eastAsia="楷体"/>
                <w:color w:val="auto"/>
                <w:highlight w:val="none"/>
                <w:lang w:bidi="ar"/>
              </w:rPr>
              <w:t>安全大检查时安全管理人员不在岗。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58C8706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58CADA5">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5D0F09A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56B0DF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233544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06B4BB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7FA373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起重吊装作业未安排司索指挥人员和安全管理人员在场。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10EA1DF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4E33B6D">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2DEA7C0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55EBC3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425C49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F84CDE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161E99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施工作业人员未按规定佩戴安全防护用品。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68912FB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5797620">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089A3B6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418FBB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036EB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0A0AB1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31FDB4E">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施工作业现场使用的安全防护用品无检验合格证</w:t>
            </w:r>
            <w:r>
              <w:rPr>
                <w:rFonts w:hint="eastAsia" w:ascii="楷体" w:hAnsi="楷体" w:eastAsia="楷体" w:cs="仿宋"/>
                <w:color w:val="auto"/>
                <w:szCs w:val="21"/>
                <w:highlight w:val="none"/>
                <w:lang w:eastAsia="zh-CN"/>
              </w:rPr>
              <w:t>或属于不合格产品。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17DCB1BE">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65A8BE8">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F926EA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5F500B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C3D1AA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5E2614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DE937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特种设备作业人员违规作业。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2FF2D7B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863950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05CD624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FFC93A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9A5D8B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99CB82C">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95B6715">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特种人员无证上岗。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477738E9">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CE7141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6277BF5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03A9E8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DCF076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A8F2A73">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6755CF4">
            <w:pPr>
              <w:snapToGrid w:val="0"/>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安全部长未按要求参加安全生产会议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59003B9A">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CD9EA5F">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633C1F0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18BE10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7309DD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68563E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7265D23">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安全部长在发包人安全检查时不在位</w:t>
            </w:r>
          </w:p>
        </w:tc>
        <w:tc>
          <w:tcPr>
            <w:tcW w:w="1104" w:type="dxa"/>
            <w:tcBorders>
              <w:top w:val="single" w:color="000000" w:sz="4" w:space="0"/>
              <w:left w:val="single" w:color="000000" w:sz="4" w:space="0"/>
              <w:bottom w:val="single" w:color="000000" w:sz="4" w:space="0"/>
              <w:right w:val="single" w:color="000000" w:sz="4" w:space="0"/>
            </w:tcBorders>
            <w:vAlign w:val="center"/>
          </w:tcPr>
          <w:p w14:paraId="3A5FA4DD">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049BA6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47CDC5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513652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AF13C1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10CCE4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070ADCE">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防汛</w:t>
            </w:r>
            <w:r>
              <w:rPr>
                <w:rFonts w:hint="eastAsia" w:ascii="楷体" w:hAnsi="楷体" w:eastAsia="楷体" w:cs="仿宋"/>
                <w:color w:val="auto"/>
                <w:szCs w:val="21"/>
                <w:highlight w:val="none"/>
                <w:lang w:eastAsia="zh-CN"/>
              </w:rPr>
              <w:t>及节假日</w:t>
            </w:r>
            <w:r>
              <w:rPr>
                <w:rFonts w:hint="eastAsia" w:ascii="楷体" w:hAnsi="楷体" w:eastAsia="楷体" w:cs="仿宋"/>
                <w:color w:val="auto"/>
                <w:szCs w:val="21"/>
                <w:highlight w:val="none"/>
              </w:rPr>
              <w:t>值班电话无人接听，值班领导不在施工现场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453D4A6E">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5F0E45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32711C5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E7A7EE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9A1AFB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8C2FA97">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C21</w:t>
            </w:r>
            <w:r>
              <w:rPr>
                <w:rFonts w:hint="eastAsia" w:ascii="楷体" w:hAnsi="楷体" w:eastAsia="楷体" w:cs="仿宋"/>
                <w:color w:val="auto"/>
                <w:szCs w:val="21"/>
                <w:highlight w:val="none"/>
                <w:lang w:val="en-US" w:eastAsia="zh-CN"/>
              </w:rPr>
              <w:t>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A946942">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项目未按要求执行领导带班工作。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117EEF48">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647385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r w14:paraId="61C9D95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384AA36">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77FFA93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3.作业</w:t>
            </w:r>
          </w:p>
        </w:tc>
        <w:tc>
          <w:tcPr>
            <w:tcW w:w="541" w:type="dxa"/>
            <w:tcBorders>
              <w:top w:val="single" w:color="000000" w:sz="4" w:space="0"/>
              <w:left w:val="single" w:color="000000" w:sz="4" w:space="0"/>
              <w:bottom w:val="single" w:color="000000" w:sz="4" w:space="0"/>
              <w:right w:val="single" w:color="000000" w:sz="4" w:space="0"/>
            </w:tcBorders>
            <w:vAlign w:val="center"/>
          </w:tcPr>
          <w:p w14:paraId="4575932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1129A8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施工临时用电未按规定执行，存在违规作业行为，且不及时整改</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739856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5BFFE09">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40B14C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915245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3BEF6D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254A22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605829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动火</w:t>
            </w:r>
            <w:r>
              <w:rPr>
                <w:rFonts w:hint="eastAsia" w:ascii="楷体" w:hAnsi="楷体" w:eastAsia="楷体" w:cs="仿宋"/>
                <w:color w:val="auto"/>
                <w:kern w:val="0"/>
                <w:szCs w:val="21"/>
                <w:highlight w:val="none"/>
                <w:lang w:eastAsia="zh-CN" w:bidi="ar"/>
              </w:rPr>
              <w:t>等特殊作业未办理作业票或作业</w:t>
            </w:r>
            <w:r>
              <w:rPr>
                <w:rFonts w:hint="eastAsia" w:ascii="楷体" w:hAnsi="楷体" w:eastAsia="楷体" w:cs="仿宋"/>
                <w:color w:val="auto"/>
                <w:kern w:val="0"/>
                <w:szCs w:val="21"/>
                <w:highlight w:val="none"/>
                <w:lang w:bidi="ar"/>
              </w:rPr>
              <w:t>未按规定</w:t>
            </w:r>
            <w:r>
              <w:rPr>
                <w:rStyle w:val="69"/>
                <w:rFonts w:hint="default" w:ascii="楷体" w:hAnsi="楷体" w:eastAsia="楷体"/>
                <w:color w:val="auto"/>
                <w:highlight w:val="none"/>
                <w:lang w:bidi="ar"/>
              </w:rPr>
              <w:t>执行，存在违规作业行为</w:t>
            </w:r>
            <w:r>
              <w:rPr>
                <w:rStyle w:val="69"/>
                <w:rFonts w:hint="eastAsia" w:ascii="楷体" w:hAnsi="楷体" w:eastAsia="楷体"/>
                <w:color w:val="auto"/>
                <w:highlight w:val="none"/>
                <w:lang w:eastAsia="zh-CN" w:bidi="ar"/>
              </w:rPr>
              <w:t>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DE4690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427095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4F18BDE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9C20C9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EE68C9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C46177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284C51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施工作业违反安全操作规程且不及时纠正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A9F919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0526308">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0D3D019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DFE4AE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0A47EF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CF6FE7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2B8415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爆破作业及其它作业未按照专项方案内容进行，违反施工安全技术规程或未采取保护措施。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1DBAEAF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A8F89D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D79607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B3730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ADA0BE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DF60C4D">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C305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4FFC121">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野蛮施工导致水利枢纽设施损坏（破坏）</w:t>
            </w:r>
          </w:p>
        </w:tc>
        <w:tc>
          <w:tcPr>
            <w:tcW w:w="1104" w:type="dxa"/>
            <w:tcBorders>
              <w:top w:val="single" w:color="000000" w:sz="4" w:space="0"/>
              <w:left w:val="single" w:color="000000" w:sz="4" w:space="0"/>
              <w:bottom w:val="single" w:color="000000" w:sz="4" w:space="0"/>
              <w:right w:val="single" w:color="000000" w:sz="4" w:space="0"/>
            </w:tcBorders>
            <w:vAlign w:val="center"/>
          </w:tcPr>
          <w:p w14:paraId="613AC4F8">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6357118">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3E42A04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59A3EF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28CDD5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A9C0DB9">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7A45F99">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拆除</w:t>
            </w:r>
            <w:r>
              <w:rPr>
                <w:rFonts w:hint="eastAsia" w:ascii="楷体" w:hAnsi="楷体" w:eastAsia="楷体" w:cs="仿宋"/>
                <w:color w:val="auto"/>
                <w:szCs w:val="21"/>
                <w:highlight w:val="none"/>
                <w:lang w:eastAsia="zh-CN"/>
              </w:rPr>
              <w:t>、交叉、起重吊装等特殊</w:t>
            </w:r>
            <w:r>
              <w:rPr>
                <w:rFonts w:hint="eastAsia" w:ascii="楷体" w:hAnsi="楷体" w:eastAsia="楷体" w:cs="仿宋"/>
                <w:color w:val="auto"/>
                <w:szCs w:val="21"/>
                <w:highlight w:val="none"/>
              </w:rPr>
              <w:t>作业未按施工方案组织施工，无安全员值守，无设置安全警戒区域。</w:t>
            </w:r>
          </w:p>
        </w:tc>
        <w:tc>
          <w:tcPr>
            <w:tcW w:w="1104" w:type="dxa"/>
            <w:tcBorders>
              <w:top w:val="single" w:color="000000" w:sz="4" w:space="0"/>
              <w:left w:val="single" w:color="000000" w:sz="4" w:space="0"/>
              <w:bottom w:val="single" w:color="000000" w:sz="4" w:space="0"/>
              <w:right w:val="single" w:color="000000" w:sz="4" w:space="0"/>
            </w:tcBorders>
            <w:vAlign w:val="center"/>
          </w:tcPr>
          <w:p w14:paraId="6953FCEE">
            <w:pPr>
              <w:snapToGrid w:val="0"/>
              <w:ind w:firstLine="331"/>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9B38C0">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716803F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F03B01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C112D3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A10B59C">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2FDD216">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危险性较大的分部分项工程</w:t>
            </w:r>
            <w:r>
              <w:rPr>
                <w:rFonts w:hint="eastAsia" w:ascii="楷体" w:hAnsi="楷体" w:eastAsia="楷体" w:cs="仿宋"/>
                <w:color w:val="auto"/>
                <w:szCs w:val="21"/>
                <w:highlight w:val="none"/>
              </w:rPr>
              <w:t>施工时未落实安全专项方案</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rPr>
              <w:t>无安全</w:t>
            </w:r>
            <w:r>
              <w:rPr>
                <w:rFonts w:hint="eastAsia" w:ascii="楷体" w:hAnsi="楷体" w:eastAsia="楷体" w:cs="仿宋"/>
                <w:color w:val="auto"/>
                <w:szCs w:val="21"/>
                <w:highlight w:val="none"/>
                <w:lang w:eastAsia="zh-CN"/>
              </w:rPr>
              <w:t>和技术人</w:t>
            </w:r>
            <w:r>
              <w:rPr>
                <w:rFonts w:hint="eastAsia" w:ascii="楷体" w:hAnsi="楷体" w:eastAsia="楷体" w:cs="仿宋"/>
                <w:color w:val="auto"/>
                <w:szCs w:val="21"/>
                <w:highlight w:val="none"/>
              </w:rPr>
              <w:t>员值守，</w:t>
            </w:r>
            <w:r>
              <w:rPr>
                <w:rFonts w:hint="eastAsia" w:ascii="楷体" w:hAnsi="楷体" w:eastAsia="楷体" w:cs="仿宋"/>
                <w:color w:val="auto"/>
                <w:szCs w:val="21"/>
                <w:highlight w:val="none"/>
                <w:lang w:eastAsia="zh-CN"/>
              </w:rPr>
              <w:t>项目技术负责人未定期巡查</w:t>
            </w:r>
            <w:r>
              <w:rPr>
                <w:rFonts w:hint="eastAsia" w:ascii="楷体" w:hAnsi="楷体" w:eastAsia="楷体" w:cs="仿宋"/>
                <w:color w:val="auto"/>
                <w:szCs w:val="21"/>
                <w:highlight w:val="none"/>
              </w:rPr>
              <w:t>专项方案</w:t>
            </w:r>
            <w:r>
              <w:rPr>
                <w:rFonts w:hint="eastAsia" w:ascii="楷体" w:hAnsi="楷体" w:eastAsia="楷体" w:cs="仿宋"/>
                <w:color w:val="auto"/>
                <w:szCs w:val="21"/>
                <w:highlight w:val="none"/>
                <w:lang w:eastAsia="zh-CN"/>
              </w:rPr>
              <w:t>实施情况。</w:t>
            </w:r>
          </w:p>
        </w:tc>
        <w:tc>
          <w:tcPr>
            <w:tcW w:w="1104" w:type="dxa"/>
            <w:tcBorders>
              <w:top w:val="single" w:color="000000" w:sz="4" w:space="0"/>
              <w:left w:val="single" w:color="000000" w:sz="4" w:space="0"/>
              <w:bottom w:val="single" w:color="000000" w:sz="4" w:space="0"/>
              <w:right w:val="single" w:color="000000" w:sz="4" w:space="0"/>
            </w:tcBorders>
            <w:vAlign w:val="center"/>
          </w:tcPr>
          <w:p w14:paraId="69AFAA94">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0F3BFE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50A1AE2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3E643C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D52E80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D398BCC">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30491C8">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高处作业</w:t>
            </w:r>
            <w:r>
              <w:rPr>
                <w:rFonts w:hint="eastAsia" w:ascii="楷体" w:hAnsi="楷体" w:eastAsia="楷体" w:cs="仿宋"/>
                <w:color w:val="auto"/>
                <w:szCs w:val="21"/>
                <w:highlight w:val="none"/>
              </w:rPr>
              <w:t>施工未搭设脚手</w:t>
            </w:r>
            <w:r>
              <w:rPr>
                <w:rFonts w:hint="eastAsia" w:ascii="楷体" w:hAnsi="楷体" w:eastAsia="楷体" w:cs="仿宋"/>
                <w:color w:val="auto"/>
                <w:szCs w:val="21"/>
                <w:highlight w:val="none"/>
                <w:lang w:eastAsia="zh-CN"/>
              </w:rPr>
              <w:t>架</w:t>
            </w:r>
            <w:r>
              <w:rPr>
                <w:rFonts w:hint="eastAsia" w:ascii="楷体" w:hAnsi="楷体" w:eastAsia="楷体" w:cs="仿宋"/>
                <w:color w:val="auto"/>
                <w:szCs w:val="21"/>
                <w:highlight w:val="none"/>
              </w:rPr>
              <w:t>及作业平台，未设置作业人员安全作业空间</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lang w:val="en-US" w:eastAsia="zh-CN"/>
              </w:rPr>
              <w:t>未</w:t>
            </w:r>
            <w:r>
              <w:rPr>
                <w:rFonts w:hint="eastAsia" w:ascii="楷体" w:hAnsi="楷体" w:eastAsia="楷体" w:cs="仿宋"/>
                <w:color w:val="auto"/>
                <w:szCs w:val="21"/>
                <w:highlight w:val="none"/>
              </w:rPr>
              <w:t>设置人员专用上下通道。</w:t>
            </w:r>
          </w:p>
        </w:tc>
        <w:tc>
          <w:tcPr>
            <w:tcW w:w="1104" w:type="dxa"/>
            <w:tcBorders>
              <w:top w:val="single" w:color="000000" w:sz="4" w:space="0"/>
              <w:left w:val="single" w:color="000000" w:sz="4" w:space="0"/>
              <w:bottom w:val="single" w:color="000000" w:sz="4" w:space="0"/>
              <w:right w:val="single" w:color="000000" w:sz="4" w:space="0"/>
            </w:tcBorders>
            <w:vAlign w:val="center"/>
          </w:tcPr>
          <w:p w14:paraId="1DC804B0">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E525642">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49F6214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1F01BE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CF41EC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533DDD3">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4D2E3FB">
            <w:pPr>
              <w:snapToGrid w:val="0"/>
              <w:rPr>
                <w:rFonts w:hint="eastAsia"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水上水下作业</w:t>
            </w:r>
            <w:r>
              <w:rPr>
                <w:rFonts w:hint="eastAsia" w:ascii="楷体" w:hAnsi="楷体" w:eastAsia="楷体" w:cs="仿宋"/>
                <w:color w:val="auto"/>
                <w:szCs w:val="21"/>
                <w:highlight w:val="none"/>
              </w:rPr>
              <w:t>未办理水上水下作业许可，未编制安全专项方案，未落实安全技术交底</w:t>
            </w:r>
            <w:r>
              <w:rPr>
                <w:rFonts w:hint="eastAsia" w:ascii="楷体" w:hAnsi="楷体" w:eastAsia="楷体" w:cs="仿宋"/>
                <w:color w:val="auto"/>
                <w:szCs w:val="21"/>
                <w:highlight w:val="none"/>
                <w:lang w:eastAsia="zh-CN"/>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0881872">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F42664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551DA1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75DFD7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07034A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039F758">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1E00114">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高处和临边作业</w:t>
            </w:r>
            <w:r>
              <w:rPr>
                <w:rFonts w:hint="eastAsia" w:ascii="楷体" w:hAnsi="楷体" w:eastAsia="楷体" w:cs="仿宋"/>
                <w:color w:val="auto"/>
                <w:szCs w:val="21"/>
                <w:highlight w:val="none"/>
              </w:rPr>
              <w:t>施工未</w:t>
            </w:r>
            <w:r>
              <w:rPr>
                <w:rFonts w:hint="eastAsia" w:ascii="楷体" w:hAnsi="楷体" w:eastAsia="楷体" w:cs="仿宋"/>
                <w:color w:val="auto"/>
                <w:highlight w:val="none"/>
              </w:rPr>
              <w:t>按规定</w:t>
            </w:r>
            <w:r>
              <w:rPr>
                <w:rFonts w:hint="eastAsia" w:ascii="楷体" w:hAnsi="楷体" w:eastAsia="楷体" w:cs="仿宋"/>
                <w:color w:val="auto"/>
                <w:szCs w:val="21"/>
                <w:highlight w:val="none"/>
              </w:rPr>
              <w:t>设置安全防护栏杆及安全网</w:t>
            </w:r>
          </w:p>
        </w:tc>
        <w:tc>
          <w:tcPr>
            <w:tcW w:w="1104" w:type="dxa"/>
            <w:tcBorders>
              <w:top w:val="single" w:color="000000" w:sz="4" w:space="0"/>
              <w:left w:val="single" w:color="000000" w:sz="4" w:space="0"/>
              <w:bottom w:val="single" w:color="000000" w:sz="4" w:space="0"/>
              <w:right w:val="single" w:color="000000" w:sz="4" w:space="0"/>
            </w:tcBorders>
            <w:vAlign w:val="center"/>
          </w:tcPr>
          <w:p w14:paraId="513D9B65">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988F06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1501FA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237B11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849AF9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8902513">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4E77F85">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施工船舶、机械等特种设备安全防护配置不足或未配置或失效。</w:t>
            </w:r>
          </w:p>
        </w:tc>
        <w:tc>
          <w:tcPr>
            <w:tcW w:w="1104" w:type="dxa"/>
            <w:tcBorders>
              <w:top w:val="single" w:color="000000" w:sz="4" w:space="0"/>
              <w:left w:val="single" w:color="000000" w:sz="4" w:space="0"/>
              <w:bottom w:val="single" w:color="000000" w:sz="4" w:space="0"/>
              <w:right w:val="single" w:color="000000" w:sz="4" w:space="0"/>
            </w:tcBorders>
            <w:vAlign w:val="center"/>
          </w:tcPr>
          <w:p w14:paraId="39AEF84F">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84F9E02">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w:t>
            </w:r>
          </w:p>
        </w:tc>
      </w:tr>
      <w:tr w14:paraId="4F1DFD2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9E590C8">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F5AD6C4">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4.措施</w:t>
            </w:r>
          </w:p>
        </w:tc>
        <w:tc>
          <w:tcPr>
            <w:tcW w:w="541" w:type="dxa"/>
            <w:tcBorders>
              <w:top w:val="single" w:color="000000" w:sz="4" w:space="0"/>
              <w:left w:val="single" w:color="000000" w:sz="4" w:space="0"/>
              <w:bottom w:val="single" w:color="000000" w:sz="4" w:space="0"/>
              <w:right w:val="single" w:color="000000" w:sz="4" w:space="0"/>
            </w:tcBorders>
            <w:vAlign w:val="center"/>
          </w:tcPr>
          <w:p w14:paraId="409BF9B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B842D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氧气乙炔、炸药、雷管等易燃易爆物品未按规定地点存放，或未采取预防措施，或未指定责任人。</w:t>
            </w:r>
          </w:p>
        </w:tc>
        <w:tc>
          <w:tcPr>
            <w:tcW w:w="1104" w:type="dxa"/>
            <w:tcBorders>
              <w:top w:val="single" w:color="000000" w:sz="4" w:space="0"/>
              <w:left w:val="single" w:color="000000" w:sz="4" w:space="0"/>
              <w:bottom w:val="single" w:color="000000" w:sz="4" w:space="0"/>
              <w:right w:val="single" w:color="000000" w:sz="4" w:space="0"/>
            </w:tcBorders>
            <w:vAlign w:val="center"/>
          </w:tcPr>
          <w:p w14:paraId="6D3B25D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2A90BFA">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0B49AB5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673656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4D35FB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35738D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BEB1E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驻地、作业区、仓库、油库及其他易燃易爆工作场所未配备足够数量的消防器材，或仓库管理人员未持证上岗</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1D0CEA0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6E8F59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0D0E1D8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08BC41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35B543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D13449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1798FC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没有贯彻执行安全专项施工方案又没有按期落实整改。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7067803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1367BE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61006E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0DAD31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EFE665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81664D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5D0579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施工废料乱堆乱放未按规定处理。</w:t>
            </w:r>
          </w:p>
        </w:tc>
        <w:tc>
          <w:tcPr>
            <w:tcW w:w="1104" w:type="dxa"/>
            <w:tcBorders>
              <w:top w:val="single" w:color="000000" w:sz="4" w:space="0"/>
              <w:left w:val="single" w:color="000000" w:sz="4" w:space="0"/>
              <w:bottom w:val="single" w:color="000000" w:sz="4" w:space="0"/>
              <w:right w:val="single" w:color="000000" w:sz="4" w:space="0"/>
            </w:tcBorders>
            <w:vAlign w:val="center"/>
          </w:tcPr>
          <w:p w14:paraId="13BCEF4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28CC0C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1038A39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FE5CD6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C63250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24632C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C4F06B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施工作业区域</w:t>
            </w:r>
            <w:r>
              <w:rPr>
                <w:rStyle w:val="69"/>
                <w:rFonts w:hint="default" w:ascii="楷体" w:hAnsi="楷体" w:eastAsia="楷体"/>
                <w:color w:val="auto"/>
                <w:highlight w:val="none"/>
                <w:lang w:bidi="ar"/>
              </w:rPr>
              <w:t>未按规定做好防尘、降尘措施。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1BDA166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CB61362">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6E78EF1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A353FE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A3CACE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2BF4BD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C4DCEA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生产区域、重点区域未悬挂安全生产标牌，或未明确工作责任人、安全监护人和安全措施等。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452F83F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076515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195C8F7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A7A0B6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F5D17A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FA1727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82B179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基坑周边1.5m范围内随意堆载、停放大型设备。</w:t>
            </w:r>
          </w:p>
        </w:tc>
        <w:tc>
          <w:tcPr>
            <w:tcW w:w="1104" w:type="dxa"/>
            <w:tcBorders>
              <w:top w:val="single" w:color="000000" w:sz="4" w:space="0"/>
              <w:left w:val="single" w:color="000000" w:sz="4" w:space="0"/>
              <w:bottom w:val="single" w:color="000000" w:sz="4" w:space="0"/>
              <w:right w:val="single" w:color="000000" w:sz="4" w:space="0"/>
            </w:tcBorders>
            <w:vAlign w:val="center"/>
          </w:tcPr>
          <w:p w14:paraId="6314200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49BD7F">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2A2C65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CDBA77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DC7D18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0FE0D2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14F1CB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施工作业时有岩粉、水泥浆液等未按规定排入沉淀池，导致污水乱流。</w:t>
            </w:r>
          </w:p>
        </w:tc>
        <w:tc>
          <w:tcPr>
            <w:tcW w:w="1104" w:type="dxa"/>
            <w:tcBorders>
              <w:top w:val="single" w:color="000000" w:sz="4" w:space="0"/>
              <w:left w:val="single" w:color="000000" w:sz="4" w:space="0"/>
              <w:bottom w:val="single" w:color="000000" w:sz="4" w:space="0"/>
              <w:right w:val="single" w:color="000000" w:sz="4" w:space="0"/>
            </w:tcBorders>
            <w:vAlign w:val="center"/>
          </w:tcPr>
          <w:p w14:paraId="570ACC1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DF334E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2AF043C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9DFB6C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5FF28B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AFC5A6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0C33D0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驻地及其他临时设施存在雷击</w:t>
            </w:r>
            <w:r>
              <w:rPr>
                <w:rStyle w:val="69"/>
                <w:rFonts w:hint="default" w:ascii="楷体" w:hAnsi="楷体" w:eastAsia="楷体"/>
                <w:color w:val="auto"/>
                <w:highlight w:val="none"/>
                <w:lang w:bidi="ar"/>
              </w:rPr>
              <w:t>、山体滑坡可能，但未做好防护措施。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68878CE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DD84B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8E1CE7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F17E6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7FA3D6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1BF5D8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01287C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 “三宝、四口、五临边”未做好安全防护措施，或安全护栏高度不够或未设立踢脚板或孔洞未加盖。</w:t>
            </w:r>
          </w:p>
        </w:tc>
        <w:tc>
          <w:tcPr>
            <w:tcW w:w="1104" w:type="dxa"/>
            <w:tcBorders>
              <w:top w:val="single" w:color="000000" w:sz="4" w:space="0"/>
              <w:left w:val="single" w:color="000000" w:sz="4" w:space="0"/>
              <w:bottom w:val="single" w:color="000000" w:sz="4" w:space="0"/>
              <w:right w:val="single" w:color="000000" w:sz="4" w:space="0"/>
            </w:tcBorders>
            <w:vAlign w:val="center"/>
          </w:tcPr>
          <w:p w14:paraId="7E0B5D8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218EF2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06E8768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9C67EF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4B192F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40680F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47CE6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高空作业区域未按规定挂设安全网，或未设置稳固爬梯</w:t>
            </w:r>
            <w:r>
              <w:rPr>
                <w:rStyle w:val="69"/>
                <w:rFonts w:hint="default" w:ascii="楷体" w:hAnsi="楷体" w:eastAsia="楷体"/>
                <w:color w:val="auto"/>
                <w:highlight w:val="none"/>
                <w:lang w:bidi="ar"/>
              </w:rPr>
              <w:t>、设围栏、安全网、兜底网等。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449562D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34708F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7A1C85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CCD65A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AD6292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E0CE8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86AFED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工程船舶未安装信号灯，没有设置足够的施工照明设备，或船舶工作区域未按规定设置有效防护设施。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1E6FC5C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1A658F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09B32F8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8DDC3B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9260F0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DEBD42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17438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对造成周边水源污染、空气污染等严重后果负有责任。</w:t>
            </w:r>
          </w:p>
        </w:tc>
        <w:tc>
          <w:tcPr>
            <w:tcW w:w="1104" w:type="dxa"/>
            <w:tcBorders>
              <w:top w:val="single" w:color="000000" w:sz="4" w:space="0"/>
              <w:left w:val="single" w:color="000000" w:sz="4" w:space="0"/>
              <w:bottom w:val="single" w:color="000000" w:sz="4" w:space="0"/>
              <w:right w:val="single" w:color="000000" w:sz="4" w:space="0"/>
            </w:tcBorders>
            <w:vAlign w:val="center"/>
          </w:tcPr>
          <w:p w14:paraId="6FF6920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5710A11">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491421F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7805DE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A0678F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117738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144A47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未按规定要求做好各项</w:t>
            </w:r>
            <w:r>
              <w:rPr>
                <w:rFonts w:hint="eastAsia" w:ascii="楷体" w:hAnsi="楷体" w:eastAsia="楷体" w:cs="仿宋"/>
                <w:color w:val="auto"/>
                <w:kern w:val="0"/>
                <w:szCs w:val="21"/>
                <w:highlight w:val="none"/>
                <w:lang w:val="en-US" w:eastAsia="zh-CN" w:bidi="ar"/>
              </w:rPr>
              <w:t>消防安全和</w:t>
            </w:r>
            <w:r>
              <w:rPr>
                <w:rFonts w:hint="eastAsia" w:ascii="楷体" w:hAnsi="楷体" w:eastAsia="楷体" w:cs="仿宋"/>
                <w:color w:val="auto"/>
                <w:kern w:val="0"/>
                <w:szCs w:val="21"/>
                <w:highlight w:val="none"/>
                <w:lang w:bidi="ar"/>
              </w:rPr>
              <w:t>职业病防护工作。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5C7347F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B14960E">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5AE7CD3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DACCCC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FEB38F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469D32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9C7C3D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水下爆破作业未安排警戒人员和警戒船以及未设置声、光等警示信号。</w:t>
            </w:r>
          </w:p>
        </w:tc>
        <w:tc>
          <w:tcPr>
            <w:tcW w:w="1104" w:type="dxa"/>
            <w:tcBorders>
              <w:top w:val="single" w:color="000000" w:sz="4" w:space="0"/>
              <w:left w:val="single" w:color="000000" w:sz="4" w:space="0"/>
              <w:bottom w:val="single" w:color="000000" w:sz="4" w:space="0"/>
              <w:right w:val="single" w:color="000000" w:sz="4" w:space="0"/>
            </w:tcBorders>
            <w:vAlign w:val="center"/>
          </w:tcPr>
          <w:p w14:paraId="57DC33F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DFAE7E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14986DA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E7AFDD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D036A3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EE03FD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359AFD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施工前对水利枢纽的隐蔽设施缺乏了解和联系，导致施工中的损坏（破坏）而被投诉。</w:t>
            </w:r>
          </w:p>
        </w:tc>
        <w:tc>
          <w:tcPr>
            <w:tcW w:w="1104" w:type="dxa"/>
            <w:tcBorders>
              <w:top w:val="single" w:color="000000" w:sz="4" w:space="0"/>
              <w:left w:val="single" w:color="000000" w:sz="4" w:space="0"/>
              <w:bottom w:val="single" w:color="000000" w:sz="4" w:space="0"/>
              <w:right w:val="single" w:color="000000" w:sz="4" w:space="0"/>
            </w:tcBorders>
            <w:vAlign w:val="center"/>
          </w:tcPr>
          <w:p w14:paraId="56F3786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5E05C26">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9C87EF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7E0D97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52337D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F407CF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694081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对水利枢纽或施工现场附近有关设施，没有采取有效的保护措施而导致施工中的损坏（破坏）而被投诉的。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29C71A5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E585060">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0FEE00A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A97442D">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7BE4134">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5.标示</w:t>
            </w:r>
          </w:p>
        </w:tc>
        <w:tc>
          <w:tcPr>
            <w:tcW w:w="541" w:type="dxa"/>
            <w:tcBorders>
              <w:top w:val="single" w:color="000000" w:sz="4" w:space="0"/>
              <w:left w:val="single" w:color="000000" w:sz="4" w:space="0"/>
              <w:bottom w:val="single" w:color="000000" w:sz="4" w:space="0"/>
              <w:right w:val="single" w:color="000000" w:sz="4" w:space="0"/>
            </w:tcBorders>
            <w:vAlign w:val="center"/>
          </w:tcPr>
          <w:p w14:paraId="53EC644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C71B11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施工现场未设立重大危险源公示，或主要施工机械设备未悬挂操作规程。</w:t>
            </w:r>
          </w:p>
        </w:tc>
        <w:tc>
          <w:tcPr>
            <w:tcW w:w="1104" w:type="dxa"/>
            <w:tcBorders>
              <w:top w:val="single" w:color="000000" w:sz="4" w:space="0"/>
              <w:left w:val="single" w:color="000000" w:sz="4" w:space="0"/>
              <w:bottom w:val="single" w:color="000000" w:sz="4" w:space="0"/>
              <w:right w:val="single" w:color="000000" w:sz="4" w:space="0"/>
            </w:tcBorders>
            <w:vAlign w:val="center"/>
          </w:tcPr>
          <w:p w14:paraId="3C94039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761C0A">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0FE1DE0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A4E4CA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97E127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4FA35B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88BD57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未按规定设立“五牌一图”，施工现场</w:t>
            </w:r>
            <w:r>
              <w:rPr>
                <w:rFonts w:hint="eastAsia" w:ascii="楷体" w:hAnsi="楷体" w:eastAsia="楷体" w:cs="仿宋"/>
                <w:color w:val="auto"/>
                <w:kern w:val="0"/>
                <w:szCs w:val="21"/>
                <w:highlight w:val="none"/>
                <w:lang w:val="en-US" w:eastAsia="zh-CN" w:bidi="ar"/>
              </w:rPr>
              <w:t>和住宿办公区域</w:t>
            </w:r>
            <w:r>
              <w:rPr>
                <w:rFonts w:hint="eastAsia" w:ascii="楷体" w:hAnsi="楷体" w:eastAsia="楷体" w:cs="仿宋"/>
                <w:color w:val="auto"/>
                <w:kern w:val="0"/>
                <w:szCs w:val="21"/>
                <w:highlight w:val="none"/>
                <w:lang w:bidi="ar"/>
              </w:rPr>
              <w:t>未悬挂安全标识标牌或警示标识。</w:t>
            </w:r>
          </w:p>
        </w:tc>
        <w:tc>
          <w:tcPr>
            <w:tcW w:w="1104" w:type="dxa"/>
            <w:tcBorders>
              <w:top w:val="single" w:color="000000" w:sz="4" w:space="0"/>
              <w:left w:val="single" w:color="000000" w:sz="4" w:space="0"/>
              <w:bottom w:val="single" w:color="000000" w:sz="4" w:space="0"/>
              <w:right w:val="single" w:color="000000" w:sz="4" w:space="0"/>
            </w:tcBorders>
            <w:vAlign w:val="center"/>
          </w:tcPr>
          <w:p w14:paraId="763A6A5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494C6FB">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5AD8D6C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B712330">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12432804">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047AAD2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1E6DAB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年度和半年度“平安工地”考核评价考核结果不达标。</w:t>
            </w:r>
          </w:p>
        </w:tc>
        <w:tc>
          <w:tcPr>
            <w:tcW w:w="1104" w:type="dxa"/>
            <w:tcBorders>
              <w:top w:val="single" w:color="000000" w:sz="4" w:space="0"/>
              <w:left w:val="single" w:color="000000" w:sz="4" w:space="0"/>
              <w:bottom w:val="single" w:color="000000" w:sz="4" w:space="0"/>
              <w:right w:val="single" w:color="000000" w:sz="4" w:space="0"/>
            </w:tcBorders>
            <w:vAlign w:val="center"/>
          </w:tcPr>
          <w:p w14:paraId="770D62A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6072A1D">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5BFD739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92615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574EC4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A57D73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91AD03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发生安全特别重大责任事故。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60EB1AA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53E4527">
            <w:pPr>
              <w:jc w:val="right"/>
              <w:rPr>
                <w:rFonts w:ascii="楷体" w:hAnsi="楷体" w:eastAsia="楷体"/>
                <w:color w:val="auto"/>
                <w:szCs w:val="21"/>
                <w:highlight w:val="none"/>
              </w:rPr>
            </w:pPr>
            <w:r>
              <w:rPr>
                <w:rFonts w:hint="eastAsia" w:ascii="楷体" w:hAnsi="楷体" w:eastAsia="楷体"/>
                <w:color w:val="auto"/>
                <w:szCs w:val="21"/>
                <w:highlight w:val="none"/>
              </w:rPr>
              <w:t>5</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0,000</w:t>
            </w:r>
          </w:p>
        </w:tc>
      </w:tr>
      <w:tr w14:paraId="6D4347F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4DECCD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05DB0A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0BE860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65B688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3FA6CFF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7BCDE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00,000</w:t>
            </w:r>
          </w:p>
        </w:tc>
      </w:tr>
      <w:tr w14:paraId="6718C6F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2442EE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FD9AB2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1103F8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FECB6A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发生安全较大责任事故。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428BF00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D9E8D7A">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5B80D59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38DEE4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8414DA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BE59DC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C63A0C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发生安全一般责任事故。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5869BA5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1C46DC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0,000</w:t>
            </w:r>
          </w:p>
        </w:tc>
      </w:tr>
      <w:tr w14:paraId="23C84A5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980217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66F91D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BA3BE1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8814BF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发生安全重大交通责任事故。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56F64D2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5F7F7A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073B551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12" w:space="0"/>
              <w:right w:val="single" w:color="000000" w:sz="4" w:space="0"/>
            </w:tcBorders>
            <w:textDirection w:val="tbRlV"/>
            <w:vAlign w:val="center"/>
          </w:tcPr>
          <w:p w14:paraId="73DD71E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12" w:space="0"/>
              <w:right w:val="single" w:color="000000" w:sz="4" w:space="0"/>
            </w:tcBorders>
            <w:vAlign w:val="center"/>
          </w:tcPr>
          <w:p w14:paraId="75E691A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12" w:space="0"/>
              <w:right w:val="single" w:color="000000" w:sz="4" w:space="0"/>
            </w:tcBorders>
            <w:vAlign w:val="center"/>
          </w:tcPr>
          <w:p w14:paraId="7788098D">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bidi="ar"/>
              </w:rPr>
              <w:t>C60</w:t>
            </w:r>
            <w:r>
              <w:rPr>
                <w:rFonts w:hint="eastAsia" w:ascii="楷体" w:hAnsi="楷体" w:eastAsia="楷体" w:cs="仿宋"/>
                <w:color w:val="auto"/>
                <w:kern w:val="0"/>
                <w:szCs w:val="21"/>
                <w:highlight w:val="none"/>
                <w:lang w:val="en-US" w:eastAsia="zh-CN" w:bidi="ar"/>
              </w:rPr>
              <w:t>7</w:t>
            </w:r>
          </w:p>
        </w:tc>
        <w:tc>
          <w:tcPr>
            <w:tcW w:w="5602" w:type="dxa"/>
            <w:gridSpan w:val="2"/>
            <w:tcBorders>
              <w:top w:val="single" w:color="000000" w:sz="4" w:space="0"/>
              <w:left w:val="single" w:color="000000" w:sz="4" w:space="0"/>
              <w:bottom w:val="single" w:color="000000" w:sz="12" w:space="0"/>
              <w:right w:val="single" w:color="000000" w:sz="4" w:space="0"/>
            </w:tcBorders>
            <w:vAlign w:val="center"/>
          </w:tcPr>
          <w:p w14:paraId="3BA4D158">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项目驻地和施工现场存在安全重大事故隐患</w:t>
            </w:r>
          </w:p>
        </w:tc>
        <w:tc>
          <w:tcPr>
            <w:tcW w:w="1104" w:type="dxa"/>
            <w:tcBorders>
              <w:top w:val="single" w:color="000000" w:sz="4" w:space="0"/>
              <w:left w:val="single" w:color="000000" w:sz="4" w:space="0"/>
              <w:bottom w:val="single" w:color="000000" w:sz="12" w:space="0"/>
              <w:right w:val="single" w:color="000000" w:sz="4" w:space="0"/>
            </w:tcBorders>
            <w:vAlign w:val="center"/>
          </w:tcPr>
          <w:p w14:paraId="071E799A">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12" w:space="0"/>
              <w:right w:val="single" w:color="000000" w:sz="12" w:space="0"/>
            </w:tcBorders>
            <w:shd w:val="clear" w:color="auto" w:fill="auto"/>
            <w:vAlign w:val="center"/>
          </w:tcPr>
          <w:p w14:paraId="152CD0F5">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20</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bl>
    <w:p w14:paraId="223E1A4B">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（二）是违约清单（一）的补充</w:t>
      </w:r>
      <w:r>
        <w:rPr>
          <w:rFonts w:hint="eastAsia" w:ascii="宋体" w:hAnsi="宋体" w:eastAsia="宋体" w:cs="Times New Roman"/>
          <w:color w:val="auto"/>
          <w:kern w:val="2"/>
          <w:sz w:val="24"/>
          <w:szCs w:val="24"/>
          <w:highlight w:val="none"/>
          <w:lang w:val="en-US" w:eastAsia="zh-CN" w:bidi="ar-SA"/>
        </w:rPr>
        <w:t>，</w:t>
      </w:r>
      <w:r>
        <w:rPr>
          <w:rFonts w:hint="eastAsia" w:ascii="宋体" w:hAnsi="宋体" w:cs="Times New Roman"/>
          <w:color w:val="auto"/>
          <w:kern w:val="2"/>
          <w:sz w:val="24"/>
          <w:szCs w:val="24"/>
          <w:highlight w:val="none"/>
          <w:lang w:val="en-US" w:eastAsia="zh-CN" w:bidi="ar-SA"/>
        </w:rPr>
        <w:t>是加强日常管理的重要措施，作为合同的组成部分，违约清单（二）与违约清单（一）有不一致之处，以违约清单（一）</w:t>
      </w:r>
      <w:r>
        <w:rPr>
          <w:rFonts w:hint="eastAsia" w:ascii="宋体" w:hAnsi="宋体" w:eastAsia="宋体" w:cs="Times New Roman"/>
          <w:color w:val="auto"/>
          <w:kern w:val="2"/>
          <w:sz w:val="24"/>
          <w:szCs w:val="24"/>
          <w:highlight w:val="none"/>
          <w:lang w:val="en-US" w:eastAsia="zh-CN" w:bidi="ar-SA"/>
        </w:rPr>
        <w:t>为准。</w:t>
      </w:r>
    </w:p>
    <w:p w14:paraId="025EADEE">
      <w:pPr>
        <w:rPr>
          <w:rFonts w:hint="eastAsia" w:ascii="宋体" w:hAnsi="宋体" w:eastAsia="宋体" w:cs="宋体"/>
          <w:b/>
          <w:bCs/>
          <w:color w:val="auto"/>
          <w:sz w:val="24"/>
          <w:szCs w:val="24"/>
          <w:highlight w:val="none"/>
        </w:rPr>
      </w:pPr>
    </w:p>
    <w:p w14:paraId="0AC0F1C1">
      <w:pPr>
        <w:pStyle w:val="9"/>
        <w:keepNext w:val="0"/>
        <w:keepLines w:val="0"/>
        <w:pageBreakBefore/>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napToGrid w:val="0"/>
          <w:color w:val="auto"/>
          <w:spacing w:val="28"/>
          <w:kern w:val="0"/>
          <w:sz w:val="32"/>
          <w:szCs w:val="32"/>
          <w:highlight w:val="none"/>
          <w:lang w:val="en-US" w:eastAsia="zh-CN"/>
        </w:rPr>
      </w:pPr>
      <w:bookmarkStart w:id="119" w:name="_Toc3894"/>
      <w:bookmarkStart w:id="120" w:name="_Toc322"/>
      <w:r>
        <w:rPr>
          <w:rFonts w:hint="eastAsia" w:ascii="宋体" w:hAnsi="宋体" w:eastAsia="宋体" w:cs="宋体"/>
          <w:b/>
          <w:bCs/>
          <w:snapToGrid w:val="0"/>
          <w:color w:val="auto"/>
          <w:spacing w:val="28"/>
          <w:kern w:val="0"/>
          <w:sz w:val="32"/>
          <w:szCs w:val="32"/>
          <w:highlight w:val="none"/>
          <w:lang w:eastAsia="zh-CN"/>
        </w:rPr>
        <w:t>第五部分</w:t>
      </w:r>
      <w:r>
        <w:rPr>
          <w:rFonts w:hint="eastAsia" w:ascii="宋体" w:hAnsi="宋体" w:eastAsia="宋体" w:cs="宋体"/>
          <w:b/>
          <w:bCs/>
          <w:snapToGrid w:val="0"/>
          <w:color w:val="auto"/>
          <w:spacing w:val="28"/>
          <w:kern w:val="0"/>
          <w:sz w:val="32"/>
          <w:szCs w:val="32"/>
          <w:highlight w:val="none"/>
          <w:lang w:val="en-US" w:eastAsia="zh-CN"/>
        </w:rPr>
        <w:t xml:space="preserve"> 通用合同条款</w:t>
      </w:r>
      <w:bookmarkEnd w:id="119"/>
      <w:bookmarkEnd w:id="120"/>
    </w:p>
    <w:p w14:paraId="60770F58">
      <w:pPr>
        <w:spacing w:before="164" w:line="204" w:lineRule="auto"/>
        <w:ind w:firstLine="0"/>
        <w:jc w:val="center"/>
        <w:rPr>
          <w:rFonts w:hint="eastAsia" w:ascii="宋体" w:hAnsi="宋体" w:eastAsia="宋体" w:cs="宋体"/>
          <w:color w:val="auto"/>
          <w:spacing w:val="-6"/>
          <w:sz w:val="28"/>
          <w:szCs w:val="28"/>
          <w:highlight w:val="none"/>
        </w:rPr>
      </w:pPr>
      <w:r>
        <w:rPr>
          <w:rFonts w:hint="eastAsia" w:ascii="宋体" w:hAnsi="宋体" w:eastAsia="宋体" w:cs="宋体"/>
          <w:color w:val="auto"/>
          <w:spacing w:val="-6"/>
          <w:sz w:val="28"/>
          <w:szCs w:val="28"/>
          <w:highlight w:val="none"/>
        </w:rPr>
        <w:t>【《中华人民共和国标准施工招标文件》（2007</w:t>
      </w:r>
      <w:r>
        <w:rPr>
          <w:rFonts w:hint="eastAsia" w:ascii="宋体" w:hAnsi="宋体" w:eastAsia="宋体" w:cs="宋体"/>
          <w:color w:val="auto"/>
          <w:spacing w:val="-61"/>
          <w:sz w:val="28"/>
          <w:szCs w:val="28"/>
          <w:highlight w:val="none"/>
        </w:rPr>
        <w:t xml:space="preserve"> </w:t>
      </w:r>
      <w:r>
        <w:rPr>
          <w:rFonts w:hint="eastAsia" w:ascii="宋体" w:hAnsi="宋体" w:eastAsia="宋体" w:cs="宋体"/>
          <w:color w:val="auto"/>
          <w:spacing w:val="-6"/>
          <w:sz w:val="28"/>
          <w:szCs w:val="28"/>
          <w:highlight w:val="none"/>
        </w:rPr>
        <w:t>年版）</w:t>
      </w:r>
      <w:r>
        <w:rPr>
          <w:rFonts w:hint="eastAsia" w:ascii="宋体" w:hAnsi="宋体" w:eastAsia="宋体" w:cs="宋体"/>
          <w:color w:val="auto"/>
          <w:spacing w:val="-129"/>
          <w:sz w:val="28"/>
          <w:szCs w:val="28"/>
          <w:highlight w:val="none"/>
        </w:rPr>
        <w:t xml:space="preserve"> </w:t>
      </w:r>
      <w:r>
        <w:rPr>
          <w:rFonts w:hint="eastAsia" w:ascii="宋体" w:hAnsi="宋体" w:eastAsia="宋体" w:cs="宋体"/>
          <w:color w:val="auto"/>
          <w:spacing w:val="-6"/>
          <w:sz w:val="28"/>
          <w:szCs w:val="28"/>
          <w:highlight w:val="none"/>
        </w:rPr>
        <w:t>第四章</w:t>
      </w:r>
      <w:r>
        <w:rPr>
          <w:rFonts w:hint="eastAsia" w:ascii="宋体" w:hAnsi="宋体" w:eastAsia="宋体" w:cs="宋体"/>
          <w:color w:val="auto"/>
          <w:spacing w:val="10"/>
          <w:sz w:val="28"/>
          <w:szCs w:val="28"/>
          <w:highlight w:val="none"/>
        </w:rPr>
        <w:t xml:space="preserve"> </w:t>
      </w:r>
      <w:r>
        <w:rPr>
          <w:rFonts w:hint="eastAsia" w:ascii="宋体" w:hAnsi="宋体" w:eastAsia="宋体" w:cs="宋体"/>
          <w:color w:val="auto"/>
          <w:spacing w:val="-6"/>
          <w:sz w:val="28"/>
          <w:szCs w:val="28"/>
          <w:highlight w:val="none"/>
        </w:rPr>
        <w:t>合同条款及格式</w:t>
      </w:r>
      <w:r>
        <w:rPr>
          <w:rFonts w:hint="eastAsia" w:ascii="宋体" w:hAnsi="宋体" w:eastAsia="宋体" w:cs="宋体"/>
          <w:color w:val="auto"/>
          <w:spacing w:val="11"/>
          <w:sz w:val="28"/>
          <w:szCs w:val="28"/>
          <w:highlight w:val="none"/>
        </w:rPr>
        <w:t xml:space="preserve"> </w:t>
      </w:r>
      <w:r>
        <w:rPr>
          <w:rFonts w:hint="eastAsia" w:ascii="宋体" w:hAnsi="宋体" w:eastAsia="宋体" w:cs="宋体"/>
          <w:color w:val="auto"/>
          <w:spacing w:val="-6"/>
          <w:sz w:val="28"/>
          <w:szCs w:val="28"/>
          <w:highlight w:val="none"/>
        </w:rPr>
        <w:t>第一节通用合同条款】</w:t>
      </w:r>
    </w:p>
    <w:p w14:paraId="031E1432">
      <w:pPr>
        <w:spacing w:line="400" w:lineRule="exact"/>
        <w:rPr>
          <w:rFonts w:hint="eastAsia" w:ascii="宋体" w:hAnsi="宋体" w:eastAsia="宋体" w:cs="宋体"/>
          <w:color w:val="auto"/>
          <w:sz w:val="24"/>
          <w:szCs w:val="24"/>
          <w:highlight w:val="none"/>
        </w:rPr>
      </w:pPr>
    </w:p>
    <w:p w14:paraId="06846753">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1" w:name="_Toc17334"/>
      <w:bookmarkStart w:id="122" w:name="_Toc30312_WPSOffice_Level2"/>
      <w:bookmarkStart w:id="123" w:name="_Toc19377"/>
      <w:r>
        <w:rPr>
          <w:rFonts w:hint="eastAsia" w:asciiTheme="minorEastAsia" w:hAnsiTheme="minorEastAsia" w:eastAsiaTheme="minorEastAsia" w:cstheme="minorEastAsia"/>
          <w:b/>
          <w:bCs/>
          <w:color w:val="auto"/>
          <w:sz w:val="24"/>
          <w:szCs w:val="24"/>
          <w:highlight w:val="none"/>
        </w:rPr>
        <w:t>1. 一般约定</w:t>
      </w:r>
      <w:bookmarkEnd w:id="121"/>
      <w:bookmarkEnd w:id="122"/>
      <w:bookmarkEnd w:id="123"/>
    </w:p>
    <w:p w14:paraId="76A6F48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 词语定义</w:t>
      </w:r>
    </w:p>
    <w:p w14:paraId="4A955EE3">
      <w:pPr>
        <w:spacing w:line="360" w:lineRule="auto"/>
        <w:ind w:left="0" w:leftChars="0" w:firstLine="960" w:firstLineChars="4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通用合同条款、专用合同条款中的下列词语应具有本款所赋予的含义。</w:t>
      </w:r>
    </w:p>
    <w:p w14:paraId="6486DC80">
      <w:pPr>
        <w:spacing w:line="360" w:lineRule="auto"/>
        <w:ind w:left="420" w:leftChars="20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合同</w:t>
      </w:r>
    </w:p>
    <w:p w14:paraId="3CC0D55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合同文件（或称合同）：指合同协议书、中标通知书、投标函及投标函附录、专用合同条款、通用合同条款、技术标准和要求、图纸、已标价工程量清单，以及其他合同文件。</w:t>
      </w:r>
    </w:p>
    <w:p w14:paraId="0D1DEFC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合同协议书：指第1.5款所指的合同协议书。</w:t>
      </w:r>
    </w:p>
    <w:p w14:paraId="77CF379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中标通知书：指发包人通知承包人中标的函件。</w:t>
      </w:r>
    </w:p>
    <w:p w14:paraId="4704AA3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1.1.1.4 投标函：指构成合同文件组成部分的由承包人填写并签署的投标函。</w:t>
      </w:r>
    </w:p>
    <w:p w14:paraId="3AE3E76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1.1.1.5 投标函附录：指附在投标函后构成合同文件的投标函附录。</w:t>
      </w:r>
    </w:p>
    <w:p w14:paraId="5B40184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1.1.1.6 技术标准和要求：指构成合同文件组成部分的名为技术标准和要求的文件，包括合同双方当事人约定对其所作的修改或补充。</w:t>
      </w:r>
    </w:p>
    <w:p w14:paraId="5F5E1F7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1.1.1.7图纸：指包含在合同中的工程图纸，以及由发包人按合同约定提供的任何补充和修改的图纸，包括配套的说明。</w:t>
      </w:r>
    </w:p>
    <w:p w14:paraId="40ABF85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1.1.1.8 已标价工程量清单：指构成合同文件组成部分的由承包人按照规定的格式和要求填写并标明价格的工程量清单。</w:t>
      </w:r>
    </w:p>
    <w:p w14:paraId="7554D93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1.1.1.9 其他合同文件：指经合同双方当事人确认构成合同文件的其他文件。</w:t>
      </w:r>
    </w:p>
    <w:p w14:paraId="7B2B50F7">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合同当事人和人员</w:t>
      </w:r>
    </w:p>
    <w:p w14:paraId="1502E3D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合同当事人:指发包人和（或）承包人。</w:t>
      </w:r>
    </w:p>
    <w:p w14:paraId="7A55936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发包人：指专用合同条款中指明并与承包人在合同协议书中签字的当事人。</w:t>
      </w:r>
    </w:p>
    <w:p w14:paraId="194EDDC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1.1.2.3 承包人：指与发包人签订合同协议书的当事人。</w:t>
      </w:r>
    </w:p>
    <w:p w14:paraId="585F354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1.1.2.4 承包人项目经理：指承包人派驻施工场地的全权负责人。</w:t>
      </w:r>
    </w:p>
    <w:p w14:paraId="4A898F7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1.1.2.5 分包人：指从承包人处分包合同中某一部分工程，并与其签订分包合同的分包人。</w:t>
      </w:r>
    </w:p>
    <w:p w14:paraId="3BB5F15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1.1.2.6 监理人：指在专用合同条款中指明的，受发包人委托对合同履行实施管理的法人或其他组织。</w:t>
      </w:r>
    </w:p>
    <w:p w14:paraId="414F6D3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1.1.2.7 总监理工程师（总监）：指由监理人委派常驻施工场地对合同履行实施管理的全权负责人。</w:t>
      </w:r>
    </w:p>
    <w:p w14:paraId="122F9666">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工程和设备</w:t>
      </w:r>
    </w:p>
    <w:p w14:paraId="79D9D5E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 工程：指永久工程和（或）临时工程。</w:t>
      </w:r>
    </w:p>
    <w:p w14:paraId="5FAB1D7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1.1.3.2 永久工程：指按合同约定建造并移交给发包人的工程，包括工程设备。</w:t>
      </w:r>
    </w:p>
    <w:p w14:paraId="65B59D1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1.1.3.3 临时工程：指为完成合同约定的永久工程所修建的各类临时性工程，不包括施工设备。</w:t>
      </w:r>
    </w:p>
    <w:p w14:paraId="494C8B3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1.1.3.4 单位工程：指专用合同条款中指明特定范围的永久工程。</w:t>
      </w:r>
    </w:p>
    <w:p w14:paraId="552A3D2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1.1.3.5 工程设备：指构成或计划构成永久工程一部分的机电设备、金属结构设备、仪器装置及其他类似的设备和装置。</w:t>
      </w:r>
    </w:p>
    <w:p w14:paraId="687FD97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1.1.3.6 施工设备：指为完成合同约定的各项工作所需的设备、器具和其他物品，不包括临时工程和材料。</w:t>
      </w:r>
    </w:p>
    <w:p w14:paraId="172197D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1.1.3.7 临时设施：指为完成合同约定的各项工作所服务的临时性生产和生活设施。</w:t>
      </w:r>
    </w:p>
    <w:p w14:paraId="47C200C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1.1.3.8 承包人设备：指承包人自带的施工设备。</w:t>
      </w:r>
    </w:p>
    <w:p w14:paraId="00FA661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1.1.3.9 施工场地（或称工地、现场）：指用于合同工程施工的场所，以及在合同中指定作为施工场地组成部分的其他场所，包括永久占地和临时占地。</w:t>
      </w:r>
    </w:p>
    <w:p w14:paraId="2E58598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1.1.3.10 永久占地：指专用合同条款中指明为实施合同工程需永久占用的土地。</w:t>
      </w:r>
    </w:p>
    <w:p w14:paraId="386E467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1.1.3.11 临时占地：指专用合同条款中指明为实施合同工程需临时占用的土地。</w:t>
      </w:r>
    </w:p>
    <w:p w14:paraId="1695679F">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日期</w:t>
      </w:r>
    </w:p>
    <w:p w14:paraId="3E51725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1.1.4.1 开工通知：指监理人按第11.1款通知承包人开工的函件。</w:t>
      </w:r>
    </w:p>
    <w:p w14:paraId="19A3234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1.1.4.2 开工日期：指监理人按第11.1款发出的开工通知中写明的开工日期。</w:t>
      </w:r>
    </w:p>
    <w:p w14:paraId="11B7C41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1.1.4.3工期：指承包人在投标函中承诺的完成合同工程所需的期限，包括按第11.3款、第11.4款和第11.6款约定所作的变更。</w:t>
      </w:r>
    </w:p>
    <w:p w14:paraId="3EB1017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1.1.4.4 竣工日期：指第1.1.4.3目约定工期届满时的日期。实际竣工日期以工程接收证书中写明的日期为准。</w:t>
      </w:r>
    </w:p>
    <w:p w14:paraId="057AA4F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1.1.4.5 缺陷责任期：指履行第19.2款约定的缺陷责任的期限，具体期限由专用合同条款约定，包括根据第19.3款约定所作的延长。</w:t>
      </w:r>
    </w:p>
    <w:p w14:paraId="4F620CD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1.1.4.6 基准日期：指投标截止时间前28天的日期。</w:t>
      </w:r>
    </w:p>
    <w:p w14:paraId="728A375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1.1.4.7 天：除特别指明外，指日历天。合同中按天计算时间的，开始当天不计入，从次日开始计算。期限最后一天的截止时间为当天24:00。</w:t>
      </w:r>
    </w:p>
    <w:p w14:paraId="4065E94A">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合同价格和费用</w:t>
      </w:r>
    </w:p>
    <w:p w14:paraId="6041998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1.1.5.1 签约合同价：指签定合同时合同协议书中写明的，包括了暂列金额、暂估价的合同总金额。</w:t>
      </w:r>
    </w:p>
    <w:p w14:paraId="55D8E8E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1.1.5.2 合同价格：指承包人按合同约定完成了包括缺陷责任期内的全部承包工作后，发包人应付给承包人的金额，包括在履行合同过程中按合同约定进行的变更和调整。</w:t>
      </w:r>
    </w:p>
    <w:p w14:paraId="1E4BCF8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1.1.5.3 费用：指为履行合同所发生的或将要发生的所有合理开支，包括管理费和应分摊的其他费用，但不包括利润。</w:t>
      </w:r>
    </w:p>
    <w:p w14:paraId="5E10293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057AC27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1.1.5.5暂估价：指发包人在工程量清单中给定的用于支付必然发生但暂时不能确定价格的材料、设备以及专业工程的金额。</w:t>
      </w:r>
    </w:p>
    <w:p w14:paraId="2028787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1.1.5.6 计日工：指对零星工作采取的一种计价方式，按合同中的计日工子目及其单价计价付款。</w:t>
      </w:r>
    </w:p>
    <w:p w14:paraId="1E56809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1.1.5.7 质量保证金（或称保留金）：指按第17.4.1项约定用于保证在缺陷责任期内履行缺陷修复义务的金额。</w:t>
      </w:r>
    </w:p>
    <w:p w14:paraId="6A0A3E35">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其他</w:t>
      </w:r>
    </w:p>
    <w:p w14:paraId="081BFDC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1.1.6.1 书面形式：指合同文件、信函、电报、传真等可以有形地表现所载内容的形式。</w:t>
      </w:r>
    </w:p>
    <w:p w14:paraId="59EED3CC">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 语言文字</w:t>
      </w:r>
    </w:p>
    <w:p w14:paraId="6B78173F">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除专用术语外，合同使用的语言文字为中文。必要时专用术语应附有中文注释。</w:t>
      </w:r>
    </w:p>
    <w:p w14:paraId="7D8BB6EF">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 法律</w:t>
      </w:r>
    </w:p>
    <w:p w14:paraId="22CEFE58">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适用于合同的法律包括中华人民共和国法律、行政法规、部门规章，以及工程所在地的地方法规、自治条例、单行条例和地方政府规章。</w:t>
      </w:r>
    </w:p>
    <w:p w14:paraId="757FE69A">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 合同文件的优先顺序</w:t>
      </w:r>
    </w:p>
    <w:p w14:paraId="0071D0B3">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组成合同的各项文件应互相解释，互为说明。除专用合同条款另有约定外，解释合同文件的优先顺序如下：</w:t>
      </w:r>
    </w:p>
    <w:p w14:paraId="76281DF9">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（1）合同协议书；</w:t>
      </w:r>
    </w:p>
    <w:p w14:paraId="6B547126">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（2）中标通知书；</w:t>
      </w:r>
    </w:p>
    <w:p w14:paraId="3AD82ED5">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（3）投标函及投标函附录；</w:t>
      </w:r>
    </w:p>
    <w:p w14:paraId="4C84FDA1">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（4）专用合同条款；</w:t>
      </w:r>
    </w:p>
    <w:p w14:paraId="78A57BF3">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（5）通用合同条款；</w:t>
      </w:r>
    </w:p>
    <w:p w14:paraId="6A87E472">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（6）技术标准和要求；</w:t>
      </w:r>
    </w:p>
    <w:p w14:paraId="5046DE9C">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（7）图纸；</w:t>
      </w:r>
    </w:p>
    <w:p w14:paraId="24E1A401">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（8）已标价工程量清单；</w:t>
      </w:r>
    </w:p>
    <w:p w14:paraId="0CA8E0BF">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（9）其他合同文件。</w:t>
      </w:r>
    </w:p>
    <w:p w14:paraId="6821893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 合同协议书</w:t>
      </w:r>
    </w:p>
    <w:p w14:paraId="55201042">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19E07C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 图纸和承包人文件</w:t>
      </w:r>
    </w:p>
    <w:p w14:paraId="5A48AFE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1.6.1图纸的提供</w:t>
      </w:r>
    </w:p>
    <w:p w14:paraId="1B7EA3D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除专用合同条款另有约定外，图纸应在合理的期限内按照合同约定的数量提供给承包人。由于发包人未按时提供图纸造成工期延误的，按第11.3款的约定办理。</w:t>
      </w:r>
    </w:p>
    <w:p w14:paraId="1F6A531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承包人提供的文件</w:t>
      </w:r>
    </w:p>
    <w:p w14:paraId="007258E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788801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1.6.3 图纸的修改</w:t>
      </w:r>
    </w:p>
    <w:p w14:paraId="5EAE7B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图纸需要修改和补充的，应由监理人取得发包人同意后，在该工程或工程相应部位施工前的合理期限内签发图纸修改图给承包人，具体签发期限在专用合同条款中约定。承包人应按修改后的图纸施工。 </w:t>
      </w:r>
    </w:p>
    <w:p w14:paraId="66A9E38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1.6.4 图纸的错误</w:t>
      </w:r>
    </w:p>
    <w:p w14:paraId="14F56B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承包人发现发包人提供的图纸存在明显错误或疏忽，应及时通知监理人。</w:t>
      </w:r>
    </w:p>
    <w:p w14:paraId="075715A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1.6.5 图纸和承包人文件的保管</w:t>
      </w:r>
    </w:p>
    <w:p w14:paraId="020BD0A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监理人和承包人均应在施工场地各保存一套完整的包含第1.6.1项、第1.6.2项、第1.6.3项约定内容的图纸和承包人文件。</w:t>
      </w:r>
    </w:p>
    <w:p w14:paraId="4E4B82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 联络</w:t>
      </w:r>
    </w:p>
    <w:p w14:paraId="70970B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1.7.1 与合同有关的通知、批准、证明、证书、指示、要求、请求、同意、意见、确定和决定等，均应采用书面形式。</w:t>
      </w:r>
    </w:p>
    <w:p w14:paraId="68909C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1.7.2 第1.7.1项中的通知、批准、证明、证书、指示、要求、请求、同意、意见、确定和决定等来往函件，均应在合同约定的期限内送达指定地点和接收人，并办理签收手续。</w:t>
      </w:r>
    </w:p>
    <w:p w14:paraId="0055799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 转让</w:t>
      </w:r>
    </w:p>
    <w:p w14:paraId="250BB7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除合同另有约定外，未经对方当事人同意，一方当事人不得将合同权利全部或部分转让给第三人，也不得全部或部分转移合同义务。</w:t>
      </w:r>
    </w:p>
    <w:p w14:paraId="5342B9B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 严禁贿赂</w:t>
      </w:r>
    </w:p>
    <w:p w14:paraId="789C5E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合同双方当事人不得以贿赂或变相贿赂的方式，谋取不当利益或损害对方权益。因贿赂造成对方损失的，行为人应赔偿损失，并承担相应的法律责任。</w:t>
      </w:r>
    </w:p>
    <w:p w14:paraId="5AEBD1E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1.10 化石、文物</w:t>
      </w:r>
    </w:p>
    <w:p w14:paraId="765898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27C8A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1.10.2 承包人发现文物后不及时报告或隐瞒不报，致使文物丢失或损坏的，应赔偿损失，并承担相应的法律责任。</w:t>
      </w:r>
    </w:p>
    <w:p w14:paraId="2521238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专利技术</w:t>
      </w:r>
    </w:p>
    <w:p w14:paraId="728A1A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08A94A9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承包人在投标文件中采用专利技术的，专利技术的使用费包含在投标报价内。</w:t>
      </w:r>
    </w:p>
    <w:p w14:paraId="3ACA0C4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承包人的技术秘密和声明需要保密的资料和信息，发包人和监理人不得为合同以外的目的泄露给他人。</w:t>
      </w:r>
    </w:p>
    <w:p w14:paraId="0A3240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图纸和文件的保密</w:t>
      </w:r>
    </w:p>
    <w:p w14:paraId="5B6F4CF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发包人提供的图纸和文件，未经发包人同意，承包人不得为合同以外的目的泄露给他人或公开发表与引用。</w:t>
      </w:r>
    </w:p>
    <w:p w14:paraId="104ED6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承包人提供的文件，未经承包人同意，发包人和监理人不得为合同以外的目的泄露给他人或公开发表与引用。</w:t>
      </w:r>
    </w:p>
    <w:p w14:paraId="4F99AB56">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4" w:name="_Toc17804_WPSOffice_Level2"/>
      <w:bookmarkStart w:id="125" w:name="_Toc27493"/>
      <w:bookmarkStart w:id="126" w:name="_Toc17863"/>
      <w:r>
        <w:rPr>
          <w:rFonts w:hint="eastAsia" w:asciiTheme="minorEastAsia" w:hAnsiTheme="minorEastAsia" w:eastAsiaTheme="minorEastAsia" w:cstheme="minorEastAsia"/>
          <w:b/>
          <w:bCs/>
          <w:color w:val="auto"/>
          <w:sz w:val="24"/>
          <w:szCs w:val="24"/>
          <w:highlight w:val="none"/>
        </w:rPr>
        <w:t>2. 发包人义务</w:t>
      </w:r>
      <w:bookmarkEnd w:id="124"/>
      <w:bookmarkEnd w:id="125"/>
      <w:bookmarkEnd w:id="126"/>
    </w:p>
    <w:p w14:paraId="0BD8F56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 遵守法律</w:t>
      </w:r>
    </w:p>
    <w:p w14:paraId="5F207E2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发包人在履行合同过程中应遵守法律，并保证承包人免于承担因发包人违反法律而引起的任何责任。</w:t>
      </w:r>
    </w:p>
    <w:p w14:paraId="24B3D4B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 发出开工通知</w:t>
      </w:r>
    </w:p>
    <w:p w14:paraId="39F0DBC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发包人应委托监理人按第11.1款的约定向承包人发出开工通知。</w:t>
      </w:r>
    </w:p>
    <w:p w14:paraId="0C24339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 提供施工场地</w:t>
      </w:r>
    </w:p>
    <w:p w14:paraId="1F97D27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发包人应按专用合同条款约定向承包人提供施工场地，以及施工场地内地下管线和地下设施等有关资料，并保证资料的真实、准确、完整。</w:t>
      </w:r>
    </w:p>
    <w:p w14:paraId="581F764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 协助承包人办理证件和批件</w:t>
      </w:r>
    </w:p>
    <w:p w14:paraId="7D5F117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发包人应协助承包人办理法律规定的有关施工证件和批件。</w:t>
      </w:r>
    </w:p>
    <w:p w14:paraId="434A8DB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2.5 组织设计交底</w:t>
      </w:r>
    </w:p>
    <w:p w14:paraId="2032031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发包人应根据合同进度计划，组织设计单位向承包人进行设计交底。</w:t>
      </w:r>
    </w:p>
    <w:p w14:paraId="36844A1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2.6 支付合同价款</w:t>
      </w:r>
    </w:p>
    <w:p w14:paraId="388DDC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发包人应按合同约定向承包人及时支付合同价款。</w:t>
      </w:r>
    </w:p>
    <w:p w14:paraId="0F910E7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2.7 组织竣工验收</w:t>
      </w:r>
    </w:p>
    <w:p w14:paraId="2E711A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发包人应按合同约定及时组织竣工验收。</w:t>
      </w:r>
    </w:p>
    <w:p w14:paraId="1424830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2.8 其他义务</w:t>
      </w:r>
    </w:p>
    <w:p w14:paraId="32B14BB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发包人应履行合同约定的其他义务。</w:t>
      </w:r>
    </w:p>
    <w:p w14:paraId="2DC51358">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7" w:name="_Toc18765"/>
      <w:bookmarkStart w:id="128" w:name="_Toc11493_WPSOffice_Level2"/>
      <w:bookmarkStart w:id="129" w:name="_Toc27707"/>
      <w:r>
        <w:rPr>
          <w:rFonts w:hint="eastAsia" w:asciiTheme="minorEastAsia" w:hAnsiTheme="minorEastAsia" w:eastAsiaTheme="minorEastAsia" w:cstheme="minorEastAsia"/>
          <w:b/>
          <w:bCs/>
          <w:color w:val="auto"/>
          <w:sz w:val="24"/>
          <w:szCs w:val="24"/>
          <w:highlight w:val="none"/>
        </w:rPr>
        <w:t>3. 监理人</w:t>
      </w:r>
      <w:bookmarkEnd w:id="127"/>
      <w:bookmarkEnd w:id="128"/>
      <w:bookmarkEnd w:id="129"/>
    </w:p>
    <w:p w14:paraId="3A1DB5F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3.1 监理人的职责和权力</w:t>
      </w:r>
    </w:p>
    <w:p w14:paraId="4C9197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3.1.1 监理人受发包人委托，享有合同约定的权力。监理人在行使某项权力前需要经发包人事先批准而通用合同条款没有指明的，应在专用合同条款中指明。</w:t>
      </w:r>
    </w:p>
    <w:p w14:paraId="03BD93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3.1.2 监理人发出的任何指示应视为已得到发包人的批准，但监理人无权免除或变更合同约定的发包人和承包人的权利、义务和责任。</w:t>
      </w:r>
    </w:p>
    <w:p w14:paraId="4FA4483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0FDE3A4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3.2 总监理工程师</w:t>
      </w:r>
    </w:p>
    <w:p w14:paraId="74594A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71A3CD2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3.3 监理人员</w:t>
      </w:r>
    </w:p>
    <w:p w14:paraId="059F5A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046984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14438D7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3.3.3 承包人对总监理工程师授权的监理人员发出的指示有疑问的，可向总监理工程师提出书面异议，总监理工程师应在48小时内对该指示予以确认、更改或撤销。</w:t>
      </w:r>
    </w:p>
    <w:p w14:paraId="2364AC3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3.3.4 除专用合同条款另有约定外，总监理工程师不应将第3.5款约定应由总监理工程师作出确定的权力授权或委托给其他监理人员。</w:t>
      </w:r>
    </w:p>
    <w:p w14:paraId="66A7E2B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3.4 监理人的指示</w:t>
      </w:r>
    </w:p>
    <w:p w14:paraId="32C745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3.4.1 监理人应按第3.1款的约定向承包人发出指示，监理人的指示应盖有监理人授权的施工场地机构章，并由总监理工程师或总监理工程师按第3.3.1项约定授权的监理人员签字。</w:t>
      </w:r>
    </w:p>
    <w:p w14:paraId="1C59A7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3.4.2 承包人收到监理人按第3.4.1项作出的指示后应遵照执行。指示构成变更的，应按第15条处理。</w:t>
      </w:r>
    </w:p>
    <w:p w14:paraId="6494BD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51E32F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3.4.4 除合同另有约定外，承包人只从总监理工程师或按第3.3.1项被授权的监理人员处取得指示。</w:t>
      </w:r>
    </w:p>
    <w:p w14:paraId="30245E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3.4.5 由于监理人未能按合同约定发出指示、指示延误或指示错误而导致承包人费用增加和（或）工期延误的，由发包人承担赔偿责任。 </w:t>
      </w:r>
    </w:p>
    <w:p w14:paraId="6773294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3.5 商定或确定</w:t>
      </w:r>
    </w:p>
    <w:p w14:paraId="19D8EB2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合同约定总监理工程师应按照本款对任何事项进行商定或确定时，总监理工程师应与合同当事人协商，尽量达成一致。不能达成一致的，总监理工程师应认真研究后审慎确定。</w:t>
      </w:r>
    </w:p>
    <w:p w14:paraId="3D6040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3FB7CE7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0" w:name="_Toc6167"/>
      <w:bookmarkStart w:id="131" w:name="_Toc16252_WPSOffice_Level2"/>
      <w:bookmarkStart w:id="132" w:name="_Toc828"/>
      <w:r>
        <w:rPr>
          <w:rFonts w:hint="eastAsia" w:asciiTheme="minorEastAsia" w:hAnsiTheme="minorEastAsia" w:eastAsiaTheme="minorEastAsia" w:cstheme="minorEastAsia"/>
          <w:b/>
          <w:bCs/>
          <w:color w:val="auto"/>
          <w:sz w:val="24"/>
          <w:szCs w:val="24"/>
          <w:highlight w:val="none"/>
        </w:rPr>
        <w:t>4. 承包人</w:t>
      </w:r>
      <w:bookmarkEnd w:id="130"/>
      <w:bookmarkEnd w:id="131"/>
      <w:bookmarkEnd w:id="132"/>
    </w:p>
    <w:p w14:paraId="4C69384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 承包人的一般义务</w:t>
      </w:r>
    </w:p>
    <w:p w14:paraId="4A3A7EC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遵守法律</w:t>
      </w:r>
    </w:p>
    <w:p w14:paraId="10F1180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承包人在履行合同过程中应遵守法律，并保证发包人免于承担因承包人违反法律而引起的任何责任。</w:t>
      </w:r>
    </w:p>
    <w:p w14:paraId="01B4974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4.1.2 依法纳税</w:t>
      </w:r>
    </w:p>
    <w:p w14:paraId="344D04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承包人应按有关法律规定纳税，应缴纳的税金包括在合同价格内。</w:t>
      </w:r>
    </w:p>
    <w:p w14:paraId="7E1A5FA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4.1.3 完成各项承包工作</w:t>
      </w:r>
    </w:p>
    <w:p w14:paraId="3C186E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0E7E3AE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4.1.4 对施工作业和施工方法的完备性负责</w:t>
      </w:r>
    </w:p>
    <w:p w14:paraId="4FE897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承包人应按合同约定的工作内容和施工进度要求，编制施工组织设计和施工措施计划，并对所有施工作业和施工方法的完备性和安全可靠性负责。</w:t>
      </w:r>
    </w:p>
    <w:p w14:paraId="4F84B9A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4.1.5 保证工程施工和人员的安全</w:t>
      </w:r>
    </w:p>
    <w:p w14:paraId="1B81E82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承包人应按第9.2款约定采取施工安全措施，确保工程及其人员、材料、设备和设施的安全，防止因工程施工造成的人身伤害和财产损失。</w:t>
      </w:r>
    </w:p>
    <w:p w14:paraId="5D80D1A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4.1.6 负责施工场地及其周边环境与生态的保护工作</w:t>
      </w:r>
    </w:p>
    <w:p w14:paraId="45A2D3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承包人应按照第9.4款约定负责施工场地及其周边环境与生态的保护工作。</w:t>
      </w:r>
    </w:p>
    <w:p w14:paraId="087C0D5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297D95F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E07F3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4.1.8 为他人提供方便</w:t>
      </w:r>
    </w:p>
    <w:p w14:paraId="30B68E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D56946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4.1.9 工程的维护和照管</w:t>
      </w:r>
    </w:p>
    <w:p w14:paraId="4A94515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06B73B2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4.1.10 其他义务</w:t>
      </w:r>
    </w:p>
    <w:p w14:paraId="3C662F3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承包人应履行合同约定的其他义务。</w:t>
      </w:r>
    </w:p>
    <w:p w14:paraId="0EDA216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4.2 履约担保</w:t>
      </w:r>
    </w:p>
    <w:p w14:paraId="0F5754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承包人应保证其履约担保在发包人颁发工程接收证书前一直有效。发包人应在工程接收证书颁发后28天内把履约担保退还给承包人。</w:t>
      </w:r>
    </w:p>
    <w:p w14:paraId="38AA348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4.3 分包</w:t>
      </w:r>
    </w:p>
    <w:p w14:paraId="542F681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4.3.1 承包人不得将其承包的全部工程转包给第三人，或将其承包的全部工程肢解后以分包的名义转包给第三人。</w:t>
      </w:r>
    </w:p>
    <w:p w14:paraId="3912F3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4.3.2 承包人不得将工程主体、关键性工作分包给第三人。除专用合同条款另有约定外，未经发包人同意，承包人不得将工程的其他部分或工作分包给第三人。</w:t>
      </w:r>
    </w:p>
    <w:p w14:paraId="144BD0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4.3.3 分包人的资格能力应与其分包工程的标准和规模相适应。</w:t>
      </w:r>
    </w:p>
    <w:p w14:paraId="14235E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4.3.4 按投标函附录约定分包工程的，承包人应向发包人和监理人提交分包合同副本。</w:t>
      </w:r>
    </w:p>
    <w:p w14:paraId="6DAC00C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4.3.5 承包人应与分包人就分包工程向发包人承担连带责任。</w:t>
      </w:r>
    </w:p>
    <w:p w14:paraId="27617CC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4.4 联合体</w:t>
      </w:r>
    </w:p>
    <w:p w14:paraId="5F4413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4.4.1 联合体各方应共同与发包人签订合同协议书。联合体各方应为履行合同承担连带责任。</w:t>
      </w:r>
    </w:p>
    <w:p w14:paraId="7B74C9F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4.4.2 联合体协议经发包人确认后作为合同附件。在履行合同过程中，未经发包人同意，不得修改联合体协议。</w:t>
      </w:r>
    </w:p>
    <w:p w14:paraId="2E1738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4.4.3 联合体牵头人负责与发包人和监理人联系，并接受指示，负责组织联合体各成员全面履行合同。</w:t>
      </w:r>
    </w:p>
    <w:p w14:paraId="266823D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4.5 承包人项目经理</w:t>
      </w:r>
    </w:p>
    <w:p w14:paraId="306E2B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027B9D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2ED2306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承包人为履行合同发出的一切函件均应盖有承包人授权的施工场地管理机构章，并由承包人项目经理或其授权代表签字。</w:t>
      </w:r>
    </w:p>
    <w:p w14:paraId="0117853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4.5.4 承包人项目经理可以授权其下属人员履行其某项职责，但事先应将这些人员的姓名和授权范围通知监理人。</w:t>
      </w:r>
    </w:p>
    <w:p w14:paraId="416AB2F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4.6 承包人人员的管理</w:t>
      </w:r>
    </w:p>
    <w:p w14:paraId="795E300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CFA03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4.6.2 为完成合同约定的各项工作，承包人应向施工场地派遣或雇佣足够数量的下列人员：</w:t>
      </w:r>
    </w:p>
    <w:p w14:paraId="62C1AB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（1）具有相应资格的专业技工和合格的普工；</w:t>
      </w:r>
    </w:p>
    <w:p w14:paraId="51DD164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（2）具有相应施工经验的技术人员；</w:t>
      </w:r>
    </w:p>
    <w:p w14:paraId="711DDB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（3）具有相应岗位资格的各级管理人员。</w:t>
      </w:r>
    </w:p>
    <w:p w14:paraId="3385184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4.6.3 承包人安排在施工场地的主要管理人员和技术骨干应相对稳定。承包人更换主要管理人员和技术骨干时，应取得监理人的同意。</w:t>
      </w:r>
    </w:p>
    <w:p w14:paraId="405FFC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4.6.4 特殊岗位的工作人员均应持有相应的资格证明，监理人有权随时检查。监理人认为有必要时，可进行现场考核。</w:t>
      </w:r>
    </w:p>
    <w:p w14:paraId="7989539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4.7 撤换承包人项目经理和其他人员</w:t>
      </w:r>
    </w:p>
    <w:p w14:paraId="43150BE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4AA4E05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4.8 保障承包人人员的合法权益</w:t>
      </w:r>
    </w:p>
    <w:p w14:paraId="718E48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4.8.1 承包人应与其雇佣的人员签订劳动合同，并按时发放工资。</w:t>
      </w:r>
    </w:p>
    <w:p w14:paraId="338BD83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022E9CE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6F8685F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B9D592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4.8.5 承包人应按有关法律规定和合同约定，为其雇佣人员办理保险。</w:t>
      </w:r>
    </w:p>
    <w:p w14:paraId="7231F9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4.8.6 承包人应负责处理其雇佣人员因工伤亡事故的善后事宜。</w:t>
      </w:r>
    </w:p>
    <w:p w14:paraId="678630F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4.9 工程价款应专款专用</w:t>
      </w:r>
    </w:p>
    <w:p w14:paraId="45EAAB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发包人按合同约定支付给承包人的各项价款应专用于合同工程。</w:t>
      </w:r>
    </w:p>
    <w:p w14:paraId="3D6469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4.10 承包人现场查勘</w:t>
      </w:r>
      <w:r>
        <w:rPr>
          <w:rFonts w:hint="eastAsia" w:asciiTheme="minorEastAsia" w:hAnsiTheme="minorEastAsia" w:eastAsiaTheme="minorEastAsia" w:cstheme="minorEastAsia"/>
          <w:b w:val="0"/>
          <w:bCs w:val="0"/>
          <w:color w:val="auto"/>
          <w:sz w:val="24"/>
          <w:szCs w:val="24"/>
          <w:highlight w:val="none"/>
        </w:rPr>
        <w:t xml:space="preserve">                                                                                                           </w:t>
      </w:r>
    </w:p>
    <w:p w14:paraId="2D229FC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4.10.1 发包人应将其持有的现场地质勘探资料、水文气象资料提供给承包人，并对其准确性负责。但承包人应对其阅读上述有关资料后所作出的解释和推断负责。</w:t>
      </w:r>
    </w:p>
    <w:p w14:paraId="1EF524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59EFA8F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不利物质条件</w:t>
      </w:r>
    </w:p>
    <w:p w14:paraId="7F8B2B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1B530D7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4.11.2 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6F5C2EE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3" w:name="_Toc1863"/>
      <w:bookmarkStart w:id="134" w:name="_Toc31336"/>
      <w:bookmarkStart w:id="135" w:name="_Toc6404_WPSOffice_Level2"/>
      <w:r>
        <w:rPr>
          <w:rFonts w:hint="eastAsia" w:asciiTheme="minorEastAsia" w:hAnsiTheme="minorEastAsia" w:eastAsiaTheme="minorEastAsia" w:cstheme="minorEastAsia"/>
          <w:b/>
          <w:bCs/>
          <w:color w:val="auto"/>
          <w:sz w:val="24"/>
          <w:szCs w:val="24"/>
          <w:highlight w:val="none"/>
        </w:rPr>
        <w:t>5. 材料和工程设备</w:t>
      </w:r>
      <w:bookmarkEnd w:id="133"/>
      <w:bookmarkEnd w:id="134"/>
      <w:bookmarkEnd w:id="135"/>
    </w:p>
    <w:p w14:paraId="26EE769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5.1 承包人提供的材料和工程设备</w:t>
      </w:r>
    </w:p>
    <w:p w14:paraId="5F6C290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5.1.1 除专用合同条款另有约定外，承包人提供的材料和工程设备均由承包人负责采购、运输和保管。承包人应对其采购的材料和工程设备负责。</w:t>
      </w:r>
    </w:p>
    <w:p w14:paraId="152209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6AE735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6D93C9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5.2 发包人提供的材料和工程设备</w:t>
      </w:r>
    </w:p>
    <w:p w14:paraId="04C887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5.2.1 发包人提供的材料和工程设备，应在专用合同条款中写明材料和工程设备的名称、规格、数量、价格、交货方式、交货地点和计划交货日期等。</w:t>
      </w:r>
    </w:p>
    <w:p w14:paraId="55E821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5.2.2 承包人应根据合同进度计划的安排，向监理人报送要求发包人交货的日期计划。发包人应按照监理人与合同双方当事人商定的交货日期，向承包人提交材料和工程设备。</w:t>
      </w:r>
    </w:p>
    <w:p w14:paraId="161F780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3A1832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5.2.4 发包人要求向承包人提前交货的，承包人不得拒绝，但发包人应承担承包人由此增加的费用。 </w:t>
      </w:r>
    </w:p>
    <w:p w14:paraId="126A697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5.2.5 承包人要求更改交货日期或地点的，应事先报请监理人批准。由于承包人要求更改交货时间或地点所增加的费用和（或）工期延误由承包人承担。 </w:t>
      </w:r>
    </w:p>
    <w:p w14:paraId="0F4A20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31A2970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5.3 材料和工程设备专用于合同工程</w:t>
      </w:r>
    </w:p>
    <w:p w14:paraId="25CDA28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运入施工场地的材料、工程设备，包括备品备件、安装专用工器具与随机资料，必须专用于合同工程，未经监理人同意，承包人不得运出施工场地或挪作他用。</w:t>
      </w:r>
    </w:p>
    <w:p w14:paraId="5D28BBD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1BE0D38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5.4 禁止使用不合格的材料和工程设备</w:t>
      </w:r>
    </w:p>
    <w:p w14:paraId="7A027F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3117845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5.4.2 监理人发现承包人使用了不合格的材料和工程设备，应即时发出指示要求承包人立即改正，并禁止在工程中继续使用不合格的材料和工程设备。</w:t>
      </w:r>
    </w:p>
    <w:p w14:paraId="21CFE9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5.4.3 发包人提供的材料或工程设备不符合合同要求的，承包人有权拒绝，并可要求发包人更换，由此增加的费用和（或）工期延误由发包人承担。</w:t>
      </w:r>
    </w:p>
    <w:p w14:paraId="57C5A27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6" w:name="_Toc22260_WPSOffice_Level2"/>
      <w:bookmarkStart w:id="137" w:name="_Toc12317"/>
      <w:bookmarkStart w:id="138" w:name="_Toc1574"/>
      <w:r>
        <w:rPr>
          <w:rFonts w:hint="eastAsia" w:asciiTheme="minorEastAsia" w:hAnsiTheme="minorEastAsia" w:eastAsiaTheme="minorEastAsia" w:cstheme="minorEastAsia"/>
          <w:b/>
          <w:bCs/>
          <w:color w:val="auto"/>
          <w:sz w:val="24"/>
          <w:szCs w:val="24"/>
          <w:highlight w:val="none"/>
        </w:rPr>
        <w:t>6. 施工设备和临时设施</w:t>
      </w:r>
      <w:bookmarkEnd w:id="136"/>
      <w:bookmarkEnd w:id="137"/>
      <w:bookmarkEnd w:id="138"/>
    </w:p>
    <w:p w14:paraId="54AD683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6.1 承包人提供的施工设备和临时设施</w:t>
      </w:r>
    </w:p>
    <w:p w14:paraId="5D5643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293C7C9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除专用合同条款另有约定外，承包人应自行承担修建临时设施的费用，需要临时占地的，应由发包人办理申请手续并承担相应费用。</w:t>
      </w:r>
    </w:p>
    <w:p w14:paraId="0F332A7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6.2 发包人提供的施工设备和临时设施</w:t>
      </w:r>
    </w:p>
    <w:p w14:paraId="4E7AB90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发包人提供的施工设备或临时设施在专用合同条款中约定。</w:t>
      </w:r>
    </w:p>
    <w:p w14:paraId="495797B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6.3 要求承包人增加或更换施工设备</w:t>
      </w:r>
    </w:p>
    <w:p w14:paraId="29A012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74127AC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6.4 施工设备和临时设施专用于合同工程</w:t>
      </w:r>
    </w:p>
    <w:p w14:paraId="7D26256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13E119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6.4.2 经监理人同意，承包人可根据合同进度计划撤走闲置的施工设备。</w:t>
      </w:r>
    </w:p>
    <w:p w14:paraId="0DCD187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9" w:name="_Toc11929"/>
      <w:bookmarkStart w:id="140" w:name="_Toc9822"/>
      <w:bookmarkStart w:id="141" w:name="_Toc567_WPSOffice_Level2"/>
      <w:r>
        <w:rPr>
          <w:rFonts w:hint="eastAsia" w:asciiTheme="minorEastAsia" w:hAnsiTheme="minorEastAsia" w:eastAsiaTheme="minorEastAsia" w:cstheme="minorEastAsia"/>
          <w:b/>
          <w:bCs/>
          <w:color w:val="auto"/>
          <w:sz w:val="24"/>
          <w:szCs w:val="24"/>
          <w:highlight w:val="none"/>
        </w:rPr>
        <w:t>7. 交通运输</w:t>
      </w:r>
      <w:bookmarkEnd w:id="139"/>
      <w:bookmarkEnd w:id="140"/>
      <w:bookmarkEnd w:id="141"/>
    </w:p>
    <w:p w14:paraId="4A0C9F9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7.1 道路通行权和场外设施</w:t>
      </w:r>
    </w:p>
    <w:p w14:paraId="1C362A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4041F0A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7.2 场内施工道路</w:t>
      </w:r>
    </w:p>
    <w:p w14:paraId="12326CB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2991DA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7.2.2 除专用合同条款另有约定外，承包人修建的临时道路和交通设施应免费提供发包人和监理人使用。</w:t>
      </w:r>
    </w:p>
    <w:p w14:paraId="7C23BAC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7.3 场外交通</w:t>
      </w:r>
    </w:p>
    <w:p w14:paraId="05B1A5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7.3.1 承包人车辆外出行驶所需的场外公共道路的通行费、养路费和税款等由承包人承担。</w:t>
      </w:r>
    </w:p>
    <w:p w14:paraId="69D5E01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7.3.2 承包人应遵守有关交通法规，严格按照道路和桥梁的限制荷重安全行驶，并服从交通管理部门的检查和监督。</w:t>
      </w:r>
    </w:p>
    <w:p w14:paraId="10C416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7.4 超大件和超重件的运输</w:t>
      </w:r>
    </w:p>
    <w:p w14:paraId="0AD355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AF93E9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7.5 道路和桥梁的损坏责任</w:t>
      </w:r>
    </w:p>
    <w:p w14:paraId="3B1EFD0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因承包人运输造成施工场地内外公共道路和桥梁损坏的，由承包人承担修复损坏的全部费用和可能引起的赔偿。</w:t>
      </w:r>
    </w:p>
    <w:p w14:paraId="31C0AA6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7.6 水路和航空运输</w:t>
      </w:r>
    </w:p>
    <w:p w14:paraId="5DB8DD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本条上述各款的内容适用于水路运输和航空运输，其中“道路”一词的涵义包括河道、航线、船闸、机场、码头、堤防以及水路或航空运输中其他相似结构物；“车辆”一词的涵义包括船舶和飞机等。 </w:t>
      </w:r>
    </w:p>
    <w:p w14:paraId="32AD679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2" w:name="_Toc13289"/>
      <w:bookmarkStart w:id="143" w:name="_Toc17188_WPSOffice_Level2"/>
      <w:bookmarkStart w:id="144" w:name="_Toc13695"/>
      <w:r>
        <w:rPr>
          <w:rFonts w:hint="eastAsia" w:asciiTheme="minorEastAsia" w:hAnsiTheme="minorEastAsia" w:eastAsiaTheme="minorEastAsia" w:cstheme="minorEastAsia"/>
          <w:b/>
          <w:bCs/>
          <w:color w:val="auto"/>
          <w:sz w:val="24"/>
          <w:szCs w:val="24"/>
          <w:highlight w:val="none"/>
        </w:rPr>
        <w:t>8. 测量放线</w:t>
      </w:r>
      <w:bookmarkEnd w:id="142"/>
      <w:bookmarkEnd w:id="143"/>
      <w:bookmarkEnd w:id="144"/>
    </w:p>
    <w:p w14:paraId="2DA3C5F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8.1 施工控制网</w:t>
      </w:r>
    </w:p>
    <w:p w14:paraId="65E867B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25024C7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承包人应负责管理施工控制网点。施工控制网点丢失或损坏的，承包人应及时修复。承包人应承担施工控制网点的管理与修复费用，并在工程竣工后将施工控制网点移交发包人。</w:t>
      </w:r>
    </w:p>
    <w:p w14:paraId="7CCD8A1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8.2 施工测量</w:t>
      </w:r>
    </w:p>
    <w:p w14:paraId="6CAE7F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承包人应负责施工过程中的全部施工测量放线工作，并配置合格的人员、仪器、设备和其他物品。</w:t>
      </w:r>
    </w:p>
    <w:p w14:paraId="19CB61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监理人可以指示承包人进行抽样复测，当复测中发现错误或出现超过合同约定的误差时，承包人应按监理人指示进行修正或补测，并承担相应的复测费用。</w:t>
      </w:r>
    </w:p>
    <w:p w14:paraId="553F686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8.3 基准资料错误的责任</w:t>
      </w:r>
    </w:p>
    <w:p w14:paraId="48F38D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C8E8A3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8.4 监理人使用施工控制网</w:t>
      </w:r>
    </w:p>
    <w:p w14:paraId="5EAA8E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监理人需要使用施工控制网的，承包人应提供必要的协助，发包人不再为此支付费用。</w:t>
      </w:r>
    </w:p>
    <w:p w14:paraId="4991EA1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5" w:name="_Toc9690"/>
      <w:bookmarkStart w:id="146" w:name="_Toc8815_WPSOffice_Level2"/>
      <w:bookmarkStart w:id="147" w:name="_Toc17131"/>
      <w:r>
        <w:rPr>
          <w:rFonts w:hint="eastAsia" w:asciiTheme="minorEastAsia" w:hAnsiTheme="minorEastAsia" w:eastAsiaTheme="minorEastAsia" w:cstheme="minorEastAsia"/>
          <w:b/>
          <w:bCs/>
          <w:color w:val="auto"/>
          <w:sz w:val="24"/>
          <w:szCs w:val="24"/>
          <w:highlight w:val="none"/>
        </w:rPr>
        <w:t>9. 施工安全、治安保卫和环境保护</w:t>
      </w:r>
      <w:bookmarkEnd w:id="145"/>
      <w:bookmarkEnd w:id="146"/>
      <w:bookmarkEnd w:id="147"/>
    </w:p>
    <w:p w14:paraId="47BA18F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9.1 发包人的施工安全责任</w:t>
      </w:r>
    </w:p>
    <w:p w14:paraId="22633D1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9.1.1 发包人应按合同约定履行安全职责，授权监理人按合同约定的安全工作内容监督、检查承包人安全工作的实施，组织承包人和有关单位进行安全检查。</w:t>
      </w:r>
    </w:p>
    <w:p w14:paraId="0AA608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9.1.2 发包人应对其现场机构雇佣的全部人员的工伤事故承担责任，但由于承包人原因造成发包人人员工伤的，应由承包人承担责任。</w:t>
      </w:r>
    </w:p>
    <w:p w14:paraId="520793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9.1.3 发包人应负责赔偿以下各种情况造成的第三者人身伤亡和财产损失：</w:t>
      </w:r>
    </w:p>
    <w:p w14:paraId="0C32B86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（1）工程或工程的任何部分对土地的占用所造成的第三者财产损失；</w:t>
      </w:r>
    </w:p>
    <w:p w14:paraId="2FDC90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（2）由于发包人原因在施工场地及其毗邻地带造成的第三者人身伤亡和财产损失。</w:t>
      </w:r>
    </w:p>
    <w:p w14:paraId="762674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9.2 承包人的施工安全责任</w:t>
      </w:r>
    </w:p>
    <w:p w14:paraId="32C0C85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32E2E4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478E3B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143FDD6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40366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26649E3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9.2.6 承包人应对其履行合同所雇佣的全部人员，包括分包人人员的工伤事故承担责任，但由于发包人原因造成承包人人员工伤事故的，应由发包人承担责任。</w:t>
      </w:r>
    </w:p>
    <w:p w14:paraId="032492F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9.2.7 由于承包人原因在施工场地内及其毗邻地带造成的第三者人员伤亡和财产损失，由承包人负责赔偿。</w:t>
      </w:r>
    </w:p>
    <w:p w14:paraId="120E47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9.3 治安保卫</w:t>
      </w:r>
    </w:p>
    <w:p w14:paraId="5F5F6F6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9.3.1 除合同另有约定外，发包人应与当地公安部门协商，在现场建立治安管理机构或联防组织，统一管理施工场地的治安保卫事项，履行合同工程的治安保卫职责。</w:t>
      </w:r>
    </w:p>
    <w:p w14:paraId="581951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9.3.2 发包人和承包人除应协助现场治安管理机构或联防组织维护施工场地的社会治安外，还应做好包括生活区在内的各自管辖区的治安保卫工作。</w:t>
      </w:r>
    </w:p>
    <w:p w14:paraId="7E7685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5D2D239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9.4 环境保护</w:t>
      </w:r>
    </w:p>
    <w:p w14:paraId="536525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9.4.1 承包人在施工过程中，应遵守有关环境保护的法律，履行合同约定的环境保护义务，并对违反法律和合同约定义务所造成的环境破坏、人身伤害和财产损失负责。</w:t>
      </w:r>
    </w:p>
    <w:p w14:paraId="597284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9.4.2 承包人应按合同约定的环保工作内容，编制施工环保措施计划，报送监理人审批。</w:t>
      </w:r>
    </w:p>
    <w:p w14:paraId="349CBB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27512B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9.4.4 承包人应按合同约定采取有效措施，对施工开挖的边坡及时进行支护,维护排水设施，并进行水土保护，避免因施工造成的地质灾害。</w:t>
      </w:r>
    </w:p>
    <w:p w14:paraId="7F6B56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9.4.5 承包人应按国家饮用水管理标准定期对饮用水源进行监测，防止施工活动污染饮用水源。</w:t>
      </w:r>
    </w:p>
    <w:p w14:paraId="7C1FF3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9.4.6 承包人应按合同约定，加强对噪声、粉尘、废气、废水和废油的控制，努力降低噪声，控制粉尘和废气浓度，做好废水和废油的治理和排放。</w:t>
      </w:r>
    </w:p>
    <w:p w14:paraId="16A74F7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9.5 事故处理</w:t>
      </w:r>
    </w:p>
    <w:p w14:paraId="666D5F8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04D65E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8" w:name="_Toc8136_WPSOffice_Level2"/>
      <w:bookmarkStart w:id="149" w:name="_Toc24898"/>
      <w:bookmarkStart w:id="150" w:name="_Toc10304"/>
      <w:r>
        <w:rPr>
          <w:rFonts w:hint="eastAsia" w:asciiTheme="minorEastAsia" w:hAnsiTheme="minorEastAsia" w:eastAsiaTheme="minorEastAsia" w:cstheme="minorEastAsia"/>
          <w:b/>
          <w:bCs/>
          <w:color w:val="auto"/>
          <w:sz w:val="24"/>
          <w:szCs w:val="24"/>
          <w:highlight w:val="none"/>
        </w:rPr>
        <w:t>10. 进度计划</w:t>
      </w:r>
      <w:bookmarkEnd w:id="148"/>
      <w:bookmarkEnd w:id="149"/>
      <w:bookmarkEnd w:id="150"/>
    </w:p>
    <w:p w14:paraId="250408A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10.1 合同进度计划</w:t>
      </w:r>
    </w:p>
    <w:p w14:paraId="72D0FA3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1A36749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10.2 合同进度计划的修订</w:t>
      </w:r>
    </w:p>
    <w:p w14:paraId="439673F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16957D40">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1" w:name="_Toc4540_WPSOffice_Level2"/>
      <w:bookmarkStart w:id="152" w:name="_Toc13220"/>
      <w:bookmarkStart w:id="153" w:name="_Toc6293"/>
      <w:r>
        <w:rPr>
          <w:rFonts w:hint="eastAsia" w:asciiTheme="minorEastAsia" w:hAnsiTheme="minorEastAsia" w:eastAsiaTheme="minorEastAsia" w:cstheme="minorEastAsia"/>
          <w:b/>
          <w:bCs/>
          <w:color w:val="auto"/>
          <w:sz w:val="24"/>
          <w:szCs w:val="24"/>
          <w:highlight w:val="none"/>
        </w:rPr>
        <w:t>11. 开工和竣工</w:t>
      </w:r>
      <w:bookmarkEnd w:id="151"/>
      <w:bookmarkEnd w:id="152"/>
      <w:bookmarkEnd w:id="153"/>
    </w:p>
    <w:p w14:paraId="5CF8CD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开工</w:t>
      </w:r>
    </w:p>
    <w:p w14:paraId="3751AF9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7B2E757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7B857D6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竣工</w:t>
      </w:r>
    </w:p>
    <w:p w14:paraId="3A1F8F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承包人应在第1.1.4.3目约定的期限内完成合同工程。实际竣工日期在接收证书中写明。</w:t>
      </w:r>
    </w:p>
    <w:p w14:paraId="4D583CF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发包人的工期延误</w:t>
      </w:r>
    </w:p>
    <w:p w14:paraId="1F593D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56D56F3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（1）增加合同工作内容；</w:t>
      </w:r>
    </w:p>
    <w:p w14:paraId="506479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（2）改变合同中任何一项工作的质量要求或其他特性；</w:t>
      </w:r>
    </w:p>
    <w:p w14:paraId="0A22482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（3）发包人迟延提供材料、工程设备或变更交货地点的；</w:t>
      </w:r>
    </w:p>
    <w:p w14:paraId="3651E1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（4）因发包人原因导致的暂停施工；</w:t>
      </w:r>
    </w:p>
    <w:p w14:paraId="423B27D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（5）提供图纸延误；</w:t>
      </w:r>
    </w:p>
    <w:p w14:paraId="4D514E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（6）未按合同约定及时支付预付款、进度款；</w:t>
      </w:r>
    </w:p>
    <w:p w14:paraId="3FB43A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（7）发包人造成工期延误的其他原因。</w:t>
      </w:r>
    </w:p>
    <w:p w14:paraId="5B184C3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异常恶劣的气候条件</w:t>
      </w:r>
    </w:p>
    <w:p w14:paraId="1416E0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由于出现专用合同条款规定的异常恶劣气候的条件导致工期延误的，承包人有权要求发包人延长工期。</w:t>
      </w:r>
    </w:p>
    <w:p w14:paraId="5EE303E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承包人的工期延误</w:t>
      </w:r>
    </w:p>
    <w:p w14:paraId="748F6E0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6077AA7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工期提前</w:t>
      </w:r>
    </w:p>
    <w:p w14:paraId="0377018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 </w:t>
      </w:r>
    </w:p>
    <w:p w14:paraId="6F9E5FEE">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4" w:name="_Toc18730"/>
      <w:bookmarkStart w:id="155" w:name="_Toc2774_WPSOffice_Level2"/>
      <w:bookmarkStart w:id="156" w:name="_Toc18432"/>
      <w:r>
        <w:rPr>
          <w:rFonts w:hint="eastAsia" w:asciiTheme="minorEastAsia" w:hAnsiTheme="minorEastAsia" w:eastAsiaTheme="minorEastAsia" w:cstheme="minorEastAsia"/>
          <w:b/>
          <w:bCs/>
          <w:color w:val="auto"/>
          <w:sz w:val="24"/>
          <w:szCs w:val="24"/>
          <w:highlight w:val="none"/>
        </w:rPr>
        <w:t>12. 暂停施工</w:t>
      </w:r>
      <w:bookmarkEnd w:id="154"/>
      <w:bookmarkEnd w:id="155"/>
      <w:bookmarkEnd w:id="156"/>
    </w:p>
    <w:p w14:paraId="6BFA608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12.1 承包人暂停施工的责任</w:t>
      </w:r>
    </w:p>
    <w:p w14:paraId="429AC2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因下列暂停施工增加的费用和（或）工期延误由承包人承担：</w:t>
      </w:r>
    </w:p>
    <w:p w14:paraId="7B618C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（1）承包人违约引起的暂停施工；</w:t>
      </w:r>
    </w:p>
    <w:p w14:paraId="4CC09DE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（2）由于承包人原因为工程合理施工和安全保障所必需的暂停施工；</w:t>
      </w:r>
    </w:p>
    <w:p w14:paraId="0854C1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（3）承包人擅自暂停施工；</w:t>
      </w:r>
    </w:p>
    <w:p w14:paraId="4F53EFC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（4）承包人其他原因引起的暂停施工；</w:t>
      </w:r>
    </w:p>
    <w:p w14:paraId="37729F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（5）专用合同条款约定由承包人承担的其他暂停施工。</w:t>
      </w:r>
    </w:p>
    <w:p w14:paraId="25F351B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12.2 发包人暂停施工的责任</w:t>
      </w:r>
    </w:p>
    <w:p w14:paraId="44516E0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由于发包人原因引起的暂停施工造成工期延误的，承包人有权要求发包人延长工期和（或）增加费用，并支付合理利润。</w:t>
      </w:r>
    </w:p>
    <w:p w14:paraId="643ED29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12.3 监理人暂停施工指示</w:t>
      </w:r>
    </w:p>
    <w:p w14:paraId="31EDE34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6E56C6A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348ADB1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12.4 暂停施工后的复工</w:t>
      </w:r>
    </w:p>
    <w:p w14:paraId="3947AD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4549D5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39D1A2F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12.5 暂停施工持续56天以上</w:t>
      </w:r>
    </w:p>
    <w:p w14:paraId="51547C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102920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12.5.2 由于承包人责任引起的暂停施工，如承包人在收到监理人暂停施工指示后56天内不认真采取有效的复工措施，造成工期延误，可视为承包人违约，应按第22.1款的规定办理。</w:t>
      </w:r>
    </w:p>
    <w:p w14:paraId="5C8B8B68">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7" w:name="_Toc14894"/>
      <w:bookmarkStart w:id="158" w:name="_Toc27970"/>
      <w:bookmarkStart w:id="159" w:name="_Toc19416_WPSOffice_Level2"/>
      <w:r>
        <w:rPr>
          <w:rFonts w:hint="eastAsia" w:asciiTheme="minorEastAsia" w:hAnsiTheme="minorEastAsia" w:eastAsiaTheme="minorEastAsia" w:cstheme="minorEastAsia"/>
          <w:b/>
          <w:bCs/>
          <w:color w:val="auto"/>
          <w:sz w:val="24"/>
          <w:szCs w:val="24"/>
          <w:highlight w:val="none"/>
        </w:rPr>
        <w:t>13. 工程质量</w:t>
      </w:r>
      <w:bookmarkEnd w:id="157"/>
      <w:bookmarkEnd w:id="158"/>
      <w:bookmarkEnd w:id="159"/>
    </w:p>
    <w:p w14:paraId="7E99DC3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13.1 工程质量要求</w:t>
      </w:r>
    </w:p>
    <w:p w14:paraId="7BD9DA0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13.1.1 工程质量验收按合同约定验收标准执行。</w:t>
      </w:r>
    </w:p>
    <w:p w14:paraId="28D003A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13.1.2 因承包人原因造成工程质量达不到合同约定验收标准的，监理人有权要求承包人返工直至符合合同要求为止，由此造成的费用增加和（或）工期延误由承包人承担。</w:t>
      </w:r>
    </w:p>
    <w:p w14:paraId="0F75586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13.1.3 因发包人原因造成工程质量达不到合同约定验收标准的，发包人应承担由于承包人返工造成的费用增加和（或）工期延误，并支付承包人合理利润。</w:t>
      </w:r>
    </w:p>
    <w:p w14:paraId="4F37F13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13.2 承包人的质量管理</w:t>
      </w:r>
    </w:p>
    <w:p w14:paraId="5D1EEE4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7ECEC7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13.2.2 承包人应加强对施工人员的质量教育和技术培训，定期考核施工人员的劳动技能，严格执行规范和操作规程。</w:t>
      </w:r>
    </w:p>
    <w:p w14:paraId="2693763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13.3 承包人的质量检查</w:t>
      </w:r>
    </w:p>
    <w:p w14:paraId="40398DD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338D974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13.4 监理人的质量检查</w:t>
      </w:r>
    </w:p>
    <w:p w14:paraId="7977A4F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4D0172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 工程隐蔽部位覆盖前的检查</w:t>
      </w:r>
    </w:p>
    <w:p w14:paraId="10D585C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13.5.1 通知监理人检查</w:t>
      </w:r>
    </w:p>
    <w:p w14:paraId="32B7E43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33A8E0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13.5.2 监理人未到场检查</w:t>
      </w:r>
    </w:p>
    <w:p w14:paraId="568666F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24069E5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13.5.3 监理人重新检查</w:t>
      </w:r>
    </w:p>
    <w:p w14:paraId="2B6021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FFE720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13.5.4 承包人私自覆盖</w:t>
      </w:r>
    </w:p>
    <w:p w14:paraId="7528B7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承包人未通知监理人到场检查，私自将工程隐蔽部位覆盖的，监理人有权指示承包人钻孔探测或揭开检查，由此增加的费用和（或）工期延误由承包人承担。</w:t>
      </w:r>
    </w:p>
    <w:p w14:paraId="2E9379A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13.6 清除不合格工程</w:t>
      </w:r>
    </w:p>
    <w:p w14:paraId="5B7765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C91B0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13.6.2 由于发包人提供的材料或工程设备不合格造成的工程不合格，需要承包人采取措施补救的，发包人应承担由此增加的费用和（或）工期延误，并支付承包人合理利润。</w:t>
      </w:r>
    </w:p>
    <w:p w14:paraId="570ADE4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0" w:name="_Toc2952"/>
      <w:bookmarkStart w:id="161" w:name="_Toc30796_WPSOffice_Level2"/>
      <w:bookmarkStart w:id="162" w:name="_Toc1196"/>
      <w:r>
        <w:rPr>
          <w:rFonts w:hint="eastAsia" w:asciiTheme="minorEastAsia" w:hAnsiTheme="minorEastAsia" w:eastAsiaTheme="minorEastAsia" w:cstheme="minorEastAsia"/>
          <w:b/>
          <w:bCs/>
          <w:color w:val="auto"/>
          <w:sz w:val="24"/>
          <w:szCs w:val="24"/>
          <w:highlight w:val="none"/>
        </w:rPr>
        <w:t>14. 试验和检验</w:t>
      </w:r>
      <w:bookmarkEnd w:id="160"/>
      <w:bookmarkEnd w:id="161"/>
      <w:bookmarkEnd w:id="162"/>
    </w:p>
    <w:p w14:paraId="2F0D0AF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14.1 材料、工程设备和工程的试验和检验</w:t>
      </w:r>
    </w:p>
    <w:p w14:paraId="15D4C5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087D0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14.1.2 监理人未按合同约定派员参加试验和检验的，除监理人另有指示外，承包人可自行试验和检验，并应立即将试验和检验结果报送监理人，监理人应签字确认。</w:t>
      </w:r>
    </w:p>
    <w:p w14:paraId="7FFDB13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28F4E2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14.2 现场材料试验</w:t>
      </w:r>
    </w:p>
    <w:p w14:paraId="451C61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14.2.1 承包人根据合同约定或监理人指示进行的现场材料试验，应由承包人提供试验场所、试验人员、试验设备器材以及其他必要的试验条件。</w:t>
      </w:r>
    </w:p>
    <w:p w14:paraId="1308756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14.2.2 监理人在必要时可以使用承包人的试验场所、试验设备器材以及其他试验条件，进行以工程质量检查为目的的复核性材料试验，承包人应予以协助。</w:t>
      </w:r>
    </w:p>
    <w:p w14:paraId="134B50F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14.3 现场工艺试验</w:t>
      </w:r>
    </w:p>
    <w:p w14:paraId="047AE25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FE3A30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3" w:name="_Toc24145"/>
      <w:bookmarkStart w:id="164" w:name="_Toc25658"/>
      <w:bookmarkStart w:id="165" w:name="_Toc1847_WPSOffice_Level2"/>
      <w:r>
        <w:rPr>
          <w:rFonts w:hint="eastAsia" w:asciiTheme="minorEastAsia" w:hAnsiTheme="minorEastAsia" w:eastAsiaTheme="minorEastAsia" w:cstheme="minorEastAsia"/>
          <w:b/>
          <w:bCs/>
          <w:color w:val="auto"/>
          <w:sz w:val="24"/>
          <w:szCs w:val="24"/>
          <w:highlight w:val="none"/>
        </w:rPr>
        <w:t>15. 变更</w:t>
      </w:r>
      <w:bookmarkEnd w:id="163"/>
      <w:bookmarkEnd w:id="164"/>
      <w:bookmarkEnd w:id="165"/>
    </w:p>
    <w:p w14:paraId="2792B0A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15.1 变更的范围和内容</w:t>
      </w:r>
    </w:p>
    <w:p w14:paraId="649E4BB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除专用合同条款另有约定外，在履行合同中发生以下情形之一，应按照本条规定进行变更。</w:t>
      </w:r>
    </w:p>
    <w:p w14:paraId="202D71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（1）取消合同中任何一项工作，但被取消的工作不能转由发包人或其他人实施；</w:t>
      </w:r>
    </w:p>
    <w:p w14:paraId="3490CB4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（2）改变合同中任何一项工作的质量或其他特性；</w:t>
      </w:r>
    </w:p>
    <w:p w14:paraId="776FB4B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（3）改变合同工程的基线、标高、位置或尺寸；</w:t>
      </w:r>
    </w:p>
    <w:p w14:paraId="567DB6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（4）改变合同中任何一项工作的施工时间或改变已批准的施工工艺或顺序；</w:t>
      </w:r>
    </w:p>
    <w:p w14:paraId="22922F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（5）为完成工程需要追加的额外工作。</w:t>
      </w:r>
    </w:p>
    <w:p w14:paraId="259586F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15.2 变更权</w:t>
      </w:r>
    </w:p>
    <w:p w14:paraId="290F58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5E5B07E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 变更程序</w:t>
      </w:r>
    </w:p>
    <w:p w14:paraId="602DD50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15.3.1 变更的提出</w:t>
      </w:r>
    </w:p>
    <w:p w14:paraId="46796F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14:paraId="457E31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（2）在合同履行过程中，发生第15.1款约定情形的，监理人应按照第15.3.3项约定向承包人发出变更指示。</w:t>
      </w:r>
    </w:p>
    <w:p w14:paraId="4584BB6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15C710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5BF1983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15.3.2 变更估价</w:t>
      </w:r>
    </w:p>
    <w:p w14:paraId="3585B4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2D1CAF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01D078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（3）除专用合同条款对期限另有约定外，监理人收到承包人变更报价书后的14天内，根据第15.4款约定的估价原则，按照第3.5款商定或确定变更价格。</w:t>
      </w:r>
    </w:p>
    <w:p w14:paraId="214255D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15.3.3 变更指示</w:t>
      </w:r>
    </w:p>
    <w:p w14:paraId="40BFA9F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（1）变更指示只能由监理人发出。</w:t>
      </w:r>
    </w:p>
    <w:p w14:paraId="5F3D95D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418F94E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15.4 变更的估价原则</w:t>
      </w:r>
    </w:p>
    <w:p w14:paraId="40CD189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除专用合同条款另有约定外，因变更引起的价格调整按照本款约定处理。</w:t>
      </w:r>
    </w:p>
    <w:p w14:paraId="4C7192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15.4.1 已标价工程量清单中有适用于变更工作的子目的，采用该子目的单价。</w:t>
      </w:r>
    </w:p>
    <w:p w14:paraId="22146FA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15.4.2 已标价工程量清单中无适用于变更工作的子目，但有类似子目的，可在合理范围内参照类似子目的单价，由监理人按第3.5款商定或确定变更工作的单价。</w:t>
      </w:r>
    </w:p>
    <w:p w14:paraId="33B58E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15.4.3 已标价工程量清单中无适用或类似子目的单价，可按照成本加利润的原则，由监理人按第3.5款商定或确定变更工作的单价。</w:t>
      </w:r>
    </w:p>
    <w:p w14:paraId="3023609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15.5 承包人的合理化建议</w:t>
      </w:r>
    </w:p>
    <w:p w14:paraId="3317FF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2290D4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15.5.2 承包人提出的合理化建议降低了合同价格、缩短了工期或者提高了工程经济效益的，发包人可按国家有关规定在专用合同条款中约定给予奖励。</w:t>
      </w:r>
    </w:p>
    <w:p w14:paraId="79DB31E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15.6 暂列金额</w:t>
      </w:r>
    </w:p>
    <w:p w14:paraId="10D13C7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暂列金额只能按照监理人的指示使用，并对合同价格进行相应调整。</w:t>
      </w:r>
    </w:p>
    <w:p w14:paraId="745EDD3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15.7 计日工</w:t>
      </w:r>
    </w:p>
    <w:p w14:paraId="5E02E27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15.7.1 发包人认为有必要时，由监理人通知承包人以计日工方式实施变更的零星工作。其价款按列入已标价工程量清单中的计日工计价子目及其单价进行计算。</w:t>
      </w:r>
    </w:p>
    <w:p w14:paraId="2638AC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15.7.2 采用计日工计价的任何一项变更工作，应从暂列金额中支付，承包人应在该项变更的实施过程中，每天提交以下报表和有关凭证报送监理人审批：</w:t>
      </w:r>
    </w:p>
    <w:p w14:paraId="3AF91C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（1）工作名称、内容和数量；</w:t>
      </w:r>
    </w:p>
    <w:p w14:paraId="3037E10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（2）投入该工作所有人员的姓名、工种、级别和耗用工时；</w:t>
      </w:r>
    </w:p>
    <w:p w14:paraId="108C6D9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（3）投入该工作的材料类别和数量；</w:t>
      </w:r>
    </w:p>
    <w:p w14:paraId="227C51D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（4）投入该工作的施工设备型号、台数和耗用台时；</w:t>
      </w:r>
    </w:p>
    <w:p w14:paraId="668D2CF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（5）监理人要求提交的其他资料和凭证。</w:t>
      </w:r>
    </w:p>
    <w:p w14:paraId="7D47DB9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15.7.3 计日工由承包人汇总后，按第17.3.2项的约定列入进度付款申请单，由监理人复核并经发包人同意后列入进度付款。</w:t>
      </w:r>
    </w:p>
    <w:p w14:paraId="1337353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15.8 暂估价</w:t>
      </w:r>
    </w:p>
    <w:p w14:paraId="69E923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543BE2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2B0CD2C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6AF795BC">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6" w:name="_Toc13718_WPSOffice_Level2"/>
      <w:bookmarkStart w:id="167" w:name="_Toc4454"/>
      <w:bookmarkStart w:id="168" w:name="_Toc1560"/>
      <w:r>
        <w:rPr>
          <w:rFonts w:hint="eastAsia" w:asciiTheme="minorEastAsia" w:hAnsiTheme="minorEastAsia" w:eastAsiaTheme="minorEastAsia" w:cstheme="minorEastAsia"/>
          <w:b/>
          <w:bCs/>
          <w:color w:val="auto"/>
          <w:sz w:val="24"/>
          <w:szCs w:val="24"/>
          <w:highlight w:val="none"/>
        </w:rPr>
        <w:t>16. 价格调整</w:t>
      </w:r>
      <w:bookmarkEnd w:id="166"/>
      <w:bookmarkEnd w:id="167"/>
      <w:bookmarkEnd w:id="168"/>
    </w:p>
    <w:p w14:paraId="76D5170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 物价波动引起的价格调整</w:t>
      </w:r>
    </w:p>
    <w:p w14:paraId="242589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除专用合同条款另有约定外，因物价波动引起的价格调整按照本款约定处理。</w:t>
      </w:r>
    </w:p>
    <w:p w14:paraId="5B4033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 采用价格指数调整价格差额</w:t>
      </w:r>
    </w:p>
    <w:p w14:paraId="21789A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16.1.1.1 价格调整公式</w:t>
      </w:r>
    </w:p>
    <w:p w14:paraId="5C18B0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因人工、材料和设备等价格波动影响合同价格时，根据投标函附录中的价格指数和权重表约定的数据，按以下公式计算差额并调整合同价格。</w:t>
      </w:r>
    </w:p>
    <w:p w14:paraId="3CDB88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式中： △P -- 需调整的价格差额；</w:t>
      </w:r>
    </w:p>
    <w:p w14:paraId="21C4B0A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P0 --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4A6A2B5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A -- 定值权重(即不调部分的权重)；</w:t>
      </w:r>
    </w:p>
    <w:p w14:paraId="5EB322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B1; B2 ;B3·····Bn -- 各可调因子的变值权重(即可调部分的权重)为各可调因子在投标函投标总报价中所占的比例；</w:t>
      </w:r>
    </w:p>
    <w:p w14:paraId="77C033F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Ft1 ;Ft2 ;Ft3·····Ftn -- 各可调因子的现行价格指数，指第17.3.3项、第17.5.2项和第17.6.2项约定的付款证书相关周期最后一天的前42天的各可调因子的价格指数；</w:t>
      </w:r>
    </w:p>
    <w:p w14:paraId="13A977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Fo1; Fo2; Fo3·····Fon -- 各可调因子的基本价格指数，指基准日期的各可调因子的价格指数。</w:t>
      </w:r>
    </w:p>
    <w:p w14:paraId="6D00181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C43CC4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16.1.1.2 暂时确定调整差额</w:t>
      </w:r>
    </w:p>
    <w:p w14:paraId="2FC1E18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在计算调整差额时得不到现行价格指数的，可暂用上一次价格指数计算，并在以后的付款中再按实际价格指数进行调整。</w:t>
      </w:r>
    </w:p>
    <w:p w14:paraId="48F0F13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16.1.1.3 权重的调整</w:t>
      </w:r>
    </w:p>
    <w:p w14:paraId="1F8E57F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按第15.1款约定的变更导致原定合同中的权重不合理时，由监理人与承包人和发包人协商后进行调整。</w:t>
      </w:r>
    </w:p>
    <w:p w14:paraId="1C6BC23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16.1.1.4 承包人工期延误后的价格调整</w:t>
      </w:r>
    </w:p>
    <w:p w14:paraId="7E9D2A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3017399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16.1.2 采用造价信息调整价格差额</w:t>
      </w:r>
    </w:p>
    <w:p w14:paraId="293A92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D96899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法律变化引起的价格调整</w:t>
      </w:r>
    </w:p>
    <w:p w14:paraId="53E5FB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07CB9493">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9" w:name="_Toc4422_WPSOffice_Level2"/>
      <w:bookmarkStart w:id="170" w:name="_Toc6412"/>
      <w:bookmarkStart w:id="171" w:name="_Toc9746"/>
      <w:r>
        <w:rPr>
          <w:rFonts w:hint="eastAsia" w:asciiTheme="minorEastAsia" w:hAnsiTheme="minorEastAsia" w:eastAsiaTheme="minorEastAsia" w:cstheme="minorEastAsia"/>
          <w:b/>
          <w:bCs/>
          <w:color w:val="auto"/>
          <w:sz w:val="24"/>
          <w:szCs w:val="24"/>
          <w:highlight w:val="none"/>
        </w:rPr>
        <w:t>17. 计量与支付</w:t>
      </w:r>
      <w:bookmarkEnd w:id="169"/>
      <w:bookmarkEnd w:id="170"/>
      <w:bookmarkEnd w:id="171"/>
    </w:p>
    <w:p w14:paraId="67F4D24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 计量</w:t>
      </w:r>
    </w:p>
    <w:p w14:paraId="6AAD76F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17.1.1 计量单位</w:t>
      </w:r>
    </w:p>
    <w:p w14:paraId="5ED80D4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计量采用国家法定的计量单位。</w:t>
      </w:r>
    </w:p>
    <w:p w14:paraId="2741DC0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17.1.2 计量方法</w:t>
      </w:r>
    </w:p>
    <w:p w14:paraId="40491C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工程量清单中的工程量计算规则应按有关国家标准、行业标准的规定，并在合同中约定执行。</w:t>
      </w:r>
    </w:p>
    <w:p w14:paraId="7E12BEE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17.1.3 计量周期</w:t>
      </w:r>
    </w:p>
    <w:p w14:paraId="7EABA70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除专用合同条款另有约定外，单价子目已完成工程量按月计量，总价子目的计量周期按批准的支付分解报告确定。</w:t>
      </w:r>
    </w:p>
    <w:p w14:paraId="1D480C1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17.1.4 单价子目的计量</w:t>
      </w:r>
    </w:p>
    <w:p w14:paraId="7139814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（1）已标价工程量清单中的单价子目工程量为估算工程量。结算工程量是承包人实际完成的，并按合同约定的计量方法进行计量的工程量。</w:t>
      </w:r>
    </w:p>
    <w:p w14:paraId="3BBE016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（2）承包人对已完成的工程进行计量，向监理人提交进度付款申请单、已完成工程量报表和有关计量资料。</w:t>
      </w:r>
    </w:p>
    <w:p w14:paraId="6BC5B9A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327290E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（4）监理人认为有必要时，可通知承包人共同进行联合测量、计量，承包人应遵照执行。</w:t>
      </w:r>
    </w:p>
    <w:p w14:paraId="4291FD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3CF9F6C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33640D6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17.1.5 总价子目的计量</w:t>
      </w:r>
    </w:p>
    <w:p w14:paraId="462858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除专用合同条款另有约定外，总价子目的分解和计量按照下述约定进行。</w:t>
      </w:r>
    </w:p>
    <w:p w14:paraId="1A69704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（1）总价子目的计量和支付应以总价为基础，不因第16.1款中的因素而进行调整。承包人实际完成的工程量，是进行工程目标管理和控制进度支付的依据。</w:t>
      </w:r>
    </w:p>
    <w:p w14:paraId="294ED6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4458593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1C210C4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（4）除按照第15条约定的变更外，总价子目的工程量是承包人用于结算的最终工程量。 </w:t>
      </w:r>
    </w:p>
    <w:p w14:paraId="4940FE7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 预付款</w:t>
      </w:r>
    </w:p>
    <w:p w14:paraId="1BF9C4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17.2.1 预付款</w:t>
      </w:r>
    </w:p>
    <w:p w14:paraId="72978BB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6011CBA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17.2.2 预付款保函</w:t>
      </w:r>
    </w:p>
    <w:p w14:paraId="3C35262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5F6B133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17.2.3 预付款的扣回与还清</w:t>
      </w:r>
    </w:p>
    <w:p w14:paraId="520342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5DC0579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 工程进度付款</w:t>
      </w:r>
    </w:p>
    <w:p w14:paraId="4D95429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17.3.1 付款周期</w:t>
      </w:r>
    </w:p>
    <w:p w14:paraId="59952E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付款周期同计量周期。</w:t>
      </w:r>
    </w:p>
    <w:p w14:paraId="0F0384D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17.3.2 进度付款申请单</w:t>
      </w:r>
    </w:p>
    <w:p w14:paraId="3E7BE04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0445C2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（1）截至本次付款周期末已实施工程的价款；</w:t>
      </w:r>
    </w:p>
    <w:p w14:paraId="6C1CB4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（2）根据第15条应增加和扣减的变更金额；</w:t>
      </w:r>
    </w:p>
    <w:p w14:paraId="34405C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（3）根据第23条应增加和扣减的索赔金额；</w:t>
      </w:r>
    </w:p>
    <w:p w14:paraId="2DF8926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（4）根据第17.2款约定应支付的预付款和扣减的返还预付款；</w:t>
      </w:r>
    </w:p>
    <w:p w14:paraId="3AAC35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（5）根据第17.4.1项约定应扣减的质量保证金；</w:t>
      </w:r>
    </w:p>
    <w:p w14:paraId="1A92EF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（6）根据合同应增加和扣减的其他金额。</w:t>
      </w:r>
    </w:p>
    <w:p w14:paraId="1C778BC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17.3.3 进度付款证书和支付时间</w:t>
      </w:r>
    </w:p>
    <w:p w14:paraId="0923DD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01E9AD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（2）发包人应在监理人收到进度付款申请单后的28天内，将进度应付款支付给承包人。发包人不按期支付的，按专用合同条款的约定支付逾期付款违约金。</w:t>
      </w:r>
    </w:p>
    <w:p w14:paraId="5CC34CE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（3）监理人出具进度付款证书，不应视为监理人已同意、批准或接受了承包人完成的该部分工作。</w:t>
      </w:r>
    </w:p>
    <w:p w14:paraId="602B1F5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（4）进度付款涉及政府投资资金的，按照国库集中支付等国家相关规定和专用合同条款的约定办理。</w:t>
      </w:r>
    </w:p>
    <w:p w14:paraId="6354991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17.3.4 工程进度付款的修正</w:t>
      </w:r>
    </w:p>
    <w:p w14:paraId="587199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4152AB9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17.4 质量保证金</w:t>
      </w:r>
    </w:p>
    <w:p w14:paraId="4670CC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43EC2E4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3CE79C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14:paraId="1756B76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 竣工结算</w:t>
      </w:r>
    </w:p>
    <w:p w14:paraId="4C8C7C5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17.5.1 竣工付款申请单</w:t>
      </w:r>
    </w:p>
    <w:p w14:paraId="470EFF5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22E6B3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（2）监理人对竣工付款申请单有异议的，有权要求承包人进行修正和提供补充资料。经监理人和承包人协商后，由承包人向监理人提交修正后的竣工付款申请单。</w:t>
      </w:r>
    </w:p>
    <w:p w14:paraId="121EFA5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17.5.2 竣工付款证书及支付时间</w:t>
      </w:r>
    </w:p>
    <w:p w14:paraId="3B3FDA8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042297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（2）发包人应在监理人出具竣工付款证书后的14天内，将应支付款支付给承包人。发包人不按期支付的，按第17.3.3（2）目的约定，将逾期付款违约金支付给承包人。</w:t>
      </w:r>
    </w:p>
    <w:p w14:paraId="37B7E4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（3）承包人对发包人签认的竣工付款证书有异议的，发包人可出具竣工付款申请单中承包人已同意部分的临时付款证书。存在争议的部分，按第24条的约定办理。</w:t>
      </w:r>
    </w:p>
    <w:p w14:paraId="5947B7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（4）竣工付款涉及政府投资资金的，按第17.3.3（４）目的约定办理。</w:t>
      </w:r>
    </w:p>
    <w:p w14:paraId="7D6C90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 最终结清</w:t>
      </w:r>
    </w:p>
    <w:p w14:paraId="19BB8E0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17.6.1 最终结清申请单</w:t>
      </w:r>
    </w:p>
    <w:p w14:paraId="00345E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（1）缺陷责任期终止证书签发后，承包人可按专用合同条款约定的份数和期限向监理人提交最终结清申请单，并提供相关证明材料。</w:t>
      </w:r>
    </w:p>
    <w:p w14:paraId="73D3CB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（2）发包人对最终结清申请单内容有异议的，有权要求承包人进行修正和提供补充资料，由承包人向监理人提交修正后的最终结清申请单。</w:t>
      </w:r>
    </w:p>
    <w:p w14:paraId="6A71FE7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17.6.2 最终结清证书和支付时间</w:t>
      </w:r>
    </w:p>
    <w:p w14:paraId="3C1852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544C2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（2）发包人应在监理人出具最终结清证书后的14天内，将应支付款支付给承包人。发包人不按期支付的，按第17.3.3（2）目的约定，将逾期付款违约金支付给承包人。</w:t>
      </w:r>
    </w:p>
    <w:p w14:paraId="33F125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（3）承包人对发包人签认的最终结清证书有异议的，按第24条的约定办理。</w:t>
      </w:r>
    </w:p>
    <w:p w14:paraId="6F097B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（4）最终结清付款涉及政府投资资金的，按第17.3.3（４）目的约定办理。</w:t>
      </w:r>
    </w:p>
    <w:p w14:paraId="074D5FE0">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2" w:name="_Toc15512"/>
      <w:bookmarkStart w:id="173" w:name="_Toc8506_WPSOffice_Level2"/>
      <w:bookmarkStart w:id="174" w:name="_Toc22803"/>
      <w:r>
        <w:rPr>
          <w:rFonts w:hint="eastAsia" w:asciiTheme="minorEastAsia" w:hAnsiTheme="minorEastAsia" w:eastAsiaTheme="minorEastAsia" w:cstheme="minorEastAsia"/>
          <w:b/>
          <w:bCs/>
          <w:color w:val="auto"/>
          <w:sz w:val="24"/>
          <w:szCs w:val="24"/>
          <w:highlight w:val="none"/>
        </w:rPr>
        <w:t>18. 竣工验收</w:t>
      </w:r>
      <w:bookmarkEnd w:id="172"/>
      <w:bookmarkEnd w:id="173"/>
      <w:bookmarkEnd w:id="174"/>
    </w:p>
    <w:p w14:paraId="00F7439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18.1 竣工验收的含义</w:t>
      </w:r>
    </w:p>
    <w:p w14:paraId="2159E2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18.1.1 竣工验收指承包人完成了全部合同工作后，发包人按合同要求进行的验收。</w:t>
      </w:r>
    </w:p>
    <w:p w14:paraId="2AD9011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18.1.2 国家验收是政府有关部门根据法律、规范、规程和政策要求，针对发包人全面组织实施的整个工程正式交付投运前的验收。</w:t>
      </w:r>
    </w:p>
    <w:p w14:paraId="44F2366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18.1.3 需要进行国家验收的，竣工验收是国家验收的一部分。竣工验收所采用的各项验收和评定标准应符合国家验收标准。发包人和承包人为竣工验收提供的各项竣工验收资料应符合国家验收的要求。 </w:t>
      </w:r>
    </w:p>
    <w:p w14:paraId="2833AD8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18.2 竣工验收申请报告</w:t>
      </w:r>
    </w:p>
    <w:p w14:paraId="67D754F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当工程具备以下条件时，承包人即可向监理人报送竣工验收申请报告：</w:t>
      </w:r>
    </w:p>
    <w:p w14:paraId="738907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1CDA0F9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（2）已按合同约定的内容和份数备齐了符合要求的竣工资料； </w:t>
      </w:r>
    </w:p>
    <w:p w14:paraId="0B0C8C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（3）已按监理人的要求编制了在缺陷责任期内完成的尾工（甩项）工程和缺陷修补工作清单以及相应施工计划；</w:t>
      </w:r>
    </w:p>
    <w:p w14:paraId="773CD4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（4）监理人要求在竣工验收前应完成的其他工作；</w:t>
      </w:r>
    </w:p>
    <w:p w14:paraId="626550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（5）监理人要求提交的竣工验收资料清单。</w:t>
      </w:r>
    </w:p>
    <w:p w14:paraId="7243B47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18.3 验收</w:t>
      </w:r>
    </w:p>
    <w:p w14:paraId="43126D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监理人收到承包人按第18.2款约定提交的竣工验收申请报告后，应审查申请报告的各项内容，并按以下不同情况进行处理。</w:t>
      </w:r>
    </w:p>
    <w:p w14:paraId="048DF6F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4F4C62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18.3.2 监理人审查后认为已具备竣工验收条件的，应在收到竣工验收申请报告后的28天内提请发包人进行工程验收。</w:t>
      </w:r>
    </w:p>
    <w:p w14:paraId="7ABF9A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0441622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442A298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18.3.5 除专用合同条款另有约定外，经验收合格工程的实际竣工日期，以提交竣工验收申请报告的日期为准，并在工程接收证书中写明。</w:t>
      </w:r>
    </w:p>
    <w:p w14:paraId="3E0F8C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18.3.6 发包人在收到承包人竣工验收申请报告56天后未进行验收的，视为验收合格，实际竣工日期以提交竣工验收申请报告的日期为准，但发包人由于不可抗力不能进行验收的除外。</w:t>
      </w:r>
    </w:p>
    <w:p w14:paraId="2FCD872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18.4 单位工程验收</w:t>
      </w:r>
    </w:p>
    <w:p w14:paraId="55E2DA7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275741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18.4.2 发包人在全部工程竣工前，使用已接收的单位工程导致承包人费用增加的，发包人应承担由此增加的费用和（或）工期延误，并支付承包人合理利润。</w:t>
      </w:r>
    </w:p>
    <w:p w14:paraId="73C01E0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18.5 施工期运行</w:t>
      </w:r>
    </w:p>
    <w:p w14:paraId="2F4E95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724B381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18.5.2 在施工期运行中发现工程或工程设备损坏或存在缺陷的，由承包人按第19.2款约定进行修复。</w:t>
      </w:r>
    </w:p>
    <w:p w14:paraId="1695E53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2835AAA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18.6.1 除专用合同条款另有约定外，承包人应按专用合同条款约定进行工程及工程设备试运行，负责提供试运行所需的人员、器材和必要的条件，并承担全部试运行费用。</w:t>
      </w:r>
    </w:p>
    <w:p w14:paraId="093AE53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3C7B1C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18.7 竣工清场</w:t>
      </w:r>
    </w:p>
    <w:p w14:paraId="4DA5DA0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18.7.1 除合同另有约定外，工程接收证书颁发后，承包人应按以下要求对施工场地进行清理，直至监理人检验合格为止。竣工清场费用由承包人承担。</w:t>
      </w:r>
    </w:p>
    <w:p w14:paraId="35446A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（1）施工场地内残留的垃圾已全部清除出场；</w:t>
      </w:r>
    </w:p>
    <w:p w14:paraId="666394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（2）临时工程已拆除，场地已按合同要求进行清理、平整或复原；</w:t>
      </w:r>
    </w:p>
    <w:p w14:paraId="615F65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（3）按合同约定应撤离的承包人设备和剩余的材料，包括废弃的施工设备和材料，已按计划撤离施工场地；</w:t>
      </w:r>
    </w:p>
    <w:p w14:paraId="29555B3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（4）工程建筑物周边及其附近道路、河道的施工堆积物，已按监理人指示全部清理；</w:t>
      </w:r>
    </w:p>
    <w:p w14:paraId="7D39969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（5）监理人指示的其他场地清理工作已全部完成。</w:t>
      </w:r>
    </w:p>
    <w:p w14:paraId="668F28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18.7.2 承包人未按监理人的要求恢复临时占地，或者场地清理未达到合同约定的，发包人有权委托其他人恢复或清理，所发生的金额从拟支付给承包人的款项中扣除。</w:t>
      </w:r>
    </w:p>
    <w:p w14:paraId="071EF4F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18.8 施工队伍的撤离</w:t>
      </w:r>
    </w:p>
    <w:p w14:paraId="449788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3DAA8E74">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5" w:name="_Toc23600"/>
      <w:bookmarkStart w:id="176" w:name="_Toc16903_WPSOffice_Level2"/>
      <w:bookmarkStart w:id="177" w:name="_Toc2791"/>
      <w:r>
        <w:rPr>
          <w:rFonts w:hint="eastAsia" w:asciiTheme="minorEastAsia" w:hAnsiTheme="minorEastAsia" w:eastAsiaTheme="minorEastAsia" w:cstheme="minorEastAsia"/>
          <w:b/>
          <w:bCs/>
          <w:color w:val="auto"/>
          <w:sz w:val="24"/>
          <w:szCs w:val="24"/>
          <w:highlight w:val="none"/>
        </w:rPr>
        <w:t>19. 缺陷责任与保修责任</w:t>
      </w:r>
      <w:bookmarkEnd w:id="175"/>
      <w:bookmarkEnd w:id="176"/>
      <w:bookmarkEnd w:id="177"/>
    </w:p>
    <w:p w14:paraId="76F9F62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19.1 缺陷责任期的起算时间</w:t>
      </w:r>
    </w:p>
    <w:p w14:paraId="7FF0A35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缺陷责任期自实际竣工日期起计算。在全部工程竣工验收前，已经发包人提前验收的单位工程，其缺陷责任期的起算日期相应提前。</w:t>
      </w:r>
    </w:p>
    <w:p w14:paraId="4010D83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19.2 缺陷责任</w:t>
      </w:r>
    </w:p>
    <w:p w14:paraId="4C14FD7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19.2.1 承包人应在缺陷责任期内对已交付使用的工程承担缺陷责任。</w:t>
      </w:r>
    </w:p>
    <w:p w14:paraId="547E975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39578CF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0F872DB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19.2.4 承包人不能在合理时间内修复缺陷的，发包人可自行修复或委托其他人修复，所需费用和利润的承担，按第19.2.3项约定办理。</w:t>
      </w:r>
    </w:p>
    <w:p w14:paraId="574AEBF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19.3 缺陷责任期的延长</w:t>
      </w:r>
    </w:p>
    <w:p w14:paraId="47CBFA7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5015FFB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19.4 进一步试验和试运行</w:t>
      </w:r>
    </w:p>
    <w:p w14:paraId="0C0038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4BBD8F2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19.5 承包人的进入权</w:t>
      </w:r>
    </w:p>
    <w:p w14:paraId="28D8BF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缺陷责任期内承包人为缺陷修复工作需要，有权进入工程现场，但应遵守发包人的保安和保密规定。</w:t>
      </w:r>
    </w:p>
    <w:p w14:paraId="79ABC01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19.6 缺陷责任期终止证书</w:t>
      </w:r>
    </w:p>
    <w:p w14:paraId="0EC2CC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在第1.1.4.5目约定的缺陷责任期，包括根据第19.3款延长的期限终止后14天内，由监理人向承包人出具经发包人签认的缺陷责任期终止证书，并退还剩余的质量保证金。</w:t>
      </w:r>
    </w:p>
    <w:p w14:paraId="0F3D120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0AE3AC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5E97AC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8" w:name="_Toc16301"/>
      <w:bookmarkStart w:id="179" w:name="_Toc152_WPSOffice_Level2"/>
      <w:bookmarkStart w:id="180" w:name="_Toc31702"/>
      <w:r>
        <w:rPr>
          <w:rFonts w:hint="eastAsia" w:asciiTheme="minorEastAsia" w:hAnsiTheme="minorEastAsia" w:eastAsiaTheme="minorEastAsia" w:cstheme="minorEastAsia"/>
          <w:b/>
          <w:bCs/>
          <w:color w:val="auto"/>
          <w:sz w:val="24"/>
          <w:szCs w:val="24"/>
          <w:highlight w:val="none"/>
        </w:rPr>
        <w:t>20. 保险</w:t>
      </w:r>
      <w:bookmarkEnd w:id="178"/>
      <w:bookmarkEnd w:id="179"/>
      <w:bookmarkEnd w:id="180"/>
    </w:p>
    <w:p w14:paraId="230A910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20.1 工程保险</w:t>
      </w:r>
    </w:p>
    <w:p w14:paraId="32C01D8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005010B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 人员工伤事故的保险</w:t>
      </w:r>
    </w:p>
    <w:p w14:paraId="324F631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20.2.1 承包人员工伤事故的保险</w:t>
      </w:r>
    </w:p>
    <w:p w14:paraId="065C8A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承包人应依照有关法律规定参加工伤保险，为其履行合同所雇佣的全部人员，缴纳工伤保险费，并要求其分包人也进行此项保险。</w:t>
      </w:r>
    </w:p>
    <w:p w14:paraId="2A1B470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20.2.2 发包人员工伤事故的保险</w:t>
      </w:r>
    </w:p>
    <w:p w14:paraId="3992BA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发包人应依照有关法律规定参加工伤保险，为其现场机构雇佣的全部人员，缴纳工伤保险费，并要求其监理人也进行此项保险。</w:t>
      </w:r>
    </w:p>
    <w:p w14:paraId="0D1354F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20.3 人身意外伤害险</w:t>
      </w:r>
    </w:p>
    <w:p w14:paraId="6EAE69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20.3.1 发包人应在整个施工期间为其现场机构雇用的全部人员，投保人身意外伤害险，缴纳保险费，并要求其监理人也进行此项保险。</w:t>
      </w:r>
    </w:p>
    <w:p w14:paraId="7A3F83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20.3.2 承包人应在整个施工期间为其现场机构雇用的全部人员，投保人身意外伤害险，缴纳保险费，并要求其分包人也进行此项保险。</w:t>
      </w:r>
    </w:p>
    <w:p w14:paraId="2B7C893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20.4 第三者责任险</w:t>
      </w:r>
    </w:p>
    <w:p w14:paraId="46FE309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200C36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20.4.2 在缺陷责任期终止证书颁发前，承包人应以承包人和发包人的共同名义，投保第20.4.1项约定的第三者责任险，其保险费率、保险金额等有关内容在专用合同条款中约定。</w:t>
      </w:r>
    </w:p>
    <w:p w14:paraId="605CCAB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20.5 其他保险</w:t>
      </w:r>
    </w:p>
    <w:p w14:paraId="0A2D1A1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除专用合同条款另有约定外，承包人应为其施工设备、进场的材料和工程设备等办理保险。</w:t>
      </w:r>
    </w:p>
    <w:p w14:paraId="57888B1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 对各项保险的一般要求</w:t>
      </w:r>
    </w:p>
    <w:p w14:paraId="7810432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20.6.1 保险凭证</w:t>
      </w:r>
    </w:p>
    <w:p w14:paraId="331B58F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承包人应在专用合同条款约定的期限内向发包人提交各项保险生效的证据和保险单副本，保险单必须与专用合同条款约定的条件保持一致。</w:t>
      </w:r>
    </w:p>
    <w:p w14:paraId="17C1ABC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20.6.2 保险合同条款的变动</w:t>
      </w:r>
    </w:p>
    <w:p w14:paraId="50C2620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承包人需要变动保险合同条款时，应事先征得发包人同意，并通知监理人。保险人作出变动的，承包人应在收到保险人通知后立即通知发包人和监理人。</w:t>
      </w:r>
    </w:p>
    <w:p w14:paraId="728C429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20.6.3 持续保险</w:t>
      </w:r>
    </w:p>
    <w:p w14:paraId="190DDDE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承包人应与保险人保持联系，使保险人能够随时了解工程实施中的变动，并确保按保险合同条款要求持续保险。</w:t>
      </w:r>
    </w:p>
    <w:p w14:paraId="767AC2B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20.6.4 保险金不足的补偿</w:t>
      </w:r>
    </w:p>
    <w:p w14:paraId="131AB6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保险金不足以补偿损失的，应由承包人和（或）发包人按合同约定负责补偿。</w:t>
      </w:r>
    </w:p>
    <w:p w14:paraId="3C0524F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20.6.5 未按约定投保的补救</w:t>
      </w:r>
    </w:p>
    <w:p w14:paraId="12510D3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（1）由于负有投保义务的一方当事人未按合同约定办理保险，或未能使保险持续有效的，另一方当事人可代为办理，所需费用由对方当事人承担。</w:t>
      </w:r>
    </w:p>
    <w:p w14:paraId="6B6B7C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473C1A0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20.6.6 报告义务</w:t>
      </w:r>
    </w:p>
    <w:p w14:paraId="1133F0C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当保险事故发生时，投保人应按照保险单规定的条件和期限及时向保险人报告。</w:t>
      </w:r>
    </w:p>
    <w:p w14:paraId="5709621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1" w:name="_Toc26924_WPSOffice_Level2"/>
      <w:bookmarkStart w:id="182" w:name="_Toc16745"/>
      <w:bookmarkStart w:id="183" w:name="_Toc19241"/>
      <w:r>
        <w:rPr>
          <w:rFonts w:hint="eastAsia" w:asciiTheme="minorEastAsia" w:hAnsiTheme="minorEastAsia" w:eastAsiaTheme="minorEastAsia" w:cstheme="minorEastAsia"/>
          <w:b/>
          <w:bCs/>
          <w:color w:val="auto"/>
          <w:sz w:val="24"/>
          <w:szCs w:val="24"/>
          <w:highlight w:val="none"/>
        </w:rPr>
        <w:t>21. 不可抗力</w:t>
      </w:r>
      <w:bookmarkEnd w:id="181"/>
      <w:bookmarkEnd w:id="182"/>
      <w:bookmarkEnd w:id="183"/>
    </w:p>
    <w:p w14:paraId="0C714DD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21.1 不可抗力的确认</w:t>
      </w:r>
    </w:p>
    <w:p w14:paraId="5CD9106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307E8D6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7A03E73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21.2 不可抗力的通知</w:t>
      </w:r>
    </w:p>
    <w:p w14:paraId="1EFC89F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3BB765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6C96C33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 不可抗力后果及其处理</w:t>
      </w:r>
    </w:p>
    <w:p w14:paraId="5036789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21.3.1 不可抗力造成损害的责任</w:t>
      </w:r>
    </w:p>
    <w:p w14:paraId="2F52FC4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除专用合同条款另有约定外，不可抗力导致的人员伤亡、财产损失、费用增加和（或）工期延误等后果，由合同双方按以下原则承担：</w:t>
      </w:r>
    </w:p>
    <w:p w14:paraId="171A7F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（1）永久工程，包括已运至施工场地的材料和工程设备的损害，以及因工程损害造成的第三者人员伤亡和财产损失由发包人承担；</w:t>
      </w:r>
    </w:p>
    <w:p w14:paraId="526847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（2）承包人设备的损坏由承包人承担；</w:t>
      </w:r>
    </w:p>
    <w:p w14:paraId="276CBC4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（3）发包人和承包人各自承担其人员伤亡和其他财产损失及其相关费用；</w:t>
      </w:r>
    </w:p>
    <w:p w14:paraId="36D2BD7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（4）承包人的停工损失由承包人承担，但停工期间应监理人要求照管工程和清理、修复工程的金额由发包人承担；</w:t>
      </w:r>
    </w:p>
    <w:p w14:paraId="2E2293C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（5）不能按期竣工的，应合理延长工期，承包人不需支付逾期竣工违约金。发包人要求赶工的，承包人应采取赶工措施，赶工费用由发包人承担。</w:t>
      </w:r>
    </w:p>
    <w:p w14:paraId="290C959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21.3.2 延迟履行期间发生的不可抗力</w:t>
      </w:r>
    </w:p>
    <w:p w14:paraId="74422F1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合同一方当事人延迟履行，在延迟履行期间发生不可抗力的，不免除其责任。</w:t>
      </w:r>
    </w:p>
    <w:p w14:paraId="100DE59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21.3.3 避免和减少不可抗力损失</w:t>
      </w:r>
    </w:p>
    <w:p w14:paraId="5CCA9A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不可抗力发生后，发包人和承包人均应采取措施尽量避免和减少损失的扩大，任何一方没有采取有效措施导致损失扩大的，应对扩大的损失承担责任。</w:t>
      </w:r>
    </w:p>
    <w:p w14:paraId="0E9EBBE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21.3.4 因不可抗力解除合同</w:t>
      </w:r>
    </w:p>
    <w:p w14:paraId="2F9AA2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4AAB3E18">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4" w:name="_Toc27913_WPSOffice_Level2"/>
      <w:bookmarkStart w:id="185" w:name="_Toc20877"/>
      <w:bookmarkStart w:id="186" w:name="_Toc25530"/>
      <w:r>
        <w:rPr>
          <w:rFonts w:hint="eastAsia" w:asciiTheme="minorEastAsia" w:hAnsiTheme="minorEastAsia" w:eastAsiaTheme="minorEastAsia" w:cstheme="minorEastAsia"/>
          <w:b/>
          <w:bCs/>
          <w:color w:val="auto"/>
          <w:sz w:val="24"/>
          <w:szCs w:val="24"/>
          <w:highlight w:val="none"/>
        </w:rPr>
        <w:t>22. 违约</w:t>
      </w:r>
      <w:bookmarkEnd w:id="184"/>
      <w:bookmarkEnd w:id="185"/>
      <w:bookmarkEnd w:id="186"/>
    </w:p>
    <w:p w14:paraId="08B679A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 承包人违约</w:t>
      </w:r>
    </w:p>
    <w:p w14:paraId="0997ACE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22.1.1 承包人违约的情形</w:t>
      </w:r>
    </w:p>
    <w:p w14:paraId="1C53616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在履行合同过程中发生的下列情况属承包人违约：</w:t>
      </w:r>
    </w:p>
    <w:p w14:paraId="62FDDEF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（1）承包人违反第1.8款或第4.3款的约定，私自将合同的全部或部分权利转让给其他人，或私自将合同的全部或部分义务转移给其他人；</w:t>
      </w:r>
    </w:p>
    <w:p w14:paraId="554F12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（2）承包人违反第5.3款或第6.4款的约定，未经监理人批准，私自将已按合同约定进入施工场地的施工设备、临时设施或材料撤离施工场地；</w:t>
      </w:r>
    </w:p>
    <w:p w14:paraId="44ACBC7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（3）承包人违反第5.4款的约定使用了不合格材料或工程设备，工程质量达不到标准要求，又拒绝清除不合格工程；</w:t>
      </w:r>
    </w:p>
    <w:p w14:paraId="6FEBCFE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（4）承包人未能按合同进度计划及时完成合同约定的工作，已造成或预期造成工期延误；</w:t>
      </w:r>
    </w:p>
    <w:p w14:paraId="439420F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（5）承包人在缺陷责任期内，未能对工程接收证书所列的缺陷清单的内容或缺陷责任期内发生的缺陷进行修复，而又拒绝按监理人指示再进行修补；</w:t>
      </w:r>
    </w:p>
    <w:p w14:paraId="71551F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（6）承包人无法继续履行或明确表示不履行或实质上已停止履行合同；</w:t>
      </w:r>
    </w:p>
    <w:p w14:paraId="620FC9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（7）承包人不按合同约定履行义务的其他情况。</w:t>
      </w:r>
    </w:p>
    <w:p w14:paraId="539B480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22.1.2 对承包人违约的处理</w:t>
      </w:r>
    </w:p>
    <w:p w14:paraId="07A395F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（1）承包人发生第22.1.1（6）目约定的违约情况时，发包人可通知承包人立即解除合同，并按有关法律处理。</w:t>
      </w:r>
    </w:p>
    <w:p w14:paraId="4E93156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07F3E11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（3）经检查证明承包人已采取了有效措施纠正违约行为，具备复工条件的，可由监理人签发复工通知复工。</w:t>
      </w:r>
    </w:p>
    <w:p w14:paraId="578ABEC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22.1.3 承包人违约解除合同</w:t>
      </w:r>
    </w:p>
    <w:p w14:paraId="277EFAF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00742EA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22.1.4 合同解除后的估价、付款和结清</w:t>
      </w:r>
    </w:p>
    <w:p w14:paraId="5B5790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（1）合同解除后，监理人按第3.5款商定或确定承包人实际完成工作的价值，以及承包人已提供的材料、施工设备、工程设备和临时工程等的价值。 </w:t>
      </w:r>
    </w:p>
    <w:p w14:paraId="662388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（2）合同解除后，发包人应暂停对承包人的一切付款，查清各项付款和已扣款金额，包括承包人应支付的违约金。 </w:t>
      </w:r>
    </w:p>
    <w:p w14:paraId="6071CED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（3）合同解除后，发包人应按第23.4款的约定向承包人索赔由于解除合同给发包人造成的损失。</w:t>
      </w:r>
    </w:p>
    <w:p w14:paraId="603E63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（4）合同双方确认上述往来款项后，出具最终结清付款证书，结清全部合同款项。</w:t>
      </w:r>
    </w:p>
    <w:p w14:paraId="42DB5B6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（5）发包人和承包人未能就解除合同后的结清达成一致而形成争议的，按第24条的约定办理。</w:t>
      </w:r>
    </w:p>
    <w:p w14:paraId="02C87A5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22.1.5 协议利益的转让</w:t>
      </w:r>
    </w:p>
    <w:p w14:paraId="747984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因承包人违约解除合同的，发包人有权要求承包人将其为实施合同而签订的材料和设备的订货协议或任何服务协议利益转让给发包人，并在解除合同后的14天内，依法办理转让手续。 </w:t>
      </w:r>
    </w:p>
    <w:p w14:paraId="669A181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22.1.6 紧急情况下无能力或不愿进行抢救</w:t>
      </w:r>
    </w:p>
    <w:p w14:paraId="5E35EDA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AB46A2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 发包人违约</w:t>
      </w:r>
    </w:p>
    <w:p w14:paraId="3CF8937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22.2.1 发包人违约的情形</w:t>
      </w:r>
    </w:p>
    <w:p w14:paraId="45F812A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在履行合同过程中发生的下列情形，属发包人违约：</w:t>
      </w:r>
    </w:p>
    <w:p w14:paraId="71FE1C9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（1）发包人未能按合同约定支付预付款或合同价款，或拖延、拒绝批准付款申请和支付凭证，导致付款延误的；</w:t>
      </w:r>
    </w:p>
    <w:p w14:paraId="64CF51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（2）发包人原因造成停工的；</w:t>
      </w:r>
    </w:p>
    <w:p w14:paraId="06AFE4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（3）监理人无正当理由没有在约定期限内发出复工指示，导致承包人无法复工的；</w:t>
      </w:r>
    </w:p>
    <w:p w14:paraId="7CF2F4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（4）发包人无法继续履行或明确表示不履行或实质上已停止履行合同的；</w:t>
      </w:r>
    </w:p>
    <w:p w14:paraId="28695E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（5）发包人不履行合同约定其他义务的。</w:t>
      </w:r>
    </w:p>
    <w:p w14:paraId="2401ABA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22.2.2 承包人有权暂停施工</w:t>
      </w:r>
    </w:p>
    <w:p w14:paraId="2C526C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589E57F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 xml:space="preserve">22.2.3 发包人违约解除合同 </w:t>
      </w:r>
    </w:p>
    <w:p w14:paraId="029F4F5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（1）发生第22.2.1（4）目的违约情况时，承包人可书面通知发包人解除合同。   </w:t>
      </w:r>
    </w:p>
    <w:p w14:paraId="7A3A9EB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p>
    <w:p w14:paraId="45590C7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22.2.4 解除合同后的付款</w:t>
      </w:r>
    </w:p>
    <w:p w14:paraId="33224E0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15F6C82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（1）合同解除日以前所完成工作的价款；</w:t>
      </w:r>
    </w:p>
    <w:p w14:paraId="186964E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（2）承包人为该工程施工订购并已付款的材料、工程设备和其他物品的金额。发包人付还后，该材料、工程设备和其他物品归发包人所有；</w:t>
      </w:r>
    </w:p>
    <w:p w14:paraId="0A5149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（3）承包人为完成工程所发生的，而发包人未支付的金额；</w:t>
      </w:r>
    </w:p>
    <w:p w14:paraId="202D531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（4）承包人撤离施工场地以及遣散承包人人员的金额；</w:t>
      </w:r>
    </w:p>
    <w:p w14:paraId="1988387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（5）由于解除合同应赔偿的承包人损失；</w:t>
      </w:r>
    </w:p>
    <w:p w14:paraId="261893D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（6）按合同约定在合同解除日前应支付给承包人的其他金额。</w:t>
      </w:r>
    </w:p>
    <w:p w14:paraId="78E71C5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发包人应按本项约定支付上述金额并退还质量保证金和履约担保，但有权要求承包人支付应偿还给发包人的各项金额。</w:t>
      </w:r>
    </w:p>
    <w:p w14:paraId="36B68E9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22.2.5 解除合同后的承包人撤离</w:t>
      </w:r>
    </w:p>
    <w:p w14:paraId="0D25483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736FCB0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22.3 第三人造成的违约</w:t>
      </w:r>
    </w:p>
    <w:p w14:paraId="23CC693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460C45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7" w:name="_Toc26969_WPSOffice_Level2"/>
      <w:bookmarkStart w:id="188" w:name="_Toc12051"/>
      <w:bookmarkStart w:id="189" w:name="_Toc9161"/>
      <w:r>
        <w:rPr>
          <w:rFonts w:hint="eastAsia" w:asciiTheme="minorEastAsia" w:hAnsiTheme="minorEastAsia" w:eastAsiaTheme="minorEastAsia" w:cstheme="minorEastAsia"/>
          <w:b/>
          <w:bCs/>
          <w:color w:val="auto"/>
          <w:sz w:val="24"/>
          <w:szCs w:val="24"/>
          <w:highlight w:val="none"/>
        </w:rPr>
        <w:t>23. 索赔</w:t>
      </w:r>
      <w:bookmarkEnd w:id="187"/>
      <w:bookmarkEnd w:id="188"/>
      <w:bookmarkEnd w:id="189"/>
    </w:p>
    <w:p w14:paraId="112B91A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23.1 承包人索赔的提出</w:t>
      </w:r>
    </w:p>
    <w:p w14:paraId="571C674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根据合同约定，承包人认为有权得到追加付款和（或）延长工期的，应按以下程序向发包人提出索赔：</w:t>
      </w:r>
    </w:p>
    <w:p w14:paraId="466406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77BE4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3E30EB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0D74A8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5373D7A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23.2 承包人索赔处理程序</w:t>
      </w:r>
    </w:p>
    <w:p w14:paraId="018B7D7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16CD15C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4EE4F6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（3）承包人接受索赔处理结果的，发包人应在作出索赔处理结果答复后28天内完成赔付。承包人不接受索赔处理结果的，按第24条的约定办理。</w:t>
      </w:r>
    </w:p>
    <w:p w14:paraId="1959599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23.3 承包人提出索赔的期限</w:t>
      </w:r>
    </w:p>
    <w:p w14:paraId="37CCD3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23.3.1 承包人按第17.5款的约定接受了竣工付款证书后，应被认为已无权再提出在合同工程接收证书颁发前所发生的任何索赔。</w:t>
      </w:r>
    </w:p>
    <w:p w14:paraId="047726E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23.3.2 承包人按第17.6款的约定提交的最终结清申请单中，只限于提出工程接收证书颁发后发生的索赔。提出索赔的期限自接受最终结清证书时终止。 </w:t>
      </w:r>
    </w:p>
    <w:p w14:paraId="110DBF6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23.4 发包人的索赔</w:t>
      </w:r>
    </w:p>
    <w:p w14:paraId="0752B00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63859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473920CA">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90" w:name="_Toc21461"/>
      <w:bookmarkStart w:id="191" w:name="_Toc23205_WPSOffice_Level2"/>
      <w:bookmarkStart w:id="192" w:name="_Toc7431"/>
      <w:r>
        <w:rPr>
          <w:rFonts w:hint="eastAsia" w:asciiTheme="minorEastAsia" w:hAnsiTheme="minorEastAsia" w:eastAsiaTheme="minorEastAsia" w:cstheme="minorEastAsia"/>
          <w:b/>
          <w:bCs/>
          <w:color w:val="auto"/>
          <w:sz w:val="24"/>
          <w:szCs w:val="24"/>
          <w:highlight w:val="none"/>
        </w:rPr>
        <w:t>24. 争议的解决</w:t>
      </w:r>
      <w:bookmarkEnd w:id="190"/>
      <w:bookmarkEnd w:id="191"/>
      <w:bookmarkEnd w:id="192"/>
    </w:p>
    <w:p w14:paraId="50587E7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24.1 争议的解决方式</w:t>
      </w:r>
    </w:p>
    <w:p w14:paraId="6851B2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12F5F5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（1）向约定的仲裁委员会申请仲裁；</w:t>
      </w:r>
    </w:p>
    <w:p w14:paraId="7A25DA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（2）向有管辖权的人民法院提起诉讼。</w:t>
      </w:r>
    </w:p>
    <w:p w14:paraId="474E5FE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24.2 友好解决</w:t>
      </w:r>
    </w:p>
    <w:p w14:paraId="61E663C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在提请争议评审、仲裁或者诉讼前，以及在争议评审、仲裁或诉讼过程中，发包人和承包人均可共同努力友好协商解决争议。</w:t>
      </w:r>
    </w:p>
    <w:p w14:paraId="1DDFC5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24.3 争议评审</w:t>
      </w:r>
    </w:p>
    <w:p w14:paraId="1C2747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24.3.1 采用争议评审的，发包人和承包人应在开工日后的28天内或在争议发生后，协商成立争议评审组。争议评审组由有合同管理和工程实践经验的专家组成。</w:t>
      </w:r>
    </w:p>
    <w:p w14:paraId="4340C51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6B7780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24.3.3 被申请人在收到申请人评审申请报告副本后的28天内，向争议评审组提交一份答辩报告，并附证明材料。被申请人应将答辩报告的副本同时提交给申请人和监理人。</w:t>
      </w:r>
    </w:p>
    <w:p w14:paraId="5DABDB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7D8345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07250D4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24.3.6 发包人和承包人接受评审意见的，由监理人根据评审意见拟定执行协议，经争议双方签字后作为合同的补充文件，并遵照执行。</w:t>
      </w:r>
    </w:p>
    <w:p w14:paraId="48FD673B">
      <w:pPr>
        <w:spacing w:line="360" w:lineRule="auto"/>
        <w:ind w:firstLine="480" w:firstLineChars="200"/>
        <w:rPr>
          <w:rFonts w:hint="eastAsia" w:asciiTheme="minorEastAsia" w:hAnsiTheme="minorEastAsia" w:eastAsiaTheme="minorEastAsia" w:cstheme="minorEastAsia"/>
          <w:b w:val="0"/>
          <w:bCs w:val="0"/>
          <w:snapToGrid w:val="0"/>
          <w:color w:val="auto"/>
          <w:spacing w:val="28"/>
          <w:kern w:val="0"/>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4F4EE60E">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5773F6B0">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1D8CA4F1">
      <w:pPr>
        <w:rPr>
          <w:rFonts w:hint="eastAsia" w:ascii="宋体" w:hAnsi="宋体" w:eastAsia="宋体" w:cs="宋体"/>
          <w:b/>
          <w:bCs/>
          <w:snapToGrid w:val="0"/>
          <w:color w:val="auto"/>
          <w:spacing w:val="28"/>
          <w:kern w:val="0"/>
          <w:sz w:val="32"/>
          <w:szCs w:val="32"/>
          <w:highlight w:val="none"/>
          <w:lang w:val="en-US" w:eastAsia="zh-CN"/>
        </w:rPr>
      </w:pPr>
    </w:p>
    <w:p w14:paraId="00556F2F">
      <w:pPr>
        <w:rPr>
          <w:rFonts w:hint="eastAsia" w:ascii="宋体" w:hAnsi="宋体" w:eastAsia="宋体" w:cs="宋体"/>
          <w:b/>
          <w:bCs/>
          <w:snapToGrid w:val="0"/>
          <w:color w:val="auto"/>
          <w:spacing w:val="28"/>
          <w:kern w:val="0"/>
          <w:sz w:val="32"/>
          <w:szCs w:val="32"/>
          <w:highlight w:val="none"/>
          <w:lang w:val="en-US" w:eastAsia="zh-CN"/>
        </w:rPr>
      </w:pPr>
    </w:p>
    <w:p w14:paraId="623CF03F">
      <w:pPr>
        <w:rPr>
          <w:rFonts w:hint="eastAsia" w:ascii="宋体" w:hAnsi="宋体" w:eastAsia="宋体" w:cs="宋体"/>
          <w:b/>
          <w:bCs/>
          <w:snapToGrid w:val="0"/>
          <w:color w:val="auto"/>
          <w:spacing w:val="28"/>
          <w:kern w:val="0"/>
          <w:sz w:val="32"/>
          <w:szCs w:val="32"/>
          <w:highlight w:val="none"/>
          <w:lang w:val="en-US" w:eastAsia="zh-CN"/>
        </w:rPr>
      </w:pPr>
    </w:p>
    <w:p w14:paraId="0795518B">
      <w:pPr>
        <w:pageBreakBefore/>
        <w:jc w:val="center"/>
        <w:outlineLvl w:val="0"/>
        <w:rPr>
          <w:rFonts w:hint="eastAsia" w:ascii="宋体" w:hAnsi="宋体" w:eastAsia="宋体" w:cs="宋体"/>
          <w:b/>
          <w:bCs/>
          <w:color w:val="auto"/>
          <w:kern w:val="2"/>
          <w:sz w:val="32"/>
          <w:szCs w:val="32"/>
          <w:highlight w:val="none"/>
          <w:lang w:val="en-US"/>
        </w:rPr>
      </w:pPr>
      <w:bookmarkStart w:id="193" w:name="_Toc16618"/>
      <w:bookmarkStart w:id="194" w:name="_Toc14360"/>
      <w:r>
        <w:rPr>
          <w:rFonts w:hint="eastAsia" w:ascii="宋体" w:hAnsi="宋体" w:eastAsia="宋体" w:cs="宋体"/>
          <w:b/>
          <w:bCs/>
          <w:snapToGrid w:val="0"/>
          <w:color w:val="auto"/>
          <w:spacing w:val="28"/>
          <w:kern w:val="0"/>
          <w:sz w:val="32"/>
          <w:szCs w:val="32"/>
          <w:highlight w:val="none"/>
          <w:lang w:val="en-US" w:eastAsia="zh-CN"/>
        </w:rPr>
        <w:t xml:space="preserve">第六部分 </w:t>
      </w:r>
      <w:r>
        <w:rPr>
          <w:rFonts w:hint="eastAsia" w:ascii="宋体" w:hAnsi="宋体" w:eastAsia="宋体" w:cs="宋体"/>
          <w:b/>
          <w:bCs/>
          <w:color w:val="auto"/>
          <w:kern w:val="2"/>
          <w:sz w:val="32"/>
          <w:szCs w:val="32"/>
          <w:highlight w:val="none"/>
          <w:lang w:val="en-US"/>
        </w:rPr>
        <w:t>廉政合同</w:t>
      </w:r>
      <w:bookmarkEnd w:id="193"/>
      <w:bookmarkEnd w:id="194"/>
    </w:p>
    <w:p w14:paraId="32E0DC86">
      <w:pPr>
        <w:adjustRightInd w:val="0"/>
        <w:snapToGrid w:val="0"/>
        <w:spacing w:line="360" w:lineRule="auto"/>
        <w:ind w:firstLine="480" w:firstLineChars="200"/>
        <w:rPr>
          <w:rFonts w:hint="eastAsia" w:ascii="宋体" w:hAnsi="宋体" w:eastAsia="宋体" w:cs="宋体"/>
          <w:b/>
          <w:color w:val="auto"/>
          <w:sz w:val="24"/>
          <w:szCs w:val="24"/>
          <w:highlight w:val="none"/>
        </w:rPr>
      </w:pPr>
    </w:p>
    <w:p w14:paraId="6F0104CA">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工程项目名称：北江航道扩能升级上延工程</w:t>
      </w:r>
      <w:r>
        <w:rPr>
          <w:rFonts w:hint="eastAsia" w:ascii="宋体" w:hAnsi="宋体" w:eastAsia="宋体" w:cs="宋体"/>
          <w:b/>
          <w:color w:val="auto"/>
          <w:sz w:val="24"/>
          <w:szCs w:val="24"/>
          <w:highlight w:val="none"/>
          <w:lang w:val="en-US" w:eastAsia="zh-CN"/>
        </w:rPr>
        <w:t>塘头船闸</w:t>
      </w:r>
      <w:r>
        <w:rPr>
          <w:rFonts w:hint="eastAsia" w:ascii="宋体" w:hAnsi="宋体" w:eastAsia="宋体" w:cs="宋体"/>
          <w:b/>
          <w:color w:val="auto"/>
          <w:sz w:val="24"/>
          <w:szCs w:val="24"/>
          <w:highlight w:val="none"/>
        </w:rPr>
        <w:t>工程</w:t>
      </w:r>
    </w:p>
    <w:p w14:paraId="372F6F3D">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工程项目地址：</w:t>
      </w:r>
      <w:r>
        <w:rPr>
          <w:rFonts w:hint="eastAsia" w:ascii="宋体" w:hAnsi="宋体" w:eastAsia="宋体" w:cs="宋体"/>
          <w:b/>
          <w:color w:val="auto"/>
          <w:sz w:val="24"/>
          <w:szCs w:val="24"/>
          <w:highlight w:val="none"/>
          <w:lang w:eastAsia="zh-CN"/>
        </w:rPr>
        <w:t>广东韶关市</w:t>
      </w:r>
    </w:p>
    <w:p w14:paraId="3F268AEF">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发包人：</w:t>
      </w:r>
      <w:r>
        <w:rPr>
          <w:rFonts w:hint="eastAsia" w:ascii="宋体" w:hAnsi="宋体" w:eastAsia="宋体" w:cs="宋体"/>
          <w:b/>
          <w:color w:val="auto"/>
          <w:sz w:val="24"/>
          <w:szCs w:val="24"/>
          <w:highlight w:val="none"/>
          <w:lang w:eastAsia="zh-CN"/>
        </w:rPr>
        <w:t>广东省北江航道开发投资有限公司</w:t>
      </w:r>
    </w:p>
    <w:p w14:paraId="544FA5AE">
      <w:pPr>
        <w:adjustRightInd w:val="0"/>
        <w:snapToGrid w:val="0"/>
        <w:spacing w:line="360" w:lineRule="auto"/>
        <w:ind w:left="0" w:leftChars="0"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承包人：</w:t>
      </w:r>
    </w:p>
    <w:p w14:paraId="1661745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工程建设中的廉政建设，规范工程建设项目承发包双方的各项活动，防止发生各种谋取不正当利益的违法违纪行为，保护政府、集体和当事人的合法权益，根据政府有关工程建设的法律法规和廉政建设责任制规定，特订立本廉政合同。</w:t>
      </w:r>
    </w:p>
    <w:p w14:paraId="1897DCA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双方的责任</w:t>
      </w:r>
    </w:p>
    <w:p w14:paraId="6A9DF3B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(一)应严格遵守政府关于市场准入、项目招标投标、工程建设、施工安装和市场活动等有关法律、法规，相关政策，以及廉政建设的各项规定。</w:t>
      </w:r>
    </w:p>
    <w:p w14:paraId="5D59571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(二)严格执行建设工程项目承发包合同文件，自觉按合同办事。</w:t>
      </w:r>
    </w:p>
    <w:p w14:paraId="3506E4E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(三)业务活动必须坚持公开、公平、公正、诚信、透明的原则(除法律法规另有规定者外)，不得为获取不正当的利益，损害政府、集体和对方利益，不得违反工程建设管理、施工安装的规章制度。</w:t>
      </w:r>
    </w:p>
    <w:p w14:paraId="0A229DC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(四)发现对方在业务活动中有违规、违纪、违法行为的，应及时提醒对方，情节严重的，应向其上级主管部门或纪检监察、司法等有关机关举报。</w:t>
      </w:r>
    </w:p>
    <w:p w14:paraId="1DA2C6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发包人的责任</w:t>
      </w:r>
    </w:p>
    <w:p w14:paraId="51E945A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发包人的领导和从事该建设工程项目的工作人员，在工程建设的事前、事中、事后应遵守以下规定：</w:t>
      </w:r>
    </w:p>
    <w:p w14:paraId="7DD7B96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(一)不准向承包人和相关单位索要或接受回扣、礼金、有价证券、贵重物品和好处费、感谢费等。</w:t>
      </w:r>
    </w:p>
    <w:p w14:paraId="46E263B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(二)不准在承包人和相关单位报销任何应由发包人或个人支付的费用。</w:t>
      </w:r>
    </w:p>
    <w:p w14:paraId="25732DC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(三)不准要求、暗示和接受承包人和相关单位为个人装修住房、婚丧嫁娶、配偶子女的工作安排以及出国(境)、旅游等提供方便。</w:t>
      </w:r>
    </w:p>
    <w:p w14:paraId="0741BB3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(四)不准参加有可能影响公正执行公务的承包人和相关单位的宴请和健身、娱乐等活动。</w:t>
      </w:r>
    </w:p>
    <w:p w14:paraId="4BFEC76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w:t>
      </w:r>
    </w:p>
    <w:p w14:paraId="0C9B39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承包人的责任</w:t>
      </w:r>
    </w:p>
    <w:p w14:paraId="60C48D3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应与发包人保持正常的业务交往，按照有关法律法规和程序开展业务工作，严格执行工程建设的有关方针、政策，尤其是有关建筑施工安装的强制性标准和规范，并遵守以下规定：</w:t>
      </w:r>
    </w:p>
    <w:p w14:paraId="41C748F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(一)不准以任何理由向发包人、相关单位及其工作人员索要、接受或赠送礼金、有价证券、贵重物品和回扣、好处费、感谢费等。</w:t>
      </w:r>
    </w:p>
    <w:p w14:paraId="00AFB45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(二)不准以任何理由为发包人和相关单位报销应由对方或个人支付的费用。</w:t>
      </w:r>
    </w:p>
    <w:p w14:paraId="0D55C97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(三)不准接受或暗示为发包人、相关单位或个人装修住房、婚丧嫁娶、配偶子女的工作安排以及出国(境)、旅游等提供方便。</w:t>
      </w:r>
    </w:p>
    <w:p w14:paraId="4D66724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(四)不准以任何理由为发包人、相关单位或个人组织有可能影响公正执行公务的宴请、健身、娱乐等活动。</w:t>
      </w:r>
    </w:p>
    <w:p w14:paraId="00DA01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71719AD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发包人工作人员有违反本合同第一、二条责任行为的，按照管理权限，依据有关法律法规和规定给予党纪、政纪处分或组织处理；涉嫌犯罪的，移交司法机关追究刑事责任；给承包人单位造成经济损失的，应予以赔偿。</w:t>
      </w:r>
    </w:p>
    <w:p w14:paraId="0C3B833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承包人工作人员有违反本合同第一、三条责任行为的，按照管理权限，依据有关法律法规和规定给予党纪、政纪处分或组织处理；涉嫌犯罪的，移交司法机关追究刑事责任；给发包人单位造成经济损失的，应予以赔偿。</w:t>
      </w:r>
    </w:p>
    <w:p w14:paraId="0D694AC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第五条　本合同作为工程施工合同的附件，与工程施工合同具有同等法律效力。经双方签署后立即生效。</w:t>
      </w:r>
    </w:p>
    <w:p w14:paraId="57B8326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第六条　本合同的有效期为双方签署之日起至该工程项目竣工验收合格时止。</w:t>
      </w:r>
    </w:p>
    <w:p w14:paraId="1CBCE0E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本合同正本</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 xml:space="preserve"> 八 </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份。当副本与正本不一致时，以正本为准。</w:t>
      </w:r>
    </w:p>
    <w:p w14:paraId="2F459747">
      <w:pPr>
        <w:pStyle w:val="20"/>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0EE17D8D">
      <w:pPr>
        <w:pStyle w:val="20"/>
        <w:rPr>
          <w:rFonts w:hint="eastAsia" w:ascii="宋体" w:hAnsi="宋体" w:eastAsia="宋体" w:cs="宋体"/>
          <w:color w:val="auto"/>
          <w:sz w:val="24"/>
          <w:szCs w:val="24"/>
          <w:highlight w:val="none"/>
          <w:lang w:eastAsia="zh-CN"/>
        </w:rPr>
        <w:sectPr>
          <w:headerReference r:id="rId5" w:type="default"/>
          <w:footerReference r:id="rId6"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291A5637">
      <w:pPr>
        <w:pStyle w:val="20"/>
        <w:rPr>
          <w:rFonts w:hint="eastAsia" w:ascii="宋体" w:hAnsi="宋体" w:eastAsia="宋体" w:cs="宋体"/>
          <w:color w:val="auto"/>
          <w:sz w:val="24"/>
          <w:szCs w:val="24"/>
          <w:highlight w:val="none"/>
          <w:lang w:eastAsia="zh-CN"/>
        </w:rPr>
      </w:pPr>
    </w:p>
    <w:p w14:paraId="38327176">
      <w:pPr>
        <w:pStyle w:val="20"/>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（本页无正文，为廉政合同签署页。）</w:t>
      </w:r>
    </w:p>
    <w:p w14:paraId="5E1EA8CF">
      <w:pPr>
        <w:pStyle w:val="14"/>
        <w:spacing w:line="480" w:lineRule="auto"/>
        <w:rPr>
          <w:rFonts w:hint="eastAsia" w:ascii="宋体" w:hAnsi="宋体" w:eastAsia="宋体" w:cs="宋体"/>
          <w:color w:val="auto"/>
          <w:sz w:val="24"/>
          <w:szCs w:val="24"/>
          <w:highlight w:val="none"/>
          <w:lang w:eastAsia="zh-CN"/>
        </w:rPr>
      </w:pPr>
    </w:p>
    <w:p w14:paraId="17C52E9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0680294C">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472D1EF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5E0DFF23">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11784DB6">
      <w:pPr>
        <w:pStyle w:val="9"/>
        <w:spacing w:line="480" w:lineRule="auto"/>
        <w:rPr>
          <w:rFonts w:hint="eastAsia"/>
          <w:color w:val="auto"/>
          <w:highlight w:val="none"/>
        </w:rPr>
      </w:pPr>
    </w:p>
    <w:p w14:paraId="4897879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hAnsi="宋体" w:cs="Times New Roman"/>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20DF01BC">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7901350B">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1C12AF2D">
      <w:pPr>
        <w:spacing w:line="480" w:lineRule="auto"/>
        <w:rPr>
          <w:rFonts w:hint="eastAsia" w:ascii="宋体" w:hAnsi="宋体" w:cs="宋体"/>
          <w:color w:val="auto"/>
          <w:kern w:val="0"/>
          <w:sz w:val="24"/>
          <w:szCs w:val="24"/>
          <w:highlight w:val="none"/>
          <w:u w:val="none"/>
          <w:lang w:val="en-US" w:eastAsia="zh-CN"/>
        </w:rPr>
      </w:pPr>
    </w:p>
    <w:p w14:paraId="26ED2DF7">
      <w:pPr>
        <w:spacing w:line="480" w:lineRule="auto"/>
        <w:rPr>
          <w:rFonts w:hint="eastAsia" w:ascii="宋体" w:hAnsi="宋体" w:cs="宋体"/>
          <w:color w:val="auto"/>
          <w:kern w:val="0"/>
          <w:sz w:val="24"/>
          <w:szCs w:val="24"/>
          <w:highlight w:val="none"/>
          <w:u w:val="none"/>
          <w:lang w:val="en-US" w:eastAsia="zh-CN"/>
        </w:rPr>
      </w:pPr>
    </w:p>
    <w:p w14:paraId="775945C8">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69C23B7E">
      <w:pPr>
        <w:pStyle w:val="20"/>
        <w:rPr>
          <w:rFonts w:hint="eastAsia" w:ascii="宋体" w:hAnsi="宋体" w:eastAsia="宋体" w:cs="宋体"/>
          <w:color w:val="auto"/>
          <w:sz w:val="24"/>
          <w:szCs w:val="24"/>
          <w:highlight w:val="none"/>
          <w:lang w:eastAsia="zh-CN"/>
        </w:rPr>
      </w:pPr>
    </w:p>
    <w:p w14:paraId="62544F29">
      <w:pPr>
        <w:pStyle w:val="20"/>
        <w:rPr>
          <w:rFonts w:hint="eastAsia" w:ascii="宋体" w:hAnsi="宋体" w:eastAsia="宋体" w:cs="宋体"/>
          <w:color w:val="auto"/>
          <w:sz w:val="24"/>
          <w:szCs w:val="24"/>
          <w:highlight w:val="none"/>
          <w:lang w:eastAsia="zh-CN"/>
        </w:rPr>
      </w:pPr>
    </w:p>
    <w:p w14:paraId="25A8F6CA">
      <w:pPr>
        <w:pStyle w:val="20"/>
        <w:rPr>
          <w:rFonts w:hint="eastAsia" w:ascii="宋体" w:hAnsi="宋体" w:eastAsia="宋体" w:cs="宋体"/>
          <w:color w:val="auto"/>
          <w:sz w:val="24"/>
          <w:szCs w:val="24"/>
          <w:highlight w:val="none"/>
          <w:lang w:eastAsia="zh-CN"/>
        </w:rPr>
      </w:pPr>
    </w:p>
    <w:p w14:paraId="7F24189B">
      <w:pPr>
        <w:pStyle w:val="20"/>
        <w:rPr>
          <w:rFonts w:hint="eastAsia" w:ascii="宋体" w:hAnsi="宋体" w:eastAsia="宋体" w:cs="宋体"/>
          <w:color w:val="auto"/>
          <w:sz w:val="24"/>
          <w:szCs w:val="24"/>
          <w:highlight w:val="none"/>
          <w:lang w:eastAsia="zh-CN"/>
        </w:rPr>
      </w:pPr>
    </w:p>
    <w:p w14:paraId="5209CB73">
      <w:pPr>
        <w:pStyle w:val="20"/>
        <w:rPr>
          <w:rFonts w:hint="eastAsia" w:ascii="宋体" w:hAnsi="宋体" w:eastAsia="宋体" w:cs="宋体"/>
          <w:color w:val="auto"/>
          <w:sz w:val="24"/>
          <w:szCs w:val="24"/>
          <w:highlight w:val="none"/>
          <w:lang w:eastAsia="zh-CN"/>
        </w:rPr>
      </w:pPr>
    </w:p>
    <w:p w14:paraId="5C5D01D3">
      <w:pPr>
        <w:pStyle w:val="20"/>
        <w:rPr>
          <w:rFonts w:hint="eastAsia" w:ascii="宋体" w:hAnsi="宋体" w:eastAsia="宋体" w:cs="宋体"/>
          <w:color w:val="auto"/>
          <w:sz w:val="24"/>
          <w:szCs w:val="24"/>
          <w:highlight w:val="none"/>
          <w:lang w:eastAsia="zh-CN"/>
        </w:rPr>
      </w:pPr>
    </w:p>
    <w:p w14:paraId="184F6F02">
      <w:pPr>
        <w:pStyle w:val="20"/>
        <w:rPr>
          <w:rFonts w:hint="eastAsia" w:ascii="宋体" w:hAnsi="宋体" w:eastAsia="宋体" w:cs="宋体"/>
          <w:color w:val="auto"/>
          <w:sz w:val="24"/>
          <w:szCs w:val="24"/>
          <w:highlight w:val="none"/>
          <w:lang w:eastAsia="zh-CN"/>
        </w:rPr>
      </w:pPr>
    </w:p>
    <w:p w14:paraId="7F9CE8C4">
      <w:pPr>
        <w:pStyle w:val="20"/>
        <w:rPr>
          <w:rFonts w:hint="eastAsia" w:ascii="宋体" w:hAnsi="宋体" w:eastAsia="宋体" w:cs="宋体"/>
          <w:color w:val="auto"/>
          <w:sz w:val="24"/>
          <w:szCs w:val="24"/>
          <w:highlight w:val="none"/>
          <w:lang w:eastAsia="zh-CN"/>
        </w:rPr>
      </w:pPr>
    </w:p>
    <w:p w14:paraId="7B0493B9">
      <w:pPr>
        <w:pStyle w:val="20"/>
        <w:rPr>
          <w:rFonts w:hint="eastAsia" w:ascii="宋体" w:hAnsi="宋体" w:eastAsia="宋体" w:cs="宋体"/>
          <w:color w:val="auto"/>
          <w:sz w:val="24"/>
          <w:szCs w:val="24"/>
          <w:highlight w:val="none"/>
          <w:lang w:eastAsia="zh-CN"/>
        </w:rPr>
      </w:pPr>
    </w:p>
    <w:p w14:paraId="418869F5">
      <w:pPr>
        <w:pStyle w:val="20"/>
        <w:rPr>
          <w:rFonts w:hint="eastAsia" w:ascii="宋体" w:hAnsi="宋体" w:eastAsia="宋体" w:cs="宋体"/>
          <w:color w:val="auto"/>
          <w:sz w:val="24"/>
          <w:szCs w:val="24"/>
          <w:highlight w:val="none"/>
          <w:lang w:eastAsia="zh-CN"/>
        </w:rPr>
      </w:pPr>
    </w:p>
    <w:p w14:paraId="281ED355">
      <w:pPr>
        <w:pStyle w:val="20"/>
        <w:rPr>
          <w:rFonts w:hint="eastAsia" w:ascii="宋体" w:hAnsi="宋体" w:eastAsia="宋体" w:cs="宋体"/>
          <w:color w:val="auto"/>
          <w:sz w:val="24"/>
          <w:szCs w:val="24"/>
          <w:highlight w:val="none"/>
          <w:lang w:eastAsia="zh-CN"/>
        </w:rPr>
      </w:pPr>
    </w:p>
    <w:p w14:paraId="77F540A6">
      <w:pPr>
        <w:pStyle w:val="20"/>
        <w:rPr>
          <w:rFonts w:hint="eastAsia" w:ascii="宋体" w:hAnsi="宋体" w:eastAsia="宋体" w:cs="宋体"/>
          <w:color w:val="auto"/>
          <w:sz w:val="24"/>
          <w:szCs w:val="24"/>
          <w:highlight w:val="none"/>
          <w:lang w:eastAsia="zh-CN"/>
        </w:rPr>
      </w:pPr>
    </w:p>
    <w:p w14:paraId="040015E4">
      <w:pPr>
        <w:pStyle w:val="20"/>
        <w:rPr>
          <w:rFonts w:hint="eastAsia" w:ascii="宋体" w:hAnsi="宋体" w:eastAsia="宋体" w:cs="宋体"/>
          <w:color w:val="auto"/>
          <w:sz w:val="24"/>
          <w:szCs w:val="24"/>
          <w:highlight w:val="none"/>
          <w:lang w:eastAsia="zh-CN"/>
        </w:rPr>
      </w:pPr>
    </w:p>
    <w:p w14:paraId="383B6430">
      <w:pPr>
        <w:pStyle w:val="20"/>
        <w:rPr>
          <w:rFonts w:hint="eastAsia" w:ascii="宋体" w:hAnsi="宋体" w:eastAsia="宋体" w:cs="宋体"/>
          <w:color w:val="auto"/>
          <w:sz w:val="24"/>
          <w:szCs w:val="24"/>
          <w:highlight w:val="none"/>
          <w:lang w:eastAsia="zh-CN"/>
        </w:rPr>
      </w:pPr>
    </w:p>
    <w:p w14:paraId="61E8417E">
      <w:pPr>
        <w:pStyle w:val="20"/>
        <w:rPr>
          <w:rFonts w:hint="eastAsia" w:ascii="宋体" w:hAnsi="宋体" w:eastAsia="宋体" w:cs="宋体"/>
          <w:color w:val="auto"/>
          <w:sz w:val="24"/>
          <w:szCs w:val="24"/>
          <w:highlight w:val="none"/>
          <w:lang w:eastAsia="zh-CN"/>
        </w:rPr>
      </w:pPr>
    </w:p>
    <w:p w14:paraId="77D863FC">
      <w:pPr>
        <w:pStyle w:val="20"/>
        <w:rPr>
          <w:rFonts w:hint="eastAsia" w:ascii="宋体" w:hAnsi="宋体" w:eastAsia="宋体" w:cs="宋体"/>
          <w:color w:val="auto"/>
          <w:sz w:val="24"/>
          <w:szCs w:val="24"/>
          <w:highlight w:val="none"/>
          <w:lang w:eastAsia="zh-CN"/>
        </w:rPr>
      </w:pPr>
    </w:p>
    <w:p w14:paraId="0FF7460E">
      <w:pPr>
        <w:pStyle w:val="20"/>
        <w:rPr>
          <w:rFonts w:hint="eastAsia" w:ascii="宋体" w:hAnsi="宋体" w:eastAsia="宋体" w:cs="宋体"/>
          <w:color w:val="auto"/>
          <w:sz w:val="24"/>
          <w:szCs w:val="24"/>
          <w:highlight w:val="none"/>
          <w:lang w:eastAsia="zh-CN"/>
        </w:rPr>
      </w:pPr>
    </w:p>
    <w:p w14:paraId="7490A4C0">
      <w:pPr>
        <w:pStyle w:val="20"/>
        <w:rPr>
          <w:rFonts w:hint="eastAsia" w:ascii="宋体" w:hAnsi="宋体" w:eastAsia="宋体" w:cs="宋体"/>
          <w:color w:val="auto"/>
          <w:sz w:val="24"/>
          <w:szCs w:val="24"/>
          <w:highlight w:val="none"/>
          <w:lang w:eastAsia="zh-CN"/>
        </w:rPr>
      </w:pPr>
    </w:p>
    <w:p w14:paraId="51C066E9">
      <w:pPr>
        <w:pStyle w:val="20"/>
        <w:rPr>
          <w:rFonts w:hint="eastAsia" w:ascii="宋体" w:hAnsi="宋体" w:eastAsia="宋体" w:cs="宋体"/>
          <w:color w:val="auto"/>
          <w:sz w:val="24"/>
          <w:szCs w:val="24"/>
          <w:highlight w:val="none"/>
          <w:lang w:eastAsia="zh-CN"/>
        </w:rPr>
      </w:pPr>
    </w:p>
    <w:p w14:paraId="5FDDE32A">
      <w:pPr>
        <w:pStyle w:val="20"/>
        <w:rPr>
          <w:rFonts w:hint="eastAsia" w:ascii="宋体" w:hAnsi="宋体" w:eastAsia="宋体" w:cs="宋体"/>
          <w:color w:val="auto"/>
          <w:sz w:val="24"/>
          <w:szCs w:val="24"/>
          <w:highlight w:val="none"/>
          <w:lang w:eastAsia="zh-CN"/>
        </w:rPr>
      </w:pPr>
    </w:p>
    <w:p w14:paraId="40257304">
      <w:pPr>
        <w:pStyle w:val="20"/>
        <w:ind w:firstLine="0" w:firstLineChars="0"/>
        <w:rPr>
          <w:rFonts w:hint="eastAsia" w:ascii="宋体" w:hAnsi="宋体" w:eastAsia="宋体" w:cs="宋体"/>
          <w:b/>
          <w:bCs/>
          <w:snapToGrid w:val="0"/>
          <w:color w:val="auto"/>
          <w:spacing w:val="28"/>
          <w:kern w:val="0"/>
          <w:sz w:val="32"/>
          <w:szCs w:val="32"/>
          <w:highlight w:val="none"/>
          <w:lang w:val="en-US" w:eastAsia="zh-CN"/>
        </w:rPr>
      </w:pPr>
    </w:p>
    <w:p w14:paraId="5A5019F0">
      <w:pPr>
        <w:numPr>
          <w:ilvl w:val="0"/>
          <w:numId w:val="0"/>
        </w:numPr>
        <w:spacing w:line="360" w:lineRule="auto"/>
        <w:jc w:val="center"/>
        <w:outlineLvl w:val="0"/>
        <w:rPr>
          <w:rFonts w:hint="eastAsia" w:ascii="宋体" w:hAnsi="宋体" w:eastAsia="宋体" w:cs="宋体"/>
          <w:b/>
          <w:bCs/>
          <w:color w:val="auto"/>
          <w:kern w:val="2"/>
          <w:sz w:val="32"/>
          <w:szCs w:val="32"/>
          <w:highlight w:val="none"/>
          <w:lang w:val="en-US"/>
        </w:rPr>
      </w:pPr>
      <w:bookmarkStart w:id="195" w:name="_Toc7909"/>
      <w:bookmarkStart w:id="196" w:name="_Toc18460"/>
      <w:r>
        <w:rPr>
          <w:rFonts w:hint="eastAsia" w:ascii="宋体" w:hAnsi="宋体" w:eastAsia="宋体" w:cs="宋体"/>
          <w:b/>
          <w:bCs/>
          <w:snapToGrid w:val="0"/>
          <w:color w:val="auto"/>
          <w:spacing w:val="28"/>
          <w:kern w:val="0"/>
          <w:sz w:val="32"/>
          <w:szCs w:val="32"/>
          <w:highlight w:val="none"/>
          <w:lang w:val="en-US" w:eastAsia="zh-CN"/>
        </w:rPr>
        <w:t xml:space="preserve">第七部分 </w:t>
      </w:r>
      <w:r>
        <w:rPr>
          <w:rFonts w:hint="eastAsia" w:ascii="宋体" w:hAnsi="宋体" w:eastAsia="宋体" w:cs="宋体"/>
          <w:b/>
          <w:bCs/>
          <w:color w:val="auto"/>
          <w:kern w:val="2"/>
          <w:sz w:val="32"/>
          <w:szCs w:val="32"/>
          <w:highlight w:val="none"/>
          <w:lang w:val="en-US"/>
        </w:rPr>
        <w:t>安全生产合同</w:t>
      </w:r>
      <w:bookmarkEnd w:id="195"/>
      <w:bookmarkEnd w:id="196"/>
    </w:p>
    <w:p w14:paraId="68461918">
      <w:pPr>
        <w:jc w:val="center"/>
        <w:rPr>
          <w:rFonts w:hint="eastAsia" w:ascii="宋体" w:hAnsi="宋体" w:eastAsia="宋体" w:cs="宋体"/>
          <w:color w:val="auto"/>
          <w:sz w:val="24"/>
          <w:szCs w:val="24"/>
          <w:highlight w:val="none"/>
        </w:rPr>
      </w:pPr>
    </w:p>
    <w:p w14:paraId="4D1BCB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w:t>
      </w:r>
      <w:r>
        <w:rPr>
          <w:rFonts w:hint="eastAsia" w:ascii="宋体" w:hAnsi="宋体" w:eastAsia="宋体" w:cs="宋体"/>
          <w:color w:val="auto"/>
          <w:sz w:val="24"/>
          <w:szCs w:val="24"/>
          <w:highlight w:val="none"/>
          <w:u w:val="single"/>
        </w:rPr>
        <w:t xml:space="preserve"> 北江航道扩能升级上延工程</w:t>
      </w:r>
      <w:r>
        <w:rPr>
          <w:rFonts w:hint="eastAsia" w:ascii="宋体" w:hAnsi="宋体" w:eastAsia="宋体" w:cs="宋体"/>
          <w:b/>
          <w:color w:val="auto"/>
          <w:sz w:val="24"/>
          <w:szCs w:val="24"/>
          <w:highlight w:val="none"/>
          <w:lang w:val="en-US" w:eastAsia="zh-CN"/>
        </w:rPr>
        <w:t>塘头</w:t>
      </w:r>
      <w:r>
        <w:rPr>
          <w:rFonts w:hint="eastAsia" w:ascii="宋体" w:hAnsi="宋体" w:eastAsia="宋体" w:cs="宋体"/>
          <w:b w:val="0"/>
          <w:bCs/>
          <w:color w:val="auto"/>
          <w:sz w:val="24"/>
          <w:szCs w:val="24"/>
          <w:highlight w:val="none"/>
          <w:lang w:val="en-US" w:eastAsia="zh-CN"/>
        </w:rPr>
        <w:t>船闸</w:t>
      </w:r>
      <w:r>
        <w:rPr>
          <w:rFonts w:hint="eastAsia" w:ascii="宋体" w:hAnsi="宋体" w:eastAsia="宋体" w:cs="宋体"/>
          <w:b w:val="0"/>
          <w:bCs/>
          <w:color w:val="auto"/>
          <w:sz w:val="24"/>
          <w:szCs w:val="24"/>
          <w:highlight w:val="none"/>
        </w:rPr>
        <w:t>工程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施工合同的实施过程中创造安全、高效的施工环境，切实搞好本项目的安全管理工作，本项目发包人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(以下简称“发包人”)与承包人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(以下简称“承包人”)特此签订安全生产合同：</w:t>
      </w:r>
    </w:p>
    <w:p w14:paraId="2F259896">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482" w:leftChars="0" w:firstLine="0" w:firstLineChars="0"/>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发包人职责</w:t>
      </w:r>
    </w:p>
    <w:p w14:paraId="2E642F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(1)严格遵守国家有关安全生产的法律法规，认真执行工程承包合同中的有关安全要求。</w:t>
      </w:r>
    </w:p>
    <w:p w14:paraId="03F4D0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(2)按照“安全第一、预防为主”和坚持“管生产必须管安全”的原则进行安全生产管理，做到生产与安全工作同时计划、布置、检查、总结和评比。</w:t>
      </w:r>
    </w:p>
    <w:p w14:paraId="5B795A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(3)重要的安全设施必须坚持与主体工程“三同时”的原则，即：同时设计、审批，同时施工，同时验收，投入使用。</w:t>
      </w:r>
    </w:p>
    <w:p w14:paraId="59A7FA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(4)定期召开安全生产调度会，及时传达中央及地方有关安全生产的精神。</w:t>
      </w:r>
    </w:p>
    <w:p w14:paraId="620B5DA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(5)组织对承包人施工现场进行安全生产检查，监督承包人及时处理发现的各种安全隐患。</w:t>
      </w:r>
    </w:p>
    <w:p w14:paraId="32AEFD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2.</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承包人职责</w:t>
      </w:r>
    </w:p>
    <w:p w14:paraId="0950AD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(1)严格遵守《中华人民共和国安全生产法》、《建设工程安全生产管理条例》等国家有关安全生产的法律法规、《公路水运工程安全生产监督管理办法》和《</w:t>
      </w:r>
      <w:r>
        <w:rPr>
          <w:rFonts w:hint="eastAsia" w:ascii="宋体" w:hAnsi="宋体" w:eastAsia="宋体" w:cs="宋体"/>
          <w:color w:val="auto"/>
          <w:sz w:val="24"/>
          <w:szCs w:val="24"/>
          <w:highlight w:val="none"/>
          <w:lang w:eastAsia="zh-CN"/>
        </w:rPr>
        <w:t>水运</w:t>
      </w:r>
      <w:r>
        <w:rPr>
          <w:rFonts w:hint="eastAsia" w:ascii="宋体" w:hAnsi="宋体" w:eastAsia="宋体" w:cs="宋体"/>
          <w:color w:val="auto"/>
          <w:sz w:val="24"/>
          <w:szCs w:val="24"/>
          <w:highlight w:val="none"/>
        </w:rPr>
        <w:t>工程施工安全技术规程》等有关安全生产的规定。认真执行工程承包合同中的有关安全要求。</w:t>
      </w:r>
    </w:p>
    <w:p w14:paraId="74F398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AB149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508FE3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(4)承包人在任何时候都应采取各种合理的预防措施，防止其员工发生任何违法、违禁、暴力或妨碍治安的行为。</w:t>
      </w:r>
    </w:p>
    <w:p w14:paraId="4C9F60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负责人必须承担管理责任。</w:t>
      </w:r>
    </w:p>
    <w:p w14:paraId="6F463F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2EFC274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(7)操作人员上岗，必须按规定穿戴防护用品。施工负责人和安全检查员应随时检查劳动防护用品的穿戴情况，不按规定穿戴防护用品的人员不得上岗。</w:t>
      </w:r>
    </w:p>
    <w:p w14:paraId="18302FA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(8)所有施工机具设备和高空作业的设备均应定期检查，并有安全员的签字记录，保证其经常处于完好状态；不合格的机具、设备和劳动保护用品严禁使用。</w:t>
      </w:r>
    </w:p>
    <w:p w14:paraId="20ECB8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(9)施工中采用新技术、新工艺、新设备、新材料时，必须制定相应的安全技术措施，施工现场必须具有相关的安全标志牌。</w:t>
      </w:r>
    </w:p>
    <w:p w14:paraId="138B767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28328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(11)安全生产费用按照《公路水运工程安全生产监督管理办法》</w:t>
      </w:r>
      <w:r>
        <w:rPr>
          <w:rFonts w:hint="eastAsia" w:ascii="宋体" w:hAnsi="宋体" w:eastAsia="宋体" w:cs="宋体"/>
          <w:color w:val="auto"/>
          <w:sz w:val="24"/>
          <w:szCs w:val="24"/>
          <w:highlight w:val="none"/>
          <w:lang w:eastAsia="zh-CN"/>
        </w:rPr>
        <w:t>和《广东省交通运输厅关于公路水运建设工程安全生产费用的管理办法》（粤交〔</w:t>
      </w:r>
      <w:r>
        <w:rPr>
          <w:rFonts w:hint="eastAsia" w:ascii="宋体" w:hAnsi="宋体" w:eastAsia="宋体" w:cs="宋体"/>
          <w:color w:val="auto"/>
          <w:sz w:val="24"/>
          <w:szCs w:val="24"/>
          <w:highlight w:val="none"/>
          <w:lang w:val="en-US" w:eastAsia="zh-CN"/>
        </w:rPr>
        <w:t>2021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的相关规定使用和管理。</w:t>
      </w:r>
    </w:p>
    <w:p w14:paraId="2B594C3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3.</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56B487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如因发包人或承包人违约造成安全事故，将依法追究责任。</w:t>
      </w:r>
    </w:p>
    <w:p w14:paraId="2DCD6D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4.本合同由双方法定代表人或其授权的代理人签署并加盖单位章后生效，全部工程竣工验收后失效。    .</w:t>
      </w:r>
    </w:p>
    <w:p w14:paraId="1BDAE3AF">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5.本合同正本二份、副本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份，合同双方各执正本一份，副本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四</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份，当正本与副本的内容不一致时，以正本为准。</w:t>
      </w:r>
    </w:p>
    <w:p w14:paraId="534B83A0">
      <w:pPr>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（本页无正文，为安全生产合同签署页）</w:t>
      </w:r>
    </w:p>
    <w:p w14:paraId="04766255">
      <w:pPr>
        <w:pStyle w:val="14"/>
        <w:spacing w:line="480" w:lineRule="auto"/>
        <w:rPr>
          <w:rFonts w:hint="eastAsia" w:ascii="宋体" w:hAnsi="宋体" w:eastAsia="宋体" w:cs="宋体"/>
          <w:color w:val="auto"/>
          <w:sz w:val="24"/>
          <w:szCs w:val="24"/>
          <w:highlight w:val="none"/>
          <w:lang w:eastAsia="zh-CN"/>
        </w:rPr>
      </w:pPr>
    </w:p>
    <w:p w14:paraId="73577A20">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5E380637">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1C55A2E6">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246CAF21">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78489660">
      <w:pPr>
        <w:pStyle w:val="9"/>
        <w:spacing w:line="480" w:lineRule="auto"/>
        <w:rPr>
          <w:rFonts w:hint="eastAsia"/>
          <w:color w:val="auto"/>
          <w:highlight w:val="none"/>
        </w:rPr>
      </w:pPr>
    </w:p>
    <w:p w14:paraId="0311948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454AD77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79710C06">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5E9C3CB7">
      <w:pPr>
        <w:spacing w:line="480" w:lineRule="auto"/>
        <w:rPr>
          <w:rFonts w:hint="eastAsia" w:ascii="宋体" w:hAnsi="宋体" w:cs="宋体"/>
          <w:color w:val="auto"/>
          <w:kern w:val="0"/>
          <w:sz w:val="24"/>
          <w:szCs w:val="24"/>
          <w:highlight w:val="none"/>
          <w:u w:val="none"/>
          <w:lang w:val="en-US" w:eastAsia="zh-CN"/>
        </w:rPr>
      </w:pPr>
    </w:p>
    <w:p w14:paraId="34279105">
      <w:pPr>
        <w:spacing w:line="480" w:lineRule="auto"/>
        <w:rPr>
          <w:rFonts w:hint="eastAsia" w:ascii="宋体" w:hAnsi="宋体" w:cs="宋体"/>
          <w:color w:val="auto"/>
          <w:kern w:val="0"/>
          <w:sz w:val="24"/>
          <w:szCs w:val="24"/>
          <w:highlight w:val="none"/>
          <w:u w:val="none"/>
          <w:lang w:val="en-US" w:eastAsia="zh-CN"/>
        </w:rPr>
      </w:pPr>
    </w:p>
    <w:p w14:paraId="5C51866B">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21EB28AC">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7" w:name="_Toc20017"/>
    </w:p>
    <w:p w14:paraId="091D8D30">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3F514B25">
      <w:pPr>
        <w:pStyle w:val="20"/>
        <w:rPr>
          <w:rFonts w:hint="eastAsia" w:ascii="宋体" w:hAnsi="宋体" w:eastAsia="宋体" w:cs="宋体"/>
          <w:b/>
          <w:bCs/>
          <w:snapToGrid w:val="0"/>
          <w:color w:val="auto"/>
          <w:spacing w:val="28"/>
          <w:kern w:val="0"/>
          <w:sz w:val="32"/>
          <w:szCs w:val="32"/>
          <w:highlight w:val="none"/>
          <w:lang w:val="en-US" w:eastAsia="zh-CN"/>
        </w:rPr>
      </w:pPr>
    </w:p>
    <w:p w14:paraId="3BFCD401">
      <w:pPr>
        <w:pStyle w:val="20"/>
        <w:rPr>
          <w:rFonts w:hint="eastAsia" w:ascii="宋体" w:hAnsi="宋体" w:eastAsia="宋体" w:cs="宋体"/>
          <w:b/>
          <w:bCs/>
          <w:snapToGrid w:val="0"/>
          <w:color w:val="auto"/>
          <w:spacing w:val="28"/>
          <w:kern w:val="0"/>
          <w:sz w:val="32"/>
          <w:szCs w:val="32"/>
          <w:highlight w:val="none"/>
          <w:lang w:val="en-US" w:eastAsia="zh-CN"/>
        </w:rPr>
      </w:pPr>
    </w:p>
    <w:p w14:paraId="128A5F71">
      <w:pPr>
        <w:pStyle w:val="20"/>
        <w:rPr>
          <w:rFonts w:hint="eastAsia" w:ascii="宋体" w:hAnsi="宋体" w:eastAsia="宋体" w:cs="宋体"/>
          <w:b/>
          <w:bCs/>
          <w:snapToGrid w:val="0"/>
          <w:color w:val="auto"/>
          <w:spacing w:val="28"/>
          <w:kern w:val="0"/>
          <w:sz w:val="32"/>
          <w:szCs w:val="32"/>
          <w:highlight w:val="none"/>
          <w:lang w:val="en-US" w:eastAsia="zh-CN"/>
        </w:rPr>
      </w:pPr>
    </w:p>
    <w:p w14:paraId="44D79C35">
      <w:pPr>
        <w:pStyle w:val="20"/>
        <w:rPr>
          <w:rFonts w:hint="eastAsia" w:ascii="宋体" w:hAnsi="宋体" w:eastAsia="宋体" w:cs="宋体"/>
          <w:b/>
          <w:bCs/>
          <w:snapToGrid w:val="0"/>
          <w:color w:val="auto"/>
          <w:spacing w:val="28"/>
          <w:kern w:val="0"/>
          <w:sz w:val="32"/>
          <w:szCs w:val="32"/>
          <w:highlight w:val="none"/>
          <w:lang w:val="en-US" w:eastAsia="zh-CN"/>
        </w:rPr>
      </w:pPr>
    </w:p>
    <w:p w14:paraId="7E6D7C18">
      <w:pPr>
        <w:pStyle w:val="20"/>
        <w:rPr>
          <w:rFonts w:hint="eastAsia" w:ascii="宋体" w:hAnsi="宋体" w:eastAsia="宋体" w:cs="宋体"/>
          <w:b/>
          <w:bCs/>
          <w:snapToGrid w:val="0"/>
          <w:color w:val="auto"/>
          <w:spacing w:val="28"/>
          <w:kern w:val="0"/>
          <w:sz w:val="32"/>
          <w:szCs w:val="32"/>
          <w:highlight w:val="none"/>
          <w:lang w:val="en-US" w:eastAsia="zh-CN"/>
        </w:rPr>
      </w:pPr>
    </w:p>
    <w:p w14:paraId="06CD4725">
      <w:pPr>
        <w:pStyle w:val="20"/>
        <w:rPr>
          <w:rFonts w:hint="eastAsia" w:ascii="宋体" w:hAnsi="宋体" w:eastAsia="宋体" w:cs="宋体"/>
          <w:b/>
          <w:bCs/>
          <w:snapToGrid w:val="0"/>
          <w:color w:val="auto"/>
          <w:spacing w:val="28"/>
          <w:kern w:val="0"/>
          <w:sz w:val="32"/>
          <w:szCs w:val="32"/>
          <w:highlight w:val="none"/>
          <w:lang w:val="en-US" w:eastAsia="zh-CN"/>
        </w:rPr>
      </w:pPr>
    </w:p>
    <w:p w14:paraId="53CA250C">
      <w:pPr>
        <w:pStyle w:val="20"/>
        <w:rPr>
          <w:rFonts w:hint="eastAsia" w:ascii="宋体" w:hAnsi="宋体" w:eastAsia="宋体" w:cs="宋体"/>
          <w:b/>
          <w:bCs/>
          <w:snapToGrid w:val="0"/>
          <w:color w:val="auto"/>
          <w:spacing w:val="28"/>
          <w:kern w:val="0"/>
          <w:sz w:val="32"/>
          <w:szCs w:val="32"/>
          <w:highlight w:val="none"/>
          <w:lang w:val="en-US" w:eastAsia="zh-CN"/>
        </w:rPr>
      </w:pPr>
    </w:p>
    <w:p w14:paraId="7862AFEC">
      <w:pPr>
        <w:pStyle w:val="20"/>
        <w:rPr>
          <w:rFonts w:hint="eastAsia" w:ascii="宋体" w:hAnsi="宋体" w:eastAsia="宋体" w:cs="宋体"/>
          <w:b/>
          <w:bCs/>
          <w:snapToGrid w:val="0"/>
          <w:color w:val="auto"/>
          <w:spacing w:val="28"/>
          <w:kern w:val="0"/>
          <w:sz w:val="32"/>
          <w:szCs w:val="32"/>
          <w:highlight w:val="none"/>
          <w:lang w:val="en-US" w:eastAsia="zh-CN"/>
        </w:rPr>
      </w:pPr>
    </w:p>
    <w:p w14:paraId="347F1FA3">
      <w:pPr>
        <w:pStyle w:val="20"/>
        <w:rPr>
          <w:rFonts w:hint="eastAsia" w:ascii="宋体" w:hAnsi="宋体" w:eastAsia="宋体" w:cs="宋体"/>
          <w:b/>
          <w:bCs/>
          <w:snapToGrid w:val="0"/>
          <w:color w:val="auto"/>
          <w:spacing w:val="28"/>
          <w:kern w:val="0"/>
          <w:sz w:val="32"/>
          <w:szCs w:val="32"/>
          <w:highlight w:val="none"/>
          <w:lang w:val="en-US" w:eastAsia="zh-CN"/>
        </w:rPr>
      </w:pPr>
    </w:p>
    <w:p w14:paraId="2C16A0D2">
      <w:pPr>
        <w:pStyle w:val="20"/>
        <w:rPr>
          <w:rFonts w:hint="eastAsia" w:ascii="宋体" w:hAnsi="宋体" w:eastAsia="宋体" w:cs="宋体"/>
          <w:b/>
          <w:bCs/>
          <w:snapToGrid w:val="0"/>
          <w:color w:val="auto"/>
          <w:spacing w:val="28"/>
          <w:kern w:val="0"/>
          <w:sz w:val="32"/>
          <w:szCs w:val="32"/>
          <w:highlight w:val="none"/>
          <w:lang w:val="en-US" w:eastAsia="zh-CN"/>
        </w:rPr>
      </w:pPr>
    </w:p>
    <w:p w14:paraId="14E02FE4">
      <w:pPr>
        <w:pStyle w:val="20"/>
        <w:rPr>
          <w:rFonts w:hint="eastAsia" w:ascii="宋体" w:hAnsi="宋体" w:eastAsia="宋体" w:cs="宋体"/>
          <w:b/>
          <w:bCs/>
          <w:snapToGrid w:val="0"/>
          <w:color w:val="auto"/>
          <w:spacing w:val="28"/>
          <w:kern w:val="0"/>
          <w:sz w:val="32"/>
          <w:szCs w:val="32"/>
          <w:highlight w:val="none"/>
          <w:lang w:val="en-US" w:eastAsia="zh-CN"/>
        </w:rPr>
      </w:pPr>
    </w:p>
    <w:p w14:paraId="2D8B75BF">
      <w:pPr>
        <w:pStyle w:val="20"/>
        <w:rPr>
          <w:rFonts w:hint="eastAsia" w:ascii="宋体" w:hAnsi="宋体" w:eastAsia="宋体" w:cs="宋体"/>
          <w:b/>
          <w:bCs/>
          <w:snapToGrid w:val="0"/>
          <w:color w:val="auto"/>
          <w:spacing w:val="28"/>
          <w:kern w:val="0"/>
          <w:sz w:val="32"/>
          <w:szCs w:val="32"/>
          <w:highlight w:val="none"/>
          <w:lang w:val="en-US" w:eastAsia="zh-CN"/>
        </w:rPr>
      </w:pPr>
    </w:p>
    <w:p w14:paraId="71DE44FB">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5E1DED96">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8" w:name="_Toc13543"/>
      <w:r>
        <w:rPr>
          <w:rFonts w:hint="eastAsia" w:ascii="宋体" w:hAnsi="宋体" w:eastAsia="宋体" w:cs="宋体"/>
          <w:b/>
          <w:bCs/>
          <w:snapToGrid w:val="0"/>
          <w:color w:val="auto"/>
          <w:spacing w:val="28"/>
          <w:kern w:val="0"/>
          <w:sz w:val="32"/>
          <w:szCs w:val="32"/>
          <w:highlight w:val="none"/>
          <w:lang w:val="en-US" w:eastAsia="zh-CN"/>
        </w:rPr>
        <w:t>保密协议</w:t>
      </w:r>
      <w:bookmarkEnd w:id="198"/>
    </w:p>
    <w:p w14:paraId="20DBC676">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199" w:name="_Toc6485_WPSOffice_Level2"/>
    </w:p>
    <w:p w14:paraId="6CAA3F0F">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发包人：广东省北江航道开发投资有限公司</w:t>
      </w:r>
      <w:bookmarkEnd w:id="199"/>
    </w:p>
    <w:p w14:paraId="6E6BB213">
      <w:pPr>
        <w:adjustRightInd w:val="0"/>
        <w:snapToGrid w:val="0"/>
        <w:spacing w:line="360" w:lineRule="auto"/>
        <w:ind w:firstLine="480" w:firstLineChars="200"/>
        <w:rPr>
          <w:rFonts w:hint="default" w:asciiTheme="minorEastAsia" w:hAnsiTheme="minorEastAsia" w:eastAsiaTheme="minorEastAsia" w:cstheme="minorEastAsia"/>
          <w:b/>
          <w:color w:val="auto"/>
          <w:sz w:val="24"/>
          <w:szCs w:val="24"/>
          <w:highlight w:val="none"/>
          <w:lang w:val="en-US" w:eastAsia="zh-CN"/>
        </w:rPr>
      </w:pPr>
      <w:bookmarkStart w:id="200" w:name="_Toc16395_WPSOffice_Level2"/>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w:t>
      </w:r>
      <w:bookmarkEnd w:id="200"/>
    </w:p>
    <w:p w14:paraId="49ACD604">
      <w:pPr>
        <w:adjustRightInd w:val="0"/>
        <w:snapToGrid w:val="0"/>
        <w:ind w:firstLine="480" w:firstLineChars="200"/>
        <w:rPr>
          <w:rFonts w:hint="eastAsia" w:asciiTheme="minorEastAsia" w:hAnsiTheme="minorEastAsia" w:eastAsiaTheme="minorEastAsia" w:cstheme="minorEastAsia"/>
          <w:color w:val="auto"/>
          <w:sz w:val="24"/>
          <w:szCs w:val="24"/>
          <w:highlight w:val="none"/>
        </w:rPr>
      </w:pPr>
    </w:p>
    <w:p w14:paraId="66A4C852">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发包人就</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塘头船闸</w:t>
      </w:r>
      <w:r>
        <w:rPr>
          <w:rFonts w:hint="eastAsia" w:asciiTheme="minorEastAsia" w:hAnsiTheme="minorEastAsia" w:eastAsiaTheme="minorEastAsia" w:cstheme="minorEastAsia"/>
          <w:b w:val="0"/>
          <w:color w:val="auto"/>
          <w:sz w:val="24"/>
          <w:szCs w:val="24"/>
          <w:highlight w:val="none"/>
        </w:rPr>
        <w:t>工程</w:t>
      </w:r>
      <w:r>
        <w:rPr>
          <w:rFonts w:hint="eastAsia" w:asciiTheme="minorEastAsia" w:hAnsiTheme="minorEastAsia" w:eastAsiaTheme="minorEastAsia" w:cstheme="minorEastAsia"/>
          <w:color w:val="auto"/>
          <w:sz w:val="24"/>
          <w:szCs w:val="24"/>
          <w:highlight w:val="none"/>
        </w:rPr>
        <w:t>施工进行公开招标，</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人为该项目的施工中标人。为保护发包人在招标及合同履行过程中向</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提供的项目施工图纸、设计说明、航道基础测绘成果及相关技术资料或信息，防止资料外泄，依据《中华人民共和国合同法》、《中华人民共和国测绘法》、《中华人民共和国测绘成果管理条例》及相关法律法规之规定，双方自愿订立本保密协议。</w:t>
      </w:r>
    </w:p>
    <w:p w14:paraId="512635C4">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1" w:name="_Toc13145_WPSOffice_Level2"/>
      <w:r>
        <w:rPr>
          <w:rFonts w:hint="eastAsia" w:asciiTheme="minorEastAsia" w:hAnsiTheme="minorEastAsia" w:eastAsiaTheme="minorEastAsia" w:cstheme="minorEastAsia"/>
          <w:b/>
          <w:color w:val="auto"/>
          <w:sz w:val="24"/>
          <w:szCs w:val="24"/>
          <w:highlight w:val="none"/>
        </w:rPr>
        <w:t>第一条 保密范围</w:t>
      </w:r>
      <w:bookmarkEnd w:id="201"/>
      <w:r>
        <w:rPr>
          <w:rFonts w:hint="eastAsia" w:asciiTheme="minorEastAsia" w:hAnsiTheme="minorEastAsia" w:eastAsiaTheme="minorEastAsia" w:cstheme="minorEastAsia"/>
          <w:b/>
          <w:color w:val="auto"/>
          <w:sz w:val="24"/>
          <w:szCs w:val="24"/>
          <w:highlight w:val="none"/>
        </w:rPr>
        <w:t xml:space="preserve"> </w:t>
      </w:r>
    </w:p>
    <w:p w14:paraId="26FFE97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人应承担保密义务的范围为:发包人在招标及合同履行过程中所提供的项目施工图纸、设计说明、</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基础测绘成果及相关技术资料或信息，包括但不限于下列各项: </w:t>
      </w:r>
    </w:p>
    <w:p w14:paraId="18BE424D">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1、项目施工图纸；</w:t>
      </w:r>
    </w:p>
    <w:p w14:paraId="2E1CC7A5">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2、设计说明； </w:t>
      </w:r>
    </w:p>
    <w:p w14:paraId="4F2AFCE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基础测绘成果，包括基础测绘数据、信息、图件及相关的技术资料等； </w:t>
      </w:r>
    </w:p>
    <w:p w14:paraId="6836218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4、合同履行过程中发包人提供的其他图纸及技术文件；</w:t>
      </w:r>
    </w:p>
    <w:p w14:paraId="1715EC67">
      <w:pPr>
        <w:pStyle w:val="76"/>
        <w:adjustRightInd w:val="0"/>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5、依据法律规定属于保密范围的其他事项。 </w:t>
      </w:r>
    </w:p>
    <w:p w14:paraId="33CE74F1">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2" w:name="_Toc27403_WPSOffice_Level2"/>
      <w:r>
        <w:rPr>
          <w:rFonts w:hint="eastAsia" w:asciiTheme="minorEastAsia" w:hAnsiTheme="minorEastAsia" w:eastAsiaTheme="minorEastAsia" w:cstheme="minorEastAsia"/>
          <w:b/>
          <w:color w:val="auto"/>
          <w:sz w:val="24"/>
          <w:szCs w:val="24"/>
          <w:highlight w:val="none"/>
        </w:rPr>
        <w:t xml:space="preserve">第二条 </w:t>
      </w:r>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人的保密义务</w:t>
      </w:r>
      <w:bookmarkEnd w:id="202"/>
      <w:r>
        <w:rPr>
          <w:rFonts w:hint="eastAsia" w:asciiTheme="minorEastAsia" w:hAnsiTheme="minorEastAsia" w:eastAsiaTheme="minorEastAsia" w:cstheme="minorEastAsia"/>
          <w:b/>
          <w:color w:val="auto"/>
          <w:sz w:val="24"/>
          <w:szCs w:val="24"/>
          <w:highlight w:val="none"/>
        </w:rPr>
        <w:t xml:space="preserve"> </w:t>
      </w:r>
    </w:p>
    <w:p w14:paraId="1106C0E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对于本协议第一条所列的保密范围，</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人承担以下保密义务:</w:t>
      </w:r>
    </w:p>
    <w:p w14:paraId="5898F05D">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1、就上述资料或信息，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仅限于在</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塘头船闸</w:t>
      </w:r>
      <w:r>
        <w:rPr>
          <w:rFonts w:hint="eastAsia" w:asciiTheme="minorEastAsia" w:hAnsiTheme="minorEastAsia" w:eastAsiaTheme="minorEastAsia" w:cstheme="minorEastAsia"/>
          <w:color w:val="auto"/>
          <w:sz w:val="24"/>
          <w:szCs w:val="24"/>
          <w:highlight w:val="none"/>
        </w:rPr>
        <w:t xml:space="preserve">工程施工的合同履行中使用，不能用于任何合同以外的任何目的。 </w:t>
      </w:r>
    </w:p>
    <w:p w14:paraId="335774B3">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妥善保管上述资料或信息，对其存放设施与条件应符合国家秘密、消防及档案管理的有关规定和要求。如发现上述资料或信息被泄露或者自己过失泄露，应当采取有效措施防止泄密进一步扩大，并及时向发包人报告。 </w:t>
      </w:r>
    </w:p>
    <w:p w14:paraId="0D58565D">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不得复制、转让、转借或者私自保留全部或部分上述资料或信息及其他任何形式的载体。 </w:t>
      </w:r>
    </w:p>
    <w:p w14:paraId="499D92EC">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不得以任何形式向任何第三方(包括所属系统的上级、下级或同级其他单位，下同)提供或披露上述资料或信息，不得允许或协助任何第三方使用上述资料或信息。 </w:t>
      </w:r>
    </w:p>
    <w:p w14:paraId="3DD01880">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不得以盗窃、利诱、胁迫或其他不正当手段获取上述资料或信息。 </w:t>
      </w:r>
    </w:p>
    <w:p w14:paraId="11E2502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6、依据法律规定监理人应当承担的其他保密义务。 </w:t>
      </w:r>
    </w:p>
    <w:p w14:paraId="2405DBE6">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3" w:name="_Toc30545_WPSOffice_Level2"/>
      <w:r>
        <w:rPr>
          <w:rFonts w:hint="eastAsia" w:asciiTheme="minorEastAsia" w:hAnsiTheme="minorEastAsia" w:eastAsiaTheme="minorEastAsia" w:cstheme="minorEastAsia"/>
          <w:b/>
          <w:color w:val="auto"/>
          <w:sz w:val="24"/>
          <w:szCs w:val="24"/>
          <w:highlight w:val="none"/>
        </w:rPr>
        <w:t>第三条 保密期限</w:t>
      </w:r>
      <w:bookmarkEnd w:id="203"/>
      <w:r>
        <w:rPr>
          <w:rFonts w:hint="eastAsia" w:asciiTheme="minorEastAsia" w:hAnsiTheme="minorEastAsia" w:eastAsiaTheme="minorEastAsia" w:cstheme="minorEastAsia"/>
          <w:b/>
          <w:color w:val="auto"/>
          <w:sz w:val="24"/>
          <w:szCs w:val="24"/>
          <w:highlight w:val="none"/>
        </w:rPr>
        <w:t xml:space="preserve"> </w:t>
      </w:r>
    </w:p>
    <w:p w14:paraId="0ED508D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承担的保密义务持续有效，不因招投标活动结束或项目合同终止而终止。</w:t>
      </w:r>
    </w:p>
    <w:p w14:paraId="245ACB65">
      <w:pPr>
        <w:pStyle w:val="76"/>
        <w:adjustRightInd w:val="0"/>
        <w:snapToGrid w:val="0"/>
        <w:spacing w:line="360" w:lineRule="auto"/>
        <w:ind w:firstLine="482"/>
        <w:rPr>
          <w:rFonts w:hint="eastAsia" w:asciiTheme="minorEastAsia" w:hAnsiTheme="minorEastAsia" w:eastAsiaTheme="minorEastAsia" w:cstheme="minorEastAsia"/>
          <w:b/>
          <w:color w:val="auto"/>
          <w:sz w:val="24"/>
          <w:szCs w:val="24"/>
          <w:highlight w:val="none"/>
        </w:rPr>
      </w:pPr>
      <w:bookmarkStart w:id="204" w:name="_Toc16348_WPSOffice_Level2"/>
      <w:r>
        <w:rPr>
          <w:rFonts w:hint="eastAsia" w:asciiTheme="minorEastAsia" w:hAnsiTheme="minorEastAsia" w:eastAsiaTheme="minorEastAsia" w:cstheme="minorEastAsia"/>
          <w:b/>
          <w:color w:val="auto"/>
          <w:kern w:val="2"/>
          <w:sz w:val="24"/>
          <w:szCs w:val="24"/>
          <w:highlight w:val="none"/>
          <w:lang w:val="en-US" w:eastAsia="zh-CN" w:bidi="ar-SA"/>
        </w:rPr>
        <w:t>第四条 违约责任</w:t>
      </w:r>
      <w:bookmarkEnd w:id="204"/>
      <w:r>
        <w:rPr>
          <w:rFonts w:hint="eastAsia" w:asciiTheme="minorEastAsia" w:hAnsiTheme="minorEastAsia" w:eastAsiaTheme="minorEastAsia" w:cstheme="minorEastAsia"/>
          <w:b/>
          <w:color w:val="auto"/>
          <w:sz w:val="24"/>
          <w:szCs w:val="24"/>
          <w:highlight w:val="none"/>
        </w:rPr>
        <w:t xml:space="preserve"> </w:t>
      </w:r>
    </w:p>
    <w:p w14:paraId="23F1D86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不履行本协议所约定的保密义务，应当向发包人承担违约责任，一次性向发包人支付违约金人民币10万元； </w:t>
      </w:r>
    </w:p>
    <w:p w14:paraId="5E30824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2、如因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的违约行为造成发包人损失的，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应当赔偿发包人所遭受的全部损失； </w:t>
      </w:r>
    </w:p>
    <w:p w14:paraId="31611F1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3、前款所述损失及赔偿计算包括但不限于以下各项: </w:t>
      </w:r>
    </w:p>
    <w:p w14:paraId="1C313D1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的违约行为所受到的直接损失；</w:t>
      </w:r>
    </w:p>
    <w:p w14:paraId="0410F68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（2）发包人因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的违约行为所受到的间接损失；</w:t>
      </w:r>
    </w:p>
    <w:p w14:paraId="2F560E5C">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（3）发包人因调查</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的违约行为而支付的费用；</w:t>
      </w:r>
    </w:p>
    <w:p w14:paraId="1B57ECDF">
      <w:pPr>
        <w:pStyle w:val="76"/>
        <w:adjustRightInd w:val="0"/>
        <w:snapToGrid w:val="0"/>
        <w:spacing w:line="360" w:lineRule="auto"/>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（4）发包人为实现债权所发生的费用，包括但不限于诉讼费、律师费、评估费、差旅费等。 </w:t>
      </w:r>
    </w:p>
    <w:p w14:paraId="3F71E3C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违反本协议的，发包人可以选择根据本协议要求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承担违约责任，或者根据国家有关法律、法规要求监理人承担侵权责任，同时</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应依法承担相应的行政责任和刑事责任； </w:t>
      </w:r>
    </w:p>
    <w:p w14:paraId="05A8224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5、发包人可以在投标保证金、预付款或者履约保证金中直接扣除违约金或相应损害赔偿金。 </w:t>
      </w:r>
    </w:p>
    <w:p w14:paraId="4417B28B">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5" w:name="_Toc18383_WPSOffice_Level2"/>
      <w:r>
        <w:rPr>
          <w:rFonts w:hint="eastAsia" w:asciiTheme="minorEastAsia" w:hAnsiTheme="minorEastAsia" w:eastAsiaTheme="minorEastAsia" w:cstheme="minorEastAsia"/>
          <w:b/>
          <w:color w:val="auto"/>
          <w:sz w:val="24"/>
          <w:szCs w:val="24"/>
          <w:highlight w:val="none"/>
        </w:rPr>
        <w:t>第五条 其他约定</w:t>
      </w:r>
      <w:bookmarkEnd w:id="205"/>
      <w:r>
        <w:rPr>
          <w:rFonts w:hint="eastAsia" w:asciiTheme="minorEastAsia" w:hAnsiTheme="minorEastAsia" w:eastAsiaTheme="minorEastAsia" w:cstheme="minorEastAsia"/>
          <w:b/>
          <w:color w:val="auto"/>
          <w:sz w:val="24"/>
          <w:szCs w:val="24"/>
          <w:highlight w:val="none"/>
        </w:rPr>
        <w:t xml:space="preserve"> </w:t>
      </w:r>
    </w:p>
    <w:p w14:paraId="7560B99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本协议所涉及的保密内容，如同时属于《中华人民共和国保守国家秘密法》、《中华人民共和国反不正当竞争法》及其他相关法律法规所规定的保密范围的，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还应遵守相关法律法规的规定，履行相应保密义务。 </w:t>
      </w:r>
    </w:p>
    <w:p w14:paraId="50FE2EE6">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6" w:name="_Toc20010_WPSOffice_Level2"/>
      <w:r>
        <w:rPr>
          <w:rFonts w:hint="eastAsia" w:asciiTheme="minorEastAsia" w:hAnsiTheme="minorEastAsia" w:eastAsiaTheme="minorEastAsia" w:cstheme="minorEastAsia"/>
          <w:b/>
          <w:color w:val="auto"/>
          <w:sz w:val="24"/>
          <w:szCs w:val="24"/>
          <w:highlight w:val="none"/>
        </w:rPr>
        <w:t>第六条 法律适用及争议解决办法</w:t>
      </w:r>
      <w:bookmarkEnd w:id="206"/>
      <w:r>
        <w:rPr>
          <w:rFonts w:hint="eastAsia" w:asciiTheme="minorEastAsia" w:hAnsiTheme="minorEastAsia" w:eastAsiaTheme="minorEastAsia" w:cstheme="minorEastAsia"/>
          <w:b/>
          <w:color w:val="auto"/>
          <w:sz w:val="24"/>
          <w:szCs w:val="24"/>
          <w:highlight w:val="none"/>
        </w:rPr>
        <w:t xml:space="preserve"> </w:t>
      </w:r>
    </w:p>
    <w:p w14:paraId="1AC2385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本协议受中华人民共和国的法律管辖并按照中华人民共和国的法律进行解释。由于本协议的履行或解释而产生的或与之有关的任何争议，如双方无法协商解决，</w:t>
      </w:r>
      <w:r>
        <w:rPr>
          <w:rFonts w:hint="eastAsia" w:ascii="宋体" w:hAnsi="宋体" w:eastAsia="宋体" w:cs="宋体"/>
          <w:color w:val="auto"/>
          <w:sz w:val="24"/>
          <w:highlight w:val="none"/>
          <w:lang w:val="en-US" w:eastAsia="zh-CN"/>
        </w:rPr>
        <w:t>均提请广州仲裁委员会按照该会仲裁规则进行仲裁，仲裁裁决是终局的，对双方均有约束力。</w:t>
      </w:r>
      <w:r>
        <w:rPr>
          <w:rFonts w:hint="eastAsia" w:ascii="宋体" w:hAnsi="宋体" w:eastAsia="宋体" w:cs="宋体"/>
          <w:color w:val="auto"/>
          <w:sz w:val="24"/>
          <w:highlight w:val="none"/>
          <w:u w:val="single"/>
          <w:lang w:val="en-US" w:eastAsia="zh-CN"/>
        </w:rPr>
        <w:t>调解和仲裁过程中，双方应继续履行本合同各自义务以保证项目的正常进行</w:t>
      </w:r>
      <w:r>
        <w:rPr>
          <w:rFonts w:hint="eastAsia" w:asciiTheme="minorEastAsia" w:hAnsiTheme="minorEastAsia" w:eastAsiaTheme="minorEastAsia" w:cstheme="minorEastAsia"/>
          <w:color w:val="auto"/>
          <w:sz w:val="24"/>
          <w:szCs w:val="24"/>
          <w:highlight w:val="none"/>
        </w:rPr>
        <w:t xml:space="preserve">。 </w:t>
      </w:r>
    </w:p>
    <w:p w14:paraId="289A2BC3">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7" w:name="_Toc22445_WPSOffice_Level2"/>
      <w:r>
        <w:rPr>
          <w:rFonts w:hint="eastAsia" w:asciiTheme="minorEastAsia" w:hAnsiTheme="minorEastAsia" w:eastAsiaTheme="minorEastAsia" w:cstheme="minorEastAsia"/>
          <w:b/>
          <w:color w:val="auto"/>
          <w:sz w:val="24"/>
          <w:szCs w:val="24"/>
          <w:highlight w:val="none"/>
        </w:rPr>
        <w:t>第七条 协议生效条件及其他</w:t>
      </w:r>
      <w:bookmarkEnd w:id="207"/>
      <w:r>
        <w:rPr>
          <w:rFonts w:hint="eastAsia" w:asciiTheme="minorEastAsia" w:hAnsiTheme="minorEastAsia" w:eastAsiaTheme="minorEastAsia" w:cstheme="minorEastAsia"/>
          <w:b/>
          <w:color w:val="auto"/>
          <w:sz w:val="24"/>
          <w:szCs w:val="24"/>
          <w:highlight w:val="none"/>
        </w:rPr>
        <w:t xml:space="preserve"> </w:t>
      </w:r>
    </w:p>
    <w:p w14:paraId="53CE360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本协议经双方签字并加盖公章之日起生效，正本一式</w:t>
      </w:r>
      <w:r>
        <w:rPr>
          <w:rFonts w:hint="eastAsia" w:asciiTheme="minorEastAsia" w:hAnsiTheme="minorEastAsia" w:eastAsiaTheme="minorEastAsia" w:cstheme="minorEastAsia"/>
          <w:color w:val="auto"/>
          <w:sz w:val="24"/>
          <w:szCs w:val="24"/>
          <w:highlight w:val="none"/>
          <w:lang w:eastAsia="zh-CN"/>
        </w:rPr>
        <w:t>二</w:t>
      </w:r>
      <w:r>
        <w:rPr>
          <w:rFonts w:hint="eastAsia" w:asciiTheme="minorEastAsia" w:hAnsiTheme="minorEastAsia" w:eastAsiaTheme="minorEastAsia" w:cstheme="minorEastAsia"/>
          <w:color w:val="auto"/>
          <w:sz w:val="24"/>
          <w:szCs w:val="24"/>
          <w:highlight w:val="none"/>
        </w:rPr>
        <w:t>份，双方各执</w:t>
      </w:r>
      <w:r>
        <w:rPr>
          <w:rFonts w:hint="eastAsia" w:asciiTheme="minorEastAsia" w:hAnsiTheme="minorEastAsia" w:eastAsiaTheme="minorEastAsia" w:cstheme="minorEastAsia"/>
          <w:color w:val="auto"/>
          <w:sz w:val="24"/>
          <w:szCs w:val="24"/>
          <w:highlight w:val="none"/>
          <w:lang w:eastAsia="zh-CN"/>
        </w:rPr>
        <w:t>一</w:t>
      </w:r>
      <w:r>
        <w:rPr>
          <w:rFonts w:hint="eastAsia" w:asciiTheme="minorEastAsia" w:hAnsiTheme="minorEastAsia" w:eastAsiaTheme="minorEastAsia" w:cstheme="minorEastAsia"/>
          <w:color w:val="auto"/>
          <w:sz w:val="24"/>
          <w:szCs w:val="24"/>
          <w:highlight w:val="none"/>
        </w:rPr>
        <w:t>份，具有同等法律效力。副本</w:t>
      </w:r>
      <w:r>
        <w:rPr>
          <w:rFonts w:hint="eastAsia" w:asciiTheme="minorEastAsia" w:hAnsiTheme="minorEastAsia" w:eastAsiaTheme="minorEastAsia" w:cstheme="minorEastAsia"/>
          <w:color w:val="auto"/>
          <w:sz w:val="24"/>
          <w:szCs w:val="24"/>
          <w:highlight w:val="none"/>
          <w:lang w:eastAsia="zh-CN"/>
        </w:rPr>
        <w:t>八</w:t>
      </w:r>
      <w:r>
        <w:rPr>
          <w:rFonts w:hint="eastAsia" w:asciiTheme="minorEastAsia" w:hAnsiTheme="minorEastAsia" w:eastAsiaTheme="minorEastAsia" w:cstheme="minorEastAsia"/>
          <w:color w:val="auto"/>
          <w:sz w:val="24"/>
          <w:szCs w:val="24"/>
          <w:highlight w:val="none"/>
        </w:rPr>
        <w:t>份，</w:t>
      </w:r>
      <w:r>
        <w:rPr>
          <w:rFonts w:hint="eastAsia" w:asciiTheme="minorEastAsia" w:hAnsiTheme="minorEastAsia" w:eastAsiaTheme="minorEastAsia" w:cstheme="minorEastAsia"/>
          <w:color w:val="auto"/>
          <w:sz w:val="24"/>
          <w:szCs w:val="24"/>
          <w:highlight w:val="none"/>
          <w:lang w:eastAsia="zh-CN"/>
        </w:rPr>
        <w:t>双方各</w:t>
      </w:r>
      <w:r>
        <w:rPr>
          <w:rFonts w:hint="eastAsia" w:asciiTheme="minorEastAsia" w:hAnsiTheme="minorEastAsia" w:eastAsiaTheme="minorEastAsia" w:cstheme="minorEastAsia"/>
          <w:color w:val="auto"/>
          <w:sz w:val="24"/>
          <w:szCs w:val="24"/>
          <w:highlight w:val="none"/>
        </w:rPr>
        <w:t>执</w:t>
      </w:r>
      <w:r>
        <w:rPr>
          <w:rFonts w:hint="eastAsia" w:asciiTheme="minorEastAsia" w:hAnsiTheme="minorEastAsia" w:eastAsiaTheme="minorEastAsia" w:cstheme="minorEastAsia"/>
          <w:color w:val="auto"/>
          <w:sz w:val="24"/>
          <w:szCs w:val="24"/>
          <w:highlight w:val="none"/>
          <w:lang w:eastAsia="zh-CN"/>
        </w:rPr>
        <w:t>四</w:t>
      </w:r>
      <w:r>
        <w:rPr>
          <w:rFonts w:hint="eastAsia" w:asciiTheme="minorEastAsia" w:hAnsiTheme="minorEastAsia" w:eastAsiaTheme="minorEastAsia" w:cstheme="minorEastAsia"/>
          <w:color w:val="auto"/>
          <w:sz w:val="24"/>
          <w:szCs w:val="24"/>
          <w:highlight w:val="none"/>
        </w:rPr>
        <w:t xml:space="preserve">份。当副本与正本不一致时，以正本为准。其他未尽事宜，由双方协商解决。 </w:t>
      </w:r>
    </w:p>
    <w:p w14:paraId="56E26DA9">
      <w:pPr>
        <w:pStyle w:val="6"/>
        <w:rPr>
          <w:rFonts w:hint="eastAsia" w:asciiTheme="minorEastAsia" w:hAnsiTheme="minorEastAsia" w:eastAsiaTheme="minorEastAsia" w:cstheme="minorEastAsia"/>
          <w:color w:val="auto"/>
          <w:sz w:val="24"/>
          <w:szCs w:val="24"/>
          <w:highlight w:val="none"/>
        </w:rPr>
      </w:pPr>
    </w:p>
    <w:p w14:paraId="392BF13D">
      <w:pPr>
        <w:spacing w:line="520" w:lineRule="exact"/>
        <w:ind w:firstLine="482"/>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(本页</w:t>
      </w:r>
      <w:r>
        <w:rPr>
          <w:rFonts w:hint="eastAsia" w:asciiTheme="minorEastAsia" w:hAnsiTheme="minorEastAsia" w:eastAsiaTheme="minorEastAsia" w:cstheme="minorEastAsia"/>
          <w:color w:val="auto"/>
          <w:sz w:val="24"/>
          <w:szCs w:val="24"/>
          <w:highlight w:val="none"/>
          <w:lang w:eastAsia="zh-CN"/>
        </w:rPr>
        <w:t>以下</w:t>
      </w:r>
      <w:r>
        <w:rPr>
          <w:rFonts w:hint="eastAsia" w:asciiTheme="minorEastAsia" w:hAnsiTheme="minorEastAsia" w:eastAsiaTheme="minorEastAsia" w:cstheme="minorEastAsia"/>
          <w:color w:val="auto"/>
          <w:sz w:val="24"/>
          <w:szCs w:val="24"/>
          <w:highlight w:val="none"/>
        </w:rPr>
        <w:t>无正文</w:t>
      </w:r>
      <w:r>
        <w:rPr>
          <w:rFonts w:hint="eastAsia" w:asciiTheme="minorEastAsia" w:hAnsiTheme="minorEastAsia" w:eastAsiaTheme="minorEastAsia" w:cstheme="minorEastAsia"/>
          <w:color w:val="auto"/>
          <w:sz w:val="24"/>
          <w:szCs w:val="24"/>
          <w:highlight w:val="none"/>
          <w:lang w:eastAsia="zh-CN"/>
        </w:rPr>
        <w:t>，为保密协议签署页</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p>
    <w:p w14:paraId="24BC53D5">
      <w:pPr>
        <w:pStyle w:val="14"/>
        <w:spacing w:line="480" w:lineRule="auto"/>
        <w:rPr>
          <w:rFonts w:hint="eastAsia" w:ascii="宋体" w:hAnsi="宋体" w:eastAsia="宋体" w:cs="宋体"/>
          <w:color w:val="auto"/>
          <w:sz w:val="24"/>
          <w:szCs w:val="24"/>
          <w:highlight w:val="none"/>
          <w:lang w:eastAsia="zh-CN"/>
        </w:rPr>
      </w:pPr>
    </w:p>
    <w:p w14:paraId="5375729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08A5142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75C9441B">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7E9950D8">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0A0C488B">
      <w:pPr>
        <w:pStyle w:val="9"/>
        <w:spacing w:line="480" w:lineRule="auto"/>
        <w:rPr>
          <w:rFonts w:hint="eastAsia"/>
          <w:color w:val="auto"/>
          <w:highlight w:val="none"/>
        </w:rPr>
      </w:pPr>
    </w:p>
    <w:p w14:paraId="4D451767">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44BD525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5FDB2540">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74E0D10F">
      <w:pPr>
        <w:spacing w:line="480" w:lineRule="auto"/>
        <w:rPr>
          <w:rFonts w:hint="eastAsia" w:ascii="宋体" w:hAnsi="宋体" w:cs="宋体"/>
          <w:color w:val="auto"/>
          <w:kern w:val="0"/>
          <w:sz w:val="24"/>
          <w:szCs w:val="24"/>
          <w:highlight w:val="none"/>
          <w:u w:val="none"/>
          <w:lang w:val="en-US" w:eastAsia="zh-CN"/>
        </w:rPr>
      </w:pPr>
    </w:p>
    <w:p w14:paraId="6265B165">
      <w:pPr>
        <w:spacing w:line="480" w:lineRule="auto"/>
        <w:rPr>
          <w:rFonts w:hint="eastAsia" w:ascii="宋体" w:hAnsi="宋体" w:cs="宋体"/>
          <w:color w:val="auto"/>
          <w:kern w:val="0"/>
          <w:sz w:val="24"/>
          <w:szCs w:val="24"/>
          <w:highlight w:val="none"/>
          <w:u w:val="none"/>
          <w:lang w:val="en-US" w:eastAsia="zh-CN"/>
        </w:rPr>
      </w:pPr>
    </w:p>
    <w:p w14:paraId="43C7DCED">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764176CB">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52A86F87">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22522B65">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5C256B8E">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47EC63F9">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3AB2A3D0">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107DDD39">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11BF1DAD">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4F0C65AD">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330E2192">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309E4899">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8" w:name="_Toc5775"/>
      <w:r>
        <w:rPr>
          <w:rFonts w:hint="eastAsia" w:ascii="宋体" w:hAnsi="宋体" w:eastAsia="宋体" w:cs="宋体"/>
          <w:b/>
          <w:bCs/>
          <w:snapToGrid w:val="0"/>
          <w:color w:val="auto"/>
          <w:spacing w:val="28"/>
          <w:kern w:val="0"/>
          <w:sz w:val="32"/>
          <w:szCs w:val="32"/>
          <w:highlight w:val="none"/>
          <w:lang w:val="en-US" w:eastAsia="zh-CN"/>
        </w:rPr>
        <w:t>技术</w:t>
      </w:r>
      <w:r>
        <w:rPr>
          <w:rFonts w:hint="eastAsia" w:ascii="宋体" w:hAnsi="宋体" w:eastAsia="宋体" w:cs="宋体"/>
          <w:b/>
          <w:bCs/>
          <w:color w:val="auto"/>
          <w:kern w:val="2"/>
          <w:sz w:val="32"/>
          <w:szCs w:val="32"/>
          <w:highlight w:val="none"/>
          <w:lang w:val="en-US" w:eastAsia="zh-CN"/>
        </w:rPr>
        <w:t>标准</w:t>
      </w:r>
      <w:r>
        <w:rPr>
          <w:rFonts w:hint="eastAsia" w:ascii="宋体" w:hAnsi="宋体" w:eastAsia="宋体" w:cs="宋体"/>
          <w:b/>
          <w:bCs/>
          <w:snapToGrid w:val="0"/>
          <w:color w:val="auto"/>
          <w:spacing w:val="28"/>
          <w:kern w:val="0"/>
          <w:sz w:val="32"/>
          <w:szCs w:val="32"/>
          <w:highlight w:val="none"/>
          <w:lang w:val="en-US" w:eastAsia="zh-CN"/>
        </w:rPr>
        <w:t>和要求</w:t>
      </w:r>
      <w:bookmarkEnd w:id="197"/>
      <w:bookmarkEnd w:id="208"/>
    </w:p>
    <w:p w14:paraId="6B26E178">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（详见招标文件）</w:t>
      </w:r>
    </w:p>
    <w:p w14:paraId="4679885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D56A6C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F6FF9A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813F23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42EEE8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0A9A81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A921FC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421892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E33AB6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65A186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43F997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DEE9F1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39FE3C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07D50E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5AF591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A63661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9E0776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88569B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A17041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2D5574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4519A2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F7B466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4FFE23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DAE4E8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02809A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2BFE1B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AEC141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967F71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43EB6A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F44D01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CF76A4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831543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54C0A3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E7325F8">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9" w:name="_Toc11242"/>
      <w:bookmarkStart w:id="210" w:name="_Toc31209"/>
      <w:r>
        <w:rPr>
          <w:rFonts w:hint="eastAsia" w:ascii="宋体" w:hAnsi="宋体" w:eastAsia="宋体" w:cs="宋体"/>
          <w:b/>
          <w:bCs/>
          <w:snapToGrid w:val="0"/>
          <w:color w:val="auto"/>
          <w:spacing w:val="28"/>
          <w:kern w:val="0"/>
          <w:sz w:val="32"/>
          <w:szCs w:val="32"/>
          <w:highlight w:val="none"/>
          <w:lang w:val="en-US" w:eastAsia="zh-CN"/>
        </w:rPr>
        <w:t xml:space="preserve">第十部分 </w:t>
      </w:r>
      <w:r>
        <w:rPr>
          <w:rFonts w:hint="eastAsia" w:ascii="宋体" w:hAnsi="宋体" w:eastAsia="宋体" w:cs="宋体"/>
          <w:b/>
          <w:bCs/>
          <w:color w:val="auto"/>
          <w:kern w:val="2"/>
          <w:sz w:val="32"/>
          <w:szCs w:val="32"/>
          <w:highlight w:val="none"/>
          <w:lang w:val="en-US" w:eastAsia="zh-CN"/>
        </w:rPr>
        <w:t>图纸</w:t>
      </w:r>
      <w:bookmarkEnd w:id="209"/>
      <w:bookmarkEnd w:id="210"/>
    </w:p>
    <w:p w14:paraId="4E69E75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27DA583">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（另册）</w:t>
      </w:r>
    </w:p>
    <w:p w14:paraId="79F566C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BCACB1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C229D5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7608A4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2A1C58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BF0F8B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E4A425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E94355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ECD065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85A2CE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127A6B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4F8FC4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2E54FA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9244EC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9E73D2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68534B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CEF2AB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C24E58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905C46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00561F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BF15E8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49989A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42FF3C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76D8CD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00B6FF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E0FE5F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0482E5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1695DE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B3D8A3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620B98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EC7AB0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653DF4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DB6E071">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11" w:name="_Toc23517"/>
      <w:bookmarkStart w:id="212" w:name="_Toc26001"/>
      <w:r>
        <w:rPr>
          <w:rFonts w:hint="eastAsia" w:ascii="宋体" w:hAnsi="宋体" w:eastAsia="宋体" w:cs="宋体"/>
          <w:b/>
          <w:bCs/>
          <w:snapToGrid w:val="0"/>
          <w:color w:val="auto"/>
          <w:spacing w:val="28"/>
          <w:kern w:val="0"/>
          <w:sz w:val="32"/>
          <w:szCs w:val="32"/>
          <w:highlight w:val="none"/>
          <w:lang w:val="en-US" w:eastAsia="zh-CN"/>
        </w:rPr>
        <w:t>第十一部分 已标价工程量清单</w:t>
      </w:r>
      <w:bookmarkEnd w:id="211"/>
      <w:bookmarkEnd w:id="212"/>
    </w:p>
    <w:p w14:paraId="168FC18B">
      <w:pPr>
        <w:pStyle w:val="9"/>
        <w:rPr>
          <w:rFonts w:hint="eastAsia"/>
          <w:color w:val="auto"/>
          <w:highlight w:val="none"/>
          <w:lang w:val="en-US" w:eastAsia="zh-CN"/>
        </w:rPr>
      </w:pPr>
    </w:p>
    <w:p w14:paraId="0C7CA7F3">
      <w:pPr>
        <w:rPr>
          <w:rFonts w:hint="eastAsia"/>
          <w:color w:val="auto"/>
          <w:highlight w:val="none"/>
          <w:lang w:val="en-US" w:eastAsia="zh-CN"/>
        </w:rPr>
      </w:pPr>
    </w:p>
    <w:p w14:paraId="64B3764D">
      <w:pPr>
        <w:pStyle w:val="9"/>
        <w:rPr>
          <w:rFonts w:hint="eastAsia"/>
          <w:color w:val="auto"/>
          <w:highlight w:val="none"/>
          <w:lang w:val="en-US" w:eastAsia="zh-CN"/>
        </w:rPr>
      </w:pPr>
    </w:p>
    <w:p w14:paraId="16298396">
      <w:pPr>
        <w:rPr>
          <w:rFonts w:hint="eastAsia"/>
          <w:color w:val="auto"/>
          <w:highlight w:val="none"/>
          <w:lang w:val="en-US" w:eastAsia="zh-CN"/>
        </w:rPr>
      </w:pPr>
    </w:p>
    <w:p w14:paraId="6CCDD790">
      <w:pPr>
        <w:pStyle w:val="9"/>
        <w:rPr>
          <w:rFonts w:hint="eastAsia"/>
          <w:color w:val="auto"/>
          <w:highlight w:val="none"/>
          <w:lang w:val="en-US" w:eastAsia="zh-CN"/>
        </w:rPr>
      </w:pPr>
    </w:p>
    <w:p w14:paraId="424CB9AB">
      <w:pPr>
        <w:rPr>
          <w:rFonts w:hint="eastAsia"/>
          <w:color w:val="auto"/>
          <w:highlight w:val="none"/>
          <w:lang w:val="en-US" w:eastAsia="zh-CN"/>
        </w:rPr>
      </w:pPr>
    </w:p>
    <w:p w14:paraId="080C2363">
      <w:pPr>
        <w:pStyle w:val="9"/>
        <w:rPr>
          <w:rFonts w:hint="eastAsia"/>
          <w:color w:val="auto"/>
          <w:highlight w:val="none"/>
          <w:lang w:val="en-US" w:eastAsia="zh-CN"/>
        </w:rPr>
      </w:pPr>
    </w:p>
    <w:p w14:paraId="2764106C">
      <w:pPr>
        <w:rPr>
          <w:rFonts w:hint="eastAsia"/>
          <w:color w:val="auto"/>
          <w:highlight w:val="none"/>
          <w:lang w:val="en-US" w:eastAsia="zh-CN"/>
        </w:rPr>
      </w:pPr>
    </w:p>
    <w:p w14:paraId="7299BDA4">
      <w:pPr>
        <w:pStyle w:val="9"/>
        <w:rPr>
          <w:rFonts w:hint="eastAsia"/>
          <w:color w:val="auto"/>
          <w:highlight w:val="none"/>
          <w:lang w:val="en-US" w:eastAsia="zh-CN"/>
        </w:rPr>
      </w:pPr>
    </w:p>
    <w:p w14:paraId="60B882E3">
      <w:pPr>
        <w:rPr>
          <w:rFonts w:hint="eastAsia"/>
          <w:color w:val="auto"/>
          <w:highlight w:val="none"/>
          <w:lang w:val="en-US" w:eastAsia="zh-CN"/>
        </w:rPr>
      </w:pPr>
    </w:p>
    <w:p w14:paraId="5BD3F4F8">
      <w:pPr>
        <w:pStyle w:val="9"/>
        <w:rPr>
          <w:rFonts w:hint="eastAsia"/>
          <w:color w:val="auto"/>
          <w:highlight w:val="none"/>
          <w:lang w:val="en-US" w:eastAsia="zh-CN"/>
        </w:rPr>
      </w:pPr>
    </w:p>
    <w:p w14:paraId="4B8A5068">
      <w:pPr>
        <w:rPr>
          <w:rFonts w:hint="eastAsia"/>
          <w:color w:val="auto"/>
          <w:highlight w:val="none"/>
          <w:lang w:val="en-US" w:eastAsia="zh-CN"/>
        </w:rPr>
      </w:pPr>
    </w:p>
    <w:p w14:paraId="3FE2E6E8">
      <w:pPr>
        <w:pStyle w:val="9"/>
        <w:rPr>
          <w:rFonts w:hint="eastAsia"/>
          <w:color w:val="auto"/>
          <w:highlight w:val="none"/>
          <w:lang w:val="en-US" w:eastAsia="zh-CN"/>
        </w:rPr>
      </w:pPr>
    </w:p>
    <w:p w14:paraId="367531A2">
      <w:pPr>
        <w:rPr>
          <w:rFonts w:hint="eastAsia"/>
          <w:color w:val="auto"/>
          <w:highlight w:val="none"/>
          <w:lang w:val="en-US" w:eastAsia="zh-CN"/>
        </w:rPr>
      </w:pPr>
    </w:p>
    <w:p w14:paraId="5875808C">
      <w:pPr>
        <w:pStyle w:val="9"/>
        <w:rPr>
          <w:rFonts w:hint="eastAsia"/>
          <w:color w:val="auto"/>
          <w:highlight w:val="none"/>
          <w:lang w:val="en-US" w:eastAsia="zh-CN"/>
        </w:rPr>
      </w:pPr>
    </w:p>
    <w:p w14:paraId="74CCD74A">
      <w:pPr>
        <w:rPr>
          <w:rFonts w:hint="eastAsia"/>
          <w:color w:val="auto"/>
          <w:highlight w:val="none"/>
          <w:lang w:val="en-US" w:eastAsia="zh-CN"/>
        </w:rPr>
      </w:pPr>
    </w:p>
    <w:p w14:paraId="20330B6D">
      <w:pPr>
        <w:pStyle w:val="9"/>
        <w:rPr>
          <w:rFonts w:hint="eastAsia"/>
          <w:color w:val="auto"/>
          <w:highlight w:val="none"/>
          <w:lang w:val="en-US" w:eastAsia="zh-CN"/>
        </w:rPr>
      </w:pPr>
    </w:p>
    <w:p w14:paraId="0D433D09">
      <w:pPr>
        <w:rPr>
          <w:rFonts w:hint="eastAsia"/>
          <w:color w:val="auto"/>
          <w:highlight w:val="none"/>
          <w:lang w:val="en-US" w:eastAsia="zh-CN"/>
        </w:rPr>
      </w:pPr>
    </w:p>
    <w:p w14:paraId="6E243E46">
      <w:pPr>
        <w:pStyle w:val="9"/>
        <w:rPr>
          <w:rFonts w:hint="eastAsia"/>
          <w:color w:val="auto"/>
          <w:highlight w:val="none"/>
          <w:lang w:val="en-US" w:eastAsia="zh-CN"/>
        </w:rPr>
      </w:pPr>
    </w:p>
    <w:p w14:paraId="40DA8635">
      <w:pPr>
        <w:rPr>
          <w:rFonts w:hint="eastAsia"/>
          <w:color w:val="auto"/>
          <w:highlight w:val="none"/>
          <w:lang w:val="en-US" w:eastAsia="zh-CN"/>
        </w:rPr>
      </w:pPr>
    </w:p>
    <w:p w14:paraId="3B90E8F5">
      <w:pPr>
        <w:pStyle w:val="9"/>
        <w:rPr>
          <w:rFonts w:hint="eastAsia"/>
          <w:color w:val="auto"/>
          <w:highlight w:val="none"/>
          <w:lang w:val="en-US" w:eastAsia="zh-CN"/>
        </w:rPr>
      </w:pPr>
    </w:p>
    <w:p w14:paraId="457ECC58">
      <w:pPr>
        <w:rPr>
          <w:rFonts w:hint="eastAsia"/>
          <w:color w:val="auto"/>
          <w:highlight w:val="none"/>
          <w:lang w:val="en-US" w:eastAsia="zh-CN"/>
        </w:rPr>
      </w:pPr>
    </w:p>
    <w:p w14:paraId="274DFA58">
      <w:pPr>
        <w:pStyle w:val="20"/>
        <w:rPr>
          <w:rFonts w:hint="eastAsia"/>
          <w:color w:val="auto"/>
          <w:highlight w:val="none"/>
          <w:lang w:val="en-US" w:eastAsia="zh-CN"/>
        </w:rPr>
      </w:pPr>
    </w:p>
    <w:p w14:paraId="66B3B383">
      <w:pPr>
        <w:pStyle w:val="20"/>
        <w:rPr>
          <w:rFonts w:hint="eastAsia"/>
          <w:color w:val="auto"/>
          <w:highlight w:val="none"/>
          <w:lang w:val="en-US" w:eastAsia="zh-CN"/>
        </w:rPr>
      </w:pPr>
    </w:p>
    <w:p w14:paraId="2B6F989B">
      <w:pPr>
        <w:pStyle w:val="20"/>
        <w:rPr>
          <w:rFonts w:hint="eastAsia"/>
          <w:color w:val="auto"/>
          <w:highlight w:val="none"/>
          <w:lang w:val="en-US" w:eastAsia="zh-CN"/>
        </w:rPr>
      </w:pPr>
    </w:p>
    <w:p w14:paraId="6BC15EDE">
      <w:pPr>
        <w:pStyle w:val="20"/>
        <w:rPr>
          <w:rFonts w:hint="eastAsia"/>
          <w:color w:val="auto"/>
          <w:highlight w:val="none"/>
          <w:lang w:val="en-US" w:eastAsia="zh-CN"/>
        </w:rPr>
      </w:pPr>
    </w:p>
    <w:p w14:paraId="2F7D1461">
      <w:pPr>
        <w:pStyle w:val="20"/>
        <w:rPr>
          <w:rFonts w:hint="eastAsia"/>
          <w:color w:val="auto"/>
          <w:highlight w:val="none"/>
          <w:lang w:val="en-US" w:eastAsia="zh-CN"/>
        </w:rPr>
      </w:pPr>
    </w:p>
    <w:p w14:paraId="167753E2">
      <w:pPr>
        <w:pStyle w:val="20"/>
        <w:rPr>
          <w:rFonts w:hint="eastAsia"/>
          <w:color w:val="auto"/>
          <w:highlight w:val="none"/>
          <w:lang w:val="en-US" w:eastAsia="zh-CN"/>
        </w:rPr>
      </w:pPr>
    </w:p>
    <w:p w14:paraId="2DBB54A9">
      <w:pPr>
        <w:pStyle w:val="20"/>
        <w:rPr>
          <w:rFonts w:hint="eastAsia"/>
          <w:color w:val="auto"/>
          <w:highlight w:val="none"/>
          <w:lang w:val="en-US" w:eastAsia="zh-CN"/>
        </w:rPr>
      </w:pPr>
    </w:p>
    <w:p w14:paraId="7F5E1D78">
      <w:pPr>
        <w:pStyle w:val="20"/>
        <w:rPr>
          <w:rFonts w:hint="eastAsia"/>
          <w:color w:val="auto"/>
          <w:highlight w:val="none"/>
          <w:lang w:val="en-US" w:eastAsia="zh-CN"/>
        </w:rPr>
      </w:pPr>
    </w:p>
    <w:p w14:paraId="039B6448">
      <w:pPr>
        <w:pStyle w:val="20"/>
        <w:rPr>
          <w:rFonts w:hint="eastAsia"/>
          <w:color w:val="auto"/>
          <w:highlight w:val="none"/>
          <w:lang w:val="en-US" w:eastAsia="zh-CN"/>
        </w:rPr>
      </w:pPr>
    </w:p>
    <w:p w14:paraId="0CE53D54">
      <w:pPr>
        <w:pStyle w:val="20"/>
        <w:rPr>
          <w:rFonts w:hint="eastAsia"/>
          <w:color w:val="auto"/>
          <w:highlight w:val="none"/>
          <w:lang w:val="en-US" w:eastAsia="zh-CN"/>
        </w:rPr>
      </w:pPr>
    </w:p>
    <w:p w14:paraId="45B140EF">
      <w:pPr>
        <w:pStyle w:val="20"/>
        <w:rPr>
          <w:rFonts w:hint="eastAsia"/>
          <w:color w:val="auto"/>
          <w:highlight w:val="none"/>
          <w:lang w:val="en-US" w:eastAsia="zh-CN"/>
        </w:rPr>
      </w:pPr>
    </w:p>
    <w:p w14:paraId="5B53EC58">
      <w:pPr>
        <w:pStyle w:val="20"/>
        <w:rPr>
          <w:rFonts w:hint="eastAsia"/>
          <w:color w:val="auto"/>
          <w:highlight w:val="none"/>
          <w:lang w:val="en-US" w:eastAsia="zh-CN"/>
        </w:rPr>
      </w:pPr>
    </w:p>
    <w:p w14:paraId="3D1380BA">
      <w:pPr>
        <w:pStyle w:val="20"/>
        <w:rPr>
          <w:rFonts w:hint="eastAsia"/>
          <w:color w:val="auto"/>
          <w:highlight w:val="none"/>
          <w:lang w:val="en-US" w:eastAsia="zh-CN"/>
        </w:rPr>
      </w:pPr>
    </w:p>
    <w:p w14:paraId="1D719480">
      <w:pPr>
        <w:pStyle w:val="20"/>
        <w:rPr>
          <w:rFonts w:hint="eastAsia"/>
          <w:color w:val="auto"/>
          <w:highlight w:val="none"/>
          <w:lang w:val="en-US" w:eastAsia="zh-CN"/>
        </w:rPr>
      </w:pPr>
    </w:p>
    <w:p w14:paraId="4826F964">
      <w:pPr>
        <w:pStyle w:val="20"/>
        <w:rPr>
          <w:rFonts w:hint="eastAsia"/>
          <w:color w:val="auto"/>
          <w:highlight w:val="none"/>
          <w:lang w:val="en-US" w:eastAsia="zh-CN"/>
        </w:rPr>
      </w:pPr>
    </w:p>
    <w:p w14:paraId="08289DBD">
      <w:pPr>
        <w:pStyle w:val="20"/>
        <w:rPr>
          <w:rFonts w:hint="eastAsia"/>
          <w:color w:val="auto"/>
          <w:highlight w:val="none"/>
          <w:lang w:val="en-US" w:eastAsia="zh-CN"/>
        </w:rPr>
      </w:pPr>
    </w:p>
    <w:p w14:paraId="6D0BF089">
      <w:pPr>
        <w:pStyle w:val="20"/>
        <w:rPr>
          <w:rFonts w:hint="eastAsia"/>
          <w:color w:val="auto"/>
          <w:highlight w:val="none"/>
          <w:lang w:val="en-US" w:eastAsia="zh-CN"/>
        </w:rPr>
      </w:pPr>
    </w:p>
    <w:p w14:paraId="24399138">
      <w:pPr>
        <w:pStyle w:val="20"/>
        <w:rPr>
          <w:rFonts w:hint="eastAsia"/>
          <w:color w:val="auto"/>
          <w:highlight w:val="none"/>
          <w:lang w:val="en-US" w:eastAsia="zh-CN"/>
        </w:rPr>
      </w:pPr>
    </w:p>
    <w:p w14:paraId="0D46BC76">
      <w:pPr>
        <w:pStyle w:val="20"/>
        <w:rPr>
          <w:rFonts w:hint="eastAsia"/>
          <w:color w:val="auto"/>
          <w:highlight w:val="none"/>
          <w:lang w:val="en-US" w:eastAsia="zh-CN"/>
        </w:rPr>
      </w:pPr>
    </w:p>
    <w:p w14:paraId="467D7B1A">
      <w:pPr>
        <w:pStyle w:val="20"/>
        <w:rPr>
          <w:rFonts w:hint="eastAsia"/>
          <w:color w:val="auto"/>
          <w:highlight w:val="none"/>
          <w:lang w:val="en-US" w:eastAsia="zh-CN"/>
        </w:rPr>
      </w:pPr>
    </w:p>
    <w:p w14:paraId="7207A848">
      <w:pPr>
        <w:pStyle w:val="20"/>
        <w:rPr>
          <w:rFonts w:hint="eastAsia"/>
          <w:color w:val="auto"/>
          <w:highlight w:val="none"/>
          <w:lang w:val="en-US" w:eastAsia="zh-CN"/>
        </w:rPr>
      </w:pPr>
    </w:p>
    <w:p w14:paraId="42F1460B">
      <w:pPr>
        <w:pStyle w:val="20"/>
        <w:rPr>
          <w:rFonts w:hint="eastAsia"/>
          <w:color w:val="auto"/>
          <w:highlight w:val="none"/>
          <w:lang w:val="en-US" w:eastAsia="zh-CN"/>
        </w:rPr>
      </w:pPr>
    </w:p>
    <w:p w14:paraId="45345B7F">
      <w:pPr>
        <w:pStyle w:val="20"/>
        <w:rPr>
          <w:rFonts w:hint="eastAsia"/>
          <w:color w:val="auto"/>
          <w:highlight w:val="none"/>
          <w:lang w:val="en-US" w:eastAsia="zh-CN"/>
        </w:rPr>
      </w:pPr>
    </w:p>
    <w:p w14:paraId="0217FCD5">
      <w:pPr>
        <w:pStyle w:val="20"/>
        <w:rPr>
          <w:rFonts w:hint="eastAsia"/>
          <w:color w:val="auto"/>
          <w:highlight w:val="none"/>
          <w:lang w:val="en-US" w:eastAsia="zh-CN"/>
        </w:rPr>
      </w:pPr>
    </w:p>
    <w:p w14:paraId="1EA330ED">
      <w:pPr>
        <w:pStyle w:val="20"/>
        <w:rPr>
          <w:rFonts w:hint="eastAsia"/>
          <w:color w:val="auto"/>
          <w:highlight w:val="none"/>
          <w:lang w:val="en-US" w:eastAsia="zh-CN"/>
        </w:rPr>
      </w:pPr>
    </w:p>
    <w:p w14:paraId="39082A0C">
      <w:pPr>
        <w:pStyle w:val="20"/>
        <w:rPr>
          <w:rFonts w:hint="eastAsia"/>
          <w:color w:val="auto"/>
          <w:highlight w:val="none"/>
          <w:lang w:val="en-US" w:eastAsia="zh-CN"/>
        </w:rPr>
      </w:pPr>
    </w:p>
    <w:p w14:paraId="39FC1525">
      <w:pPr>
        <w:pStyle w:val="20"/>
        <w:rPr>
          <w:color w:val="auto"/>
          <w:highlight w:val="none"/>
        </w:rPr>
      </w:pPr>
      <w:bookmarkStart w:id="213" w:name="_Toc4314"/>
    </w:p>
    <w:p w14:paraId="0AEE78AE">
      <w:pPr>
        <w:pStyle w:val="20"/>
        <w:rPr>
          <w:color w:val="auto"/>
          <w:highlight w:val="none"/>
        </w:rPr>
      </w:pPr>
    </w:p>
    <w:p w14:paraId="3E5C4250">
      <w:pPr>
        <w:pStyle w:val="20"/>
        <w:rPr>
          <w:color w:val="auto"/>
          <w:highlight w:val="none"/>
        </w:rPr>
      </w:pPr>
    </w:p>
    <w:p w14:paraId="03FFD254">
      <w:pPr>
        <w:pStyle w:val="20"/>
        <w:rPr>
          <w:rFonts w:hint="eastAsia"/>
          <w:color w:val="auto"/>
          <w:highlight w:val="none"/>
          <w:lang w:val="en-US" w:eastAsia="zh-CN"/>
        </w:rPr>
      </w:pPr>
    </w:p>
    <w:p w14:paraId="5D566ECF">
      <w:pPr>
        <w:numPr>
          <w:ilvl w:val="0"/>
          <w:numId w:val="0"/>
        </w:numPr>
        <w:spacing w:line="360" w:lineRule="auto"/>
        <w:jc w:val="center"/>
        <w:outlineLvl w:val="0"/>
        <w:rPr>
          <w:rFonts w:hint="default" w:ascii="宋体" w:hAnsi="宋体" w:eastAsia="宋体" w:cs="宋体"/>
          <w:b/>
          <w:bCs/>
          <w:snapToGrid w:val="0"/>
          <w:color w:val="auto"/>
          <w:spacing w:val="28"/>
          <w:kern w:val="0"/>
          <w:sz w:val="32"/>
          <w:szCs w:val="32"/>
          <w:highlight w:val="none"/>
          <w:lang w:val="en-US" w:eastAsia="zh-CN"/>
        </w:rPr>
      </w:pPr>
      <w:bookmarkStart w:id="214" w:name="_Toc4450"/>
      <w:r>
        <w:rPr>
          <w:rFonts w:hint="eastAsia" w:ascii="宋体" w:hAnsi="宋体" w:eastAsia="宋体" w:cs="宋体"/>
          <w:b/>
          <w:bCs/>
          <w:snapToGrid w:val="0"/>
          <w:color w:val="auto"/>
          <w:spacing w:val="28"/>
          <w:kern w:val="0"/>
          <w:sz w:val="32"/>
          <w:szCs w:val="32"/>
          <w:highlight w:val="none"/>
          <w:lang w:val="en-US" w:eastAsia="zh-CN"/>
        </w:rPr>
        <w:t>第十二部分 其他合同文件</w:t>
      </w:r>
      <w:bookmarkEnd w:id="213"/>
      <w:bookmarkEnd w:id="214"/>
    </w:p>
    <w:bookmarkEnd w:id="13"/>
    <w:bookmarkEnd w:id="14"/>
    <w:bookmarkEnd w:id="15"/>
    <w:p w14:paraId="5E4EC223">
      <w:pPr>
        <w:pStyle w:val="20"/>
        <w:numPr>
          <w:ilvl w:val="0"/>
          <w:numId w:val="0"/>
        </w:numPr>
        <w:kinsoku w:val="0"/>
        <w:autoSpaceDE w:val="0"/>
        <w:autoSpaceDN w:val="0"/>
        <w:adjustRightInd w:val="0"/>
        <w:snapToGrid w:val="0"/>
        <w:jc w:val="left"/>
        <w:textAlignment w:val="baseline"/>
        <w:rPr>
          <w:rFonts w:hint="eastAsia"/>
          <w:color w:val="auto"/>
          <w:highlight w:val="none"/>
          <w:lang w:val="en-US"/>
        </w:rPr>
      </w:pPr>
    </w:p>
    <w:p w14:paraId="561385F7">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（一）</w:t>
      </w:r>
      <w:r>
        <w:rPr>
          <w:rFonts w:hint="eastAsia" w:ascii="宋体" w:hAnsi="宋体" w:eastAsia="宋体" w:cs="宋体"/>
          <w:b/>
          <w:bCs/>
          <w:color w:val="auto"/>
          <w:kern w:val="2"/>
          <w:sz w:val="32"/>
          <w:szCs w:val="32"/>
          <w:highlight w:val="none"/>
          <w:lang w:val="en-US"/>
        </w:rPr>
        <w:t>其他管理人员和技术人员最低要求</w:t>
      </w:r>
    </w:p>
    <w:p w14:paraId="4162EE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如果承包人不能在规定时间内派驻合格的人员，则视为相应岗位空缺，将严格按照合同条款的规定承担违约责任。</w:t>
      </w:r>
    </w:p>
    <w:p w14:paraId="2F527902">
      <w:pPr>
        <w:pStyle w:val="20"/>
        <w:rPr>
          <w:rFonts w:hint="eastAsia" w:ascii="宋体" w:hAnsi="宋体" w:eastAsia="宋体" w:cs="宋体"/>
          <w:color w:val="auto"/>
          <w:sz w:val="21"/>
          <w:szCs w:val="21"/>
          <w:highlight w:val="none"/>
          <w:lang w:val="en-US" w:eastAsia="zh-CN"/>
        </w:rPr>
      </w:pPr>
    </w:p>
    <w:p w14:paraId="54C4CEFA">
      <w:pPr>
        <w:pStyle w:val="20"/>
        <w:rPr>
          <w:rFonts w:hint="eastAsia" w:ascii="宋体" w:hAnsi="宋体" w:eastAsia="宋体" w:cs="宋体"/>
          <w:color w:val="auto"/>
          <w:sz w:val="21"/>
          <w:szCs w:val="21"/>
          <w:highlight w:val="none"/>
          <w:lang w:val="en-US" w:eastAsia="zh-CN"/>
        </w:rPr>
      </w:pPr>
    </w:p>
    <w:p w14:paraId="3EEAD246">
      <w:pPr>
        <w:pStyle w:val="20"/>
        <w:rPr>
          <w:rFonts w:hint="eastAsia" w:ascii="宋体" w:hAnsi="宋体" w:eastAsia="宋体" w:cs="宋体"/>
          <w:color w:val="auto"/>
          <w:sz w:val="21"/>
          <w:szCs w:val="21"/>
          <w:highlight w:val="none"/>
          <w:lang w:val="en-US" w:eastAsia="zh-CN"/>
        </w:rPr>
      </w:pPr>
    </w:p>
    <w:p w14:paraId="58E5E49E">
      <w:pPr>
        <w:pStyle w:val="20"/>
        <w:rPr>
          <w:rFonts w:hint="eastAsia" w:ascii="宋体" w:hAnsi="宋体" w:eastAsia="宋体" w:cs="宋体"/>
          <w:color w:val="auto"/>
          <w:sz w:val="21"/>
          <w:szCs w:val="21"/>
          <w:highlight w:val="none"/>
          <w:lang w:val="en-US" w:eastAsia="zh-CN"/>
        </w:rPr>
      </w:pPr>
    </w:p>
    <w:p w14:paraId="216D4954">
      <w:pPr>
        <w:pStyle w:val="20"/>
        <w:rPr>
          <w:rFonts w:hint="eastAsia" w:ascii="宋体" w:hAnsi="宋体" w:eastAsia="宋体" w:cs="宋体"/>
          <w:color w:val="auto"/>
          <w:sz w:val="21"/>
          <w:szCs w:val="21"/>
          <w:highlight w:val="none"/>
          <w:lang w:val="en-US" w:eastAsia="zh-CN"/>
        </w:rPr>
      </w:pPr>
    </w:p>
    <w:p w14:paraId="59137556">
      <w:pPr>
        <w:pStyle w:val="20"/>
        <w:rPr>
          <w:rFonts w:hint="eastAsia" w:ascii="宋体" w:hAnsi="宋体" w:eastAsia="宋体" w:cs="宋体"/>
          <w:color w:val="auto"/>
          <w:sz w:val="21"/>
          <w:szCs w:val="21"/>
          <w:highlight w:val="none"/>
          <w:lang w:val="en-US" w:eastAsia="zh-CN"/>
        </w:rPr>
      </w:pPr>
    </w:p>
    <w:p w14:paraId="050DF236">
      <w:pPr>
        <w:pStyle w:val="20"/>
        <w:rPr>
          <w:rFonts w:hint="eastAsia" w:ascii="宋体" w:hAnsi="宋体" w:eastAsia="宋体" w:cs="宋体"/>
          <w:color w:val="auto"/>
          <w:sz w:val="21"/>
          <w:szCs w:val="21"/>
          <w:highlight w:val="none"/>
          <w:lang w:val="en-US" w:eastAsia="zh-CN"/>
        </w:rPr>
      </w:pPr>
    </w:p>
    <w:p w14:paraId="42FBAAD7">
      <w:pPr>
        <w:pStyle w:val="20"/>
        <w:rPr>
          <w:rFonts w:hint="eastAsia" w:ascii="宋体" w:hAnsi="宋体" w:eastAsia="宋体" w:cs="宋体"/>
          <w:color w:val="auto"/>
          <w:sz w:val="21"/>
          <w:szCs w:val="21"/>
          <w:highlight w:val="none"/>
          <w:lang w:val="en-US" w:eastAsia="zh-CN"/>
        </w:rPr>
      </w:pPr>
    </w:p>
    <w:p w14:paraId="247DEE2A">
      <w:pPr>
        <w:pStyle w:val="20"/>
        <w:rPr>
          <w:rFonts w:hint="eastAsia" w:ascii="宋体" w:hAnsi="宋体" w:eastAsia="宋体" w:cs="宋体"/>
          <w:color w:val="auto"/>
          <w:sz w:val="21"/>
          <w:szCs w:val="21"/>
          <w:highlight w:val="none"/>
          <w:lang w:val="en-US" w:eastAsia="zh-CN"/>
        </w:rPr>
      </w:pPr>
    </w:p>
    <w:p w14:paraId="19F08058">
      <w:pPr>
        <w:pStyle w:val="20"/>
        <w:rPr>
          <w:rFonts w:hint="eastAsia" w:ascii="宋体" w:hAnsi="宋体" w:eastAsia="宋体" w:cs="宋体"/>
          <w:color w:val="auto"/>
          <w:sz w:val="21"/>
          <w:szCs w:val="21"/>
          <w:highlight w:val="none"/>
          <w:lang w:val="en-US" w:eastAsia="zh-CN"/>
        </w:rPr>
      </w:pPr>
    </w:p>
    <w:p w14:paraId="5C26C048">
      <w:pPr>
        <w:pStyle w:val="20"/>
        <w:rPr>
          <w:rFonts w:hint="eastAsia" w:ascii="宋体" w:hAnsi="宋体" w:eastAsia="宋体" w:cs="宋体"/>
          <w:color w:val="auto"/>
          <w:sz w:val="21"/>
          <w:szCs w:val="21"/>
          <w:highlight w:val="none"/>
          <w:lang w:val="en-US" w:eastAsia="zh-CN"/>
        </w:rPr>
      </w:pPr>
    </w:p>
    <w:p w14:paraId="5E2EFBC9">
      <w:pPr>
        <w:pStyle w:val="20"/>
        <w:rPr>
          <w:rFonts w:hint="eastAsia" w:ascii="宋体" w:hAnsi="宋体" w:eastAsia="宋体" w:cs="宋体"/>
          <w:color w:val="auto"/>
          <w:sz w:val="21"/>
          <w:szCs w:val="21"/>
          <w:highlight w:val="none"/>
          <w:lang w:val="en-US" w:eastAsia="zh-CN"/>
        </w:rPr>
      </w:pPr>
    </w:p>
    <w:p w14:paraId="1A1AD6FA">
      <w:pPr>
        <w:pStyle w:val="20"/>
        <w:rPr>
          <w:rFonts w:hint="eastAsia" w:ascii="宋体" w:hAnsi="宋体" w:eastAsia="宋体" w:cs="宋体"/>
          <w:color w:val="auto"/>
          <w:sz w:val="21"/>
          <w:szCs w:val="21"/>
          <w:highlight w:val="none"/>
          <w:lang w:val="en-US" w:eastAsia="zh-CN"/>
        </w:rPr>
      </w:pPr>
    </w:p>
    <w:p w14:paraId="5F73D94B">
      <w:pPr>
        <w:pStyle w:val="20"/>
        <w:rPr>
          <w:rFonts w:hint="eastAsia" w:ascii="宋体" w:hAnsi="宋体" w:eastAsia="宋体" w:cs="宋体"/>
          <w:color w:val="auto"/>
          <w:sz w:val="21"/>
          <w:szCs w:val="21"/>
          <w:highlight w:val="none"/>
          <w:lang w:val="en-US" w:eastAsia="zh-CN"/>
        </w:rPr>
      </w:pPr>
    </w:p>
    <w:p w14:paraId="17CE5CCE">
      <w:pPr>
        <w:pStyle w:val="20"/>
        <w:rPr>
          <w:rFonts w:hint="eastAsia" w:ascii="宋体" w:hAnsi="宋体" w:eastAsia="宋体" w:cs="宋体"/>
          <w:color w:val="auto"/>
          <w:sz w:val="21"/>
          <w:szCs w:val="21"/>
          <w:highlight w:val="none"/>
          <w:lang w:val="en-US" w:eastAsia="zh-CN"/>
        </w:rPr>
      </w:pPr>
    </w:p>
    <w:p w14:paraId="4D016B72">
      <w:pPr>
        <w:pStyle w:val="20"/>
        <w:rPr>
          <w:rFonts w:hint="eastAsia" w:ascii="宋体" w:hAnsi="宋体" w:eastAsia="宋体" w:cs="宋体"/>
          <w:color w:val="auto"/>
          <w:sz w:val="21"/>
          <w:szCs w:val="21"/>
          <w:highlight w:val="none"/>
          <w:lang w:val="en-US" w:eastAsia="zh-CN"/>
        </w:rPr>
      </w:pPr>
    </w:p>
    <w:p w14:paraId="0F5FC77F">
      <w:pPr>
        <w:pStyle w:val="20"/>
        <w:rPr>
          <w:rFonts w:hint="eastAsia" w:ascii="宋体" w:hAnsi="宋体" w:eastAsia="宋体" w:cs="宋体"/>
          <w:color w:val="auto"/>
          <w:sz w:val="21"/>
          <w:szCs w:val="21"/>
          <w:highlight w:val="none"/>
          <w:lang w:val="en-US" w:eastAsia="zh-CN"/>
        </w:rPr>
      </w:pPr>
    </w:p>
    <w:p w14:paraId="56135D2F">
      <w:pPr>
        <w:pStyle w:val="20"/>
        <w:rPr>
          <w:rFonts w:hint="eastAsia" w:ascii="宋体" w:hAnsi="宋体" w:eastAsia="宋体" w:cs="宋体"/>
          <w:color w:val="auto"/>
          <w:sz w:val="21"/>
          <w:szCs w:val="21"/>
          <w:highlight w:val="none"/>
          <w:lang w:val="en-US" w:eastAsia="zh-CN"/>
        </w:rPr>
      </w:pPr>
    </w:p>
    <w:p w14:paraId="5A753881">
      <w:pPr>
        <w:pStyle w:val="20"/>
        <w:rPr>
          <w:rFonts w:hint="eastAsia" w:ascii="宋体" w:hAnsi="宋体" w:eastAsia="宋体" w:cs="宋体"/>
          <w:color w:val="auto"/>
          <w:sz w:val="21"/>
          <w:szCs w:val="21"/>
          <w:highlight w:val="none"/>
          <w:lang w:val="en-US" w:eastAsia="zh-CN"/>
        </w:rPr>
      </w:pPr>
    </w:p>
    <w:p w14:paraId="7F3BF90F">
      <w:pPr>
        <w:pStyle w:val="20"/>
        <w:rPr>
          <w:rFonts w:hint="eastAsia" w:ascii="宋体" w:hAnsi="宋体" w:eastAsia="宋体" w:cs="宋体"/>
          <w:color w:val="auto"/>
          <w:sz w:val="21"/>
          <w:szCs w:val="21"/>
          <w:highlight w:val="none"/>
          <w:lang w:val="en-US" w:eastAsia="zh-CN"/>
        </w:rPr>
      </w:pPr>
    </w:p>
    <w:p w14:paraId="71037481">
      <w:pPr>
        <w:pStyle w:val="20"/>
        <w:rPr>
          <w:rFonts w:hint="eastAsia" w:ascii="宋体" w:hAnsi="宋体" w:eastAsia="宋体" w:cs="宋体"/>
          <w:color w:val="auto"/>
          <w:sz w:val="21"/>
          <w:szCs w:val="21"/>
          <w:highlight w:val="none"/>
          <w:lang w:val="en-US" w:eastAsia="zh-CN"/>
        </w:rPr>
      </w:pPr>
    </w:p>
    <w:p w14:paraId="075EE656">
      <w:pPr>
        <w:pStyle w:val="20"/>
        <w:rPr>
          <w:rFonts w:hint="eastAsia" w:ascii="宋体" w:hAnsi="宋体" w:eastAsia="宋体" w:cs="宋体"/>
          <w:color w:val="auto"/>
          <w:sz w:val="21"/>
          <w:szCs w:val="21"/>
          <w:highlight w:val="none"/>
          <w:lang w:val="en-US" w:eastAsia="zh-CN"/>
        </w:rPr>
      </w:pPr>
    </w:p>
    <w:p w14:paraId="424C38B0">
      <w:pPr>
        <w:pStyle w:val="20"/>
        <w:rPr>
          <w:rFonts w:hint="eastAsia" w:ascii="宋体" w:hAnsi="宋体" w:eastAsia="宋体" w:cs="宋体"/>
          <w:color w:val="auto"/>
          <w:sz w:val="21"/>
          <w:szCs w:val="21"/>
          <w:highlight w:val="none"/>
          <w:lang w:val="en-US" w:eastAsia="zh-CN"/>
        </w:rPr>
      </w:pPr>
    </w:p>
    <w:p w14:paraId="7572CADA">
      <w:pPr>
        <w:pStyle w:val="20"/>
        <w:rPr>
          <w:rFonts w:hint="eastAsia" w:ascii="宋体" w:hAnsi="宋体" w:eastAsia="宋体" w:cs="宋体"/>
          <w:color w:val="auto"/>
          <w:sz w:val="21"/>
          <w:szCs w:val="21"/>
          <w:highlight w:val="none"/>
          <w:lang w:val="en-US" w:eastAsia="zh-CN"/>
        </w:rPr>
      </w:pPr>
    </w:p>
    <w:p w14:paraId="4A817471">
      <w:pPr>
        <w:pStyle w:val="20"/>
        <w:rPr>
          <w:rFonts w:hint="eastAsia" w:ascii="宋体" w:hAnsi="宋体" w:eastAsia="宋体" w:cs="宋体"/>
          <w:color w:val="auto"/>
          <w:sz w:val="21"/>
          <w:szCs w:val="21"/>
          <w:highlight w:val="none"/>
          <w:lang w:val="en-US" w:eastAsia="zh-CN"/>
        </w:rPr>
      </w:pPr>
    </w:p>
    <w:p w14:paraId="7EB4E10A">
      <w:pPr>
        <w:pStyle w:val="20"/>
        <w:rPr>
          <w:rFonts w:hint="eastAsia" w:ascii="宋体" w:hAnsi="宋体" w:eastAsia="宋体" w:cs="宋体"/>
          <w:color w:val="auto"/>
          <w:sz w:val="21"/>
          <w:szCs w:val="21"/>
          <w:highlight w:val="none"/>
          <w:lang w:val="en-US" w:eastAsia="zh-CN"/>
        </w:rPr>
      </w:pPr>
    </w:p>
    <w:p w14:paraId="6BB253FA">
      <w:pPr>
        <w:pStyle w:val="20"/>
        <w:rPr>
          <w:rFonts w:hint="eastAsia" w:ascii="宋体" w:hAnsi="宋体" w:eastAsia="宋体" w:cs="宋体"/>
          <w:color w:val="auto"/>
          <w:sz w:val="21"/>
          <w:szCs w:val="21"/>
          <w:highlight w:val="none"/>
          <w:lang w:val="en-US" w:eastAsia="zh-CN"/>
        </w:rPr>
      </w:pPr>
    </w:p>
    <w:p w14:paraId="56823189">
      <w:pPr>
        <w:pStyle w:val="20"/>
        <w:rPr>
          <w:rFonts w:hint="eastAsia" w:ascii="宋体" w:hAnsi="宋体" w:eastAsia="宋体" w:cs="宋体"/>
          <w:color w:val="auto"/>
          <w:sz w:val="21"/>
          <w:szCs w:val="21"/>
          <w:highlight w:val="none"/>
          <w:lang w:val="en-US" w:eastAsia="zh-CN"/>
        </w:rPr>
      </w:pPr>
    </w:p>
    <w:p w14:paraId="16C7C82C">
      <w:pPr>
        <w:pStyle w:val="20"/>
        <w:rPr>
          <w:rFonts w:hint="eastAsia" w:ascii="宋体" w:hAnsi="宋体" w:eastAsia="宋体" w:cs="宋体"/>
          <w:color w:val="auto"/>
          <w:sz w:val="21"/>
          <w:szCs w:val="21"/>
          <w:highlight w:val="none"/>
          <w:lang w:val="en-US" w:eastAsia="zh-CN"/>
        </w:rPr>
      </w:pPr>
    </w:p>
    <w:p w14:paraId="764A96C4">
      <w:pPr>
        <w:pStyle w:val="20"/>
        <w:rPr>
          <w:rFonts w:hint="eastAsia" w:ascii="宋体" w:hAnsi="宋体" w:eastAsia="宋体" w:cs="宋体"/>
          <w:color w:val="auto"/>
          <w:sz w:val="21"/>
          <w:szCs w:val="21"/>
          <w:highlight w:val="none"/>
          <w:lang w:val="en-US" w:eastAsia="zh-CN"/>
        </w:rPr>
      </w:pPr>
    </w:p>
    <w:p w14:paraId="13C11159">
      <w:pPr>
        <w:pStyle w:val="20"/>
        <w:rPr>
          <w:rFonts w:hint="eastAsia" w:ascii="宋体" w:hAnsi="宋体" w:eastAsia="宋体" w:cs="宋体"/>
          <w:color w:val="auto"/>
          <w:sz w:val="21"/>
          <w:szCs w:val="21"/>
          <w:highlight w:val="none"/>
          <w:lang w:val="en-US" w:eastAsia="zh-CN"/>
        </w:rPr>
      </w:pPr>
    </w:p>
    <w:p w14:paraId="0C9F9BFA">
      <w:pPr>
        <w:pStyle w:val="20"/>
        <w:rPr>
          <w:rFonts w:hint="eastAsia" w:ascii="宋体" w:hAnsi="宋体" w:eastAsia="宋体" w:cs="宋体"/>
          <w:color w:val="auto"/>
          <w:sz w:val="21"/>
          <w:szCs w:val="21"/>
          <w:highlight w:val="none"/>
          <w:lang w:val="en-US" w:eastAsia="zh-CN"/>
        </w:rPr>
      </w:pPr>
    </w:p>
    <w:p w14:paraId="3E309AC4">
      <w:pPr>
        <w:pStyle w:val="20"/>
        <w:rPr>
          <w:rFonts w:hint="eastAsia" w:ascii="宋体" w:hAnsi="宋体" w:eastAsia="宋体" w:cs="宋体"/>
          <w:color w:val="auto"/>
          <w:sz w:val="21"/>
          <w:szCs w:val="21"/>
          <w:highlight w:val="none"/>
          <w:lang w:val="en-US" w:eastAsia="zh-CN"/>
        </w:rPr>
      </w:pPr>
    </w:p>
    <w:p w14:paraId="0DD7E2B0">
      <w:pPr>
        <w:pStyle w:val="20"/>
        <w:rPr>
          <w:rFonts w:hint="eastAsia" w:ascii="宋体" w:hAnsi="宋体" w:eastAsia="宋体" w:cs="宋体"/>
          <w:color w:val="auto"/>
          <w:sz w:val="21"/>
          <w:szCs w:val="21"/>
          <w:highlight w:val="none"/>
          <w:lang w:val="en-US" w:eastAsia="zh-CN"/>
        </w:rPr>
      </w:pPr>
    </w:p>
    <w:p w14:paraId="25792929">
      <w:pPr>
        <w:pStyle w:val="20"/>
        <w:rPr>
          <w:rFonts w:hint="eastAsia" w:ascii="宋体" w:hAnsi="宋体" w:eastAsia="宋体" w:cs="宋体"/>
          <w:color w:val="auto"/>
          <w:sz w:val="21"/>
          <w:szCs w:val="21"/>
          <w:highlight w:val="none"/>
          <w:lang w:val="en-US" w:eastAsia="zh-CN"/>
        </w:rPr>
      </w:pPr>
    </w:p>
    <w:p w14:paraId="664E3648">
      <w:pPr>
        <w:pStyle w:val="20"/>
        <w:rPr>
          <w:rFonts w:hint="eastAsia" w:ascii="宋体" w:hAnsi="宋体" w:eastAsia="宋体" w:cs="宋体"/>
          <w:color w:val="auto"/>
          <w:sz w:val="21"/>
          <w:szCs w:val="21"/>
          <w:highlight w:val="none"/>
          <w:lang w:val="en-US" w:eastAsia="zh-CN"/>
        </w:rPr>
      </w:pPr>
    </w:p>
    <w:p w14:paraId="640A8DF2">
      <w:pPr>
        <w:pStyle w:val="20"/>
        <w:rPr>
          <w:rFonts w:hint="eastAsia" w:ascii="宋体" w:hAnsi="宋体" w:eastAsia="宋体" w:cs="宋体"/>
          <w:color w:val="auto"/>
          <w:sz w:val="21"/>
          <w:szCs w:val="21"/>
          <w:highlight w:val="none"/>
          <w:lang w:val="en-US" w:eastAsia="zh-CN"/>
        </w:rPr>
      </w:pPr>
    </w:p>
    <w:p w14:paraId="622BE313">
      <w:pPr>
        <w:pStyle w:val="20"/>
        <w:rPr>
          <w:rFonts w:hint="eastAsia" w:ascii="宋体" w:hAnsi="宋体" w:eastAsia="宋体" w:cs="宋体"/>
          <w:color w:val="auto"/>
          <w:sz w:val="21"/>
          <w:szCs w:val="21"/>
          <w:highlight w:val="none"/>
          <w:lang w:val="en-US" w:eastAsia="zh-CN"/>
        </w:rPr>
      </w:pPr>
    </w:p>
    <w:p w14:paraId="35B9BDA1">
      <w:pPr>
        <w:pStyle w:val="20"/>
        <w:rPr>
          <w:rFonts w:hint="eastAsia" w:ascii="宋体" w:hAnsi="宋体" w:eastAsia="宋体" w:cs="宋体"/>
          <w:color w:val="auto"/>
          <w:sz w:val="21"/>
          <w:szCs w:val="21"/>
          <w:highlight w:val="none"/>
          <w:lang w:val="en-US" w:eastAsia="zh-CN"/>
        </w:rPr>
      </w:pPr>
    </w:p>
    <w:p w14:paraId="17ECC5BE">
      <w:pPr>
        <w:pStyle w:val="20"/>
        <w:rPr>
          <w:rFonts w:hint="eastAsia" w:ascii="宋体" w:hAnsi="宋体" w:eastAsia="宋体" w:cs="宋体"/>
          <w:color w:val="auto"/>
          <w:sz w:val="21"/>
          <w:szCs w:val="21"/>
          <w:highlight w:val="none"/>
          <w:lang w:val="en-US" w:eastAsia="zh-CN"/>
        </w:rPr>
      </w:pPr>
    </w:p>
    <w:p w14:paraId="1D77E5A9">
      <w:pPr>
        <w:pStyle w:val="20"/>
        <w:rPr>
          <w:rFonts w:hint="eastAsia" w:ascii="宋体" w:hAnsi="宋体" w:eastAsia="宋体" w:cs="宋体"/>
          <w:color w:val="auto"/>
          <w:sz w:val="21"/>
          <w:szCs w:val="21"/>
          <w:highlight w:val="none"/>
          <w:lang w:val="en-US" w:eastAsia="zh-CN"/>
        </w:rPr>
      </w:pPr>
    </w:p>
    <w:p w14:paraId="13C7ACAB">
      <w:pPr>
        <w:pStyle w:val="20"/>
        <w:rPr>
          <w:rFonts w:hint="eastAsia" w:ascii="宋体" w:hAnsi="宋体" w:eastAsia="宋体" w:cs="宋体"/>
          <w:color w:val="auto"/>
          <w:sz w:val="21"/>
          <w:szCs w:val="21"/>
          <w:highlight w:val="none"/>
          <w:lang w:val="en-US" w:eastAsia="zh-CN"/>
        </w:rPr>
      </w:pPr>
    </w:p>
    <w:p w14:paraId="6E4D529B">
      <w:pPr>
        <w:pStyle w:val="20"/>
        <w:rPr>
          <w:rFonts w:hint="eastAsia" w:ascii="宋体" w:hAnsi="宋体" w:eastAsia="宋体" w:cs="宋体"/>
          <w:color w:val="auto"/>
          <w:sz w:val="21"/>
          <w:szCs w:val="21"/>
          <w:highlight w:val="none"/>
          <w:lang w:val="en-US" w:eastAsia="zh-CN"/>
        </w:rPr>
      </w:pPr>
    </w:p>
    <w:p w14:paraId="2C8DA54E">
      <w:pPr>
        <w:pStyle w:val="20"/>
        <w:rPr>
          <w:rFonts w:hint="eastAsia" w:ascii="宋体" w:hAnsi="宋体" w:eastAsia="宋体" w:cs="宋体"/>
          <w:color w:val="auto"/>
          <w:sz w:val="21"/>
          <w:szCs w:val="21"/>
          <w:highlight w:val="none"/>
          <w:lang w:val="en-US" w:eastAsia="zh-CN"/>
        </w:rPr>
      </w:pPr>
    </w:p>
    <w:p w14:paraId="1B875E32">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（二）</w:t>
      </w:r>
      <w:r>
        <w:rPr>
          <w:rFonts w:hint="eastAsia" w:ascii="宋体" w:hAnsi="宋体" w:eastAsia="宋体" w:cs="宋体"/>
          <w:b/>
          <w:bCs/>
          <w:i w:val="0"/>
          <w:color w:val="auto"/>
          <w:kern w:val="2"/>
          <w:sz w:val="32"/>
          <w:szCs w:val="32"/>
          <w:highlight w:val="none"/>
          <w:lang w:val="en-US"/>
        </w:rPr>
        <w:t>主要设备</w:t>
      </w:r>
      <w:r>
        <w:rPr>
          <w:rFonts w:hint="eastAsia" w:ascii="宋体" w:hAnsi="宋体" w:eastAsia="宋体" w:cs="宋体"/>
          <w:b/>
          <w:bCs/>
          <w:color w:val="auto"/>
          <w:kern w:val="2"/>
          <w:sz w:val="32"/>
          <w:szCs w:val="32"/>
          <w:highlight w:val="none"/>
          <w:lang w:val="en-US"/>
        </w:rPr>
        <w:t>最低要求</w:t>
      </w:r>
    </w:p>
    <w:p w14:paraId="105404EA">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投标人应按投标函的规定，承诺中标后按照本表的最低要求填报</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，在经发包人审批后作为</w:t>
      </w:r>
      <w:r>
        <w:rPr>
          <w:rFonts w:hint="eastAsia" w:ascii="宋体" w:hAnsi="宋体" w:eastAsia="宋体" w:cs="宋体"/>
          <w:color w:val="auto"/>
          <w:sz w:val="24"/>
          <w:szCs w:val="24"/>
          <w:highlight w:val="none"/>
          <w:lang w:val="en-US" w:eastAsia="zh-CN"/>
        </w:rPr>
        <w:t>投入</w:t>
      </w:r>
      <w:r>
        <w:rPr>
          <w:rFonts w:hint="eastAsia" w:ascii="宋体" w:hAnsi="宋体" w:eastAsia="宋体" w:cs="宋体"/>
          <w:color w:val="auto"/>
          <w:sz w:val="24"/>
          <w:szCs w:val="24"/>
          <w:highlight w:val="none"/>
        </w:rPr>
        <w:t>本标段的</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且不允许无故更换。</w:t>
      </w:r>
    </w:p>
    <w:p w14:paraId="194B8C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如果承包人不能在规定时间内</w:t>
      </w:r>
      <w:r>
        <w:rPr>
          <w:rFonts w:hint="eastAsia" w:ascii="宋体" w:hAnsi="宋体" w:eastAsia="宋体" w:cs="宋体"/>
          <w:color w:val="auto"/>
          <w:sz w:val="24"/>
          <w:szCs w:val="24"/>
          <w:highlight w:val="none"/>
          <w:lang w:val="en-US" w:eastAsia="zh-CN"/>
        </w:rPr>
        <w:t>投入满足本表要求的设备</w:t>
      </w:r>
      <w:r>
        <w:rPr>
          <w:rFonts w:hint="eastAsia" w:ascii="宋体" w:hAnsi="宋体" w:eastAsia="宋体" w:cs="宋体"/>
          <w:color w:val="auto"/>
          <w:sz w:val="24"/>
          <w:szCs w:val="24"/>
          <w:highlight w:val="none"/>
        </w:rPr>
        <w:t>，将严格按照合同条款的规定承担违约责任。</w:t>
      </w:r>
    </w:p>
    <w:p w14:paraId="0FD398E5">
      <w:pPr>
        <w:pStyle w:val="20"/>
        <w:ind w:left="0" w:leftChars="0" w:firstLine="0" w:firstLineChars="0"/>
        <w:rPr>
          <w:rFonts w:hint="eastAsia"/>
          <w:color w:val="auto"/>
          <w:highlight w:val="none"/>
          <w:lang w:val="en-US" w:eastAsia="zh-CN"/>
        </w:rPr>
      </w:pPr>
    </w:p>
    <w:p w14:paraId="3D9E3D5A">
      <w:pPr>
        <w:pStyle w:val="20"/>
        <w:ind w:left="0" w:leftChars="0" w:firstLine="0" w:firstLineChars="0"/>
        <w:rPr>
          <w:rFonts w:hint="eastAsia"/>
          <w:color w:val="auto"/>
          <w:highlight w:val="none"/>
          <w:lang w:val="en-US" w:eastAsia="zh-CN"/>
        </w:rPr>
      </w:pPr>
    </w:p>
    <w:p w14:paraId="20DE18DE">
      <w:pPr>
        <w:pStyle w:val="20"/>
        <w:ind w:left="0" w:leftChars="0" w:firstLine="0" w:firstLineChars="0"/>
        <w:rPr>
          <w:rFonts w:hint="eastAsia"/>
          <w:color w:val="auto"/>
          <w:highlight w:val="none"/>
          <w:lang w:val="en-US" w:eastAsia="zh-CN"/>
        </w:rPr>
      </w:pPr>
    </w:p>
    <w:p w14:paraId="31CF2A9E">
      <w:pPr>
        <w:pStyle w:val="20"/>
        <w:ind w:left="0" w:leftChars="0" w:firstLine="0" w:firstLineChars="0"/>
        <w:rPr>
          <w:rFonts w:hint="eastAsia"/>
          <w:color w:val="auto"/>
          <w:highlight w:val="none"/>
          <w:lang w:val="en-US" w:eastAsia="zh-CN"/>
        </w:rPr>
      </w:pPr>
    </w:p>
    <w:p w14:paraId="00F81D20">
      <w:pPr>
        <w:pStyle w:val="20"/>
        <w:ind w:left="0" w:leftChars="0" w:firstLine="0" w:firstLineChars="0"/>
        <w:rPr>
          <w:rFonts w:hint="eastAsia"/>
          <w:color w:val="auto"/>
          <w:highlight w:val="none"/>
          <w:lang w:val="en-US" w:eastAsia="zh-CN"/>
        </w:rPr>
      </w:pPr>
    </w:p>
    <w:p w14:paraId="62DE6AAE">
      <w:pPr>
        <w:pStyle w:val="20"/>
        <w:ind w:left="0" w:leftChars="0" w:firstLine="0" w:firstLineChars="0"/>
        <w:rPr>
          <w:rFonts w:hint="eastAsia"/>
          <w:color w:val="auto"/>
          <w:highlight w:val="none"/>
          <w:lang w:val="en-US" w:eastAsia="zh-CN"/>
        </w:rPr>
      </w:pPr>
    </w:p>
    <w:p w14:paraId="45C36F47">
      <w:pPr>
        <w:pStyle w:val="20"/>
        <w:ind w:left="0" w:leftChars="0" w:firstLine="0" w:firstLineChars="0"/>
        <w:rPr>
          <w:rFonts w:hint="eastAsia"/>
          <w:color w:val="auto"/>
          <w:highlight w:val="none"/>
          <w:lang w:val="en-US" w:eastAsia="zh-CN"/>
        </w:rPr>
      </w:pPr>
    </w:p>
    <w:p w14:paraId="5EF6FD00">
      <w:pPr>
        <w:pStyle w:val="20"/>
        <w:ind w:left="0" w:leftChars="0" w:firstLine="0" w:firstLineChars="0"/>
        <w:rPr>
          <w:rFonts w:hint="eastAsia"/>
          <w:color w:val="auto"/>
          <w:highlight w:val="none"/>
          <w:lang w:val="en-US" w:eastAsia="zh-CN"/>
        </w:rPr>
      </w:pPr>
    </w:p>
    <w:p w14:paraId="7639B2FC">
      <w:pPr>
        <w:pStyle w:val="20"/>
        <w:ind w:left="0" w:leftChars="0" w:firstLine="0" w:firstLineChars="0"/>
        <w:rPr>
          <w:rFonts w:hint="eastAsia"/>
          <w:color w:val="auto"/>
          <w:highlight w:val="none"/>
          <w:lang w:val="en-US" w:eastAsia="zh-CN"/>
        </w:rPr>
      </w:pPr>
    </w:p>
    <w:p w14:paraId="1D659503">
      <w:pPr>
        <w:pStyle w:val="20"/>
        <w:ind w:left="0" w:leftChars="0" w:firstLine="0" w:firstLineChars="0"/>
        <w:rPr>
          <w:rFonts w:hint="eastAsia"/>
          <w:color w:val="auto"/>
          <w:highlight w:val="none"/>
          <w:lang w:val="en-US" w:eastAsia="zh-CN"/>
        </w:rPr>
      </w:pPr>
    </w:p>
    <w:p w14:paraId="389E6F53">
      <w:pPr>
        <w:pStyle w:val="20"/>
        <w:ind w:left="0" w:leftChars="0" w:firstLine="0" w:firstLineChars="0"/>
        <w:rPr>
          <w:rFonts w:hint="eastAsia"/>
          <w:color w:val="auto"/>
          <w:highlight w:val="none"/>
          <w:lang w:val="en-US" w:eastAsia="zh-CN"/>
        </w:rPr>
      </w:pPr>
    </w:p>
    <w:p w14:paraId="2E9A39FC">
      <w:pPr>
        <w:pStyle w:val="20"/>
        <w:ind w:left="0" w:leftChars="0" w:firstLine="0" w:firstLineChars="0"/>
        <w:rPr>
          <w:rFonts w:hint="eastAsia"/>
          <w:color w:val="auto"/>
          <w:highlight w:val="none"/>
          <w:lang w:val="en-US" w:eastAsia="zh-CN"/>
        </w:rPr>
      </w:pPr>
    </w:p>
    <w:p w14:paraId="18991069">
      <w:pPr>
        <w:pStyle w:val="20"/>
        <w:ind w:left="0" w:leftChars="0" w:firstLine="0" w:firstLineChars="0"/>
        <w:rPr>
          <w:rFonts w:hint="eastAsia"/>
          <w:color w:val="auto"/>
          <w:highlight w:val="none"/>
          <w:lang w:val="en-US" w:eastAsia="zh-CN"/>
        </w:rPr>
      </w:pPr>
    </w:p>
    <w:p w14:paraId="0F4D827E">
      <w:pPr>
        <w:pStyle w:val="20"/>
        <w:ind w:left="0" w:leftChars="0" w:firstLine="0" w:firstLineChars="0"/>
        <w:rPr>
          <w:rFonts w:hint="eastAsia"/>
          <w:color w:val="auto"/>
          <w:highlight w:val="none"/>
          <w:lang w:val="en-US" w:eastAsia="zh-CN"/>
        </w:rPr>
      </w:pPr>
    </w:p>
    <w:p w14:paraId="28257D48">
      <w:pPr>
        <w:pStyle w:val="20"/>
        <w:ind w:left="0" w:leftChars="0" w:firstLine="0" w:firstLineChars="0"/>
        <w:rPr>
          <w:rFonts w:hint="eastAsia"/>
          <w:color w:val="auto"/>
          <w:highlight w:val="none"/>
          <w:lang w:val="en-US" w:eastAsia="zh-CN"/>
        </w:rPr>
      </w:pPr>
    </w:p>
    <w:p w14:paraId="45E8B32E">
      <w:pPr>
        <w:pStyle w:val="20"/>
        <w:ind w:left="0" w:leftChars="0" w:firstLine="0" w:firstLineChars="0"/>
        <w:rPr>
          <w:rFonts w:hint="eastAsia"/>
          <w:color w:val="auto"/>
          <w:highlight w:val="none"/>
          <w:lang w:val="en-US" w:eastAsia="zh-CN"/>
        </w:rPr>
      </w:pPr>
    </w:p>
    <w:p w14:paraId="2E80267E">
      <w:pPr>
        <w:pStyle w:val="20"/>
        <w:ind w:left="0" w:leftChars="0" w:firstLine="0" w:firstLineChars="0"/>
        <w:rPr>
          <w:rFonts w:hint="eastAsia"/>
          <w:color w:val="auto"/>
          <w:highlight w:val="none"/>
          <w:lang w:val="en-US" w:eastAsia="zh-CN"/>
        </w:rPr>
      </w:pPr>
    </w:p>
    <w:p w14:paraId="60CACF63">
      <w:pPr>
        <w:pStyle w:val="20"/>
        <w:ind w:left="0" w:leftChars="0" w:firstLine="0" w:firstLineChars="0"/>
        <w:rPr>
          <w:rFonts w:hint="eastAsia"/>
          <w:color w:val="auto"/>
          <w:highlight w:val="none"/>
          <w:lang w:val="en-US" w:eastAsia="zh-CN"/>
        </w:rPr>
      </w:pPr>
    </w:p>
    <w:p w14:paraId="5CF14CEB">
      <w:pPr>
        <w:pStyle w:val="20"/>
        <w:ind w:left="0" w:leftChars="0" w:firstLine="0" w:firstLineChars="0"/>
        <w:rPr>
          <w:rFonts w:hint="eastAsia"/>
          <w:color w:val="auto"/>
          <w:highlight w:val="none"/>
          <w:lang w:val="en-US" w:eastAsia="zh-CN"/>
        </w:rPr>
      </w:pPr>
    </w:p>
    <w:p w14:paraId="1471DADB">
      <w:pPr>
        <w:pStyle w:val="20"/>
        <w:ind w:left="0" w:leftChars="0" w:firstLine="0" w:firstLineChars="0"/>
        <w:rPr>
          <w:rFonts w:hint="eastAsia"/>
          <w:color w:val="auto"/>
          <w:highlight w:val="none"/>
          <w:lang w:val="en-US" w:eastAsia="zh-CN"/>
        </w:rPr>
      </w:pPr>
    </w:p>
    <w:p w14:paraId="494EB22D">
      <w:pPr>
        <w:pStyle w:val="20"/>
        <w:ind w:left="0" w:leftChars="0" w:firstLine="0" w:firstLineChars="0"/>
        <w:rPr>
          <w:rFonts w:hint="eastAsia"/>
          <w:color w:val="auto"/>
          <w:highlight w:val="none"/>
          <w:lang w:val="en-US" w:eastAsia="zh-CN"/>
        </w:rPr>
      </w:pPr>
    </w:p>
    <w:p w14:paraId="50D3FFC1">
      <w:pPr>
        <w:pStyle w:val="20"/>
        <w:ind w:left="0" w:leftChars="0" w:firstLine="0" w:firstLineChars="0"/>
        <w:rPr>
          <w:rFonts w:hint="eastAsia"/>
          <w:color w:val="auto"/>
          <w:highlight w:val="none"/>
          <w:lang w:val="en-US" w:eastAsia="zh-CN"/>
        </w:rPr>
      </w:pPr>
    </w:p>
    <w:p w14:paraId="5362D239">
      <w:pPr>
        <w:pStyle w:val="20"/>
        <w:ind w:left="0" w:leftChars="0" w:firstLine="0" w:firstLineChars="0"/>
        <w:rPr>
          <w:rFonts w:hint="eastAsia"/>
          <w:color w:val="auto"/>
          <w:highlight w:val="none"/>
          <w:lang w:val="en-US" w:eastAsia="zh-CN"/>
        </w:rPr>
      </w:pPr>
    </w:p>
    <w:p w14:paraId="784AAF40">
      <w:pPr>
        <w:pStyle w:val="20"/>
        <w:ind w:left="0" w:leftChars="0" w:firstLine="0" w:firstLineChars="0"/>
        <w:rPr>
          <w:rFonts w:hint="eastAsia"/>
          <w:color w:val="auto"/>
          <w:highlight w:val="none"/>
          <w:lang w:val="en-US" w:eastAsia="zh-CN"/>
        </w:rPr>
      </w:pPr>
    </w:p>
    <w:p w14:paraId="65A7A816">
      <w:pPr>
        <w:pStyle w:val="20"/>
        <w:ind w:left="0" w:leftChars="0" w:firstLine="0" w:firstLineChars="0"/>
        <w:rPr>
          <w:rFonts w:hint="eastAsia"/>
          <w:color w:val="auto"/>
          <w:highlight w:val="none"/>
          <w:lang w:val="en-US" w:eastAsia="zh-CN"/>
        </w:rPr>
      </w:pPr>
    </w:p>
    <w:p w14:paraId="74A7454B">
      <w:pPr>
        <w:pStyle w:val="20"/>
        <w:ind w:left="0" w:leftChars="0" w:firstLine="0" w:firstLineChars="0"/>
        <w:rPr>
          <w:rFonts w:hint="eastAsia"/>
          <w:color w:val="auto"/>
          <w:highlight w:val="none"/>
          <w:lang w:val="en-US" w:eastAsia="zh-CN"/>
        </w:rPr>
      </w:pPr>
    </w:p>
    <w:p w14:paraId="42CD2B43">
      <w:pPr>
        <w:pStyle w:val="20"/>
        <w:ind w:left="0" w:leftChars="0" w:firstLine="0" w:firstLineChars="0"/>
        <w:rPr>
          <w:rFonts w:hint="eastAsia"/>
          <w:color w:val="auto"/>
          <w:highlight w:val="none"/>
          <w:lang w:val="en-US" w:eastAsia="zh-CN"/>
        </w:rPr>
      </w:pPr>
    </w:p>
    <w:p w14:paraId="5C6265BB">
      <w:pPr>
        <w:pStyle w:val="20"/>
        <w:ind w:left="0" w:leftChars="0" w:firstLine="0" w:firstLineChars="0"/>
        <w:rPr>
          <w:rFonts w:hint="eastAsia"/>
          <w:color w:val="auto"/>
          <w:highlight w:val="none"/>
          <w:lang w:val="en-US" w:eastAsia="zh-CN"/>
        </w:rPr>
      </w:pPr>
    </w:p>
    <w:p w14:paraId="41E75201">
      <w:pPr>
        <w:pStyle w:val="20"/>
        <w:ind w:left="0" w:leftChars="0" w:firstLine="0" w:firstLineChars="0"/>
        <w:rPr>
          <w:rFonts w:hint="eastAsia"/>
          <w:color w:val="auto"/>
          <w:highlight w:val="none"/>
          <w:lang w:val="en-US" w:eastAsia="zh-CN"/>
        </w:rPr>
      </w:pPr>
    </w:p>
    <w:p w14:paraId="02FAFE9B">
      <w:pPr>
        <w:pStyle w:val="20"/>
        <w:ind w:left="0" w:leftChars="0" w:firstLine="0" w:firstLineChars="0"/>
        <w:rPr>
          <w:rFonts w:hint="eastAsia"/>
          <w:color w:val="auto"/>
          <w:highlight w:val="none"/>
          <w:lang w:val="en-US" w:eastAsia="zh-CN"/>
        </w:rPr>
      </w:pPr>
    </w:p>
    <w:p w14:paraId="5A14F3F1">
      <w:pPr>
        <w:pStyle w:val="20"/>
        <w:ind w:left="0" w:leftChars="0" w:firstLine="0" w:firstLineChars="0"/>
        <w:rPr>
          <w:rFonts w:hint="eastAsia"/>
          <w:color w:val="auto"/>
          <w:highlight w:val="none"/>
          <w:lang w:val="en-US" w:eastAsia="zh-CN"/>
        </w:rPr>
      </w:pPr>
    </w:p>
    <w:p w14:paraId="503F994B">
      <w:pPr>
        <w:pStyle w:val="20"/>
        <w:ind w:left="0" w:leftChars="0" w:firstLine="0" w:firstLineChars="0"/>
        <w:rPr>
          <w:rFonts w:hint="eastAsia"/>
          <w:color w:val="auto"/>
          <w:highlight w:val="none"/>
          <w:lang w:val="en-US" w:eastAsia="zh-CN"/>
        </w:rPr>
      </w:pPr>
    </w:p>
    <w:p w14:paraId="483A9475">
      <w:pPr>
        <w:pStyle w:val="20"/>
        <w:ind w:left="0" w:leftChars="0" w:firstLine="0" w:firstLineChars="0"/>
        <w:rPr>
          <w:rFonts w:hint="eastAsia"/>
          <w:color w:val="auto"/>
          <w:highlight w:val="none"/>
          <w:lang w:val="en-US" w:eastAsia="zh-CN"/>
        </w:rPr>
      </w:pPr>
    </w:p>
    <w:p w14:paraId="278F1014">
      <w:pPr>
        <w:pStyle w:val="20"/>
        <w:ind w:left="0" w:leftChars="0" w:firstLine="0" w:firstLineChars="0"/>
        <w:rPr>
          <w:rFonts w:hint="eastAsia"/>
          <w:color w:val="auto"/>
          <w:highlight w:val="none"/>
          <w:lang w:val="en-US" w:eastAsia="zh-CN"/>
        </w:rPr>
      </w:pPr>
    </w:p>
    <w:p w14:paraId="5064D2F0">
      <w:pPr>
        <w:pStyle w:val="20"/>
        <w:ind w:left="0" w:leftChars="0" w:firstLine="0" w:firstLineChars="0"/>
        <w:rPr>
          <w:rFonts w:hint="eastAsia"/>
          <w:color w:val="auto"/>
          <w:highlight w:val="none"/>
          <w:lang w:val="en-US" w:eastAsia="zh-CN"/>
        </w:rPr>
      </w:pPr>
    </w:p>
    <w:p w14:paraId="6723AFB5">
      <w:pPr>
        <w:pStyle w:val="20"/>
        <w:ind w:left="0" w:leftChars="0" w:firstLine="0" w:firstLineChars="0"/>
        <w:rPr>
          <w:rFonts w:hint="eastAsia"/>
          <w:color w:val="auto"/>
          <w:highlight w:val="none"/>
          <w:lang w:val="en-US" w:eastAsia="zh-CN"/>
        </w:rPr>
      </w:pPr>
    </w:p>
    <w:p w14:paraId="6C9CB224">
      <w:pPr>
        <w:pStyle w:val="20"/>
        <w:ind w:left="0" w:leftChars="0" w:firstLine="0" w:firstLineChars="0"/>
        <w:rPr>
          <w:rFonts w:hint="eastAsia"/>
          <w:color w:val="auto"/>
          <w:highlight w:val="none"/>
          <w:lang w:val="en-US" w:eastAsia="zh-CN"/>
        </w:rPr>
      </w:pPr>
    </w:p>
    <w:p w14:paraId="4B1284B5">
      <w:pPr>
        <w:pStyle w:val="20"/>
        <w:ind w:left="0" w:leftChars="0" w:firstLine="0" w:firstLineChars="0"/>
        <w:rPr>
          <w:rFonts w:hint="eastAsia"/>
          <w:color w:val="auto"/>
          <w:highlight w:val="none"/>
          <w:lang w:val="en-US" w:eastAsia="zh-CN"/>
        </w:rPr>
      </w:pPr>
    </w:p>
    <w:p w14:paraId="1695490B">
      <w:pPr>
        <w:pStyle w:val="20"/>
        <w:ind w:left="0" w:leftChars="0" w:firstLine="0" w:firstLineChars="0"/>
        <w:rPr>
          <w:rFonts w:hint="eastAsia"/>
          <w:color w:val="auto"/>
          <w:highlight w:val="none"/>
          <w:lang w:val="en-US" w:eastAsia="zh-CN"/>
        </w:rPr>
      </w:pPr>
    </w:p>
    <w:p w14:paraId="46288A15">
      <w:pPr>
        <w:pStyle w:val="20"/>
        <w:ind w:left="0" w:leftChars="0" w:firstLine="0" w:firstLineChars="0"/>
        <w:rPr>
          <w:rFonts w:hint="eastAsia"/>
          <w:color w:val="auto"/>
          <w:highlight w:val="none"/>
          <w:lang w:val="en-US" w:eastAsia="zh-CN"/>
        </w:rPr>
      </w:pPr>
    </w:p>
    <w:p w14:paraId="16035698">
      <w:pPr>
        <w:pStyle w:val="20"/>
        <w:ind w:left="0" w:leftChars="0" w:firstLine="0" w:firstLineChars="0"/>
        <w:rPr>
          <w:rFonts w:hint="eastAsia"/>
          <w:color w:val="auto"/>
          <w:highlight w:val="none"/>
          <w:lang w:val="en-US" w:eastAsia="zh-CN"/>
        </w:rPr>
      </w:pPr>
    </w:p>
    <w:p w14:paraId="1038E392">
      <w:pPr>
        <w:pStyle w:val="20"/>
        <w:ind w:left="0" w:leftChars="0" w:firstLine="0" w:firstLineChars="0"/>
        <w:rPr>
          <w:rFonts w:hint="eastAsia"/>
          <w:color w:val="auto"/>
          <w:highlight w:val="none"/>
          <w:lang w:val="en-US" w:eastAsia="zh-CN"/>
        </w:rPr>
      </w:pPr>
    </w:p>
    <w:p w14:paraId="36EACA5C">
      <w:pPr>
        <w:pStyle w:val="20"/>
        <w:ind w:left="0" w:leftChars="0" w:firstLine="0" w:firstLineChars="0"/>
        <w:rPr>
          <w:rFonts w:hint="eastAsia"/>
          <w:color w:val="auto"/>
          <w:highlight w:val="none"/>
          <w:lang w:val="en-US" w:eastAsia="zh-CN"/>
        </w:rPr>
      </w:pPr>
    </w:p>
    <w:p w14:paraId="2982F336">
      <w:pPr>
        <w:pStyle w:val="20"/>
        <w:ind w:left="0" w:leftChars="0" w:firstLine="0" w:firstLineChars="0"/>
        <w:rPr>
          <w:rFonts w:hint="eastAsia"/>
          <w:color w:val="auto"/>
          <w:highlight w:val="none"/>
          <w:lang w:val="en-US" w:eastAsia="zh-CN"/>
        </w:rPr>
      </w:pPr>
    </w:p>
    <w:p w14:paraId="250A9E13">
      <w:pPr>
        <w:pStyle w:val="20"/>
        <w:ind w:left="0" w:leftChars="0" w:firstLine="0" w:firstLineChars="0"/>
        <w:rPr>
          <w:rFonts w:hint="eastAsia"/>
          <w:color w:val="auto"/>
          <w:highlight w:val="none"/>
          <w:lang w:val="en-US" w:eastAsia="zh-CN"/>
        </w:rPr>
      </w:pPr>
    </w:p>
    <w:p w14:paraId="1A7470B0">
      <w:pPr>
        <w:pStyle w:val="20"/>
        <w:ind w:left="0" w:leftChars="0" w:firstLine="0" w:firstLineChars="0"/>
        <w:rPr>
          <w:rFonts w:hint="eastAsia"/>
          <w:color w:val="auto"/>
          <w:highlight w:val="none"/>
          <w:lang w:val="en-US" w:eastAsia="zh-CN"/>
        </w:rPr>
      </w:pPr>
    </w:p>
    <w:p w14:paraId="44D8CE73">
      <w:pPr>
        <w:pStyle w:val="20"/>
        <w:ind w:left="0" w:leftChars="0" w:firstLine="0" w:firstLineChars="0"/>
        <w:rPr>
          <w:rFonts w:hint="eastAsia"/>
          <w:color w:val="auto"/>
          <w:highlight w:val="none"/>
          <w:lang w:val="en-US" w:eastAsia="zh-CN"/>
        </w:rPr>
      </w:pPr>
    </w:p>
    <w:p w14:paraId="1956E587">
      <w:pPr>
        <w:pStyle w:val="20"/>
        <w:ind w:left="0" w:leftChars="0" w:firstLine="0" w:firstLineChars="0"/>
        <w:rPr>
          <w:rFonts w:hint="eastAsia"/>
          <w:color w:val="auto"/>
          <w:highlight w:val="none"/>
          <w:lang w:val="en-US" w:eastAsia="zh-CN"/>
        </w:rPr>
      </w:pPr>
    </w:p>
    <w:p w14:paraId="090F6D86">
      <w:pPr>
        <w:pStyle w:val="20"/>
        <w:ind w:left="0" w:leftChars="0" w:firstLine="0" w:firstLineChars="0"/>
        <w:rPr>
          <w:rFonts w:hint="eastAsia"/>
          <w:color w:val="auto"/>
          <w:highlight w:val="none"/>
          <w:lang w:val="en-US" w:eastAsia="zh-CN"/>
        </w:rPr>
      </w:pPr>
    </w:p>
    <w:p w14:paraId="2F7E8028">
      <w:pPr>
        <w:pStyle w:val="20"/>
        <w:ind w:left="0" w:leftChars="0" w:firstLine="0" w:firstLineChars="0"/>
        <w:rPr>
          <w:rFonts w:hint="eastAsia"/>
          <w:color w:val="auto"/>
          <w:highlight w:val="none"/>
          <w:lang w:val="en-US" w:eastAsia="zh-CN"/>
        </w:rPr>
      </w:pPr>
    </w:p>
    <w:p w14:paraId="05BD5C52">
      <w:pPr>
        <w:numPr>
          <w:ilvl w:val="0"/>
          <w:numId w:val="0"/>
        </w:numPr>
        <w:snapToGrid w:val="0"/>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（三）</w:t>
      </w:r>
      <w:r>
        <w:rPr>
          <w:rFonts w:hint="eastAsia" w:ascii="宋体" w:hAnsi="宋体" w:eastAsia="宋体" w:cs="宋体"/>
          <w:b/>
          <w:bCs/>
          <w:color w:val="auto"/>
          <w:kern w:val="2"/>
          <w:sz w:val="32"/>
          <w:szCs w:val="32"/>
          <w:highlight w:val="none"/>
          <w:lang w:val="en-US"/>
        </w:rPr>
        <w:t>履约保证金</w:t>
      </w:r>
    </w:p>
    <w:p w14:paraId="79B00438">
      <w:pPr>
        <w:spacing w:line="360" w:lineRule="auto"/>
        <w:rPr>
          <w:rFonts w:hint="eastAsia" w:ascii="宋体" w:hAnsi="宋体" w:eastAsia="宋体" w:cs="宋体"/>
          <w:color w:val="auto"/>
          <w:highlight w:val="none"/>
        </w:rPr>
      </w:pPr>
    </w:p>
    <w:p w14:paraId="225F9A7E">
      <w:pPr>
        <w:numPr>
          <w:ilvl w:val="0"/>
          <w:numId w:val="8"/>
        </w:num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如采用现金形式担保，格式如下。</w:t>
      </w:r>
    </w:p>
    <w:p w14:paraId="2B1AA6A2">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履约保证金（格式）</w:t>
      </w:r>
    </w:p>
    <w:p w14:paraId="00458FB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（发包人名称）</w:t>
      </w:r>
      <w:r>
        <w:rPr>
          <w:rFonts w:hint="eastAsia" w:ascii="宋体" w:hAnsi="宋体" w:eastAsia="宋体" w:cs="宋体"/>
          <w:color w:val="auto"/>
          <w:sz w:val="24"/>
          <w:szCs w:val="24"/>
          <w:highlight w:val="none"/>
        </w:rPr>
        <w:t>：</w:t>
      </w:r>
    </w:p>
    <w:p w14:paraId="6A62C4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标类（或标段）施工的投标。我方愿意无条件地、不可撤销地就承包人履行与你方订立的合同，向你方提供现金人民币【（大写）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）】元作为担保，以电汇或转账方式缴付至你方指定的银行账户。</w:t>
      </w:r>
    </w:p>
    <w:p w14:paraId="19D90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9F8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59FE1D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同意你方直接在我方提供的用于担保的现金款项中扣收相关赔偿金额，无须你方出具证明或陈述理由。</w:t>
      </w:r>
    </w:p>
    <w:p w14:paraId="2085B142">
      <w:pPr>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2A903B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5.你方在本项目全部工程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 28 天内将履约保证金不计利息全额退还给</w:t>
      </w:r>
      <w:r>
        <w:rPr>
          <w:rFonts w:hint="eastAsia" w:ascii="宋体" w:hAnsi="宋体" w:eastAsia="宋体" w:cs="宋体"/>
          <w:color w:val="auto"/>
          <w:sz w:val="24"/>
          <w:szCs w:val="24"/>
          <w:highlight w:val="none"/>
          <w:lang w:eastAsia="zh-CN"/>
        </w:rPr>
        <w:t>我方</w:t>
      </w:r>
      <w:r>
        <w:rPr>
          <w:rFonts w:hint="eastAsia" w:ascii="宋体" w:hAnsi="宋体" w:eastAsia="宋体" w:cs="宋体"/>
          <w:color w:val="auto"/>
          <w:sz w:val="24"/>
          <w:szCs w:val="24"/>
          <w:highlight w:val="none"/>
        </w:rPr>
        <w:t>，但根据合同约定存在需对承包人扣罚款项的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0F1070D7">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68054CE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1DD3B028">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00D79080">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58C3A93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1D86F0B5">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63D4A9D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日</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 xml:space="preserve"> 年   月   日</w:t>
      </w:r>
    </w:p>
    <w:p w14:paraId="12EA3AD4">
      <w:pPr>
        <w:spacing w:line="360" w:lineRule="auto"/>
        <w:rPr>
          <w:rFonts w:hint="eastAsia" w:ascii="宋体" w:hAnsi="宋体" w:eastAsia="宋体" w:cs="宋体"/>
          <w:b/>
          <w:bCs/>
          <w:color w:val="auto"/>
          <w:sz w:val="24"/>
          <w:szCs w:val="24"/>
          <w:highlight w:val="none"/>
        </w:rPr>
      </w:pPr>
    </w:p>
    <w:p w14:paraId="14DFB0A0">
      <w:pPr>
        <w:spacing w:line="360" w:lineRule="auto"/>
        <w:rPr>
          <w:rFonts w:hint="eastAsia" w:ascii="宋体" w:hAnsi="宋体" w:eastAsia="宋体" w:cs="宋体"/>
          <w:b/>
          <w:bCs/>
          <w:color w:val="auto"/>
          <w:sz w:val="24"/>
          <w:szCs w:val="24"/>
          <w:highlight w:val="none"/>
        </w:rPr>
      </w:pPr>
    </w:p>
    <w:p w14:paraId="5B19F606">
      <w:pPr>
        <w:spacing w:line="360" w:lineRule="auto"/>
        <w:rPr>
          <w:rFonts w:hint="eastAsia" w:ascii="宋体" w:hAnsi="宋体" w:eastAsia="宋体" w:cs="宋体"/>
          <w:b/>
          <w:bCs/>
          <w:color w:val="auto"/>
          <w:sz w:val="24"/>
          <w:szCs w:val="24"/>
          <w:highlight w:val="none"/>
        </w:rPr>
      </w:pPr>
    </w:p>
    <w:p w14:paraId="17FC1ED9">
      <w:pPr>
        <w:spacing w:line="360" w:lineRule="auto"/>
        <w:rPr>
          <w:rFonts w:hint="eastAsia" w:ascii="宋体" w:hAnsi="宋体" w:eastAsia="宋体" w:cs="宋体"/>
          <w:b/>
          <w:bCs/>
          <w:color w:val="auto"/>
          <w:sz w:val="24"/>
          <w:szCs w:val="24"/>
          <w:highlight w:val="none"/>
        </w:rPr>
      </w:pPr>
    </w:p>
    <w:p w14:paraId="30B26D7F">
      <w:pPr>
        <w:pStyle w:val="20"/>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履约保证金银行转账回执</w:t>
      </w:r>
    </w:p>
    <w:p w14:paraId="4DBC5B66">
      <w:pPr>
        <w:pStyle w:val="20"/>
        <w:rPr>
          <w:rFonts w:hint="eastAsia" w:ascii="宋体" w:hAnsi="宋体" w:eastAsia="宋体" w:cs="宋体"/>
          <w:b/>
          <w:bCs/>
          <w:color w:val="auto"/>
          <w:sz w:val="24"/>
          <w:szCs w:val="24"/>
          <w:highlight w:val="none"/>
        </w:rPr>
      </w:pPr>
    </w:p>
    <w:p w14:paraId="0FA4A38E">
      <w:pPr>
        <w:pStyle w:val="20"/>
        <w:rPr>
          <w:rFonts w:hint="eastAsia" w:ascii="宋体" w:hAnsi="宋体" w:eastAsia="宋体" w:cs="宋体"/>
          <w:b/>
          <w:bCs/>
          <w:color w:val="auto"/>
          <w:sz w:val="24"/>
          <w:szCs w:val="24"/>
          <w:highlight w:val="none"/>
        </w:rPr>
      </w:pPr>
    </w:p>
    <w:p w14:paraId="14D0AF14">
      <w:pPr>
        <w:pStyle w:val="20"/>
        <w:rPr>
          <w:rFonts w:hint="eastAsia" w:ascii="宋体" w:hAnsi="宋体" w:eastAsia="宋体" w:cs="宋体"/>
          <w:b/>
          <w:bCs/>
          <w:color w:val="auto"/>
          <w:sz w:val="24"/>
          <w:szCs w:val="24"/>
          <w:highlight w:val="none"/>
        </w:rPr>
      </w:pPr>
    </w:p>
    <w:p w14:paraId="0A5941F5">
      <w:pPr>
        <w:pStyle w:val="20"/>
        <w:rPr>
          <w:rFonts w:hint="eastAsia" w:ascii="宋体" w:hAnsi="宋体" w:eastAsia="宋体" w:cs="宋体"/>
          <w:b/>
          <w:bCs/>
          <w:color w:val="auto"/>
          <w:sz w:val="24"/>
          <w:szCs w:val="24"/>
          <w:highlight w:val="none"/>
        </w:rPr>
      </w:pPr>
    </w:p>
    <w:p w14:paraId="0F63FCD7">
      <w:pPr>
        <w:pStyle w:val="20"/>
        <w:rPr>
          <w:rFonts w:hint="eastAsia" w:ascii="宋体" w:hAnsi="宋体" w:eastAsia="宋体" w:cs="宋体"/>
          <w:b/>
          <w:bCs/>
          <w:color w:val="auto"/>
          <w:sz w:val="24"/>
          <w:szCs w:val="24"/>
          <w:highlight w:val="none"/>
        </w:rPr>
      </w:pPr>
    </w:p>
    <w:p w14:paraId="148C8D9C">
      <w:pPr>
        <w:pStyle w:val="20"/>
        <w:rPr>
          <w:rFonts w:hint="eastAsia" w:ascii="宋体" w:hAnsi="宋体" w:eastAsia="宋体" w:cs="宋体"/>
          <w:b/>
          <w:bCs/>
          <w:color w:val="auto"/>
          <w:sz w:val="24"/>
          <w:szCs w:val="24"/>
          <w:highlight w:val="none"/>
        </w:rPr>
      </w:pPr>
    </w:p>
    <w:p w14:paraId="2EC0DE8D">
      <w:pPr>
        <w:pStyle w:val="20"/>
        <w:rPr>
          <w:rFonts w:hint="eastAsia" w:ascii="宋体" w:hAnsi="宋体" w:eastAsia="宋体" w:cs="宋体"/>
          <w:b/>
          <w:bCs/>
          <w:color w:val="auto"/>
          <w:sz w:val="24"/>
          <w:szCs w:val="24"/>
          <w:highlight w:val="none"/>
        </w:rPr>
      </w:pPr>
    </w:p>
    <w:p w14:paraId="316AF231">
      <w:pPr>
        <w:pStyle w:val="20"/>
        <w:rPr>
          <w:rFonts w:hint="eastAsia" w:ascii="宋体" w:hAnsi="宋体" w:eastAsia="宋体" w:cs="宋体"/>
          <w:b/>
          <w:bCs/>
          <w:color w:val="auto"/>
          <w:sz w:val="24"/>
          <w:szCs w:val="24"/>
          <w:highlight w:val="none"/>
        </w:rPr>
      </w:pPr>
    </w:p>
    <w:p w14:paraId="3891EB20">
      <w:pPr>
        <w:pStyle w:val="20"/>
        <w:rPr>
          <w:rFonts w:hint="eastAsia" w:ascii="宋体" w:hAnsi="宋体" w:eastAsia="宋体" w:cs="宋体"/>
          <w:b/>
          <w:bCs/>
          <w:color w:val="auto"/>
          <w:sz w:val="24"/>
          <w:szCs w:val="24"/>
          <w:highlight w:val="none"/>
        </w:rPr>
      </w:pPr>
    </w:p>
    <w:p w14:paraId="55C6808F">
      <w:pPr>
        <w:pStyle w:val="20"/>
        <w:rPr>
          <w:rFonts w:hint="eastAsia" w:ascii="宋体" w:hAnsi="宋体" w:eastAsia="宋体" w:cs="宋体"/>
          <w:b/>
          <w:bCs/>
          <w:color w:val="auto"/>
          <w:sz w:val="24"/>
          <w:szCs w:val="24"/>
          <w:highlight w:val="none"/>
        </w:rPr>
      </w:pPr>
    </w:p>
    <w:p w14:paraId="6115D0F6">
      <w:pPr>
        <w:pStyle w:val="20"/>
        <w:rPr>
          <w:rFonts w:hint="eastAsia" w:ascii="宋体" w:hAnsi="宋体" w:eastAsia="宋体" w:cs="宋体"/>
          <w:b/>
          <w:bCs/>
          <w:color w:val="auto"/>
          <w:sz w:val="24"/>
          <w:szCs w:val="24"/>
          <w:highlight w:val="none"/>
        </w:rPr>
      </w:pPr>
    </w:p>
    <w:p w14:paraId="6C735839">
      <w:pPr>
        <w:pStyle w:val="20"/>
        <w:rPr>
          <w:rFonts w:hint="eastAsia" w:ascii="宋体" w:hAnsi="宋体" w:eastAsia="宋体" w:cs="宋体"/>
          <w:b/>
          <w:bCs/>
          <w:color w:val="auto"/>
          <w:sz w:val="24"/>
          <w:szCs w:val="24"/>
          <w:highlight w:val="none"/>
        </w:rPr>
      </w:pPr>
    </w:p>
    <w:p w14:paraId="2B9AB7CE">
      <w:pPr>
        <w:pStyle w:val="20"/>
        <w:rPr>
          <w:rFonts w:hint="eastAsia" w:ascii="宋体" w:hAnsi="宋体" w:eastAsia="宋体" w:cs="宋体"/>
          <w:b/>
          <w:bCs/>
          <w:color w:val="auto"/>
          <w:sz w:val="24"/>
          <w:szCs w:val="24"/>
          <w:highlight w:val="none"/>
        </w:rPr>
      </w:pPr>
    </w:p>
    <w:p w14:paraId="19AEC973">
      <w:pPr>
        <w:pStyle w:val="20"/>
        <w:rPr>
          <w:rFonts w:hint="eastAsia" w:ascii="宋体" w:hAnsi="宋体" w:eastAsia="宋体" w:cs="宋体"/>
          <w:b/>
          <w:bCs/>
          <w:color w:val="auto"/>
          <w:sz w:val="24"/>
          <w:szCs w:val="24"/>
          <w:highlight w:val="none"/>
        </w:rPr>
      </w:pPr>
    </w:p>
    <w:p w14:paraId="17B2819C">
      <w:pPr>
        <w:pStyle w:val="20"/>
        <w:rPr>
          <w:rFonts w:hint="eastAsia" w:ascii="宋体" w:hAnsi="宋体" w:eastAsia="宋体" w:cs="宋体"/>
          <w:b/>
          <w:bCs/>
          <w:color w:val="auto"/>
          <w:sz w:val="24"/>
          <w:szCs w:val="24"/>
          <w:highlight w:val="none"/>
        </w:rPr>
      </w:pPr>
    </w:p>
    <w:p w14:paraId="35FFD98D">
      <w:pPr>
        <w:pStyle w:val="20"/>
        <w:rPr>
          <w:rFonts w:hint="eastAsia" w:ascii="宋体" w:hAnsi="宋体" w:eastAsia="宋体" w:cs="宋体"/>
          <w:b/>
          <w:bCs/>
          <w:color w:val="auto"/>
          <w:sz w:val="24"/>
          <w:szCs w:val="24"/>
          <w:highlight w:val="none"/>
        </w:rPr>
      </w:pPr>
    </w:p>
    <w:p w14:paraId="62913DF7">
      <w:pPr>
        <w:pStyle w:val="20"/>
        <w:rPr>
          <w:rFonts w:hint="eastAsia" w:ascii="宋体" w:hAnsi="宋体" w:eastAsia="宋体" w:cs="宋体"/>
          <w:b/>
          <w:bCs/>
          <w:color w:val="auto"/>
          <w:sz w:val="24"/>
          <w:szCs w:val="24"/>
          <w:highlight w:val="none"/>
        </w:rPr>
      </w:pPr>
    </w:p>
    <w:p w14:paraId="4CB8369F">
      <w:pPr>
        <w:pStyle w:val="20"/>
        <w:rPr>
          <w:rFonts w:hint="eastAsia" w:ascii="宋体" w:hAnsi="宋体" w:eastAsia="宋体" w:cs="宋体"/>
          <w:b/>
          <w:bCs/>
          <w:color w:val="auto"/>
          <w:sz w:val="24"/>
          <w:szCs w:val="24"/>
          <w:highlight w:val="none"/>
        </w:rPr>
      </w:pPr>
    </w:p>
    <w:p w14:paraId="507EF2BD">
      <w:pPr>
        <w:pStyle w:val="20"/>
        <w:rPr>
          <w:rFonts w:hint="eastAsia" w:ascii="宋体" w:hAnsi="宋体" w:eastAsia="宋体" w:cs="宋体"/>
          <w:b/>
          <w:bCs/>
          <w:color w:val="auto"/>
          <w:sz w:val="24"/>
          <w:szCs w:val="24"/>
          <w:highlight w:val="none"/>
        </w:rPr>
      </w:pPr>
    </w:p>
    <w:p w14:paraId="470465C9">
      <w:pPr>
        <w:pStyle w:val="20"/>
        <w:rPr>
          <w:rFonts w:hint="eastAsia" w:ascii="宋体" w:hAnsi="宋体" w:eastAsia="宋体" w:cs="宋体"/>
          <w:b/>
          <w:bCs/>
          <w:color w:val="auto"/>
          <w:sz w:val="24"/>
          <w:szCs w:val="24"/>
          <w:highlight w:val="none"/>
        </w:rPr>
      </w:pPr>
    </w:p>
    <w:p w14:paraId="760042ED">
      <w:pPr>
        <w:pStyle w:val="20"/>
        <w:rPr>
          <w:rFonts w:hint="eastAsia" w:ascii="宋体" w:hAnsi="宋体" w:eastAsia="宋体" w:cs="宋体"/>
          <w:b/>
          <w:bCs/>
          <w:color w:val="auto"/>
          <w:sz w:val="24"/>
          <w:szCs w:val="24"/>
          <w:highlight w:val="none"/>
        </w:rPr>
      </w:pPr>
    </w:p>
    <w:p w14:paraId="0B558ACC">
      <w:pPr>
        <w:pStyle w:val="20"/>
        <w:rPr>
          <w:rFonts w:hint="eastAsia" w:ascii="宋体" w:hAnsi="宋体" w:eastAsia="宋体" w:cs="宋体"/>
          <w:b/>
          <w:bCs/>
          <w:color w:val="auto"/>
          <w:sz w:val="24"/>
          <w:szCs w:val="24"/>
          <w:highlight w:val="none"/>
        </w:rPr>
      </w:pPr>
    </w:p>
    <w:p w14:paraId="20CA68BF">
      <w:pPr>
        <w:pStyle w:val="20"/>
        <w:rPr>
          <w:rFonts w:hint="eastAsia" w:ascii="宋体" w:hAnsi="宋体" w:eastAsia="宋体" w:cs="宋体"/>
          <w:b/>
          <w:bCs/>
          <w:color w:val="auto"/>
          <w:sz w:val="24"/>
          <w:szCs w:val="24"/>
          <w:highlight w:val="none"/>
        </w:rPr>
      </w:pPr>
    </w:p>
    <w:p w14:paraId="38BF314C">
      <w:pPr>
        <w:pStyle w:val="20"/>
        <w:rPr>
          <w:rFonts w:hint="eastAsia" w:ascii="宋体" w:hAnsi="宋体" w:eastAsia="宋体" w:cs="宋体"/>
          <w:b/>
          <w:bCs/>
          <w:color w:val="auto"/>
          <w:sz w:val="24"/>
          <w:szCs w:val="24"/>
          <w:highlight w:val="none"/>
        </w:rPr>
      </w:pPr>
    </w:p>
    <w:p w14:paraId="6712B583">
      <w:pPr>
        <w:pStyle w:val="20"/>
        <w:rPr>
          <w:rFonts w:hint="eastAsia" w:ascii="宋体" w:hAnsi="宋体" w:eastAsia="宋体" w:cs="宋体"/>
          <w:b/>
          <w:bCs/>
          <w:color w:val="auto"/>
          <w:sz w:val="24"/>
          <w:szCs w:val="24"/>
          <w:highlight w:val="none"/>
        </w:rPr>
      </w:pPr>
    </w:p>
    <w:p w14:paraId="31023ED0">
      <w:pPr>
        <w:pStyle w:val="20"/>
        <w:rPr>
          <w:rFonts w:hint="eastAsia" w:ascii="宋体" w:hAnsi="宋体" w:eastAsia="宋体" w:cs="宋体"/>
          <w:b/>
          <w:bCs/>
          <w:color w:val="auto"/>
          <w:sz w:val="24"/>
          <w:szCs w:val="24"/>
          <w:highlight w:val="none"/>
        </w:rPr>
      </w:pPr>
    </w:p>
    <w:p w14:paraId="5271C71A">
      <w:pPr>
        <w:pStyle w:val="20"/>
        <w:rPr>
          <w:rFonts w:hint="eastAsia" w:ascii="宋体" w:hAnsi="宋体" w:eastAsia="宋体" w:cs="宋体"/>
          <w:b/>
          <w:bCs/>
          <w:color w:val="auto"/>
          <w:sz w:val="24"/>
          <w:szCs w:val="24"/>
          <w:highlight w:val="none"/>
        </w:rPr>
      </w:pPr>
    </w:p>
    <w:p w14:paraId="578872E6">
      <w:pPr>
        <w:pStyle w:val="20"/>
        <w:rPr>
          <w:rFonts w:hint="eastAsia" w:ascii="宋体" w:hAnsi="宋体" w:eastAsia="宋体" w:cs="宋体"/>
          <w:b/>
          <w:bCs/>
          <w:color w:val="auto"/>
          <w:sz w:val="24"/>
          <w:szCs w:val="24"/>
          <w:highlight w:val="none"/>
        </w:rPr>
      </w:pPr>
    </w:p>
    <w:p w14:paraId="794F2298">
      <w:pPr>
        <w:pStyle w:val="20"/>
        <w:rPr>
          <w:rFonts w:hint="eastAsia" w:ascii="宋体" w:hAnsi="宋体" w:eastAsia="宋体" w:cs="宋体"/>
          <w:b/>
          <w:bCs/>
          <w:color w:val="auto"/>
          <w:sz w:val="24"/>
          <w:szCs w:val="24"/>
          <w:highlight w:val="none"/>
        </w:rPr>
      </w:pPr>
    </w:p>
    <w:p w14:paraId="5E3411B2">
      <w:pPr>
        <w:pStyle w:val="20"/>
        <w:rPr>
          <w:rFonts w:hint="eastAsia" w:ascii="宋体" w:hAnsi="宋体" w:eastAsia="宋体" w:cs="宋体"/>
          <w:b/>
          <w:bCs/>
          <w:color w:val="auto"/>
          <w:sz w:val="24"/>
          <w:szCs w:val="24"/>
          <w:highlight w:val="none"/>
        </w:rPr>
      </w:pPr>
    </w:p>
    <w:p w14:paraId="5E2077D8">
      <w:pPr>
        <w:pStyle w:val="20"/>
        <w:rPr>
          <w:rFonts w:hint="eastAsia" w:ascii="宋体" w:hAnsi="宋体" w:eastAsia="宋体" w:cs="宋体"/>
          <w:b/>
          <w:bCs/>
          <w:color w:val="auto"/>
          <w:sz w:val="24"/>
          <w:szCs w:val="24"/>
          <w:highlight w:val="none"/>
        </w:rPr>
      </w:pPr>
    </w:p>
    <w:p w14:paraId="60A3AC66">
      <w:pPr>
        <w:pStyle w:val="20"/>
        <w:rPr>
          <w:rFonts w:hint="eastAsia" w:ascii="宋体" w:hAnsi="宋体" w:eastAsia="宋体" w:cs="宋体"/>
          <w:b/>
          <w:bCs/>
          <w:color w:val="auto"/>
          <w:sz w:val="24"/>
          <w:szCs w:val="24"/>
          <w:highlight w:val="none"/>
        </w:rPr>
      </w:pPr>
    </w:p>
    <w:p w14:paraId="10FD6E86">
      <w:pPr>
        <w:pStyle w:val="20"/>
        <w:rPr>
          <w:rFonts w:hint="eastAsia" w:ascii="宋体" w:hAnsi="宋体" w:eastAsia="宋体" w:cs="宋体"/>
          <w:b/>
          <w:bCs/>
          <w:color w:val="auto"/>
          <w:sz w:val="24"/>
          <w:szCs w:val="24"/>
          <w:highlight w:val="none"/>
        </w:rPr>
      </w:pPr>
    </w:p>
    <w:p w14:paraId="2CA565D2">
      <w:pPr>
        <w:pStyle w:val="20"/>
        <w:rPr>
          <w:rFonts w:hint="eastAsia" w:ascii="宋体" w:hAnsi="宋体" w:eastAsia="宋体" w:cs="宋体"/>
          <w:b/>
          <w:bCs/>
          <w:color w:val="auto"/>
          <w:sz w:val="24"/>
          <w:szCs w:val="24"/>
          <w:highlight w:val="none"/>
        </w:rPr>
      </w:pPr>
    </w:p>
    <w:p w14:paraId="576418CA">
      <w:pPr>
        <w:pStyle w:val="20"/>
        <w:rPr>
          <w:rFonts w:hint="eastAsia" w:ascii="宋体" w:hAnsi="宋体" w:eastAsia="宋体" w:cs="宋体"/>
          <w:b/>
          <w:bCs/>
          <w:color w:val="auto"/>
          <w:sz w:val="24"/>
          <w:szCs w:val="24"/>
          <w:highlight w:val="none"/>
        </w:rPr>
      </w:pPr>
    </w:p>
    <w:p w14:paraId="62823C62">
      <w:pPr>
        <w:pStyle w:val="20"/>
        <w:rPr>
          <w:rFonts w:hint="eastAsia" w:ascii="宋体" w:hAnsi="宋体" w:eastAsia="宋体" w:cs="宋体"/>
          <w:b/>
          <w:bCs/>
          <w:color w:val="auto"/>
          <w:sz w:val="24"/>
          <w:szCs w:val="24"/>
          <w:highlight w:val="none"/>
        </w:rPr>
      </w:pPr>
    </w:p>
    <w:p w14:paraId="21D149FA">
      <w:pPr>
        <w:pStyle w:val="20"/>
        <w:rPr>
          <w:rFonts w:hint="eastAsia" w:ascii="宋体" w:hAnsi="宋体" w:eastAsia="宋体" w:cs="宋体"/>
          <w:b/>
          <w:bCs/>
          <w:color w:val="auto"/>
          <w:sz w:val="24"/>
          <w:szCs w:val="24"/>
          <w:highlight w:val="none"/>
        </w:rPr>
      </w:pPr>
    </w:p>
    <w:p w14:paraId="4BAD1185">
      <w:pPr>
        <w:pStyle w:val="20"/>
        <w:rPr>
          <w:rFonts w:hint="eastAsia" w:ascii="宋体" w:hAnsi="宋体" w:eastAsia="宋体" w:cs="宋体"/>
          <w:b/>
          <w:bCs/>
          <w:color w:val="auto"/>
          <w:sz w:val="24"/>
          <w:szCs w:val="24"/>
          <w:highlight w:val="none"/>
        </w:rPr>
      </w:pPr>
    </w:p>
    <w:p w14:paraId="2D90CB87">
      <w:pPr>
        <w:pStyle w:val="20"/>
        <w:rPr>
          <w:rFonts w:hint="eastAsia" w:ascii="宋体" w:hAnsi="宋体" w:eastAsia="宋体" w:cs="宋体"/>
          <w:b/>
          <w:bCs/>
          <w:color w:val="auto"/>
          <w:sz w:val="24"/>
          <w:szCs w:val="24"/>
          <w:highlight w:val="none"/>
        </w:rPr>
      </w:pPr>
    </w:p>
    <w:p w14:paraId="339BD32D">
      <w:pPr>
        <w:pStyle w:val="20"/>
        <w:rPr>
          <w:rFonts w:hint="eastAsia" w:ascii="宋体" w:hAnsi="宋体" w:eastAsia="宋体" w:cs="宋体"/>
          <w:b/>
          <w:bCs/>
          <w:color w:val="auto"/>
          <w:sz w:val="24"/>
          <w:szCs w:val="24"/>
          <w:highlight w:val="none"/>
        </w:rPr>
      </w:pPr>
    </w:p>
    <w:p w14:paraId="452B9429">
      <w:pPr>
        <w:pStyle w:val="20"/>
        <w:rPr>
          <w:rFonts w:hint="eastAsia" w:ascii="宋体" w:hAnsi="宋体" w:eastAsia="宋体" w:cs="宋体"/>
          <w:b/>
          <w:bCs/>
          <w:color w:val="auto"/>
          <w:sz w:val="24"/>
          <w:szCs w:val="24"/>
          <w:highlight w:val="none"/>
        </w:rPr>
      </w:pPr>
    </w:p>
    <w:p w14:paraId="3E0EC6F6">
      <w:pPr>
        <w:pStyle w:val="20"/>
        <w:rPr>
          <w:rFonts w:hint="eastAsia" w:ascii="宋体" w:hAnsi="宋体" w:eastAsia="宋体" w:cs="宋体"/>
          <w:b/>
          <w:bCs/>
          <w:color w:val="auto"/>
          <w:sz w:val="24"/>
          <w:szCs w:val="24"/>
          <w:highlight w:val="none"/>
        </w:rPr>
      </w:pPr>
    </w:p>
    <w:p w14:paraId="3A464B85">
      <w:pPr>
        <w:pStyle w:val="20"/>
        <w:rPr>
          <w:rFonts w:hint="eastAsia" w:ascii="宋体" w:hAnsi="宋体" w:eastAsia="宋体" w:cs="宋体"/>
          <w:b/>
          <w:bCs/>
          <w:color w:val="auto"/>
          <w:sz w:val="24"/>
          <w:szCs w:val="24"/>
          <w:highlight w:val="none"/>
        </w:rPr>
      </w:pPr>
    </w:p>
    <w:p w14:paraId="069E1056">
      <w:pPr>
        <w:pStyle w:val="20"/>
        <w:rPr>
          <w:rFonts w:hint="eastAsia" w:ascii="宋体" w:hAnsi="宋体" w:eastAsia="宋体" w:cs="宋体"/>
          <w:b/>
          <w:bCs/>
          <w:color w:val="auto"/>
          <w:sz w:val="24"/>
          <w:szCs w:val="24"/>
          <w:highlight w:val="none"/>
        </w:rPr>
      </w:pPr>
    </w:p>
    <w:p w14:paraId="5CA2612D">
      <w:pPr>
        <w:pStyle w:val="20"/>
        <w:rPr>
          <w:rFonts w:hint="eastAsia" w:ascii="宋体" w:hAnsi="宋体" w:eastAsia="宋体" w:cs="宋体"/>
          <w:b/>
          <w:bCs/>
          <w:color w:val="auto"/>
          <w:sz w:val="24"/>
          <w:szCs w:val="24"/>
          <w:highlight w:val="none"/>
        </w:rPr>
      </w:pPr>
    </w:p>
    <w:p w14:paraId="572637B1">
      <w:pPr>
        <w:pStyle w:val="20"/>
        <w:rPr>
          <w:rFonts w:hint="eastAsia" w:ascii="宋体" w:hAnsi="宋体" w:eastAsia="宋体" w:cs="宋体"/>
          <w:b/>
          <w:bCs/>
          <w:color w:val="auto"/>
          <w:sz w:val="24"/>
          <w:szCs w:val="24"/>
          <w:highlight w:val="none"/>
        </w:rPr>
      </w:pPr>
    </w:p>
    <w:p w14:paraId="0C3A3E66">
      <w:pPr>
        <w:numPr>
          <w:ilvl w:val="-1"/>
          <w:numId w:val="0"/>
        </w:numP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如采用银行保函，格式如下。</w:t>
      </w:r>
    </w:p>
    <w:p w14:paraId="45EB8288">
      <w:pPr>
        <w:spacing w:line="36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履约保证金</w:t>
      </w:r>
      <w:r>
        <w:rPr>
          <w:rFonts w:hint="eastAsia" w:ascii="宋体" w:hAnsi="宋体" w:eastAsia="宋体" w:cs="宋体"/>
          <w:color w:val="auto"/>
          <w:sz w:val="24"/>
          <w:szCs w:val="24"/>
          <w:highlight w:val="none"/>
          <w:lang w:eastAsia="zh-CN"/>
        </w:rPr>
        <w:t>（格式）</w:t>
      </w:r>
    </w:p>
    <w:p w14:paraId="0F721A20">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w:t>
      </w:r>
      <w:r>
        <w:rPr>
          <w:rFonts w:hint="eastAsia" w:ascii="宋体" w:hAnsi="宋体" w:eastAsia="宋体" w:cs="宋体"/>
          <w:color w:val="auto"/>
          <w:sz w:val="24"/>
          <w:szCs w:val="24"/>
          <w:highlight w:val="none"/>
        </w:rPr>
        <w:t>：</w:t>
      </w:r>
    </w:p>
    <w:p w14:paraId="68BAFE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lang w:eastAsia="zh-CN"/>
        </w:rPr>
        <w:t>标类（或标段）</w:t>
      </w:r>
      <w:r>
        <w:rPr>
          <w:rFonts w:hint="eastAsia" w:ascii="宋体" w:hAnsi="宋体" w:eastAsia="宋体" w:cs="宋体"/>
          <w:color w:val="auto"/>
          <w:sz w:val="24"/>
          <w:szCs w:val="24"/>
          <w:highlight w:val="none"/>
        </w:rPr>
        <w:t>施工的投标。我方愿意无条件地、不可撤销地就承包人履行与你方订立的合同，向你方提供担保。</w:t>
      </w:r>
    </w:p>
    <w:p w14:paraId="1D3EED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9E81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161C90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 7 日内无条件支付，无须你方出具证明或陈述理由。</w:t>
      </w:r>
    </w:p>
    <w:p w14:paraId="0E6E1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52D8A809">
      <w:pPr>
        <w:spacing w:line="360" w:lineRule="auto"/>
        <w:ind w:firstLine="0" w:firstLineChars="0"/>
        <w:rPr>
          <w:rFonts w:hint="eastAsia" w:ascii="宋体" w:hAnsi="宋体" w:eastAsia="宋体" w:cs="宋体"/>
          <w:color w:val="auto"/>
          <w:sz w:val="24"/>
          <w:szCs w:val="24"/>
          <w:highlight w:val="none"/>
        </w:rPr>
      </w:pPr>
    </w:p>
    <w:p w14:paraId="2099E514">
      <w:pPr>
        <w:spacing w:line="360" w:lineRule="auto"/>
        <w:ind w:firstLine="0" w:firstLineChars="0"/>
        <w:rPr>
          <w:rFonts w:hint="eastAsia" w:ascii="宋体" w:hAnsi="宋体" w:eastAsia="宋体" w:cs="宋体"/>
          <w:color w:val="auto"/>
          <w:sz w:val="24"/>
          <w:szCs w:val="24"/>
          <w:highlight w:val="none"/>
        </w:rPr>
      </w:pPr>
    </w:p>
    <w:p w14:paraId="7FD99DD9">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61624343">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26D00DE2">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57A01514">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1482FDFE">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62E8F5F1">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1E7999D1">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期：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7105043">
      <w:pPr>
        <w:ind w:left="0" w:leftChars="0" w:firstLine="0" w:firstLineChars="0"/>
        <w:rPr>
          <w:rFonts w:hint="eastAsia" w:ascii="宋体" w:hAnsi="宋体" w:eastAsia="宋体" w:cs="宋体"/>
          <w:color w:val="auto"/>
          <w:highlight w:val="none"/>
        </w:rPr>
      </w:pPr>
    </w:p>
    <w:p w14:paraId="50A48E64">
      <w:pPr>
        <w:pStyle w:val="20"/>
        <w:numPr>
          <w:ilvl w:val="0"/>
          <w:numId w:val="0"/>
        </w:numPr>
        <w:rPr>
          <w:rFonts w:hint="eastAsia"/>
          <w:color w:val="auto"/>
          <w:highlight w:val="none"/>
          <w:lang w:val="en-US"/>
        </w:rPr>
      </w:pPr>
      <w:r>
        <w:rPr>
          <w:rFonts w:hint="eastAsia" w:ascii="宋体" w:hAnsi="宋体" w:eastAsia="宋体" w:cs="宋体"/>
          <w:color w:val="auto"/>
          <w:highlight w:val="none"/>
        </w:rPr>
        <w:br w:type="page"/>
      </w:r>
    </w:p>
    <w:p w14:paraId="44BAEA8A">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（四）水运工程</w:t>
      </w:r>
      <w:r>
        <w:rPr>
          <w:rFonts w:hint="eastAsia" w:ascii="宋体" w:hAnsi="宋体" w:eastAsia="宋体" w:cs="宋体"/>
          <w:b/>
          <w:bCs/>
          <w:color w:val="auto"/>
          <w:kern w:val="2"/>
          <w:sz w:val="32"/>
          <w:szCs w:val="32"/>
          <w:highlight w:val="none"/>
          <w:lang w:val="en-US"/>
        </w:rPr>
        <w:t>建设项目资金监管（托管）协议</w:t>
      </w:r>
    </w:p>
    <w:p w14:paraId="1B6C6DB2">
      <w:pPr>
        <w:tabs>
          <w:tab w:val="left" w:pos="0"/>
        </w:tabs>
        <w:spacing w:line="360" w:lineRule="auto"/>
        <w:ind w:right="21" w:rightChars="10"/>
        <w:jc w:val="center"/>
        <w:rPr>
          <w:rFonts w:hint="eastAsia" w:ascii="宋体" w:hAnsi="宋体" w:eastAsia="宋体" w:cs="宋体"/>
          <w:color w:val="auto"/>
          <w:kern w:val="2"/>
          <w:highlight w:val="none"/>
        </w:rPr>
      </w:pPr>
      <w:r>
        <w:rPr>
          <w:rFonts w:hint="eastAsia" w:ascii="宋体" w:hAnsi="宋体" w:eastAsia="宋体" w:cs="宋体"/>
          <w:color w:val="auto"/>
          <w:highlight w:val="none"/>
          <w:lang w:val="en-US" w:eastAsia="zh-CN"/>
        </w:rPr>
        <w:t xml:space="preserve">                                               </w:t>
      </w:r>
      <w:bookmarkStart w:id="215" w:name="_Toc16538_WPSOffice_Level1"/>
      <w:bookmarkStart w:id="216" w:name="_Toc19864_WPSOffice_Level1"/>
      <w:r>
        <w:rPr>
          <w:rFonts w:hint="eastAsia" w:ascii="宋体" w:hAnsi="宋体" w:eastAsia="宋体" w:cs="宋体"/>
          <w:color w:val="auto"/>
          <w:highlight w:val="none"/>
        </w:rPr>
        <w:t>协议编号：</w:t>
      </w:r>
      <w:bookmarkEnd w:id="215"/>
      <w:bookmarkEnd w:id="216"/>
    </w:p>
    <w:p w14:paraId="2DB2AE61">
      <w:pPr>
        <w:spacing w:line="360" w:lineRule="auto"/>
        <w:ind w:firstLine="540" w:firstLineChars="225"/>
        <w:textAlignment w:val="baseline"/>
        <w:rPr>
          <w:rFonts w:hint="eastAsia" w:ascii="宋体" w:hAnsi="宋体" w:eastAsia="宋体" w:cs="宋体"/>
          <w:color w:val="auto"/>
          <w:sz w:val="24"/>
          <w:szCs w:val="24"/>
          <w:highlight w:val="none"/>
        </w:rPr>
      </w:pPr>
    </w:p>
    <w:p w14:paraId="176C9E9C">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甲方（发包人）：</w:t>
      </w:r>
      <w:r>
        <w:rPr>
          <w:rFonts w:hint="eastAsia" w:ascii="宋体" w:hAnsi="宋体" w:eastAsia="宋体" w:cs="宋体"/>
          <w:b/>
          <w:bCs/>
          <w:color w:val="auto"/>
          <w:sz w:val="24"/>
          <w:szCs w:val="24"/>
          <w:highlight w:val="none"/>
          <w:lang w:eastAsia="zh-CN"/>
        </w:rPr>
        <w:t>广东省北江航道开发投资有限公司</w:t>
      </w:r>
    </w:p>
    <w:p w14:paraId="2EC22CE3">
      <w:pPr>
        <w:spacing w:line="360" w:lineRule="auto"/>
        <w:textAlignment w:val="baseline"/>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住所（地址）：</w:t>
      </w:r>
      <w:r>
        <w:rPr>
          <w:rFonts w:hint="eastAsia" w:ascii="宋体" w:hAnsi="宋体" w:eastAsia="宋体" w:cs="宋体"/>
          <w:b/>
          <w:bCs/>
          <w:color w:val="auto"/>
          <w:sz w:val="24"/>
          <w:szCs w:val="24"/>
          <w:highlight w:val="none"/>
          <w:lang w:eastAsia="zh-CN"/>
        </w:rPr>
        <w:t>广州市越秀区八旗二马路</w:t>
      </w:r>
      <w:r>
        <w:rPr>
          <w:rFonts w:hint="eastAsia" w:ascii="宋体" w:hAnsi="宋体" w:eastAsia="宋体" w:cs="宋体"/>
          <w:b/>
          <w:bCs/>
          <w:color w:val="auto"/>
          <w:sz w:val="24"/>
          <w:szCs w:val="24"/>
          <w:highlight w:val="none"/>
          <w:lang w:val="en-US" w:eastAsia="zh-CN"/>
        </w:rPr>
        <w:t>48号航运大厦11楼</w:t>
      </w:r>
    </w:p>
    <w:p w14:paraId="332823EA">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传真：</w:t>
      </w:r>
    </w:p>
    <w:p w14:paraId="68050793">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法定代表人/负责人：</w:t>
      </w:r>
    </w:p>
    <w:p w14:paraId="0CDFA130">
      <w:pPr>
        <w:spacing w:line="360" w:lineRule="auto"/>
        <w:textAlignment w:val="baseline"/>
        <w:rPr>
          <w:rFonts w:hint="eastAsia" w:ascii="宋体" w:hAnsi="宋体" w:eastAsia="宋体" w:cs="宋体"/>
          <w:b/>
          <w:bCs/>
          <w:color w:val="auto"/>
          <w:sz w:val="24"/>
          <w:szCs w:val="24"/>
          <w:highlight w:val="none"/>
        </w:rPr>
      </w:pPr>
    </w:p>
    <w:p w14:paraId="63E81F63">
      <w:pPr>
        <w:spacing w:line="360" w:lineRule="auto"/>
        <w:textAlignment w:val="baseline"/>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乙方（承包人）：</w:t>
      </w:r>
      <w:r>
        <w:rPr>
          <w:rFonts w:hint="eastAsia" w:ascii="宋体" w:hAnsi="宋体" w:eastAsia="宋体" w:cs="宋体"/>
          <w:b/>
          <w:bCs/>
          <w:color w:val="auto"/>
          <w:sz w:val="24"/>
          <w:szCs w:val="24"/>
          <w:highlight w:val="none"/>
          <w:lang w:val="en-US" w:eastAsia="zh-CN"/>
        </w:rPr>
        <w:t xml:space="preserve">              </w:t>
      </w:r>
    </w:p>
    <w:p w14:paraId="02AB4956">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0CA1C2F5">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05D05CEF">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法定代表人/负责人：</w:t>
      </w:r>
    </w:p>
    <w:p w14:paraId="5B73269E">
      <w:pPr>
        <w:pStyle w:val="20"/>
        <w:ind w:firstLine="0" w:firstLineChars="0"/>
        <w:rPr>
          <w:rFonts w:hint="eastAsia" w:ascii="宋体" w:hAnsi="宋体" w:eastAsia="宋体" w:cs="宋体"/>
          <w:b/>
          <w:bCs/>
          <w:color w:val="auto"/>
          <w:sz w:val="24"/>
          <w:szCs w:val="24"/>
          <w:highlight w:val="none"/>
          <w:u w:val="single"/>
        </w:rPr>
      </w:pPr>
    </w:p>
    <w:p w14:paraId="7B65A76C">
      <w:pPr>
        <w:pStyle w:val="20"/>
        <w:rPr>
          <w:rFonts w:hint="eastAsia" w:ascii="宋体" w:hAnsi="宋体" w:eastAsia="宋体" w:cs="宋体"/>
          <w:b/>
          <w:bCs/>
          <w:color w:val="auto"/>
          <w:sz w:val="24"/>
          <w:szCs w:val="24"/>
          <w:highlight w:val="none"/>
          <w:u w:val="single"/>
        </w:rPr>
      </w:pPr>
    </w:p>
    <w:p w14:paraId="6065E87D">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丙方（监管银行）：</w:t>
      </w:r>
    </w:p>
    <w:p w14:paraId="6DC519FE">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02F5CB80">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7F611B9F">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法定代表人/负责人：</w:t>
      </w:r>
    </w:p>
    <w:p w14:paraId="4FD68126">
      <w:pPr>
        <w:spacing w:line="360" w:lineRule="auto"/>
        <w:ind w:firstLine="540" w:firstLineChars="225"/>
        <w:textAlignment w:val="baseline"/>
        <w:rPr>
          <w:rFonts w:hint="eastAsia" w:ascii="宋体" w:hAnsi="宋体" w:eastAsia="宋体" w:cs="宋体"/>
          <w:color w:val="auto"/>
          <w:sz w:val="24"/>
          <w:szCs w:val="24"/>
          <w:highlight w:val="none"/>
        </w:rPr>
      </w:pPr>
    </w:p>
    <w:p w14:paraId="7BE92F8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根据甲方和乙方于</w:t>
      </w:r>
      <w:r>
        <w:rPr>
          <w:rFonts w:hint="eastAsia" w:ascii="宋体" w:hAnsi="宋体" w:eastAsia="宋体" w:cs="宋体"/>
          <w:color w:val="auto"/>
          <w:sz w:val="24"/>
          <w:szCs w:val="24"/>
          <w:highlight w:val="none"/>
          <w:u w:val="single"/>
          <w:lang w:val="en-US" w:eastAsia="zh-CN"/>
        </w:rPr>
        <w:t xml:space="preserve"> 2025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日签订的《</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》（合同号：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下称“专项合同”），为保证专项合同项下建设项目（下称“建设项目”）按计划完工，确保建设资金专款专用，防止挤占、挪用工程资金和拖欠施工人员工资、材料款、租赁费、分包费等，甲、乙、丙三方本着平等自愿、诚实信用原则，经协商一致，就建设项目资金托管服务有关事宜订立本协议。</w:t>
      </w:r>
    </w:p>
    <w:p w14:paraId="242ED3C2">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7" w:name="_Toc7999_WPSOffice_Level1"/>
      <w:bookmarkStart w:id="218" w:name="_Toc22321_WPSOffice_Level1"/>
      <w:r>
        <w:rPr>
          <w:rFonts w:hint="eastAsia" w:ascii="宋体" w:hAnsi="宋体" w:eastAsia="宋体" w:cs="宋体"/>
          <w:b/>
          <w:color w:val="auto"/>
          <w:sz w:val="24"/>
          <w:szCs w:val="24"/>
          <w:highlight w:val="none"/>
        </w:rPr>
        <w:t>第一条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账户开立</w:t>
      </w:r>
      <w:bookmarkEnd w:id="217"/>
      <w:bookmarkEnd w:id="218"/>
    </w:p>
    <w:p w14:paraId="3BACE6DC">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（一）为便于建设项目资金监管，乙方在丙方经办网点开立唯一的建设项目资金收支人民币活期结算账户（开户行：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仅用于核算甲方支付给乙方的建设项目资金归集和支付。自本协议签订之日起，至建设项目交竣工且结算结清完毕之日止，乙方在建设项目中所有收入和支出均纳入该账户进行结算。乙方应保证账户正常使用，该账户不得使用网上银行。</w:t>
      </w:r>
    </w:p>
    <w:p w14:paraId="2B401BE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（二）乙方委托丙方开立保管建设项目专项资金的专用托管账户（开户行：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）。乙方应在收到建设项目资金起日之内，提供支付凭证，由丙方将资金从乙方活期结算账户转入专用托管账户。</w:t>
      </w:r>
    </w:p>
    <w:p w14:paraId="37951A2C">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9" w:name="_Toc2546_WPSOffice_Level1"/>
      <w:bookmarkStart w:id="220" w:name="_Toc15993_WPSOffice_Level1"/>
      <w:r>
        <w:rPr>
          <w:rFonts w:hint="eastAsia" w:ascii="宋体" w:hAnsi="宋体" w:eastAsia="宋体" w:cs="宋体"/>
          <w:b/>
          <w:color w:val="auto"/>
          <w:sz w:val="24"/>
          <w:szCs w:val="24"/>
          <w:highlight w:val="none"/>
        </w:rPr>
        <w:t>第二条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甲、乙、丙三方共同承诺</w:t>
      </w:r>
      <w:bookmarkEnd w:id="219"/>
      <w:bookmarkEnd w:id="220"/>
    </w:p>
    <w:p w14:paraId="263D4776">
      <w:pPr>
        <w:spacing w:line="360" w:lineRule="auto"/>
        <w:ind w:firstLine="540" w:firstLineChars="225"/>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（一）三方必须严格按照本协议的规定支付、使用和监管建设项目资金，任何单位和个人不得挤占、挪用。</w:t>
      </w:r>
    </w:p>
    <w:p w14:paraId="58D4D903">
      <w:pPr>
        <w:spacing w:line="360" w:lineRule="auto"/>
        <w:ind w:firstLine="540" w:firstLineChars="225"/>
        <w:jc w:val="both"/>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（二）以实时对账、月度对账等约定方式核对账务。</w:t>
      </w:r>
    </w:p>
    <w:p w14:paraId="460DC51B">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1" w:name="_Toc12515_WPSOffice_Level1"/>
      <w:bookmarkStart w:id="222" w:name="_Toc4823_WPSOffice_Level1"/>
      <w:r>
        <w:rPr>
          <w:rFonts w:hint="eastAsia" w:ascii="宋体" w:hAnsi="宋体" w:eastAsia="宋体" w:cs="宋体"/>
          <w:b/>
          <w:color w:val="auto"/>
          <w:sz w:val="24"/>
          <w:szCs w:val="24"/>
          <w:highlight w:val="none"/>
        </w:rPr>
        <w:t>第三条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甲方的权利和义务</w:t>
      </w:r>
      <w:bookmarkEnd w:id="221"/>
      <w:bookmarkEnd w:id="222"/>
    </w:p>
    <w:p w14:paraId="66BF6D3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甲方作为</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，应履行以下职责：</w:t>
      </w:r>
    </w:p>
    <w:p w14:paraId="180BDD6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（一）甲方按工程承包合同约定的支付条款，将建设项目资金支付至乙方在丙方开立的建设项目资金收支专用账户。</w:t>
      </w:r>
    </w:p>
    <w:p w14:paraId="07EF720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（二）甲方只对乙方建设项目资金专用账户的资金使用支出情况进行监管，对乙方申请使用专用账户资金不合理的，有权停止其支出。</w:t>
      </w:r>
    </w:p>
    <w:p w14:paraId="6CD7ED3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当乙方出现挪用建设项目资金、拖欠施工人员工资等情况，甲方有权召见乙方负责人并向乙方发出警告通知，甲方有权暂缓或停止向乙方拨付资金，责成乙方限期予以整改。乙方须按挪用资金金额的10%向甲方支付违约金。</w:t>
      </w:r>
    </w:p>
    <w:p w14:paraId="15A2F07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（四）甲方应向丙方提供建设项目资金使用的相关证明资料，包括但不限于：建设项目专项合同、建设项目整体或年/季/月度资金使用计划、监理方资金报告等。</w:t>
      </w:r>
    </w:p>
    <w:p w14:paraId="1C7A6DE4">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3" w:name="_Toc29639_WPSOffice_Level1"/>
      <w:bookmarkStart w:id="224" w:name="_Toc22052_WPSOffice_Level1"/>
      <w:r>
        <w:rPr>
          <w:rFonts w:hint="eastAsia" w:ascii="宋体" w:hAnsi="宋体" w:eastAsia="宋体" w:cs="宋体"/>
          <w:b/>
          <w:color w:val="auto"/>
          <w:sz w:val="24"/>
          <w:szCs w:val="24"/>
          <w:highlight w:val="none"/>
        </w:rPr>
        <w:t>第四条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乙方的权利和义务</w:t>
      </w:r>
      <w:bookmarkEnd w:id="223"/>
      <w:bookmarkEnd w:id="224"/>
    </w:p>
    <w:p w14:paraId="78E66235">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乙方作为建设项目资金的接收和使用方，应履行以下职责：</w:t>
      </w:r>
    </w:p>
    <w:p w14:paraId="0890F7A0">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（一）乙方在丙方开立建设项目资金收支专用账户，授权甲方和丙方按本协议规定对账户进行监管。</w:t>
      </w:r>
    </w:p>
    <w:p w14:paraId="6162D080">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（二）乙方必须在施工现场设置财务机构，配备财务人员，建立账册，对所承包工程发生的费用进行会计核算，定期向甲方报送资金使用情况表。</w:t>
      </w:r>
    </w:p>
    <w:p w14:paraId="4DA95619">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（三）乙方必须按约定的程序办理工程款支取业务，不得以任何方式和理由挤占、挪用专用账户资金，否则须按挪用资金金额的10%向甲方支付违约金。</w:t>
      </w:r>
    </w:p>
    <w:p w14:paraId="75E965E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（四）乙方应按照专款专用的原则使用托管资金，不得设置任何妨碍丙方履行本协议的事实或法律障碍。接受丙方对托管资金的监督，自行承担其对托管资金运用产生的一切风险。</w:t>
      </w:r>
    </w:p>
    <w:p w14:paraId="41D4E95D">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乙方必须向甲方和丙方编报资金使用计划表及相关费用合同，包括对建设项目的整体资金使用计划和年度/月度资金使用计划。资金使用计划表及相关费用合同由建设项目监理方审核、甲方复核。丙方根据经甲方审核同意的资金使用计划表，在相关要素范围内进行资金支付核查。如本协议履行期间，乙方提出调整资金使用计划的，需重新编报资金使用计划表供甲方审核。</w:t>
      </w:r>
    </w:p>
    <w:p w14:paraId="14C12831">
      <w:pPr>
        <w:spacing w:line="360" w:lineRule="auto"/>
        <w:ind w:firstLine="540" w:firstLineChars="225"/>
        <w:jc w:val="both"/>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（六）申请</w:t>
      </w:r>
      <w:r>
        <w:rPr>
          <w:rFonts w:hint="eastAsia" w:ascii="宋体" w:hAnsi="宋体" w:eastAsia="宋体" w:cs="宋体"/>
          <w:bCs/>
          <w:color w:val="auto"/>
          <w:sz w:val="24"/>
          <w:szCs w:val="24"/>
          <w:highlight w:val="none"/>
        </w:rPr>
        <w:t>资金使用支付时，乙方必须提交工程用款申请，附相关证明资料并确保相关资料真实，该资料内容和收款人范围须包含于甲方向丙方提供的建设项目资金使用证明资料和资金使用计划表中。经监理方审核、甲方现场管理机构审批同意之后，由甲方在《托管资金转出指令》上出具同意资金使用的意见。为确保专款专用，每次《托管资金转出指令》必须由甲方盖章同意后方能生效，乙方才可授权丙方将申请资金通过托管账户直接到账材料、设备、设施、劳务等供应商、租赁方或服务商、分包商，且每次工程用款转出后乙方均需提供银行对账单，由监理方核对、汇总、备查并报备甲方。</w:t>
      </w:r>
    </w:p>
    <w:p w14:paraId="4EF815B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（七）乙方每月首次使用资金时，需提供上月度建设项目施工工人工资发放执行情况（如工资清单等）和银行支付凭证，以确保工人工资全额正常发放。</w:t>
      </w:r>
    </w:p>
    <w:p w14:paraId="604BCB0C">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5" w:name="_Toc203_WPSOffice_Level1"/>
      <w:bookmarkStart w:id="226" w:name="_Toc27291_WPSOffice_Level1"/>
      <w:r>
        <w:rPr>
          <w:rFonts w:hint="eastAsia" w:ascii="宋体" w:hAnsi="宋体" w:eastAsia="宋体" w:cs="宋体"/>
          <w:b/>
          <w:color w:val="auto"/>
          <w:sz w:val="24"/>
          <w:szCs w:val="24"/>
          <w:highlight w:val="none"/>
        </w:rPr>
        <w:t>第五条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丙方的权利和义务</w:t>
      </w:r>
      <w:bookmarkEnd w:id="225"/>
      <w:bookmarkEnd w:id="226"/>
    </w:p>
    <w:p w14:paraId="1D68408C">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丙方作为乙方专业账户的主办银行，应履行以下职责：</w:t>
      </w:r>
    </w:p>
    <w:p w14:paraId="2888055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根据本协议约定托管乙方的建设项目专项资金，履行托管账户开立、安全保管托管资金、监督托管资金支付等职责。做好信息保密工作，做好金融配套服务工作，方便甲方、乙方办理建设项目资金的正常结算业务。</w:t>
      </w:r>
    </w:p>
    <w:p w14:paraId="01A6CC5C">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（二）严格根据本协议约定做好建设项目的资金监管，对有转移、挪用资金嫌疑的大额付款，及时向甲方通报。</w:t>
      </w:r>
    </w:p>
    <w:p w14:paraId="12F9CCF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丙方审核乙方出具的《托管资金转出指令》，在确认支付指令中载明的资金金额、用途和收款人信息在甲方提交的月度资金使用计划和资金使用相关证明资料（如有）约定的范围内（每月第一笔支付指令须附上本月月度资金使用计划），且监理方、甲方现场管理机构出具的书面同意及甲方在支付指令签章同意后，将托管资金转出至收款人账户。丙方仅对乙方出具的授权、支付指令、资金使用计划、其他资金使用证明资料做表面验证，丙方按照支付指令划转托管资金的后果由乙方自行承担。</w:t>
      </w:r>
    </w:p>
    <w:p w14:paraId="58D9582C">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托管期间，丙方将对托管账户中的资金，按照监管银行有关存款管理规定进行计息。如乙方账户发生国家法律政策调整或被有权机关查封、冻结、扣划等情况，致使丙方无法完成资金划转的，丙方有权终止本协议，不承担由此产生的后果或责任。</w:t>
      </w:r>
    </w:p>
    <w:p w14:paraId="0DDE15E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（五）托管账户的对账</w:t>
      </w:r>
    </w:p>
    <w:p w14:paraId="613C5A06">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实时对账。甲方、乙方如需即时了解专用托管账户信息，丙方应及时反馈相关账务信息，并对数据真实性负责。</w:t>
      </w:r>
    </w:p>
    <w:p w14:paraId="10D296C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每月对账。丙方每月负责提供建设项目资金专用托管账户对账单予乙方核对，并对数据真实性负责；乙方须积极配合丙方对账工作，收到对账单核对无误后盖章确认并送回丙方。</w:t>
      </w:r>
    </w:p>
    <w:p w14:paraId="595826C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丙方在账务核对时如发现账务不符，应及时向乙方反映，丙方应积极与乙方配合及时处理有关差错，确保账务准确无误。</w:t>
      </w:r>
    </w:p>
    <w:p w14:paraId="355EA67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（六）托管资金转出时，如为异地交易，丙方根据有关法律法规确定的收费标准收取异地交易手续费。如乙方符合监管银行手续费减免的相关条件，丙方将对异地交易手续费予以减免。</w:t>
      </w:r>
    </w:p>
    <w:p w14:paraId="00AA186C">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7" w:name="_Toc11381_WPSOffice_Level1"/>
      <w:bookmarkStart w:id="228" w:name="_Toc26934_WPSOffice_Level1"/>
      <w:r>
        <w:rPr>
          <w:rFonts w:hint="eastAsia" w:ascii="宋体" w:hAnsi="宋体" w:eastAsia="宋体" w:cs="宋体"/>
          <w:b/>
          <w:color w:val="auto"/>
          <w:sz w:val="24"/>
          <w:szCs w:val="24"/>
          <w:highlight w:val="none"/>
        </w:rPr>
        <w:t>第六条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托管期限及协议终止</w:t>
      </w:r>
      <w:bookmarkEnd w:id="227"/>
      <w:bookmarkEnd w:id="228"/>
    </w:p>
    <w:p w14:paraId="5649C99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期限自本协议生效之日起至工程全部完成结清支付并由甲方出具终止书面指令止。结清前提是乙方完成支付所有应付工程费用并确保不存在挤占、挪用、拖欠任何形式的工程费用情况下，方可申请《协议终止申请书》。经甲、丙方同意后，将人民币活期结算账户中的剩余资金转出至乙方合法账户。同时乙方应提供相关佐证资料给甲、丙方，并确保资料的齐全、完整、真实性。</w:t>
      </w:r>
    </w:p>
    <w:p w14:paraId="79397ED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（二）发生下列情况，本协议终止：</w:t>
      </w:r>
    </w:p>
    <w:p w14:paraId="5B59C967">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29" w:name="_Toc9089_WPSOffice_Level2"/>
      <w:bookmarkStart w:id="230" w:name="_Toc21447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本协议履行完毕。</w:t>
      </w:r>
      <w:bookmarkEnd w:id="229"/>
      <w:bookmarkEnd w:id="230"/>
    </w:p>
    <w:p w14:paraId="632A2465">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31" w:name="_Toc12324_WPSOffice_Level2"/>
      <w:bookmarkStart w:id="232" w:name="_Toc5870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甲、乙、丙三方一致同意协议终止的。</w:t>
      </w:r>
      <w:bookmarkEnd w:id="231"/>
      <w:bookmarkEnd w:id="232"/>
    </w:p>
    <w:p w14:paraId="64D90FB1">
      <w:pPr>
        <w:spacing w:line="360" w:lineRule="auto"/>
        <w:ind w:firstLine="47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（三）本协议终止，丙方有权向甲方、乙方及丙方经办网点发送《协议终止通知书》。丙方经办网点办理托管终止手续并注销托管账户。</w:t>
      </w:r>
    </w:p>
    <w:p w14:paraId="3AD6D941">
      <w:pPr>
        <w:spacing w:line="360" w:lineRule="auto"/>
        <w:ind w:firstLine="541" w:firstLineChars="225"/>
        <w:jc w:val="both"/>
        <w:textAlignment w:val="baseline"/>
        <w:rPr>
          <w:rFonts w:hint="eastAsia" w:ascii="宋体" w:hAnsi="宋体" w:eastAsia="宋体" w:cs="宋体"/>
          <w:b/>
          <w:bCs w:val="0"/>
          <w:color w:val="auto"/>
          <w:sz w:val="24"/>
          <w:szCs w:val="24"/>
          <w:highlight w:val="none"/>
        </w:rPr>
      </w:pPr>
      <w:bookmarkStart w:id="233" w:name="_Toc19138_WPSOffice_Level1"/>
      <w:bookmarkStart w:id="234" w:name="_Toc8018_WPSOffice_Level1"/>
      <w:r>
        <w:rPr>
          <w:rFonts w:hint="eastAsia" w:ascii="宋体" w:hAnsi="宋体" w:eastAsia="宋体" w:cs="宋体"/>
          <w:b/>
          <w:bCs w:val="0"/>
          <w:color w:val="auto"/>
          <w:sz w:val="24"/>
          <w:szCs w:val="24"/>
          <w:highlight w:val="none"/>
        </w:rPr>
        <w:t>第七条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托管资金的拒付</w:t>
      </w:r>
      <w:bookmarkEnd w:id="233"/>
      <w:bookmarkEnd w:id="234"/>
    </w:p>
    <w:p w14:paraId="40E423E9">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具备下列情形之一的，丙方有权拒绝乙方从托管账户划款的请求，由此造成的后果由乙方承担：</w:t>
      </w:r>
    </w:p>
    <w:p w14:paraId="317F5FCB">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（一）《托管资金转出指令》等支付指令中的签章与预留印鉴不符或付款金额超出托管资金余额；</w:t>
      </w:r>
    </w:p>
    <w:p w14:paraId="2B84BCDB">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（二）乙方提交的资料或证明文件不符合法律法规规定和本协议约定；</w:t>
      </w:r>
    </w:p>
    <w:p w14:paraId="0E73E193">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（三）乙方应经监管部门等相关方同意而未出具相关方同意意见或资金用途不符合相关约定或监管要求</w:t>
      </w:r>
      <w:r>
        <w:rPr>
          <w:rFonts w:hint="eastAsia" w:ascii="宋体" w:hAnsi="宋体" w:eastAsia="宋体" w:cs="宋体"/>
          <w:color w:val="auto"/>
          <w:sz w:val="24"/>
          <w:szCs w:val="24"/>
          <w:highlight w:val="none"/>
          <w:lang w:eastAsia="zh-CN"/>
        </w:rPr>
        <w:t>。</w:t>
      </w:r>
    </w:p>
    <w:p w14:paraId="17F3A5A0">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5" w:name="_Toc30052_WPSOffice_Level1"/>
      <w:bookmarkStart w:id="236" w:name="_Toc32688_WPSOffice_Level1"/>
      <w:r>
        <w:rPr>
          <w:rFonts w:hint="eastAsia" w:ascii="宋体" w:hAnsi="宋体" w:eastAsia="宋体" w:cs="宋体"/>
          <w:b/>
          <w:bCs w:val="0"/>
          <w:color w:val="auto"/>
          <w:sz w:val="24"/>
          <w:szCs w:val="24"/>
          <w:highlight w:val="none"/>
        </w:rPr>
        <w:t>第八条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托管资金的退款</w:t>
      </w:r>
      <w:bookmarkEnd w:id="235"/>
      <w:bookmarkEnd w:id="236"/>
    </w:p>
    <w:p w14:paraId="0B87CD7C">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（一）项目建设期间，乙方专用托管账户内的资金原则上不退回至乙方人民币活期结算账户，如因特殊情况确实需要退回的，乙方签发《托管资金退回指令》并应征得甲方和丙方出具同意退回的意见。</w:t>
      </w:r>
    </w:p>
    <w:p w14:paraId="473F3E1C">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（二）建设项目交竣工且结算完毕后，</w:t>
      </w:r>
      <w:r>
        <w:rPr>
          <w:rFonts w:hint="eastAsia" w:ascii="宋体" w:hAnsi="宋体" w:eastAsia="宋体" w:cs="宋体"/>
          <w:bCs w:val="0"/>
          <w:color w:val="auto"/>
          <w:kern w:val="0"/>
          <w:sz w:val="24"/>
          <w:szCs w:val="24"/>
          <w:highlight w:val="none"/>
        </w:rPr>
        <w:t>乙方完成支付所有应付工程费用并确保不存在挤占、挪用、拖欠任何形式的工程费用情况下，方可申请退款。退款申请须经甲方书面同意，</w:t>
      </w:r>
      <w:r>
        <w:rPr>
          <w:rFonts w:hint="eastAsia" w:ascii="宋体" w:hAnsi="宋体" w:eastAsia="宋体" w:cs="宋体"/>
          <w:color w:val="auto"/>
          <w:kern w:val="0"/>
          <w:sz w:val="24"/>
          <w:szCs w:val="24"/>
          <w:highlight w:val="none"/>
        </w:rPr>
        <w:t>乙方</w:t>
      </w:r>
      <w:r>
        <w:rPr>
          <w:rFonts w:hint="eastAsia" w:ascii="宋体" w:hAnsi="宋体" w:eastAsia="宋体" w:cs="宋体"/>
          <w:bCs w:val="0"/>
          <w:color w:val="auto"/>
          <w:kern w:val="0"/>
          <w:sz w:val="24"/>
          <w:szCs w:val="24"/>
          <w:highlight w:val="none"/>
        </w:rPr>
        <w:t>方可</w:t>
      </w:r>
      <w:r>
        <w:rPr>
          <w:rFonts w:hint="eastAsia" w:ascii="宋体" w:hAnsi="宋体" w:eastAsia="宋体" w:cs="宋体"/>
          <w:color w:val="auto"/>
          <w:kern w:val="0"/>
          <w:sz w:val="24"/>
          <w:szCs w:val="24"/>
          <w:highlight w:val="none"/>
        </w:rPr>
        <w:t>持甲方审核同意的书面资料，授权丙方将托管账户中的剩余资金退回至乙方人民币活期结算账户</w:t>
      </w:r>
      <w:r>
        <w:rPr>
          <w:rFonts w:hint="eastAsia" w:ascii="宋体" w:hAnsi="宋体" w:eastAsia="宋体" w:cs="宋体"/>
          <w:bCs w:val="0"/>
          <w:color w:val="auto"/>
          <w:kern w:val="0"/>
          <w:sz w:val="24"/>
          <w:szCs w:val="24"/>
          <w:highlight w:val="none"/>
        </w:rPr>
        <w:t>。丙方应核对相关资料齐全、真实的情况下方可办理托管资金的退款</w:t>
      </w:r>
      <w:r>
        <w:rPr>
          <w:rFonts w:hint="eastAsia" w:ascii="宋体" w:hAnsi="宋体" w:eastAsia="宋体" w:cs="宋体"/>
          <w:color w:val="auto"/>
          <w:kern w:val="0"/>
          <w:sz w:val="24"/>
          <w:szCs w:val="24"/>
          <w:highlight w:val="none"/>
        </w:rPr>
        <w:t>。</w:t>
      </w:r>
    </w:p>
    <w:p w14:paraId="07C41269">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7" w:name="_Toc8043_WPSOffice_Level1"/>
      <w:bookmarkStart w:id="238" w:name="_Toc5719_WPSOffice_Level1"/>
      <w:r>
        <w:rPr>
          <w:rFonts w:hint="eastAsia" w:ascii="宋体" w:hAnsi="宋体" w:eastAsia="宋体" w:cs="宋体"/>
          <w:b/>
          <w:color w:val="auto"/>
          <w:sz w:val="24"/>
          <w:szCs w:val="24"/>
          <w:highlight w:val="none"/>
        </w:rPr>
        <w:t xml:space="preserve">第九条 </w:t>
      </w:r>
      <w:r>
        <w:rPr>
          <w:rFonts w:hint="eastAsia" w:ascii="宋体" w:hAnsi="宋体" w:eastAsia="宋体" w:cs="宋体"/>
          <w:b/>
          <w:bCs w:val="0"/>
          <w:color w:val="auto"/>
          <w:sz w:val="24"/>
          <w:szCs w:val="24"/>
          <w:highlight w:val="none"/>
        </w:rPr>
        <w:t>其他约定</w:t>
      </w:r>
      <w:bookmarkEnd w:id="237"/>
      <w:bookmarkEnd w:id="238"/>
    </w:p>
    <w:p w14:paraId="258198D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（一）与本协议有关的授权和支付指令文书中所使用的印鉴应与预留印鉴保持一致。</w:t>
      </w:r>
    </w:p>
    <w:p w14:paraId="7B29AE0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与本协议有关的《专项资金托管业务申请书》、《托管指令授权书》、《托管资金转出指令》、《托管资金退回指令》、《违约通知书》、《协议继续履行申请书》、《协议终止申请书》、《协议终止通知书》和《交易与专项资金托管报告》等授权和支付指令等文书，为本协议的组成部分。应采用原件递送方式。</w:t>
      </w:r>
    </w:p>
    <w:p w14:paraId="36F3D7CE">
      <w:pPr>
        <w:spacing w:line="360" w:lineRule="auto"/>
        <w:ind w:firstLine="540" w:firstLineChars="225"/>
        <w:jc w:val="both"/>
        <w:textAlignment w:val="baseline"/>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（三）补充条款：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600AF495">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39" w:name="_Toc7249_WPSOffice_Level1"/>
      <w:bookmarkStart w:id="240" w:name="_Toc17212_WPSOffice_Level1"/>
      <w:r>
        <w:rPr>
          <w:rFonts w:hint="eastAsia" w:ascii="宋体" w:hAnsi="宋体" w:eastAsia="宋体" w:cs="宋体"/>
          <w:b/>
          <w:color w:val="auto"/>
          <w:sz w:val="24"/>
          <w:szCs w:val="24"/>
          <w:highlight w:val="none"/>
        </w:rPr>
        <w:t>第十条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争议解决</w:t>
      </w:r>
      <w:bookmarkEnd w:id="239"/>
      <w:bookmarkEnd w:id="240"/>
    </w:p>
    <w:p w14:paraId="7873373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与本协议有关的任何争议，各方应协商解决；协商不成的，按下述第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1 </w:t>
      </w:r>
      <w:r>
        <w:rPr>
          <w:rFonts w:hint="eastAsia" w:ascii="宋体" w:hAnsi="宋体" w:eastAsia="宋体" w:cs="宋体"/>
          <w:color w:val="auto"/>
          <w:sz w:val="24"/>
          <w:szCs w:val="24"/>
          <w:highlight w:val="none"/>
        </w:rPr>
        <w:t>种方式解决：</w:t>
      </w:r>
    </w:p>
    <w:p w14:paraId="1FE0C0E0">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41" w:name="_Toc14415_WPSOffice_Level2"/>
      <w:bookmarkStart w:id="242" w:name="_Toc53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提交广州仲裁委员会依其仲裁规则仲裁解决。</w:t>
      </w:r>
      <w:bookmarkEnd w:id="241"/>
      <w:bookmarkEnd w:id="242"/>
    </w:p>
    <w:p w14:paraId="1E1452B7">
      <w:pPr>
        <w:spacing w:line="360" w:lineRule="auto"/>
        <w:ind w:firstLine="540" w:firstLineChars="225"/>
        <w:jc w:val="both"/>
        <w:textAlignment w:val="baseline"/>
        <w:rPr>
          <w:rFonts w:hint="eastAsia" w:ascii="宋体" w:hAnsi="宋体" w:eastAsia="宋体" w:cs="宋体"/>
          <w:b/>
          <w:color w:val="auto"/>
          <w:sz w:val="24"/>
          <w:szCs w:val="24"/>
          <w:highlight w:val="none"/>
        </w:rPr>
      </w:pPr>
      <w:bookmarkStart w:id="243" w:name="_Toc21000_WPSOffice_Level2"/>
      <w:bookmarkStart w:id="244" w:name="_Toc10843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向人民法院提起诉讼。</w:t>
      </w:r>
      <w:bookmarkEnd w:id="243"/>
      <w:bookmarkEnd w:id="244"/>
    </w:p>
    <w:p w14:paraId="505EA3FB">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45" w:name="_Toc30322_WPSOffice_Level1"/>
      <w:bookmarkStart w:id="246" w:name="_Toc30109_WPSOffice_Level1"/>
      <w:r>
        <w:rPr>
          <w:rFonts w:hint="eastAsia" w:ascii="宋体" w:hAnsi="宋体" w:eastAsia="宋体" w:cs="宋体"/>
          <w:b/>
          <w:color w:val="auto"/>
          <w:sz w:val="24"/>
          <w:szCs w:val="24"/>
          <w:highlight w:val="none"/>
        </w:rPr>
        <w:t>第十一条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协议的效力</w:t>
      </w:r>
      <w:bookmarkEnd w:id="245"/>
      <w:bookmarkEnd w:id="246"/>
    </w:p>
    <w:p w14:paraId="584A83C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本协议自各方签章之日起生效，一式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十 </w:t>
      </w:r>
      <w:r>
        <w:rPr>
          <w:rFonts w:hint="eastAsia" w:ascii="宋体" w:hAnsi="宋体" w:eastAsia="宋体" w:cs="宋体"/>
          <w:color w:val="auto"/>
          <w:sz w:val="24"/>
          <w:szCs w:val="24"/>
          <w:highlight w:val="none"/>
        </w:rPr>
        <w:t>份，其中甲方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二 </w:t>
      </w:r>
      <w:r>
        <w:rPr>
          <w:rFonts w:hint="eastAsia" w:ascii="宋体" w:hAnsi="宋体" w:eastAsia="宋体" w:cs="宋体"/>
          <w:color w:val="auto"/>
          <w:sz w:val="24"/>
          <w:szCs w:val="24"/>
          <w:highlight w:val="none"/>
        </w:rPr>
        <w:t>份，具有同等法律效力。</w:t>
      </w:r>
    </w:p>
    <w:p w14:paraId="4981B41F">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2FDDFD3A">
      <w:pPr>
        <w:pStyle w:val="20"/>
        <w:spacing w:line="360" w:lineRule="auto"/>
        <w:rPr>
          <w:rFonts w:hint="default"/>
          <w:color w:val="auto"/>
          <w:sz w:val="24"/>
          <w:szCs w:val="24"/>
          <w:highlight w:val="none"/>
          <w:lang w:val="en-US" w:eastAsia="zh-CN"/>
        </w:rPr>
        <w:sectPr>
          <w:headerReference r:id="rId7" w:type="default"/>
          <w:footerReference r:id="rId8" w:type="default"/>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pPr>
    </w:p>
    <w:p w14:paraId="52DE3BB0">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（本页无正文，为项目资金监管（托管）协议签署页）</w:t>
      </w:r>
    </w:p>
    <w:p w14:paraId="61F74A8D">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rPr>
      </w:pPr>
    </w:p>
    <w:p w14:paraId="4889777D">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甲方（签章）：</w:t>
      </w:r>
      <w:r>
        <w:rPr>
          <w:rFonts w:hint="eastAsia" w:ascii="宋体" w:hAnsi="宋体" w:eastAsia="宋体" w:cs="宋体"/>
          <w:b/>
          <w:bCs/>
          <w:color w:val="auto"/>
          <w:sz w:val="24"/>
          <w:szCs w:val="24"/>
          <w:highlight w:val="none"/>
          <w:lang w:eastAsia="zh-CN"/>
        </w:rPr>
        <w:t>广东省北江航道开发投资有限公司</w:t>
      </w:r>
    </w:p>
    <w:p w14:paraId="7E97371A">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77C83C7E">
      <w:pPr>
        <w:spacing w:line="480" w:lineRule="auto"/>
        <w:ind w:firstLine="0" w:firstLineChars="0"/>
        <w:jc w:val="both"/>
        <w:textAlignment w:val="baseline"/>
        <w:rPr>
          <w:rFonts w:hint="eastAsia" w:ascii="宋体" w:hAnsi="宋体" w:eastAsia="宋体" w:cs="宋体"/>
          <w:color w:val="auto"/>
          <w:sz w:val="24"/>
          <w:szCs w:val="24"/>
          <w:highlight w:val="none"/>
        </w:rPr>
      </w:pPr>
    </w:p>
    <w:p w14:paraId="03DFAE04">
      <w:pPr>
        <w:autoSpaceDE w:val="0"/>
        <w:autoSpaceDN w:val="0"/>
        <w:adjustRightInd w:val="0"/>
        <w:spacing w:line="480" w:lineRule="auto"/>
        <w:ind w:firstLine="540" w:firstLineChars="225"/>
        <w:jc w:val="both"/>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乙方（签章）：</w:t>
      </w:r>
      <w:r>
        <w:rPr>
          <w:rFonts w:hint="eastAsia" w:ascii="宋体" w:hAnsi="宋体" w:eastAsia="宋体" w:cs="宋体"/>
          <w:color w:val="auto"/>
          <w:sz w:val="24"/>
          <w:szCs w:val="24"/>
          <w:highlight w:val="none"/>
          <w:lang w:val="en-US" w:eastAsia="zh-CN"/>
        </w:rPr>
        <w:t xml:space="preserve">                             </w:t>
      </w:r>
    </w:p>
    <w:p w14:paraId="74F330F6">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6789657A">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p>
    <w:p w14:paraId="3B2217C8">
      <w:pPr>
        <w:spacing w:line="480" w:lineRule="auto"/>
        <w:ind w:firstLine="540" w:firstLineChars="225"/>
        <w:jc w:val="both"/>
        <w:textAlignment w:val="baseline"/>
        <w:rPr>
          <w:rFonts w:hint="eastAsia" w:ascii="宋体" w:hAnsi="宋体" w:eastAsia="宋体" w:cs="宋体"/>
          <w:color w:val="auto"/>
          <w:sz w:val="24"/>
          <w:szCs w:val="24"/>
          <w:highlight w:val="none"/>
        </w:rPr>
      </w:pPr>
    </w:p>
    <w:p w14:paraId="42BDC56F">
      <w:pPr>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丙方（签章）：</w:t>
      </w:r>
    </w:p>
    <w:p w14:paraId="7D18F07A">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2252CE38">
      <w:pPr>
        <w:autoSpaceDE w:val="0"/>
        <w:autoSpaceDN w:val="0"/>
        <w:adjustRightInd w:val="0"/>
        <w:spacing w:line="480" w:lineRule="auto"/>
        <w:ind w:firstLine="0" w:firstLineChars="0"/>
        <w:jc w:val="both"/>
        <w:textAlignment w:val="baseline"/>
        <w:rPr>
          <w:rFonts w:hint="eastAsia" w:ascii="宋体" w:hAnsi="宋体" w:eastAsia="宋体" w:cs="宋体"/>
          <w:color w:val="auto"/>
          <w:sz w:val="24"/>
          <w:szCs w:val="24"/>
          <w:highlight w:val="none"/>
        </w:rPr>
      </w:pPr>
    </w:p>
    <w:p w14:paraId="6483B1D7">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3899558">
      <w:pPr>
        <w:tabs>
          <w:tab w:val="left" w:pos="6660"/>
        </w:tabs>
        <w:autoSpaceDE w:val="0"/>
        <w:autoSpaceDN w:val="0"/>
        <w:adjustRightInd w:val="0"/>
        <w:spacing w:line="480" w:lineRule="auto"/>
        <w:ind w:firstLine="540" w:firstLineChars="225"/>
        <w:jc w:val="both"/>
        <w:textAlignment w:val="baseline"/>
        <w:rPr>
          <w:rFonts w:hint="default" w:ascii="宋体" w:hAnsi="宋体" w:eastAsia="宋体" w:cs="宋体"/>
          <w:snapToGrid w:val="0"/>
          <w:color w:val="auto"/>
          <w:highlight w:val="none"/>
          <w:lang w:val="en-US" w:eastAsia="zh-CN"/>
        </w:rPr>
      </w:pPr>
      <w:r>
        <w:rPr>
          <w:rFonts w:hint="eastAsia" w:ascii="宋体" w:hAnsi="宋体" w:eastAsia="宋体" w:cs="宋体"/>
          <w:color w:val="auto"/>
          <w:sz w:val="24"/>
          <w:szCs w:val="24"/>
          <w:highlight w:val="none"/>
        </w:rPr>
        <w:t>签约地点：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u w:val="single"/>
          <w:lang w:val="en-US" w:eastAsia="zh-CN"/>
        </w:rPr>
        <w:t xml:space="preserve">                      </w:t>
      </w:r>
    </w:p>
    <w:p w14:paraId="05CF694C">
      <w:pPr>
        <w:ind w:left="5460" w:leftChars="2600" w:firstLine="2520" w:firstLineChars="1200"/>
        <w:rPr>
          <w:rFonts w:hint="eastAsia" w:ascii="宋体" w:hAnsi="宋体" w:eastAsia="宋体" w:cs="宋体"/>
          <w:color w:val="auto"/>
          <w:highlight w:val="none"/>
        </w:rPr>
      </w:pPr>
    </w:p>
    <w:p w14:paraId="7B9918D7">
      <w:pPr>
        <w:spacing w:line="360" w:lineRule="auto"/>
        <w:jc w:val="center"/>
        <w:rPr>
          <w:rFonts w:hint="eastAsia" w:ascii="宋体" w:hAnsi="宋体" w:eastAsia="宋体" w:cs="宋体"/>
          <w:b/>
          <w:bCs/>
          <w:color w:val="auto"/>
          <w:kern w:val="2"/>
          <w:sz w:val="32"/>
          <w:szCs w:val="32"/>
          <w:highlight w:val="none"/>
          <w:lang w:val="en-US" w:eastAsia="zh-CN"/>
        </w:rPr>
      </w:pPr>
      <w:r>
        <w:rPr>
          <w:rFonts w:hint="eastAsia" w:ascii="宋体" w:hAnsi="宋体" w:eastAsia="宋体" w:cs="宋体"/>
          <w:bCs/>
          <w:color w:val="auto"/>
          <w:kern w:val="2"/>
          <w:sz w:val="21"/>
          <w:szCs w:val="21"/>
          <w:highlight w:val="none"/>
          <w:lang w:val="en-US"/>
        </w:rPr>
        <w:br w:type="page"/>
      </w:r>
    </w:p>
    <w:p w14:paraId="4DF0EC53">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（五）</w:t>
      </w:r>
      <w:r>
        <w:rPr>
          <w:rFonts w:hint="eastAsia" w:ascii="宋体" w:hAnsi="宋体" w:eastAsia="宋体" w:cs="宋体"/>
          <w:b/>
          <w:bCs/>
          <w:color w:val="auto"/>
          <w:kern w:val="2"/>
          <w:sz w:val="32"/>
          <w:szCs w:val="32"/>
          <w:highlight w:val="none"/>
          <w:lang w:val="en-US"/>
        </w:rPr>
        <w:t>建设工程农民工工资支付保证书</w:t>
      </w:r>
    </w:p>
    <w:p w14:paraId="0F8D361A">
      <w:pPr>
        <w:overflowPunct w:val="0"/>
        <w:spacing w:line="360" w:lineRule="auto"/>
        <w:jc w:val="center"/>
        <w:rPr>
          <w:rFonts w:hint="eastAsia" w:ascii="宋体" w:hAnsi="宋体" w:eastAsia="宋体" w:cs="宋体"/>
          <w:color w:val="auto"/>
          <w:kern w:val="2"/>
          <w:sz w:val="30"/>
          <w:szCs w:val="20"/>
          <w:highlight w:val="none"/>
        </w:rPr>
      </w:pPr>
    </w:p>
    <w:p w14:paraId="4F273478">
      <w:pPr>
        <w:keepNext w:val="0"/>
        <w:keepLines w:val="0"/>
        <w:pageBreakBefore w:val="0"/>
        <w:widowControl w:val="0"/>
        <w:kinsoku/>
        <w:wordWrap/>
        <w:overflowPunct w:val="0"/>
        <w:topLinePunct w:val="0"/>
        <w:autoSpaceDE/>
        <w:autoSpaceDN/>
        <w:bidi w:val="0"/>
        <w:adjustRightInd/>
        <w:snapToGrid/>
        <w:spacing w:line="360" w:lineRule="auto"/>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 xml:space="preserve"> </w:t>
      </w:r>
    </w:p>
    <w:p w14:paraId="79116011">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鉴于</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 xml:space="preserve"> (以下简称“承包人”)拟与</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(以下简称“发包人”)签订</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的施工承包合同，为规范本项目农民工工资的支付行为，预防和解决施工承包人拖欠或克扣农民工工资问题，切实保障农民工的合法利益，维护社会稳定，根据《中华人民共和国劳动合同法》《中华人民共和国建筑法》《保障农民工工资支付条例》《广东省建设工程领域工人工资支付专用账户管理办法》</w:t>
      </w:r>
      <w:r>
        <w:rPr>
          <w:rFonts w:hint="eastAsia" w:ascii="宋体" w:hAnsi="宋体" w:eastAsia="宋体" w:cs="宋体"/>
          <w:color w:val="auto"/>
          <w:kern w:val="2"/>
          <w:sz w:val="24"/>
          <w:szCs w:val="24"/>
          <w:highlight w:val="none"/>
          <w:lang w:eastAsia="zh-CN"/>
        </w:rPr>
        <w:t>《广东省建设工程领域用工实名制管理暂行办法》《广东省交通运输厅关于加强交通建设工程从业人员实名制管理和作业工人工资支付管理的通知》</w:t>
      </w:r>
      <w:r>
        <w:rPr>
          <w:rFonts w:hint="eastAsia" w:ascii="宋体" w:hAnsi="宋体" w:eastAsia="宋体" w:cs="宋体"/>
          <w:color w:val="auto"/>
          <w:kern w:val="2"/>
          <w:sz w:val="24"/>
          <w:szCs w:val="24"/>
          <w:highlight w:val="none"/>
        </w:rPr>
        <w:t>等有关法规</w:t>
      </w:r>
      <w:r>
        <w:rPr>
          <w:rFonts w:hint="eastAsia" w:ascii="宋体" w:hAnsi="宋体" w:eastAsia="宋体" w:cs="宋体"/>
          <w:color w:val="auto"/>
          <w:kern w:val="2"/>
          <w:sz w:val="24"/>
          <w:szCs w:val="24"/>
          <w:highlight w:val="none"/>
          <w:lang w:eastAsia="zh-CN"/>
        </w:rPr>
        <w:t>制度要求</w:t>
      </w:r>
      <w:r>
        <w:rPr>
          <w:rFonts w:hint="eastAsia" w:ascii="宋体" w:hAnsi="宋体" w:eastAsia="宋体" w:cs="宋体"/>
          <w:color w:val="auto"/>
          <w:kern w:val="2"/>
          <w:sz w:val="24"/>
          <w:szCs w:val="24"/>
          <w:highlight w:val="none"/>
        </w:rPr>
        <w:t>，结合本项目建设管理的具体情况，承包人在此承诺：</w:t>
      </w:r>
    </w:p>
    <w:p w14:paraId="2963D35D">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一、承诺严格按照国家法规和相关规定与农民工或与具备用工主体资格的组织签订劳动合同，按照当地劳动保障部门要求及时进行用工备案</w:t>
      </w:r>
      <w:r>
        <w:rPr>
          <w:rFonts w:hint="eastAsia" w:ascii="宋体" w:hAnsi="宋体" w:eastAsia="宋体" w:cs="宋体"/>
          <w:color w:val="auto"/>
          <w:kern w:val="2"/>
          <w:sz w:val="24"/>
          <w:szCs w:val="24"/>
          <w:highlight w:val="none"/>
          <w:lang w:eastAsia="zh-CN"/>
        </w:rPr>
        <w:t>，推行实名制管理</w:t>
      </w:r>
      <w:r>
        <w:rPr>
          <w:rFonts w:hint="eastAsia" w:ascii="宋体" w:hAnsi="宋体" w:eastAsia="宋体" w:cs="宋体"/>
          <w:color w:val="auto"/>
          <w:kern w:val="2"/>
          <w:sz w:val="24"/>
          <w:szCs w:val="24"/>
          <w:highlight w:val="none"/>
        </w:rPr>
        <w:t>。严格根据劳动合同约定的农民工工资标准等内容，按照依法签订的劳动合同约定的日期按月支付工资，且不低于当地最低工资标准。若因违反上述法律、法规及相关管理办法而引发的民工工资纠纷等，承包人承担所有的民事及刑事法律责任。</w:t>
      </w:r>
    </w:p>
    <w:p w14:paraId="2095827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二、决不违反有关规定，将工程转包、分包给不具备用工主体资格的组织或个人，并独自承担因违反上述规定而引发的民工工资纠纷等所有民事及刑事的法律连带责任。</w:t>
      </w:r>
    </w:p>
    <w:p w14:paraId="7E7017EA">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三、承诺开展劳动法、建筑法等普法学习教育活动，建立健全承包人农民工用工</w:t>
      </w:r>
      <w:r>
        <w:rPr>
          <w:rFonts w:hint="eastAsia" w:ascii="宋体" w:hAnsi="宋体" w:eastAsia="宋体" w:cs="宋体"/>
          <w:color w:val="auto"/>
          <w:kern w:val="2"/>
          <w:sz w:val="24"/>
          <w:szCs w:val="24"/>
          <w:highlight w:val="none"/>
          <w:lang w:eastAsia="zh-CN"/>
        </w:rPr>
        <w:t>实名</w:t>
      </w:r>
      <w:r>
        <w:rPr>
          <w:rFonts w:hint="eastAsia" w:ascii="宋体" w:hAnsi="宋体" w:eastAsia="宋体" w:cs="宋体"/>
          <w:color w:val="auto"/>
          <w:kern w:val="2"/>
          <w:sz w:val="24"/>
          <w:szCs w:val="24"/>
          <w:highlight w:val="none"/>
        </w:rPr>
        <w:t>制度，制定农民工劳动保护措施，实施劳动工资支付监控机制，建立劳动用工的举报投诉制度，设立专门的举报投诉电话，受理相关单位和个人的举报及投诉，监督并认真查处合同范围内的侵害农民工按劳取酬合法权益的行为。</w:t>
      </w:r>
    </w:p>
    <w:p w14:paraId="06BA2FB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四、承诺在工地现场宣传栏中公布发包人关于农民工工资管理的有关法律法规、制度，公开发包人的投诉电话。</w:t>
      </w:r>
    </w:p>
    <w:p w14:paraId="317500E9">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五、承诺在本项目工程开工前承包人制定内部工资支付办法，并抄报监理、发包人，同时告知全体农民工。内部工资支付办法包括以下内容：支付项目、支付标准、支付方式、支付周期和日期、加班工资计算基数、特殊情况下的工资支付以及其他工资支付等。支付程序也将明文规定，且严格按章办事。工资支付管理接受监理、发包人及上级主管单位的监督和检查。</w:t>
      </w:r>
    </w:p>
    <w:p w14:paraId="6DFB7227">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六、承诺指定专人负责对农民工工资进行发放，实行专户管理，以银行转账方式按月直接支付工资（原则上是当月支付，最多不超过拖欠两个月）。</w:t>
      </w:r>
    </w:p>
    <w:p w14:paraId="372A1698">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七、在合同工程范围内，一旦承包人发现任何下属单位、分包单位、施工班组等在劳动用工与工资结算支付活动中存在有违反法律法规规定的行为，承包人将以最快的速度、采取最得力的措施就地予以纠正，同时将有关问题抄报监理人及发包人，在监理人、发包人或劳动监察部门有要求或规定时，将处理结果上报备案。</w:t>
      </w:r>
    </w:p>
    <w:p w14:paraId="77ACF20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八、</w:t>
      </w:r>
      <w:r>
        <w:rPr>
          <w:rFonts w:hint="eastAsia" w:ascii="宋体" w:hAnsi="宋体" w:eastAsia="宋体" w:cs="宋体"/>
          <w:snapToGrid w:val="0"/>
          <w:color w:val="auto"/>
          <w:kern w:val="2"/>
          <w:sz w:val="24"/>
          <w:szCs w:val="24"/>
          <w:highlight w:val="none"/>
          <w:lang w:val="en-US" w:eastAsia="zh-CN" w:bidi="ar"/>
        </w:rPr>
        <w:t>同意农民工工资保证金按“按《工程建设领域农民工工资保证金规定》（人社部发〔2021〕65 号）、《广东省交通运输厅转发人力资源社会保障部等部门&lt;工程建设领域农民工工资保证金规定&gt;的通知》（粵交基函〔2021〕606 号）”执行、管理。</w:t>
      </w:r>
    </w:p>
    <w:p w14:paraId="37F511B9">
      <w:pPr>
        <w:keepNext w:val="0"/>
        <w:keepLines w:val="0"/>
        <w:widowControl w:val="0"/>
        <w:numPr>
          <w:ilvl w:val="0"/>
          <w:numId w:val="9"/>
        </w:numPr>
        <w:suppressLineNumbers w:val="0"/>
        <w:kinsoku/>
        <w:overflowPunct w:val="0"/>
        <w:autoSpaceDE/>
        <w:autoSpaceDN/>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snapToGrid w:val="0"/>
          <w:color w:val="auto"/>
          <w:kern w:val="2"/>
          <w:sz w:val="24"/>
          <w:szCs w:val="24"/>
          <w:highlight w:val="none"/>
          <w:lang w:val="en-US" w:eastAsia="zh-CN" w:bidi="ar"/>
        </w:rPr>
        <w:t>承诺建立农民工工资支付台帐，如实记录支付时间、支付对象、支付数额等工资支付情况，并于每月申请支付计量款时将上期工资表及工资支付台帐上报监理和发包人。若承包人拖欠民工工资两个月以上且一直未得到解决的，发包人有权利不给予承包人当月计量的工程款，直至拖欠的民工工资得到支付，或者发包人有权利从承包人按规定缴纳的工资保障金或应支付给承包人的工程款或是履约保证金中直接扣除相应费用后</w:t>
      </w:r>
      <w:r>
        <w:rPr>
          <w:rFonts w:hint="eastAsia" w:ascii="宋体" w:hAnsi="宋体" w:eastAsia="宋体" w:cs="宋体"/>
          <w:color w:val="auto"/>
          <w:kern w:val="2"/>
          <w:sz w:val="24"/>
          <w:szCs w:val="24"/>
          <w:highlight w:val="none"/>
        </w:rPr>
        <w:t>向民工进行支付</w:t>
      </w:r>
      <w:r>
        <w:rPr>
          <w:rFonts w:hint="eastAsia" w:ascii="宋体" w:hAnsi="宋体" w:eastAsia="宋体" w:cs="宋体"/>
          <w:snapToGrid w:val="0"/>
          <w:color w:val="auto"/>
          <w:kern w:val="2"/>
          <w:sz w:val="24"/>
          <w:szCs w:val="24"/>
          <w:highlight w:val="none"/>
          <w:lang w:val="en-US" w:eastAsia="zh-CN" w:bidi="ar"/>
        </w:rPr>
        <w:t>，发包人有权向项目所在地人力资源社会保障行政部门和相关行业工程建设主管部门报告有关情况，承包人接受相关规定的处理且均无异议。</w:t>
      </w:r>
    </w:p>
    <w:p w14:paraId="66318088">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十、在合同工程实施过程中如有发生</w:t>
      </w:r>
      <w:r>
        <w:rPr>
          <w:rFonts w:hint="eastAsia" w:ascii="宋体" w:hAnsi="宋体" w:eastAsia="宋体" w:cs="宋体"/>
          <w:color w:val="auto"/>
          <w:kern w:val="2"/>
          <w:sz w:val="24"/>
          <w:szCs w:val="24"/>
          <w:highlight w:val="none"/>
          <w:lang w:val="en-US" w:eastAsia="zh-CN"/>
        </w:rPr>
        <w:t>:</w:t>
      </w:r>
    </w:p>
    <w:p w14:paraId="75C53FEA">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7" w:name="_Toc27305_WPSOffice_Level2"/>
      <w:bookmarkStart w:id="248" w:name="_Toc19869_WPSOffice_Level2"/>
      <w:r>
        <w:rPr>
          <w:rFonts w:hint="eastAsia" w:ascii="宋体" w:hAnsi="宋体" w:eastAsia="宋体" w:cs="宋体"/>
          <w:color w:val="auto"/>
          <w:kern w:val="2"/>
          <w:sz w:val="24"/>
          <w:szCs w:val="24"/>
          <w:highlight w:val="none"/>
        </w:rPr>
        <w:t>(1)不按规定签订劳动合同或签订劳动合同不规范情况；</w:t>
      </w:r>
      <w:bookmarkEnd w:id="247"/>
      <w:bookmarkEnd w:id="248"/>
    </w:p>
    <w:p w14:paraId="7310A07C">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9" w:name="_Toc14825_WPSOffice_Level2"/>
      <w:bookmarkStart w:id="250" w:name="_Toc17366_WPSOffice_Level2"/>
      <w:r>
        <w:rPr>
          <w:rFonts w:hint="eastAsia" w:ascii="宋体" w:hAnsi="宋体" w:eastAsia="宋体" w:cs="宋体"/>
          <w:color w:val="auto"/>
          <w:kern w:val="2"/>
          <w:sz w:val="24"/>
          <w:szCs w:val="24"/>
          <w:highlight w:val="none"/>
        </w:rPr>
        <w:t>(2)拖欠农民工工资、侵害农民工合法权益、农民工劳动安全保护欠缺的情况；</w:t>
      </w:r>
      <w:bookmarkEnd w:id="249"/>
      <w:bookmarkEnd w:id="250"/>
    </w:p>
    <w:p w14:paraId="18E2D51F">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51" w:name="_Toc7323_WPSOffice_Level2"/>
      <w:bookmarkStart w:id="252" w:name="_Toc30324_WPSOffice_Level2"/>
      <w:r>
        <w:rPr>
          <w:rFonts w:hint="eastAsia" w:ascii="宋体" w:hAnsi="宋体" w:eastAsia="宋体" w:cs="宋体"/>
          <w:color w:val="auto"/>
          <w:kern w:val="2"/>
          <w:sz w:val="24"/>
          <w:szCs w:val="24"/>
          <w:highlight w:val="none"/>
        </w:rPr>
        <w:t>(3)因欠薪导致的闹事、打斗、死伤、上访事件</w:t>
      </w:r>
      <w:r>
        <w:rPr>
          <w:rFonts w:hint="eastAsia" w:ascii="宋体" w:hAnsi="宋体" w:eastAsia="宋体" w:cs="宋体"/>
          <w:color w:val="auto"/>
          <w:kern w:val="2"/>
          <w:sz w:val="24"/>
          <w:szCs w:val="24"/>
          <w:highlight w:val="none"/>
          <w:lang w:eastAsia="zh-CN"/>
        </w:rPr>
        <w:t>。</w:t>
      </w:r>
      <w:bookmarkEnd w:id="251"/>
      <w:bookmarkEnd w:id="252"/>
    </w:p>
    <w:p w14:paraId="7D6DD9BB">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愿接受监理人和/或发包人按合同或下发的管理办法规定的违约金。如果发生上述情况是因为我方违法分包、转包或出让资质、挂靠投标造成的，承包人对发包人或发包人的上级主管部门、政府机构提出的取消中标资格、终止合同、通报批评等违约金表示理解并无条件接受。</w:t>
      </w:r>
    </w:p>
    <w:p w14:paraId="50D8F89E">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rPr>
        <w:t>十一、本保证书作为本项目施工承包合同的有效组成部分，纳入合同一并签署，在承包人法定代表人或委托代理人签署并加盖公章后生效，并保证在施工承包合同有效期内一直保持有效。</w:t>
      </w:r>
    </w:p>
    <w:p w14:paraId="2EA9FC8D">
      <w:pPr>
        <w:keepNext w:val="0"/>
        <w:keepLines w:val="0"/>
        <w:pageBreakBefore w:val="0"/>
        <w:widowControl w:val="0"/>
        <w:kinsoku/>
        <w:wordWrap/>
        <w:topLinePunct w:val="0"/>
        <w:autoSpaceDE/>
        <w:autoSpaceDN/>
        <w:bidi w:val="0"/>
        <w:adjustRightInd/>
        <w:snapToGrid/>
        <w:spacing w:line="360" w:lineRule="auto"/>
        <w:ind w:firstLine="4557" w:firstLineChars="1899"/>
        <w:jc w:val="both"/>
        <w:textAlignment w:val="auto"/>
        <w:rPr>
          <w:rFonts w:hint="eastAsia" w:ascii="宋体" w:hAnsi="宋体" w:eastAsia="宋体" w:cs="宋体"/>
          <w:color w:val="auto"/>
          <w:kern w:val="2"/>
          <w:sz w:val="24"/>
          <w:szCs w:val="24"/>
          <w:highlight w:val="none"/>
          <w:u w:val="single"/>
          <w:lang w:val="en-US"/>
        </w:rPr>
      </w:pPr>
      <w:r>
        <w:rPr>
          <w:rFonts w:hint="eastAsia" w:ascii="宋体" w:hAnsi="宋体" w:eastAsia="宋体" w:cs="宋体"/>
          <w:color w:val="auto"/>
          <w:kern w:val="2"/>
          <w:sz w:val="24"/>
          <w:szCs w:val="24"/>
          <w:highlight w:val="none"/>
          <w:lang w:val="en-US"/>
        </w:rPr>
        <w:t>承 包 人（盖章）：</w:t>
      </w:r>
      <w:r>
        <w:rPr>
          <w:rFonts w:hint="eastAsia" w:ascii="宋体" w:hAnsi="宋体" w:eastAsia="宋体" w:cs="宋体"/>
          <w:color w:val="auto"/>
          <w:kern w:val="2"/>
          <w:sz w:val="24"/>
          <w:szCs w:val="24"/>
          <w:highlight w:val="none"/>
          <w:u w:val="single"/>
          <w:lang w:val="en-US"/>
        </w:rPr>
        <w:t xml:space="preserve">                 </w:t>
      </w:r>
    </w:p>
    <w:p w14:paraId="3A85E7D5">
      <w:pPr>
        <w:spacing w:line="360" w:lineRule="auto"/>
        <w:jc w:val="left"/>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lang w:val="en-US"/>
        </w:rPr>
        <w:t xml:space="preserve">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lang w:val="en-US"/>
        </w:rPr>
        <w:t>法定代表人或其委托代理人：（签字）</w:t>
      </w:r>
      <w:r>
        <w:rPr>
          <w:rFonts w:hint="eastAsia" w:ascii="宋体" w:hAnsi="宋体" w:eastAsia="宋体" w:cs="宋体"/>
          <w:color w:val="auto"/>
          <w:kern w:val="2"/>
          <w:sz w:val="24"/>
          <w:szCs w:val="24"/>
          <w:highlight w:val="none"/>
          <w:u w:val="single"/>
          <w:lang w:val="en-US"/>
        </w:rPr>
        <w:t xml:space="preserve">            </w:t>
      </w:r>
      <w:r>
        <w:rPr>
          <w:rFonts w:hint="eastAsia" w:ascii="宋体" w:hAnsi="宋体" w:eastAsia="宋体" w:cs="宋体"/>
          <w:color w:val="auto"/>
          <w:kern w:val="2"/>
          <w:sz w:val="24"/>
          <w:szCs w:val="24"/>
          <w:highlight w:val="none"/>
          <w:lang w:val="en-US"/>
        </w:rPr>
        <w:t xml:space="preserve">               </w:t>
      </w:r>
    </w:p>
    <w:p w14:paraId="7D1D4DD9">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kern w:val="2"/>
          <w:sz w:val="24"/>
          <w:szCs w:val="24"/>
          <w:highlight w:val="none"/>
          <w:lang w:val="en-US" w:eastAsia="zh-CN"/>
        </w:rPr>
        <w:t xml:space="preserve">                 </w:t>
      </w:r>
      <w:bookmarkStart w:id="253" w:name="_Toc18891_WPSOffice_Level1"/>
      <w:bookmarkStart w:id="254" w:name="_Toc30449_WPSOffice_Level1"/>
      <w:r>
        <w:rPr>
          <w:rFonts w:hint="eastAsia" w:ascii="宋体" w:hAnsi="宋体" w:eastAsia="宋体" w:cs="宋体"/>
          <w:color w:val="auto"/>
          <w:kern w:val="2"/>
          <w:sz w:val="24"/>
          <w:szCs w:val="24"/>
          <w:highlight w:val="none"/>
          <w:lang w:val="en-US"/>
        </w:rPr>
        <w:t>年    月    日</w:t>
      </w:r>
      <w:bookmarkEnd w:id="253"/>
      <w:bookmarkEnd w:id="254"/>
    </w:p>
    <w:sectPr>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S Gothic">
    <w:altName w:val="Hiragino Sans"/>
    <w:panose1 w:val="020B0609070205080204"/>
    <w:charset w:val="80"/>
    <w:family w:val="modern"/>
    <w:pitch w:val="default"/>
    <w:sig w:usb0="00000000" w:usb1="00000000" w:usb2="00000012" w:usb3="00000000" w:csb0="4002009F" w:csb1="DFD70000"/>
  </w:font>
  <w:font w:name="MingLiU">
    <w:altName w:val="宋体-繁"/>
    <w:panose1 w:val="02020509000000000000"/>
    <w:charset w:val="88"/>
    <w:family w:val="modern"/>
    <w:pitch w:val="default"/>
    <w:sig w:usb0="00000000" w:usb1="00000000" w:usb2="00000016" w:usb3="00000000" w:csb0="00100001" w:csb1="00000000"/>
  </w:font>
  <w:font w:name="Sylfaen">
    <w:altName w:val="苹方-简"/>
    <w:panose1 w:val="010A0502050306030303"/>
    <w:charset w:val="00"/>
    <w:family w:val="roman"/>
    <w:pitch w:val="default"/>
    <w:sig w:usb0="00000000" w:usb1="00000000" w:usb2="00000000" w:usb3="00000000" w:csb0="200000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繁">
    <w:panose1 w:val="02010600040101010101"/>
    <w:charset w:val="86"/>
    <w:family w:val="auto"/>
    <w:pitch w:val="default"/>
    <w:sig w:usb0="00000287" w:usb1="080F0000" w:usb2="00000000" w:usb3="00000000" w:csb0="0004009F" w:csb1="DFD7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Hiragino Sans">
    <w:panose1 w:val="020B0300000000000000"/>
    <w:charset w:val="80"/>
    <w:family w:val="auto"/>
    <w:pitch w:val="default"/>
    <w:sig w:usb0="E00002FF" w:usb1="7AE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CDFC4">
    <w:pPr>
      <w:pStyle w:val="14"/>
    </w:pPr>
  </w:p>
  <w:p w14:paraId="3CD3B204">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49C07">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F09E28">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7F09E28">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A132C">
    <w:pPr>
      <w:spacing w:line="125" w:lineRule="exact"/>
      <w:ind w:firstLine="4430"/>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53034F">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27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uWTqOEBAADBAwAADgAAAGRycy9lMm9Eb2MueG1srVNLbtswEN0X6B0I&#10;7mvJBtoaguWgrZGiQJEUSHsAmqIsAvyBM7bkHiC9QVfZdN9z+RwZ6uO0ySaLbKThcPjmvcfh6qKz&#10;hh1UBO1dyeeznDPlpK+025X8x/fLN0vOAIWrhPFOlfyogF+sX79ataFQC994U6nICMRB0YaSN4ih&#10;yDKQjbICZj4oR5u1j1YgLeMuq6JoCd2abJHn77LWxypELxUAZTfDJh8R43MAfV1rqTZe7q1yOKBG&#10;ZQSSJGh0AL7u2da1knhd16CQmZKTUuy/1ITibfpm65UodlGERsuRgngOhUearNCOmp6hNgIF20f9&#10;BMpqGT34GmfS22wQ0jtCKub5I29uGhFUr4WshnA2HV4OVl4dvkWmK5oEzpywdOGn379Od39Pf27Z&#10;fPH+bXKoDVBQ4U2gUuw++i5Vj3mgZBLe1dGmP0litE/+Hs/+qg6ZTIeWi+Uypy1Je9OCcLKH4yEC&#10;flbeshSUPNIF9r6Kw1fAoXQqSd2cv9TGUF4Uxv2XIMyUyRL3gWOKsNt2I/Gtr46kh14C9Wl8/MlZ&#10;S3NQckdjz5n54sjmNDJTEKdgOwXCSTpYcuRsCD/hMFr7EPWu6YctkYLwYY/EtBeQaAy9R3Z0s70F&#10;4xSm0fl33Vc9vLz1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m5ZOo4QEAAMEDAAAOAAAA&#10;AAAAAAEAIAAAAB4BAABkcnMvZTJvRG9jLnhtbFBLBQYAAAAABgAGAFkBAABxBQAAAAA=&#10;">
              <v:fill on="f" focussize="0,0"/>
              <v:stroke on="f"/>
              <v:imagedata o:title=""/>
              <o:lock v:ext="edit" aspectratio="f"/>
              <v:textbox inset="0mm,0mm,0mm,0mm" style="mso-fit-shape-to-text:t;">
                <w:txbxContent>
                  <w:p w14:paraId="4C53034F">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13B88">
    <w:pPr>
      <w:spacing w:line="125" w:lineRule="exact"/>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3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D93251">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38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H04Xd8BAADBAwAADgAAAGRycy9lMm9Eb2MueG1srVNNrtMwEN4jcQfL&#10;e5o0SCiK6j4B1UNICJAeHMB1nMaS/2RPm5QDwA1YsWHPuXoOxk7SB4/NW7BJxjPjb+b7Zry5GY0m&#10;JxmicpbR9aqkRFrhWmUPjH7+dPuspiQCty3XzkpGzzLSm+3TJ5vBN7JyvdOtDARBbGwGz2gP4Jui&#10;iKKXhseV89JisHPBcMBjOBRt4AOiG11UZfmiGFxofXBCxoje3RSkM2J4DKDrOiXkzomjkRYm1CA1&#10;B6QUe+Uj3eZuu04K+NB1UQLRjCJTyF8sgvY+fYvthjeHwH2vxNwCf0wLDzgZriwWvULtOHByDOof&#10;KKNEcNF1sBLOFBORrAiyWJcPtLnruZeZC0od/VX0+P9gxfvTx0BUy2hFieUGB375/u3y49fl51ey&#10;fl5XSaHBxwYT7zymwvjKjbg3iz+iMxEfu2DSHykRjKO+56u+cgQi0qW6qusSQwJjywHxi/vrPkR4&#10;I50hyWA04ACzrvz0LsKUuqSkatbdKq3zELX9y4GYyVOk3qcekwXjfpwJ7V17Rj74ErBO78IXSgbc&#10;A0Ytrj0l+q1FmdPKLEZYjP1icCvwIqNAyWS+hmm1jj6oQ5+XLTUV/csjYKeZQGpjqj13h5PNEsxb&#10;mFbnz3POun952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GH04Xd8BAADBAwAADgAAAAAA&#10;AAABACAAAAAeAQAAZHJzL2Uyb0RvYy54bWxQSwUGAAAAAAYABgBZAQAAbwUAAAAA&#10;">
              <v:fill on="f" focussize="0,0"/>
              <v:stroke on="f"/>
              <v:imagedata o:title=""/>
              <o:lock v:ext="edit" aspectratio="f"/>
              <v:textbox inset="0mm,0mm,0mm,0mm" style="mso-fit-shape-to-text:t;">
                <w:txbxContent>
                  <w:p w14:paraId="3DD93251">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61F70">
    <w:pPr>
      <w:spacing w:line="204" w:lineRule="auto"/>
      <w:ind w:firstLine="7"/>
      <w:jc w:val="left"/>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F95E6">
    <w:pPr>
      <w:spacing w:line="184" w:lineRule="auto"/>
      <w:ind w:firstLine="7"/>
      <w:jc w:val="left"/>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A2F24"/>
    <w:multiLevelType w:val="singleLevel"/>
    <w:tmpl w:val="B2CA2F24"/>
    <w:lvl w:ilvl="0" w:tentative="0">
      <w:start w:val="9"/>
      <w:numFmt w:val="chineseCounting"/>
      <w:suff w:val="nothing"/>
      <w:lvlText w:val="%1、"/>
      <w:lvlJc w:val="left"/>
      <w:rPr>
        <w:rFonts w:hint="eastAsia"/>
      </w:rPr>
    </w:lvl>
  </w:abstractNum>
  <w:abstractNum w:abstractNumId="1">
    <w:nsid w:val="BC336507"/>
    <w:multiLevelType w:val="singleLevel"/>
    <w:tmpl w:val="BC336507"/>
    <w:lvl w:ilvl="0" w:tentative="0">
      <w:start w:val="8"/>
      <w:numFmt w:val="chineseCounting"/>
      <w:suff w:val="space"/>
      <w:lvlText w:val="第%1部分"/>
      <w:lvlJc w:val="left"/>
      <w:rPr>
        <w:rFonts w:hint="eastAsia"/>
      </w:rPr>
    </w:lvl>
  </w:abstractNum>
  <w:abstractNum w:abstractNumId="2">
    <w:nsid w:val="BEC41EC5"/>
    <w:multiLevelType w:val="singleLevel"/>
    <w:tmpl w:val="BEC41EC5"/>
    <w:lvl w:ilvl="0" w:tentative="0">
      <w:start w:val="1"/>
      <w:numFmt w:val="chineseCounting"/>
      <w:suff w:val="space"/>
      <w:lvlText w:val="第%1部分"/>
      <w:lvlJc w:val="left"/>
      <w:rPr>
        <w:rFonts w:hint="eastAsia"/>
      </w:rPr>
    </w:lvl>
  </w:abstractNum>
  <w:abstractNum w:abstractNumId="3">
    <w:nsid w:val="C0BFDD4C"/>
    <w:multiLevelType w:val="singleLevel"/>
    <w:tmpl w:val="C0BFDD4C"/>
    <w:lvl w:ilvl="0" w:tentative="0">
      <w:start w:val="1"/>
      <w:numFmt w:val="decimal"/>
      <w:suff w:val="space"/>
      <w:lvlText w:val="%1."/>
      <w:lvlJc w:val="left"/>
    </w:lvl>
  </w:abstractNum>
  <w:abstractNum w:abstractNumId="4">
    <w:nsid w:val="C23EE348"/>
    <w:multiLevelType w:val="singleLevel"/>
    <w:tmpl w:val="C23EE348"/>
    <w:lvl w:ilvl="0" w:tentative="0">
      <w:start w:val="3"/>
      <w:numFmt w:val="decimal"/>
      <w:suff w:val="space"/>
      <w:lvlText w:val="%1."/>
      <w:lvlJc w:val="left"/>
      <w:pPr>
        <w:ind w:left="0" w:firstLine="0"/>
      </w:pPr>
    </w:lvl>
  </w:abstractNum>
  <w:abstractNum w:abstractNumId="5">
    <w:nsid w:val="CE5F7AC5"/>
    <w:multiLevelType w:val="singleLevel"/>
    <w:tmpl w:val="CE5F7AC5"/>
    <w:lvl w:ilvl="0" w:tentative="0">
      <w:start w:val="6"/>
      <w:numFmt w:val="decimal"/>
      <w:suff w:val="space"/>
      <w:lvlText w:val="%1."/>
      <w:lvlJc w:val="left"/>
    </w:lvl>
  </w:abstractNum>
  <w:abstractNum w:abstractNumId="6">
    <w:nsid w:val="0144EE20"/>
    <w:multiLevelType w:val="singleLevel"/>
    <w:tmpl w:val="0144EE20"/>
    <w:lvl w:ilvl="0" w:tentative="0">
      <w:start w:val="1"/>
      <w:numFmt w:val="decimal"/>
      <w:suff w:val="space"/>
      <w:lvlText w:val="%1."/>
      <w:lvlJc w:val="left"/>
      <w:pPr>
        <w:ind w:left="481" w:leftChars="0" w:firstLine="0" w:firstLineChars="0"/>
      </w:pPr>
    </w:lvl>
  </w:abstractNum>
  <w:abstractNum w:abstractNumId="7">
    <w:nsid w:val="34206EDF"/>
    <w:multiLevelType w:val="multilevel"/>
    <w:tmpl w:val="34206EDF"/>
    <w:lvl w:ilvl="0" w:tentative="0">
      <w:start w:val="1"/>
      <w:numFmt w:val="decimal"/>
      <w:suff w:val="space"/>
      <w:lvlText w:val="第%1章  "/>
      <w:lvlJc w:val="left"/>
      <w:pPr>
        <w:ind w:left="0" w:firstLine="0"/>
      </w:pPr>
      <w:rPr>
        <w:rFonts w:hint="default" w:ascii="Times New Roman" w:hAnsi="Times New Roman" w:eastAsia="黑体"/>
        <w:b/>
        <w:i w:val="0"/>
        <w:sz w:val="36"/>
      </w:rPr>
    </w:lvl>
    <w:lvl w:ilvl="1" w:tentative="0">
      <w:start w:val="1"/>
      <w:numFmt w:val="decimal"/>
      <w:suff w:val="space"/>
      <w:lvlText w:val="%1.%2"/>
      <w:lvlJc w:val="left"/>
      <w:rPr>
        <w:rFonts w:hint="default" w:ascii="Times New Roman" w:hAnsi="Times New Roman" w:eastAsia="黑体" w:cs="Times New Roman"/>
        <w:b/>
        <w:bCs w:val="0"/>
        <w:i w:val="0"/>
        <w:iCs w:val="0"/>
        <w:caps w:val="0"/>
        <w:strike w:val="0"/>
        <w:dstrike w:val="0"/>
        <w:vanish w:val="0"/>
        <w:color w:val="000000"/>
        <w:spacing w:val="0"/>
        <w:position w:val="0"/>
        <w:sz w:val="32"/>
        <w:u w:val="none"/>
        <w:vertAlign w:val="baseline"/>
      </w:rPr>
    </w:lvl>
    <w:lvl w:ilvl="2" w:tentative="0">
      <w:start w:val="1"/>
      <w:numFmt w:val="decimal"/>
      <w:suff w:val="space"/>
      <w:lvlText w:val="%1.%2.%3"/>
      <w:lvlJc w:val="left"/>
      <w:pPr>
        <w:ind w:left="0" w:firstLine="0"/>
      </w:pPr>
      <w:rPr>
        <w:rFonts w:hint="default" w:ascii="Times New Roman" w:hAnsi="Times New Roman" w:eastAsia="黑体"/>
        <w:b/>
        <w:i w:val="0"/>
        <w:color w:val="auto"/>
        <w:sz w:val="30"/>
      </w:rPr>
    </w:lvl>
    <w:lvl w:ilvl="3" w:tentative="0">
      <w:start w:val="1"/>
      <w:numFmt w:val="decimal"/>
      <w:pStyle w:val="5"/>
      <w:isLgl/>
      <w:suff w:val="space"/>
      <w:lvlText w:val="%1.%2.%3.%4"/>
      <w:lvlJc w:val="left"/>
      <w:pPr>
        <w:ind w:left="0" w:firstLine="0"/>
      </w:pPr>
      <w:rPr>
        <w:rFonts w:hint="default" w:ascii="Times New Roman" w:hAnsi="Times New Roman" w:eastAsia="黑体"/>
        <w:sz w:val="28"/>
      </w:rPr>
    </w:lvl>
    <w:lvl w:ilvl="4" w:tentative="0">
      <w:start w:val="1"/>
      <w:numFmt w:val="decimal"/>
      <w:suff w:val="space"/>
      <w:lvlText w:val="（%5）"/>
      <w:lvlJc w:val="left"/>
      <w:pPr>
        <w:ind w:left="1008" w:hanging="1008"/>
      </w:pPr>
      <w:rPr>
        <w:rFonts w:hint="eastAsia"/>
      </w:rPr>
    </w:lvl>
    <w:lvl w:ilvl="5" w:tentative="0">
      <w:start w:val="1"/>
      <w:numFmt w:val="bullet"/>
      <w:lvlText w:val="①"/>
      <w:lvlJc w:val="left"/>
      <w:pPr>
        <w:tabs>
          <w:tab w:val="left" w:pos="1152"/>
        </w:tabs>
        <w:ind w:left="1152" w:hanging="1152"/>
      </w:pPr>
      <w:rPr>
        <w:rFonts w:hint="eastAsia" w:ascii="MS Gothic" w:hAnsi="MS Gothic" w:eastAsia="MS Gothic"/>
        <w:color w:val="auto"/>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8">
    <w:nsid w:val="7BBD47F9"/>
    <w:multiLevelType w:val="multilevel"/>
    <w:tmpl w:val="7BBD47F9"/>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747"/>
        </w:tabs>
        <w:ind w:left="747" w:hanging="567"/>
      </w:pPr>
    </w:lvl>
    <w:lvl w:ilvl="2" w:tentative="0">
      <w:start w:val="1"/>
      <w:numFmt w:val="decimal"/>
      <w:pStyle w:val="4"/>
      <w:lvlText w:val="%1.%2.%3."/>
      <w:lvlJc w:val="left"/>
      <w:pPr>
        <w:tabs>
          <w:tab w:val="left" w:pos="3229"/>
        </w:tabs>
        <w:ind w:left="322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8"/>
  </w:num>
  <w:num w:numId="2">
    <w:abstractNumId w:val="7"/>
  </w:num>
  <w:num w:numId="3">
    <w:abstractNumId w:val="2"/>
  </w:num>
  <w:num w:numId="4">
    <w:abstractNumId w:val="4"/>
    <w:lvlOverride w:ilvl="0">
      <w:startOverride w:val="3"/>
    </w:lvlOverride>
  </w:num>
  <w:num w:numId="5">
    <w:abstractNumId w:val="5"/>
  </w:num>
  <w:num w:numId="6">
    <w:abstractNumId w:val="6"/>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500"/>
  <w:hyphenationZone w:val="360"/>
  <w:displayHorizontalDrawingGridEvery w:val="1"/>
  <w:displayVerticalDrawingGridEvery w:val="1"/>
  <w:noPunctuationKerning w:val="1"/>
  <w:characterSpacingControl w:val="doNotCompress"/>
  <w:footnotePr>
    <w:numRestart w:val="eachPage"/>
  </w:footnotePr>
  <w:compat>
    <w:spaceForUL/>
    <w:balanceSingleByteDoubleByteWidth/>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0MTM4NzI1OWIzZTE2YjJkYzNhZDMxZTI5NWYxYzEifQ=="/>
    <w:docVar w:name="KSO_WPS_MARK_KEY" w:val="5cbbceb8-0642-48ec-aa3a-18192f191063"/>
  </w:docVars>
  <w:rsids>
    <w:rsidRoot w:val="00172A27"/>
    <w:rsid w:val="000B4F48"/>
    <w:rsid w:val="002F1E14"/>
    <w:rsid w:val="0032561E"/>
    <w:rsid w:val="0066795B"/>
    <w:rsid w:val="00700F44"/>
    <w:rsid w:val="007D0A98"/>
    <w:rsid w:val="007E0B13"/>
    <w:rsid w:val="00984207"/>
    <w:rsid w:val="00BF1DE6"/>
    <w:rsid w:val="00CA1E91"/>
    <w:rsid w:val="00CD3FA8"/>
    <w:rsid w:val="00DA773C"/>
    <w:rsid w:val="01017684"/>
    <w:rsid w:val="011C2DC2"/>
    <w:rsid w:val="012057E0"/>
    <w:rsid w:val="01317F69"/>
    <w:rsid w:val="013435B5"/>
    <w:rsid w:val="01347A59"/>
    <w:rsid w:val="013F153F"/>
    <w:rsid w:val="014001AC"/>
    <w:rsid w:val="014F6641"/>
    <w:rsid w:val="01521561"/>
    <w:rsid w:val="015A7000"/>
    <w:rsid w:val="01734162"/>
    <w:rsid w:val="017F0C92"/>
    <w:rsid w:val="018D59CF"/>
    <w:rsid w:val="01934D66"/>
    <w:rsid w:val="01A06E9D"/>
    <w:rsid w:val="01BA0DA0"/>
    <w:rsid w:val="01D1361C"/>
    <w:rsid w:val="01D51DE5"/>
    <w:rsid w:val="01D803E5"/>
    <w:rsid w:val="01DF6D4C"/>
    <w:rsid w:val="01EC0334"/>
    <w:rsid w:val="02251150"/>
    <w:rsid w:val="02273CDC"/>
    <w:rsid w:val="02302C94"/>
    <w:rsid w:val="02323BAA"/>
    <w:rsid w:val="02370438"/>
    <w:rsid w:val="026507F7"/>
    <w:rsid w:val="02765572"/>
    <w:rsid w:val="02832A46"/>
    <w:rsid w:val="02886A45"/>
    <w:rsid w:val="029D18A6"/>
    <w:rsid w:val="02A706A1"/>
    <w:rsid w:val="02A97FD3"/>
    <w:rsid w:val="02B14A62"/>
    <w:rsid w:val="02BF3353"/>
    <w:rsid w:val="02CE43A9"/>
    <w:rsid w:val="02D41F0B"/>
    <w:rsid w:val="02F0175E"/>
    <w:rsid w:val="02FC1467"/>
    <w:rsid w:val="03505765"/>
    <w:rsid w:val="035E5896"/>
    <w:rsid w:val="03732386"/>
    <w:rsid w:val="03796C61"/>
    <w:rsid w:val="037C7496"/>
    <w:rsid w:val="03980928"/>
    <w:rsid w:val="039C407F"/>
    <w:rsid w:val="03A13105"/>
    <w:rsid w:val="03A2514E"/>
    <w:rsid w:val="03AD58A1"/>
    <w:rsid w:val="03B702EF"/>
    <w:rsid w:val="03B763DB"/>
    <w:rsid w:val="03CC5D27"/>
    <w:rsid w:val="03D2197C"/>
    <w:rsid w:val="03DB41BC"/>
    <w:rsid w:val="03E74161"/>
    <w:rsid w:val="03EB2F7D"/>
    <w:rsid w:val="041240ED"/>
    <w:rsid w:val="04163446"/>
    <w:rsid w:val="041863A5"/>
    <w:rsid w:val="041D49CF"/>
    <w:rsid w:val="041D688F"/>
    <w:rsid w:val="042D3660"/>
    <w:rsid w:val="044B7FFD"/>
    <w:rsid w:val="044C6E68"/>
    <w:rsid w:val="044E2BE0"/>
    <w:rsid w:val="045A3333"/>
    <w:rsid w:val="047E2DFE"/>
    <w:rsid w:val="047F67D7"/>
    <w:rsid w:val="0486701B"/>
    <w:rsid w:val="04953394"/>
    <w:rsid w:val="0499649F"/>
    <w:rsid w:val="04A171B4"/>
    <w:rsid w:val="04A80D30"/>
    <w:rsid w:val="04B54A0D"/>
    <w:rsid w:val="04B93EA8"/>
    <w:rsid w:val="04BC5D9C"/>
    <w:rsid w:val="04DD7D23"/>
    <w:rsid w:val="04E81BC9"/>
    <w:rsid w:val="04F16063"/>
    <w:rsid w:val="051B3200"/>
    <w:rsid w:val="05353DA0"/>
    <w:rsid w:val="05574A07"/>
    <w:rsid w:val="056F280F"/>
    <w:rsid w:val="057743B8"/>
    <w:rsid w:val="057A6969"/>
    <w:rsid w:val="05856AD5"/>
    <w:rsid w:val="05994EEB"/>
    <w:rsid w:val="05A13F3E"/>
    <w:rsid w:val="05A36F5B"/>
    <w:rsid w:val="05A76A4C"/>
    <w:rsid w:val="05BC50E0"/>
    <w:rsid w:val="05BE5B43"/>
    <w:rsid w:val="05CD4722"/>
    <w:rsid w:val="05D76C05"/>
    <w:rsid w:val="05EF21A1"/>
    <w:rsid w:val="05F23A3F"/>
    <w:rsid w:val="05FD666C"/>
    <w:rsid w:val="06174D6B"/>
    <w:rsid w:val="06193186"/>
    <w:rsid w:val="061C36E8"/>
    <w:rsid w:val="061D7121"/>
    <w:rsid w:val="062D43AF"/>
    <w:rsid w:val="063522A9"/>
    <w:rsid w:val="06581AF4"/>
    <w:rsid w:val="065B411A"/>
    <w:rsid w:val="066606B5"/>
    <w:rsid w:val="066E57BB"/>
    <w:rsid w:val="0675560D"/>
    <w:rsid w:val="06766E91"/>
    <w:rsid w:val="067D59FE"/>
    <w:rsid w:val="06872827"/>
    <w:rsid w:val="06954AF6"/>
    <w:rsid w:val="06B6300F"/>
    <w:rsid w:val="06BC02D5"/>
    <w:rsid w:val="06BF1B73"/>
    <w:rsid w:val="06CA6220"/>
    <w:rsid w:val="06D015CA"/>
    <w:rsid w:val="06DC2725"/>
    <w:rsid w:val="06DD4219"/>
    <w:rsid w:val="06E17D3B"/>
    <w:rsid w:val="06FD3126"/>
    <w:rsid w:val="07020F7E"/>
    <w:rsid w:val="07043A2A"/>
    <w:rsid w:val="072365A6"/>
    <w:rsid w:val="07491421"/>
    <w:rsid w:val="0764271A"/>
    <w:rsid w:val="07766562"/>
    <w:rsid w:val="07983134"/>
    <w:rsid w:val="079B438E"/>
    <w:rsid w:val="079B4DCC"/>
    <w:rsid w:val="07A559FD"/>
    <w:rsid w:val="07A56615"/>
    <w:rsid w:val="07A86AAB"/>
    <w:rsid w:val="07B97E7A"/>
    <w:rsid w:val="07CD2038"/>
    <w:rsid w:val="07D674EB"/>
    <w:rsid w:val="07E419C1"/>
    <w:rsid w:val="07F07584"/>
    <w:rsid w:val="08191757"/>
    <w:rsid w:val="081B45D3"/>
    <w:rsid w:val="08273292"/>
    <w:rsid w:val="0833672A"/>
    <w:rsid w:val="0836494C"/>
    <w:rsid w:val="083C2AAA"/>
    <w:rsid w:val="083F4D57"/>
    <w:rsid w:val="0849203C"/>
    <w:rsid w:val="084C0475"/>
    <w:rsid w:val="084C5688"/>
    <w:rsid w:val="087D5842"/>
    <w:rsid w:val="08830107"/>
    <w:rsid w:val="08952996"/>
    <w:rsid w:val="08A15138"/>
    <w:rsid w:val="08B126BD"/>
    <w:rsid w:val="08B35053"/>
    <w:rsid w:val="08CA02C5"/>
    <w:rsid w:val="08D57A2A"/>
    <w:rsid w:val="08D96F58"/>
    <w:rsid w:val="08E25530"/>
    <w:rsid w:val="08EC0C19"/>
    <w:rsid w:val="09000221"/>
    <w:rsid w:val="091638A9"/>
    <w:rsid w:val="092245B6"/>
    <w:rsid w:val="092C3B52"/>
    <w:rsid w:val="093C282C"/>
    <w:rsid w:val="09464F5D"/>
    <w:rsid w:val="09594684"/>
    <w:rsid w:val="096031D4"/>
    <w:rsid w:val="096A5228"/>
    <w:rsid w:val="096F5AD2"/>
    <w:rsid w:val="097430E9"/>
    <w:rsid w:val="0976217B"/>
    <w:rsid w:val="0978587B"/>
    <w:rsid w:val="09823FA4"/>
    <w:rsid w:val="098A290C"/>
    <w:rsid w:val="099472E7"/>
    <w:rsid w:val="099C619C"/>
    <w:rsid w:val="09AA7818"/>
    <w:rsid w:val="09AF3FF1"/>
    <w:rsid w:val="09B434E5"/>
    <w:rsid w:val="09BA75CF"/>
    <w:rsid w:val="09D75F4D"/>
    <w:rsid w:val="09D96DB9"/>
    <w:rsid w:val="09E10052"/>
    <w:rsid w:val="09E23A92"/>
    <w:rsid w:val="09E378C1"/>
    <w:rsid w:val="09F204B1"/>
    <w:rsid w:val="09FA784A"/>
    <w:rsid w:val="09FE6E56"/>
    <w:rsid w:val="0A003636"/>
    <w:rsid w:val="0A087689"/>
    <w:rsid w:val="0A164637"/>
    <w:rsid w:val="0A1748F5"/>
    <w:rsid w:val="0A23066B"/>
    <w:rsid w:val="0A2F1BEE"/>
    <w:rsid w:val="0A4B2A32"/>
    <w:rsid w:val="0A5025BB"/>
    <w:rsid w:val="0A593590"/>
    <w:rsid w:val="0A730BDB"/>
    <w:rsid w:val="0A740EC6"/>
    <w:rsid w:val="0A79472F"/>
    <w:rsid w:val="0A8719D4"/>
    <w:rsid w:val="0A943EDB"/>
    <w:rsid w:val="0AA479FE"/>
    <w:rsid w:val="0AB13EC9"/>
    <w:rsid w:val="0AC37758"/>
    <w:rsid w:val="0AC459AA"/>
    <w:rsid w:val="0ACE4A7B"/>
    <w:rsid w:val="0AEB5F77"/>
    <w:rsid w:val="0AEB73DB"/>
    <w:rsid w:val="0AF609B9"/>
    <w:rsid w:val="0B312ED6"/>
    <w:rsid w:val="0B3864F3"/>
    <w:rsid w:val="0B3F306A"/>
    <w:rsid w:val="0B451147"/>
    <w:rsid w:val="0B4E1717"/>
    <w:rsid w:val="0B6A3560"/>
    <w:rsid w:val="0B72560B"/>
    <w:rsid w:val="0B7C44A4"/>
    <w:rsid w:val="0B8B296C"/>
    <w:rsid w:val="0B8D3A82"/>
    <w:rsid w:val="0B994F3D"/>
    <w:rsid w:val="0B9F6EAA"/>
    <w:rsid w:val="0BBF789B"/>
    <w:rsid w:val="0BDA11FD"/>
    <w:rsid w:val="0BE81F8C"/>
    <w:rsid w:val="0BF2143B"/>
    <w:rsid w:val="0BF87246"/>
    <w:rsid w:val="0C032502"/>
    <w:rsid w:val="0C1734E6"/>
    <w:rsid w:val="0C1C796E"/>
    <w:rsid w:val="0C230DF6"/>
    <w:rsid w:val="0C26386E"/>
    <w:rsid w:val="0C27079F"/>
    <w:rsid w:val="0C2F1549"/>
    <w:rsid w:val="0C341E17"/>
    <w:rsid w:val="0C565721"/>
    <w:rsid w:val="0C617DA7"/>
    <w:rsid w:val="0C774C9E"/>
    <w:rsid w:val="0C796C68"/>
    <w:rsid w:val="0CA02447"/>
    <w:rsid w:val="0CC213EF"/>
    <w:rsid w:val="0CD143AE"/>
    <w:rsid w:val="0CD8573D"/>
    <w:rsid w:val="0CE057A4"/>
    <w:rsid w:val="0CF307C8"/>
    <w:rsid w:val="0CF66895"/>
    <w:rsid w:val="0D04253E"/>
    <w:rsid w:val="0D224DEC"/>
    <w:rsid w:val="0D257698"/>
    <w:rsid w:val="0D4021EB"/>
    <w:rsid w:val="0D4B4161"/>
    <w:rsid w:val="0D4D0CB5"/>
    <w:rsid w:val="0D662D48"/>
    <w:rsid w:val="0D692839"/>
    <w:rsid w:val="0D763DC7"/>
    <w:rsid w:val="0D8F2142"/>
    <w:rsid w:val="0DAD6BC9"/>
    <w:rsid w:val="0DAF3769"/>
    <w:rsid w:val="0DC17BDE"/>
    <w:rsid w:val="0DC7341B"/>
    <w:rsid w:val="0DCD2DC7"/>
    <w:rsid w:val="0DD442AC"/>
    <w:rsid w:val="0DDE3227"/>
    <w:rsid w:val="0DED6FC6"/>
    <w:rsid w:val="0E032C8D"/>
    <w:rsid w:val="0E1374B2"/>
    <w:rsid w:val="0E200FBD"/>
    <w:rsid w:val="0E26331D"/>
    <w:rsid w:val="0E2B1A3F"/>
    <w:rsid w:val="0E323EEA"/>
    <w:rsid w:val="0E386761"/>
    <w:rsid w:val="0E387AD5"/>
    <w:rsid w:val="0E3C619F"/>
    <w:rsid w:val="0E402E42"/>
    <w:rsid w:val="0E4D442B"/>
    <w:rsid w:val="0E4F5ED2"/>
    <w:rsid w:val="0E531032"/>
    <w:rsid w:val="0E607D8F"/>
    <w:rsid w:val="0E6B25E0"/>
    <w:rsid w:val="0E6E1A3D"/>
    <w:rsid w:val="0E7B2823"/>
    <w:rsid w:val="0E985462"/>
    <w:rsid w:val="0EA31169"/>
    <w:rsid w:val="0EA46347"/>
    <w:rsid w:val="0EAE293C"/>
    <w:rsid w:val="0EBA030B"/>
    <w:rsid w:val="0EC514D3"/>
    <w:rsid w:val="0EC92BE4"/>
    <w:rsid w:val="0ED450E5"/>
    <w:rsid w:val="0EDC7874"/>
    <w:rsid w:val="0EDE1004"/>
    <w:rsid w:val="0EE455CE"/>
    <w:rsid w:val="0F0201D5"/>
    <w:rsid w:val="0F0C3DC3"/>
    <w:rsid w:val="0F1669F0"/>
    <w:rsid w:val="0F20161D"/>
    <w:rsid w:val="0F2468DC"/>
    <w:rsid w:val="0F2C3307"/>
    <w:rsid w:val="0F490B74"/>
    <w:rsid w:val="0F612922"/>
    <w:rsid w:val="0F6A2898"/>
    <w:rsid w:val="0F7C5C33"/>
    <w:rsid w:val="0F8830AB"/>
    <w:rsid w:val="0F8C4DFC"/>
    <w:rsid w:val="0F911B6A"/>
    <w:rsid w:val="0F9350B3"/>
    <w:rsid w:val="0FA03968"/>
    <w:rsid w:val="0FB9666D"/>
    <w:rsid w:val="0FC02170"/>
    <w:rsid w:val="0FCD490A"/>
    <w:rsid w:val="0FD94011"/>
    <w:rsid w:val="0FDB1561"/>
    <w:rsid w:val="0FDC3796"/>
    <w:rsid w:val="0FE20396"/>
    <w:rsid w:val="0FE64614"/>
    <w:rsid w:val="0FEF4B78"/>
    <w:rsid w:val="0FF44CAF"/>
    <w:rsid w:val="0FFA68BF"/>
    <w:rsid w:val="0FFB57ED"/>
    <w:rsid w:val="10147D79"/>
    <w:rsid w:val="101A38BF"/>
    <w:rsid w:val="103319CE"/>
    <w:rsid w:val="1053255D"/>
    <w:rsid w:val="10745C81"/>
    <w:rsid w:val="107F5461"/>
    <w:rsid w:val="10866C19"/>
    <w:rsid w:val="108852D4"/>
    <w:rsid w:val="10895F3F"/>
    <w:rsid w:val="10923E54"/>
    <w:rsid w:val="109B402A"/>
    <w:rsid w:val="10C81F6C"/>
    <w:rsid w:val="10DC6C37"/>
    <w:rsid w:val="10DE74B8"/>
    <w:rsid w:val="10ED4953"/>
    <w:rsid w:val="10EE73C4"/>
    <w:rsid w:val="11047D4A"/>
    <w:rsid w:val="110B46B3"/>
    <w:rsid w:val="110E3E23"/>
    <w:rsid w:val="11272BFC"/>
    <w:rsid w:val="112A47AE"/>
    <w:rsid w:val="112F176A"/>
    <w:rsid w:val="113373E5"/>
    <w:rsid w:val="11447809"/>
    <w:rsid w:val="11455BEF"/>
    <w:rsid w:val="11463596"/>
    <w:rsid w:val="11496C09"/>
    <w:rsid w:val="114E4E69"/>
    <w:rsid w:val="116166BB"/>
    <w:rsid w:val="11762537"/>
    <w:rsid w:val="11763776"/>
    <w:rsid w:val="117D2D56"/>
    <w:rsid w:val="118202CC"/>
    <w:rsid w:val="118F4880"/>
    <w:rsid w:val="119F4776"/>
    <w:rsid w:val="11A26015"/>
    <w:rsid w:val="11AD520E"/>
    <w:rsid w:val="11C52008"/>
    <w:rsid w:val="11C92A3E"/>
    <w:rsid w:val="11CA7B52"/>
    <w:rsid w:val="11D83498"/>
    <w:rsid w:val="11E12C61"/>
    <w:rsid w:val="11E36C0A"/>
    <w:rsid w:val="11F12DFD"/>
    <w:rsid w:val="11F36B75"/>
    <w:rsid w:val="120B60D0"/>
    <w:rsid w:val="120C667C"/>
    <w:rsid w:val="12254D7A"/>
    <w:rsid w:val="125067AE"/>
    <w:rsid w:val="12555F4A"/>
    <w:rsid w:val="126258F2"/>
    <w:rsid w:val="12641821"/>
    <w:rsid w:val="12655CC4"/>
    <w:rsid w:val="12687563"/>
    <w:rsid w:val="126A05CE"/>
    <w:rsid w:val="126F630A"/>
    <w:rsid w:val="127675C8"/>
    <w:rsid w:val="12777DB2"/>
    <w:rsid w:val="1279413F"/>
    <w:rsid w:val="128F7E23"/>
    <w:rsid w:val="12A72F62"/>
    <w:rsid w:val="12D01AA0"/>
    <w:rsid w:val="12F26CE8"/>
    <w:rsid w:val="12F86B39"/>
    <w:rsid w:val="13117BFA"/>
    <w:rsid w:val="13273F77"/>
    <w:rsid w:val="132A4818"/>
    <w:rsid w:val="133B7A1B"/>
    <w:rsid w:val="1349132A"/>
    <w:rsid w:val="134E3EF1"/>
    <w:rsid w:val="135079C0"/>
    <w:rsid w:val="136E0BA9"/>
    <w:rsid w:val="13702952"/>
    <w:rsid w:val="13785553"/>
    <w:rsid w:val="1385255D"/>
    <w:rsid w:val="13922390"/>
    <w:rsid w:val="13A75A7B"/>
    <w:rsid w:val="13BE4ED6"/>
    <w:rsid w:val="13CF1953"/>
    <w:rsid w:val="13D33102"/>
    <w:rsid w:val="14257B71"/>
    <w:rsid w:val="14294AD0"/>
    <w:rsid w:val="14373FA7"/>
    <w:rsid w:val="144143EC"/>
    <w:rsid w:val="1442683F"/>
    <w:rsid w:val="14496F20"/>
    <w:rsid w:val="144E4536"/>
    <w:rsid w:val="14511D6C"/>
    <w:rsid w:val="145A4927"/>
    <w:rsid w:val="146B50E8"/>
    <w:rsid w:val="146D193E"/>
    <w:rsid w:val="14706BA3"/>
    <w:rsid w:val="147135EC"/>
    <w:rsid w:val="147F5AAD"/>
    <w:rsid w:val="14916F0D"/>
    <w:rsid w:val="149355B4"/>
    <w:rsid w:val="14AF5A72"/>
    <w:rsid w:val="14B940A6"/>
    <w:rsid w:val="14B95E54"/>
    <w:rsid w:val="14BE790E"/>
    <w:rsid w:val="14C4192C"/>
    <w:rsid w:val="14C41EF0"/>
    <w:rsid w:val="14DC0D52"/>
    <w:rsid w:val="14E16E52"/>
    <w:rsid w:val="14E46C49"/>
    <w:rsid w:val="14F05B37"/>
    <w:rsid w:val="14F31C4F"/>
    <w:rsid w:val="14F77A9A"/>
    <w:rsid w:val="14F96681"/>
    <w:rsid w:val="14FA175F"/>
    <w:rsid w:val="14FE7D0A"/>
    <w:rsid w:val="15052509"/>
    <w:rsid w:val="15192D96"/>
    <w:rsid w:val="15330ACE"/>
    <w:rsid w:val="153B0D35"/>
    <w:rsid w:val="153D4DC8"/>
    <w:rsid w:val="154C590A"/>
    <w:rsid w:val="154D6BB2"/>
    <w:rsid w:val="154F7287"/>
    <w:rsid w:val="15617D83"/>
    <w:rsid w:val="156F511F"/>
    <w:rsid w:val="1578154F"/>
    <w:rsid w:val="157F07B3"/>
    <w:rsid w:val="15821255"/>
    <w:rsid w:val="15937A9B"/>
    <w:rsid w:val="15A85596"/>
    <w:rsid w:val="15B02605"/>
    <w:rsid w:val="15CA2D3E"/>
    <w:rsid w:val="15D43E5C"/>
    <w:rsid w:val="15EA659E"/>
    <w:rsid w:val="15FB436B"/>
    <w:rsid w:val="15FF3D3A"/>
    <w:rsid w:val="160E298C"/>
    <w:rsid w:val="160E6673"/>
    <w:rsid w:val="1610275B"/>
    <w:rsid w:val="16150148"/>
    <w:rsid w:val="16274CFF"/>
    <w:rsid w:val="16286EE3"/>
    <w:rsid w:val="16374EE5"/>
    <w:rsid w:val="163E49FA"/>
    <w:rsid w:val="16500A3A"/>
    <w:rsid w:val="167F131F"/>
    <w:rsid w:val="16811F36"/>
    <w:rsid w:val="168F048A"/>
    <w:rsid w:val="169F7650"/>
    <w:rsid w:val="16B17802"/>
    <w:rsid w:val="16B72867"/>
    <w:rsid w:val="16C531D6"/>
    <w:rsid w:val="16CF5E02"/>
    <w:rsid w:val="16D510E5"/>
    <w:rsid w:val="16DD0F03"/>
    <w:rsid w:val="16E008E0"/>
    <w:rsid w:val="16E86EC4"/>
    <w:rsid w:val="16FE2244"/>
    <w:rsid w:val="170C256E"/>
    <w:rsid w:val="17101665"/>
    <w:rsid w:val="17171557"/>
    <w:rsid w:val="171B7D3E"/>
    <w:rsid w:val="171C4DC0"/>
    <w:rsid w:val="171E63FC"/>
    <w:rsid w:val="172402C6"/>
    <w:rsid w:val="1735378C"/>
    <w:rsid w:val="1740585E"/>
    <w:rsid w:val="174278B6"/>
    <w:rsid w:val="174D6A83"/>
    <w:rsid w:val="175243E7"/>
    <w:rsid w:val="17587F8B"/>
    <w:rsid w:val="175C172B"/>
    <w:rsid w:val="176D15DA"/>
    <w:rsid w:val="17796863"/>
    <w:rsid w:val="178847A7"/>
    <w:rsid w:val="17982698"/>
    <w:rsid w:val="17996410"/>
    <w:rsid w:val="179F2547"/>
    <w:rsid w:val="17AC6144"/>
    <w:rsid w:val="17BC58A0"/>
    <w:rsid w:val="17BE7C25"/>
    <w:rsid w:val="17C0574B"/>
    <w:rsid w:val="17DD62FD"/>
    <w:rsid w:val="17E847E5"/>
    <w:rsid w:val="17E86A50"/>
    <w:rsid w:val="18090306"/>
    <w:rsid w:val="180C2556"/>
    <w:rsid w:val="181066D2"/>
    <w:rsid w:val="181D7221"/>
    <w:rsid w:val="182664AC"/>
    <w:rsid w:val="183B3351"/>
    <w:rsid w:val="18461240"/>
    <w:rsid w:val="18507D87"/>
    <w:rsid w:val="1862578F"/>
    <w:rsid w:val="186A37DB"/>
    <w:rsid w:val="186D58D3"/>
    <w:rsid w:val="187D70D2"/>
    <w:rsid w:val="188325AC"/>
    <w:rsid w:val="18877F4D"/>
    <w:rsid w:val="18910E95"/>
    <w:rsid w:val="189F7928"/>
    <w:rsid w:val="18A85FE4"/>
    <w:rsid w:val="18AB6E88"/>
    <w:rsid w:val="18BB7179"/>
    <w:rsid w:val="18BC4164"/>
    <w:rsid w:val="18C64FE3"/>
    <w:rsid w:val="18CC405C"/>
    <w:rsid w:val="18CD0120"/>
    <w:rsid w:val="18DD095C"/>
    <w:rsid w:val="18E15979"/>
    <w:rsid w:val="18EB4A4A"/>
    <w:rsid w:val="18EC653E"/>
    <w:rsid w:val="18ED431E"/>
    <w:rsid w:val="18EF209C"/>
    <w:rsid w:val="190653E0"/>
    <w:rsid w:val="19244CB1"/>
    <w:rsid w:val="192835A8"/>
    <w:rsid w:val="19520625"/>
    <w:rsid w:val="196F567B"/>
    <w:rsid w:val="19792055"/>
    <w:rsid w:val="197B6AB0"/>
    <w:rsid w:val="197E3477"/>
    <w:rsid w:val="198D52F6"/>
    <w:rsid w:val="199073D8"/>
    <w:rsid w:val="19A27B50"/>
    <w:rsid w:val="19A5109C"/>
    <w:rsid w:val="19B00EC7"/>
    <w:rsid w:val="19B72B7E"/>
    <w:rsid w:val="19B73CF3"/>
    <w:rsid w:val="19D84FCE"/>
    <w:rsid w:val="19EA4D01"/>
    <w:rsid w:val="19ED4CE2"/>
    <w:rsid w:val="19EE31C6"/>
    <w:rsid w:val="1A0D5836"/>
    <w:rsid w:val="1A204069"/>
    <w:rsid w:val="1A2226ED"/>
    <w:rsid w:val="1A2B2279"/>
    <w:rsid w:val="1A3F504D"/>
    <w:rsid w:val="1A5034CD"/>
    <w:rsid w:val="1A5219EB"/>
    <w:rsid w:val="1A7E2634"/>
    <w:rsid w:val="1A871F5C"/>
    <w:rsid w:val="1A8D1520"/>
    <w:rsid w:val="1A930EF5"/>
    <w:rsid w:val="1A9A2283"/>
    <w:rsid w:val="1AA2382E"/>
    <w:rsid w:val="1AA44EB0"/>
    <w:rsid w:val="1AA524C6"/>
    <w:rsid w:val="1AAF7CE6"/>
    <w:rsid w:val="1AE23C2A"/>
    <w:rsid w:val="1AE85214"/>
    <w:rsid w:val="1AF41FB2"/>
    <w:rsid w:val="1B0921EA"/>
    <w:rsid w:val="1B106CD9"/>
    <w:rsid w:val="1B1E1622"/>
    <w:rsid w:val="1B1E2EB4"/>
    <w:rsid w:val="1B214753"/>
    <w:rsid w:val="1B334891"/>
    <w:rsid w:val="1B50328A"/>
    <w:rsid w:val="1B5E32B1"/>
    <w:rsid w:val="1B6F1B8E"/>
    <w:rsid w:val="1B740D26"/>
    <w:rsid w:val="1B8A679C"/>
    <w:rsid w:val="1B8E03C9"/>
    <w:rsid w:val="1B966EEF"/>
    <w:rsid w:val="1B9C202B"/>
    <w:rsid w:val="1BA25604"/>
    <w:rsid w:val="1BA5332B"/>
    <w:rsid w:val="1BA73E1C"/>
    <w:rsid w:val="1BA809D0"/>
    <w:rsid w:val="1BB62A4B"/>
    <w:rsid w:val="1BB75FC6"/>
    <w:rsid w:val="1BC534F8"/>
    <w:rsid w:val="1BC6420B"/>
    <w:rsid w:val="1BD553F5"/>
    <w:rsid w:val="1BDC7FC4"/>
    <w:rsid w:val="1BDD2D6F"/>
    <w:rsid w:val="1BE93A56"/>
    <w:rsid w:val="1BED73A5"/>
    <w:rsid w:val="1C186B24"/>
    <w:rsid w:val="1C2E35CB"/>
    <w:rsid w:val="1C4E5A01"/>
    <w:rsid w:val="1C533032"/>
    <w:rsid w:val="1C6175D8"/>
    <w:rsid w:val="1C6400EC"/>
    <w:rsid w:val="1C6459CC"/>
    <w:rsid w:val="1C672639"/>
    <w:rsid w:val="1C6957C9"/>
    <w:rsid w:val="1C7D3892"/>
    <w:rsid w:val="1C8368B2"/>
    <w:rsid w:val="1C894C01"/>
    <w:rsid w:val="1C901A6A"/>
    <w:rsid w:val="1C9F1867"/>
    <w:rsid w:val="1CCC06EE"/>
    <w:rsid w:val="1CD06A24"/>
    <w:rsid w:val="1CD203FA"/>
    <w:rsid w:val="1CD2610F"/>
    <w:rsid w:val="1CD3795B"/>
    <w:rsid w:val="1CE4525D"/>
    <w:rsid w:val="1D0C5844"/>
    <w:rsid w:val="1D1866C7"/>
    <w:rsid w:val="1D1D0BA2"/>
    <w:rsid w:val="1D2162A6"/>
    <w:rsid w:val="1D2A0193"/>
    <w:rsid w:val="1D353A79"/>
    <w:rsid w:val="1D355EE5"/>
    <w:rsid w:val="1D46056A"/>
    <w:rsid w:val="1D57445C"/>
    <w:rsid w:val="1D606D68"/>
    <w:rsid w:val="1D6848BB"/>
    <w:rsid w:val="1D9476AD"/>
    <w:rsid w:val="1DC00253"/>
    <w:rsid w:val="1DCA05AE"/>
    <w:rsid w:val="1DD97567"/>
    <w:rsid w:val="1DF36817"/>
    <w:rsid w:val="1E222CBC"/>
    <w:rsid w:val="1E227924"/>
    <w:rsid w:val="1E237E7E"/>
    <w:rsid w:val="1E3173A3"/>
    <w:rsid w:val="1E3649B9"/>
    <w:rsid w:val="1E403142"/>
    <w:rsid w:val="1E403CC1"/>
    <w:rsid w:val="1E4744D0"/>
    <w:rsid w:val="1E476644"/>
    <w:rsid w:val="1E55323B"/>
    <w:rsid w:val="1E583654"/>
    <w:rsid w:val="1E5866DD"/>
    <w:rsid w:val="1E6B7A49"/>
    <w:rsid w:val="1E71384E"/>
    <w:rsid w:val="1E7458D5"/>
    <w:rsid w:val="1E7C4258"/>
    <w:rsid w:val="1E8043CD"/>
    <w:rsid w:val="1E80451D"/>
    <w:rsid w:val="1E90507B"/>
    <w:rsid w:val="1E910554"/>
    <w:rsid w:val="1E980F5D"/>
    <w:rsid w:val="1E984D2C"/>
    <w:rsid w:val="1E9A3324"/>
    <w:rsid w:val="1EA1554F"/>
    <w:rsid w:val="1EA42DFD"/>
    <w:rsid w:val="1EAC4C7B"/>
    <w:rsid w:val="1EB26468"/>
    <w:rsid w:val="1EB51D82"/>
    <w:rsid w:val="1EBE3E0E"/>
    <w:rsid w:val="1EC57AEB"/>
    <w:rsid w:val="1ECF71CB"/>
    <w:rsid w:val="1ED24920"/>
    <w:rsid w:val="1EDA3609"/>
    <w:rsid w:val="1EF87EC0"/>
    <w:rsid w:val="1F064110"/>
    <w:rsid w:val="1F0B22A4"/>
    <w:rsid w:val="1F1D16D5"/>
    <w:rsid w:val="1F234E90"/>
    <w:rsid w:val="1F2411B4"/>
    <w:rsid w:val="1F2E29DB"/>
    <w:rsid w:val="1F3131EA"/>
    <w:rsid w:val="1F575B1C"/>
    <w:rsid w:val="1F594A05"/>
    <w:rsid w:val="1F5D7C45"/>
    <w:rsid w:val="1F5D7D23"/>
    <w:rsid w:val="1F5F5EED"/>
    <w:rsid w:val="1F735C14"/>
    <w:rsid w:val="1F741DA9"/>
    <w:rsid w:val="1F75747B"/>
    <w:rsid w:val="1F7F6523"/>
    <w:rsid w:val="1F827239"/>
    <w:rsid w:val="1F833C2E"/>
    <w:rsid w:val="1F861028"/>
    <w:rsid w:val="1F8E017D"/>
    <w:rsid w:val="1F901016"/>
    <w:rsid w:val="1F921359"/>
    <w:rsid w:val="1F953961"/>
    <w:rsid w:val="1FB30663"/>
    <w:rsid w:val="1FC11293"/>
    <w:rsid w:val="1FCA1455"/>
    <w:rsid w:val="1FE02E2E"/>
    <w:rsid w:val="1FE20550"/>
    <w:rsid w:val="1FE43FA1"/>
    <w:rsid w:val="1FE55564"/>
    <w:rsid w:val="1FEE2FFA"/>
    <w:rsid w:val="1FF24A6E"/>
    <w:rsid w:val="1FFB116E"/>
    <w:rsid w:val="20093231"/>
    <w:rsid w:val="20164E1B"/>
    <w:rsid w:val="201E24DC"/>
    <w:rsid w:val="20266AD9"/>
    <w:rsid w:val="202A40A9"/>
    <w:rsid w:val="202E4A5B"/>
    <w:rsid w:val="20306650"/>
    <w:rsid w:val="20390790"/>
    <w:rsid w:val="20480286"/>
    <w:rsid w:val="20541126"/>
    <w:rsid w:val="2057760C"/>
    <w:rsid w:val="20586E69"/>
    <w:rsid w:val="206501B7"/>
    <w:rsid w:val="207D242B"/>
    <w:rsid w:val="207F2647"/>
    <w:rsid w:val="20894DCF"/>
    <w:rsid w:val="208E297D"/>
    <w:rsid w:val="209422D1"/>
    <w:rsid w:val="209D07B0"/>
    <w:rsid w:val="209D1BFD"/>
    <w:rsid w:val="209E0592"/>
    <w:rsid w:val="20BA367F"/>
    <w:rsid w:val="20BE4F05"/>
    <w:rsid w:val="20C74551"/>
    <w:rsid w:val="20D86B7A"/>
    <w:rsid w:val="20DC62FD"/>
    <w:rsid w:val="20DD368C"/>
    <w:rsid w:val="20E17D82"/>
    <w:rsid w:val="20E57FD0"/>
    <w:rsid w:val="20EC1A7B"/>
    <w:rsid w:val="20EE2CD0"/>
    <w:rsid w:val="20F45A5C"/>
    <w:rsid w:val="20F46465"/>
    <w:rsid w:val="20FE516C"/>
    <w:rsid w:val="210963B5"/>
    <w:rsid w:val="21326DF6"/>
    <w:rsid w:val="21336D37"/>
    <w:rsid w:val="21387130"/>
    <w:rsid w:val="213A7145"/>
    <w:rsid w:val="214271D1"/>
    <w:rsid w:val="21472A39"/>
    <w:rsid w:val="214E201A"/>
    <w:rsid w:val="21511FBB"/>
    <w:rsid w:val="215270C6"/>
    <w:rsid w:val="215E6BC2"/>
    <w:rsid w:val="216751DD"/>
    <w:rsid w:val="2169116B"/>
    <w:rsid w:val="216C1EE4"/>
    <w:rsid w:val="21843C8D"/>
    <w:rsid w:val="218827FC"/>
    <w:rsid w:val="21A63E41"/>
    <w:rsid w:val="21AA3E14"/>
    <w:rsid w:val="21AF4101"/>
    <w:rsid w:val="21B31113"/>
    <w:rsid w:val="21DA2A7F"/>
    <w:rsid w:val="21DB2D8A"/>
    <w:rsid w:val="21E35CA4"/>
    <w:rsid w:val="21E36685"/>
    <w:rsid w:val="21EA6935"/>
    <w:rsid w:val="21FC1A76"/>
    <w:rsid w:val="220E0881"/>
    <w:rsid w:val="221768AF"/>
    <w:rsid w:val="221B3044"/>
    <w:rsid w:val="221B63A0"/>
    <w:rsid w:val="22280ABD"/>
    <w:rsid w:val="223C7269"/>
    <w:rsid w:val="224363F2"/>
    <w:rsid w:val="22476B6D"/>
    <w:rsid w:val="22484450"/>
    <w:rsid w:val="22484D4A"/>
    <w:rsid w:val="225B0691"/>
    <w:rsid w:val="22603B23"/>
    <w:rsid w:val="226C370B"/>
    <w:rsid w:val="22775899"/>
    <w:rsid w:val="2294282A"/>
    <w:rsid w:val="2297614E"/>
    <w:rsid w:val="22A04AF7"/>
    <w:rsid w:val="22A939AB"/>
    <w:rsid w:val="22B30173"/>
    <w:rsid w:val="22B825D4"/>
    <w:rsid w:val="22B83BA2"/>
    <w:rsid w:val="22B97967"/>
    <w:rsid w:val="22C407E5"/>
    <w:rsid w:val="22C60987"/>
    <w:rsid w:val="22CC21EE"/>
    <w:rsid w:val="22CE366F"/>
    <w:rsid w:val="22CE51C0"/>
    <w:rsid w:val="22D10D3B"/>
    <w:rsid w:val="22DB7761"/>
    <w:rsid w:val="22DE12F2"/>
    <w:rsid w:val="22EA2355"/>
    <w:rsid w:val="22ED59B8"/>
    <w:rsid w:val="22ED6D8E"/>
    <w:rsid w:val="22F41C77"/>
    <w:rsid w:val="230F1351"/>
    <w:rsid w:val="23137077"/>
    <w:rsid w:val="23197621"/>
    <w:rsid w:val="23312668"/>
    <w:rsid w:val="234234BF"/>
    <w:rsid w:val="2348437C"/>
    <w:rsid w:val="234C7A2C"/>
    <w:rsid w:val="23503E27"/>
    <w:rsid w:val="23662F33"/>
    <w:rsid w:val="236F480B"/>
    <w:rsid w:val="23786D42"/>
    <w:rsid w:val="237C6D85"/>
    <w:rsid w:val="237E3B0E"/>
    <w:rsid w:val="23817090"/>
    <w:rsid w:val="23897339"/>
    <w:rsid w:val="239A492C"/>
    <w:rsid w:val="239A690D"/>
    <w:rsid w:val="23AE4C6F"/>
    <w:rsid w:val="23B10013"/>
    <w:rsid w:val="23B107B5"/>
    <w:rsid w:val="23C30A9D"/>
    <w:rsid w:val="23E37484"/>
    <w:rsid w:val="23EA4DB9"/>
    <w:rsid w:val="23EF1892"/>
    <w:rsid w:val="23F301D4"/>
    <w:rsid w:val="23FA4FC7"/>
    <w:rsid w:val="23FF441C"/>
    <w:rsid w:val="24134E54"/>
    <w:rsid w:val="241430A6"/>
    <w:rsid w:val="242C7C6D"/>
    <w:rsid w:val="24527D1C"/>
    <w:rsid w:val="24540E0D"/>
    <w:rsid w:val="24731B19"/>
    <w:rsid w:val="24741D97"/>
    <w:rsid w:val="24831FDA"/>
    <w:rsid w:val="2493330E"/>
    <w:rsid w:val="249B79CB"/>
    <w:rsid w:val="24C976D9"/>
    <w:rsid w:val="24DD195C"/>
    <w:rsid w:val="24DD5B8E"/>
    <w:rsid w:val="251A4089"/>
    <w:rsid w:val="251B2CBA"/>
    <w:rsid w:val="25224EB9"/>
    <w:rsid w:val="25305AA4"/>
    <w:rsid w:val="254B11E9"/>
    <w:rsid w:val="256B33B0"/>
    <w:rsid w:val="256F33D6"/>
    <w:rsid w:val="25781413"/>
    <w:rsid w:val="25903A26"/>
    <w:rsid w:val="25912353"/>
    <w:rsid w:val="259E3DFE"/>
    <w:rsid w:val="25A62424"/>
    <w:rsid w:val="25A87585"/>
    <w:rsid w:val="25B032A3"/>
    <w:rsid w:val="25B274C5"/>
    <w:rsid w:val="25B57BF8"/>
    <w:rsid w:val="25B61212"/>
    <w:rsid w:val="25C1038E"/>
    <w:rsid w:val="25C805EC"/>
    <w:rsid w:val="25D23219"/>
    <w:rsid w:val="25D30D3F"/>
    <w:rsid w:val="25D662AC"/>
    <w:rsid w:val="25D725DE"/>
    <w:rsid w:val="25D80F10"/>
    <w:rsid w:val="25D845A8"/>
    <w:rsid w:val="25D94969"/>
    <w:rsid w:val="25E02C47"/>
    <w:rsid w:val="25E46AA9"/>
    <w:rsid w:val="25EA4993"/>
    <w:rsid w:val="25FC09DE"/>
    <w:rsid w:val="26017BA4"/>
    <w:rsid w:val="26042044"/>
    <w:rsid w:val="26085E8F"/>
    <w:rsid w:val="26152236"/>
    <w:rsid w:val="262650A6"/>
    <w:rsid w:val="262D66A1"/>
    <w:rsid w:val="264015EA"/>
    <w:rsid w:val="26435EC5"/>
    <w:rsid w:val="264F2CF7"/>
    <w:rsid w:val="265A6D6B"/>
    <w:rsid w:val="26632F83"/>
    <w:rsid w:val="266624F6"/>
    <w:rsid w:val="2667779F"/>
    <w:rsid w:val="2670194D"/>
    <w:rsid w:val="26706312"/>
    <w:rsid w:val="268D6E58"/>
    <w:rsid w:val="26B41EF1"/>
    <w:rsid w:val="26C10153"/>
    <w:rsid w:val="26C568DA"/>
    <w:rsid w:val="26CB6FCD"/>
    <w:rsid w:val="26FC6002"/>
    <w:rsid w:val="270154CB"/>
    <w:rsid w:val="271909D4"/>
    <w:rsid w:val="271C6DA8"/>
    <w:rsid w:val="272730F1"/>
    <w:rsid w:val="273E22EF"/>
    <w:rsid w:val="273E538F"/>
    <w:rsid w:val="27493728"/>
    <w:rsid w:val="275D2FB6"/>
    <w:rsid w:val="276E0D20"/>
    <w:rsid w:val="277A3B68"/>
    <w:rsid w:val="27893DAB"/>
    <w:rsid w:val="27896EEB"/>
    <w:rsid w:val="278E767D"/>
    <w:rsid w:val="27927FCF"/>
    <w:rsid w:val="27990685"/>
    <w:rsid w:val="27A71D1F"/>
    <w:rsid w:val="27B16E5E"/>
    <w:rsid w:val="27B304D6"/>
    <w:rsid w:val="27CD18B0"/>
    <w:rsid w:val="27E56B08"/>
    <w:rsid w:val="2815563F"/>
    <w:rsid w:val="281D775F"/>
    <w:rsid w:val="28285372"/>
    <w:rsid w:val="28294829"/>
    <w:rsid w:val="284231E3"/>
    <w:rsid w:val="286430F4"/>
    <w:rsid w:val="286F31E6"/>
    <w:rsid w:val="287C121A"/>
    <w:rsid w:val="289522DC"/>
    <w:rsid w:val="28A228B9"/>
    <w:rsid w:val="28A644E9"/>
    <w:rsid w:val="28AF4CD0"/>
    <w:rsid w:val="28B43BBE"/>
    <w:rsid w:val="28B766F6"/>
    <w:rsid w:val="28C7359A"/>
    <w:rsid w:val="28D07E2F"/>
    <w:rsid w:val="28D472A8"/>
    <w:rsid w:val="28D70C03"/>
    <w:rsid w:val="28ED0C57"/>
    <w:rsid w:val="28F01E57"/>
    <w:rsid w:val="28F039D3"/>
    <w:rsid w:val="28FA14B7"/>
    <w:rsid w:val="28FA38CA"/>
    <w:rsid w:val="28FB65E3"/>
    <w:rsid w:val="28FE2691"/>
    <w:rsid w:val="290955AA"/>
    <w:rsid w:val="290C07F0"/>
    <w:rsid w:val="290E2BA8"/>
    <w:rsid w:val="29104DBC"/>
    <w:rsid w:val="29220014"/>
    <w:rsid w:val="2925470E"/>
    <w:rsid w:val="29284BCD"/>
    <w:rsid w:val="292A31AF"/>
    <w:rsid w:val="292E607B"/>
    <w:rsid w:val="292F2579"/>
    <w:rsid w:val="29305248"/>
    <w:rsid w:val="2930705C"/>
    <w:rsid w:val="29323FCF"/>
    <w:rsid w:val="293B2E83"/>
    <w:rsid w:val="296C446F"/>
    <w:rsid w:val="29736AC1"/>
    <w:rsid w:val="2984712A"/>
    <w:rsid w:val="29855A01"/>
    <w:rsid w:val="29954C89"/>
    <w:rsid w:val="299E43D8"/>
    <w:rsid w:val="29BB2216"/>
    <w:rsid w:val="29C15A7E"/>
    <w:rsid w:val="29C74B0C"/>
    <w:rsid w:val="29C7539E"/>
    <w:rsid w:val="29CB28B7"/>
    <w:rsid w:val="29D22C34"/>
    <w:rsid w:val="29D23098"/>
    <w:rsid w:val="29D3130E"/>
    <w:rsid w:val="29D37D2A"/>
    <w:rsid w:val="29E74DB9"/>
    <w:rsid w:val="29EA3F34"/>
    <w:rsid w:val="29EC3253"/>
    <w:rsid w:val="2A054A6D"/>
    <w:rsid w:val="2A174F9B"/>
    <w:rsid w:val="2A1B4A63"/>
    <w:rsid w:val="2A295383"/>
    <w:rsid w:val="2A2E29E8"/>
    <w:rsid w:val="2A2F23AA"/>
    <w:rsid w:val="2A3047D0"/>
    <w:rsid w:val="2A3A00AE"/>
    <w:rsid w:val="2A3E70CF"/>
    <w:rsid w:val="2A3F5141"/>
    <w:rsid w:val="2A4144C9"/>
    <w:rsid w:val="2A4A6546"/>
    <w:rsid w:val="2A5306A1"/>
    <w:rsid w:val="2A554778"/>
    <w:rsid w:val="2A9A0973"/>
    <w:rsid w:val="2A9D41EA"/>
    <w:rsid w:val="2AA63B3A"/>
    <w:rsid w:val="2AA64209"/>
    <w:rsid w:val="2AA66A22"/>
    <w:rsid w:val="2AA8657D"/>
    <w:rsid w:val="2AAB4039"/>
    <w:rsid w:val="2AB7478C"/>
    <w:rsid w:val="2ACA2098"/>
    <w:rsid w:val="2ADE7DE6"/>
    <w:rsid w:val="2AF91248"/>
    <w:rsid w:val="2B0025D7"/>
    <w:rsid w:val="2B0100FD"/>
    <w:rsid w:val="2B0F45C8"/>
    <w:rsid w:val="2B104F3C"/>
    <w:rsid w:val="2B200A24"/>
    <w:rsid w:val="2B243F09"/>
    <w:rsid w:val="2B2A7653"/>
    <w:rsid w:val="2B527744"/>
    <w:rsid w:val="2B5C5333"/>
    <w:rsid w:val="2B646428"/>
    <w:rsid w:val="2B6A19C9"/>
    <w:rsid w:val="2B954435"/>
    <w:rsid w:val="2B9B1456"/>
    <w:rsid w:val="2B9D7E25"/>
    <w:rsid w:val="2B9F3B9D"/>
    <w:rsid w:val="2BA20325"/>
    <w:rsid w:val="2BAE2033"/>
    <w:rsid w:val="2BD525EC"/>
    <w:rsid w:val="2BD733BF"/>
    <w:rsid w:val="2BED3C76"/>
    <w:rsid w:val="2BF843E4"/>
    <w:rsid w:val="2C031445"/>
    <w:rsid w:val="2C0C6D59"/>
    <w:rsid w:val="2C281A2E"/>
    <w:rsid w:val="2C300C99"/>
    <w:rsid w:val="2C312229"/>
    <w:rsid w:val="2C385408"/>
    <w:rsid w:val="2C3F6C80"/>
    <w:rsid w:val="2C534988"/>
    <w:rsid w:val="2C571EC7"/>
    <w:rsid w:val="2C5D2C57"/>
    <w:rsid w:val="2C5D396B"/>
    <w:rsid w:val="2C666469"/>
    <w:rsid w:val="2C697694"/>
    <w:rsid w:val="2C6B3D64"/>
    <w:rsid w:val="2C7D1787"/>
    <w:rsid w:val="2C8B4122"/>
    <w:rsid w:val="2C8E0C84"/>
    <w:rsid w:val="2C9034E6"/>
    <w:rsid w:val="2C963DD8"/>
    <w:rsid w:val="2C9F7BCD"/>
    <w:rsid w:val="2CA568CE"/>
    <w:rsid w:val="2CA5726B"/>
    <w:rsid w:val="2CAA20D9"/>
    <w:rsid w:val="2CB43679"/>
    <w:rsid w:val="2CBE44F7"/>
    <w:rsid w:val="2CBE60A5"/>
    <w:rsid w:val="2CC03124"/>
    <w:rsid w:val="2CCB451E"/>
    <w:rsid w:val="2CCF19B6"/>
    <w:rsid w:val="2CE00E0B"/>
    <w:rsid w:val="2CE301DF"/>
    <w:rsid w:val="2CE51A84"/>
    <w:rsid w:val="2CF167F8"/>
    <w:rsid w:val="2CF27CFD"/>
    <w:rsid w:val="2CF51FE0"/>
    <w:rsid w:val="2D092FBB"/>
    <w:rsid w:val="2D1D6881"/>
    <w:rsid w:val="2D1E0AF2"/>
    <w:rsid w:val="2D2773F2"/>
    <w:rsid w:val="2D306A77"/>
    <w:rsid w:val="2D306BD8"/>
    <w:rsid w:val="2D310090"/>
    <w:rsid w:val="2D4B565F"/>
    <w:rsid w:val="2D5F1580"/>
    <w:rsid w:val="2D6A01DB"/>
    <w:rsid w:val="2D7B7CF2"/>
    <w:rsid w:val="2D9C4F36"/>
    <w:rsid w:val="2DAC25A2"/>
    <w:rsid w:val="2DB9081B"/>
    <w:rsid w:val="2DBD009A"/>
    <w:rsid w:val="2DC34FD9"/>
    <w:rsid w:val="2DC63869"/>
    <w:rsid w:val="2DE30128"/>
    <w:rsid w:val="2DF47AA5"/>
    <w:rsid w:val="2E0B0229"/>
    <w:rsid w:val="2E0F0F3C"/>
    <w:rsid w:val="2E246E9C"/>
    <w:rsid w:val="2E2613D8"/>
    <w:rsid w:val="2E2B5868"/>
    <w:rsid w:val="2E2C233B"/>
    <w:rsid w:val="2E303175"/>
    <w:rsid w:val="2E3C0B66"/>
    <w:rsid w:val="2E492020"/>
    <w:rsid w:val="2E516CA5"/>
    <w:rsid w:val="2E527297"/>
    <w:rsid w:val="2E5B675D"/>
    <w:rsid w:val="2E660397"/>
    <w:rsid w:val="2E6D22CD"/>
    <w:rsid w:val="2E702F2F"/>
    <w:rsid w:val="2E76495E"/>
    <w:rsid w:val="2E797ACE"/>
    <w:rsid w:val="2E864BA1"/>
    <w:rsid w:val="2E894691"/>
    <w:rsid w:val="2EA4771D"/>
    <w:rsid w:val="2EBC6814"/>
    <w:rsid w:val="2EBC745E"/>
    <w:rsid w:val="2EBF1E39"/>
    <w:rsid w:val="2EE8585B"/>
    <w:rsid w:val="2EFA7811"/>
    <w:rsid w:val="2F013B1D"/>
    <w:rsid w:val="2F0F0341"/>
    <w:rsid w:val="2F161B97"/>
    <w:rsid w:val="2F2B74F6"/>
    <w:rsid w:val="2F2D7712"/>
    <w:rsid w:val="2F3741C1"/>
    <w:rsid w:val="2F464330"/>
    <w:rsid w:val="2F5014DF"/>
    <w:rsid w:val="2F543364"/>
    <w:rsid w:val="2F5773CE"/>
    <w:rsid w:val="2F786ABA"/>
    <w:rsid w:val="2F88407E"/>
    <w:rsid w:val="2F8C2AAB"/>
    <w:rsid w:val="2F917CA1"/>
    <w:rsid w:val="2F9C21A2"/>
    <w:rsid w:val="2F9E23BE"/>
    <w:rsid w:val="2FA26486"/>
    <w:rsid w:val="2FAC4ADB"/>
    <w:rsid w:val="2FC61B20"/>
    <w:rsid w:val="2FCE6825"/>
    <w:rsid w:val="2FD302BA"/>
    <w:rsid w:val="2FDD2EE6"/>
    <w:rsid w:val="2FE73D65"/>
    <w:rsid w:val="30120B4B"/>
    <w:rsid w:val="3016768F"/>
    <w:rsid w:val="30242381"/>
    <w:rsid w:val="3025488D"/>
    <w:rsid w:val="302723B3"/>
    <w:rsid w:val="302A5D61"/>
    <w:rsid w:val="30314701"/>
    <w:rsid w:val="303365D2"/>
    <w:rsid w:val="30422DE6"/>
    <w:rsid w:val="30455DB9"/>
    <w:rsid w:val="304F32C8"/>
    <w:rsid w:val="3051666F"/>
    <w:rsid w:val="306058C5"/>
    <w:rsid w:val="307355F9"/>
    <w:rsid w:val="307750E9"/>
    <w:rsid w:val="308640A8"/>
    <w:rsid w:val="30885DC0"/>
    <w:rsid w:val="30962140"/>
    <w:rsid w:val="30B75CA3"/>
    <w:rsid w:val="30BA61BF"/>
    <w:rsid w:val="30CA6CB2"/>
    <w:rsid w:val="30CB71E3"/>
    <w:rsid w:val="30F1651D"/>
    <w:rsid w:val="30F92424"/>
    <w:rsid w:val="31083A68"/>
    <w:rsid w:val="311961A0"/>
    <w:rsid w:val="311A2314"/>
    <w:rsid w:val="313047C4"/>
    <w:rsid w:val="31440D43"/>
    <w:rsid w:val="31511AE1"/>
    <w:rsid w:val="31511DE2"/>
    <w:rsid w:val="316118F5"/>
    <w:rsid w:val="31684A32"/>
    <w:rsid w:val="317F5B12"/>
    <w:rsid w:val="31915AE2"/>
    <w:rsid w:val="319C18F5"/>
    <w:rsid w:val="319F0454"/>
    <w:rsid w:val="31AD4B3A"/>
    <w:rsid w:val="31B00187"/>
    <w:rsid w:val="31B51495"/>
    <w:rsid w:val="31BB6926"/>
    <w:rsid w:val="31CB65DF"/>
    <w:rsid w:val="31D70F7D"/>
    <w:rsid w:val="31E06CBE"/>
    <w:rsid w:val="31F4354B"/>
    <w:rsid w:val="32020ED9"/>
    <w:rsid w:val="320E382B"/>
    <w:rsid w:val="320F0293"/>
    <w:rsid w:val="3214086C"/>
    <w:rsid w:val="32146967"/>
    <w:rsid w:val="32156B53"/>
    <w:rsid w:val="322272D6"/>
    <w:rsid w:val="322A40C2"/>
    <w:rsid w:val="323E495E"/>
    <w:rsid w:val="32470AEB"/>
    <w:rsid w:val="325A522B"/>
    <w:rsid w:val="326438BC"/>
    <w:rsid w:val="32660DD6"/>
    <w:rsid w:val="326D48EE"/>
    <w:rsid w:val="32A36451"/>
    <w:rsid w:val="32A50B8B"/>
    <w:rsid w:val="32B441F2"/>
    <w:rsid w:val="32BE6195"/>
    <w:rsid w:val="32CB3E17"/>
    <w:rsid w:val="32CD53DA"/>
    <w:rsid w:val="32D101D8"/>
    <w:rsid w:val="32E24371"/>
    <w:rsid w:val="32E27A03"/>
    <w:rsid w:val="32F5106A"/>
    <w:rsid w:val="32FA28A9"/>
    <w:rsid w:val="32FF5D74"/>
    <w:rsid w:val="33093FF2"/>
    <w:rsid w:val="331F7AFB"/>
    <w:rsid w:val="3330332D"/>
    <w:rsid w:val="333B351C"/>
    <w:rsid w:val="33404BB6"/>
    <w:rsid w:val="33475A37"/>
    <w:rsid w:val="334A2D2A"/>
    <w:rsid w:val="335B36E0"/>
    <w:rsid w:val="336D632F"/>
    <w:rsid w:val="33747E85"/>
    <w:rsid w:val="337E678E"/>
    <w:rsid w:val="33920760"/>
    <w:rsid w:val="33B70377"/>
    <w:rsid w:val="33BB62A3"/>
    <w:rsid w:val="33C765D6"/>
    <w:rsid w:val="33DD29E8"/>
    <w:rsid w:val="33F702EF"/>
    <w:rsid w:val="34055216"/>
    <w:rsid w:val="34084966"/>
    <w:rsid w:val="34141E21"/>
    <w:rsid w:val="34196405"/>
    <w:rsid w:val="341C248F"/>
    <w:rsid w:val="341F5D90"/>
    <w:rsid w:val="34223120"/>
    <w:rsid w:val="342A5AD8"/>
    <w:rsid w:val="34313716"/>
    <w:rsid w:val="34394463"/>
    <w:rsid w:val="3447378F"/>
    <w:rsid w:val="34562DE4"/>
    <w:rsid w:val="34664767"/>
    <w:rsid w:val="34873874"/>
    <w:rsid w:val="348D0AA7"/>
    <w:rsid w:val="348F386A"/>
    <w:rsid w:val="3491097A"/>
    <w:rsid w:val="34B20145"/>
    <w:rsid w:val="34CA29A0"/>
    <w:rsid w:val="34E613C2"/>
    <w:rsid w:val="34EC08A5"/>
    <w:rsid w:val="34EC4175"/>
    <w:rsid w:val="34F34F5A"/>
    <w:rsid w:val="34F83B89"/>
    <w:rsid w:val="35044A71"/>
    <w:rsid w:val="3508688E"/>
    <w:rsid w:val="350C7DCA"/>
    <w:rsid w:val="350D655A"/>
    <w:rsid w:val="35102574"/>
    <w:rsid w:val="35154ED0"/>
    <w:rsid w:val="35205E36"/>
    <w:rsid w:val="3529333A"/>
    <w:rsid w:val="35300DF6"/>
    <w:rsid w:val="35370DDB"/>
    <w:rsid w:val="35457A02"/>
    <w:rsid w:val="35473A7B"/>
    <w:rsid w:val="354C3FD7"/>
    <w:rsid w:val="35542D72"/>
    <w:rsid w:val="355F1FA0"/>
    <w:rsid w:val="356C7461"/>
    <w:rsid w:val="356E5E6A"/>
    <w:rsid w:val="35754145"/>
    <w:rsid w:val="358129FE"/>
    <w:rsid w:val="35930D27"/>
    <w:rsid w:val="35964A7C"/>
    <w:rsid w:val="359A3628"/>
    <w:rsid w:val="35A3428A"/>
    <w:rsid w:val="35B93AAE"/>
    <w:rsid w:val="35C86BFD"/>
    <w:rsid w:val="35D15539"/>
    <w:rsid w:val="35E31B43"/>
    <w:rsid w:val="35E55EF7"/>
    <w:rsid w:val="35F9034E"/>
    <w:rsid w:val="360121C3"/>
    <w:rsid w:val="360327B6"/>
    <w:rsid w:val="361A2CBF"/>
    <w:rsid w:val="36247254"/>
    <w:rsid w:val="3649002E"/>
    <w:rsid w:val="364C4922"/>
    <w:rsid w:val="364E145F"/>
    <w:rsid w:val="36612E47"/>
    <w:rsid w:val="36743E79"/>
    <w:rsid w:val="36745C27"/>
    <w:rsid w:val="367F514D"/>
    <w:rsid w:val="36820EA6"/>
    <w:rsid w:val="369462C9"/>
    <w:rsid w:val="369D47D8"/>
    <w:rsid w:val="36AC53C0"/>
    <w:rsid w:val="36BB1D6C"/>
    <w:rsid w:val="36C44518"/>
    <w:rsid w:val="36F62AE0"/>
    <w:rsid w:val="36FF5B2A"/>
    <w:rsid w:val="3700570C"/>
    <w:rsid w:val="37097D3F"/>
    <w:rsid w:val="370A2D7C"/>
    <w:rsid w:val="374F3C24"/>
    <w:rsid w:val="37506D3E"/>
    <w:rsid w:val="37575F1F"/>
    <w:rsid w:val="37695E96"/>
    <w:rsid w:val="376B25BC"/>
    <w:rsid w:val="377528DC"/>
    <w:rsid w:val="37940F6D"/>
    <w:rsid w:val="37983C1D"/>
    <w:rsid w:val="37AC319E"/>
    <w:rsid w:val="37B02C8E"/>
    <w:rsid w:val="37BA1D5F"/>
    <w:rsid w:val="37D57655"/>
    <w:rsid w:val="37F02F4E"/>
    <w:rsid w:val="37F441BD"/>
    <w:rsid w:val="38096BE5"/>
    <w:rsid w:val="381150F3"/>
    <w:rsid w:val="382800C5"/>
    <w:rsid w:val="382A2A41"/>
    <w:rsid w:val="384215F6"/>
    <w:rsid w:val="38481119"/>
    <w:rsid w:val="38502C5C"/>
    <w:rsid w:val="385B0E4C"/>
    <w:rsid w:val="386E315D"/>
    <w:rsid w:val="3874658A"/>
    <w:rsid w:val="3875654D"/>
    <w:rsid w:val="38757F1A"/>
    <w:rsid w:val="38765537"/>
    <w:rsid w:val="388B2A0B"/>
    <w:rsid w:val="388E7474"/>
    <w:rsid w:val="38910D12"/>
    <w:rsid w:val="38975BFC"/>
    <w:rsid w:val="38A01102"/>
    <w:rsid w:val="38A548BE"/>
    <w:rsid w:val="38B46705"/>
    <w:rsid w:val="38CE7474"/>
    <w:rsid w:val="38D155B2"/>
    <w:rsid w:val="38D965C2"/>
    <w:rsid w:val="38DB3D3B"/>
    <w:rsid w:val="38E76B84"/>
    <w:rsid w:val="38EC1830"/>
    <w:rsid w:val="38F62A80"/>
    <w:rsid w:val="38FA1DA1"/>
    <w:rsid w:val="3901254B"/>
    <w:rsid w:val="391433B1"/>
    <w:rsid w:val="39176DE8"/>
    <w:rsid w:val="392645CB"/>
    <w:rsid w:val="39346043"/>
    <w:rsid w:val="39484145"/>
    <w:rsid w:val="395104A1"/>
    <w:rsid w:val="3959381A"/>
    <w:rsid w:val="395D7187"/>
    <w:rsid w:val="396277ED"/>
    <w:rsid w:val="396B3311"/>
    <w:rsid w:val="39725C4D"/>
    <w:rsid w:val="39783C80"/>
    <w:rsid w:val="397B6D35"/>
    <w:rsid w:val="39810D86"/>
    <w:rsid w:val="39964D8A"/>
    <w:rsid w:val="39980E3C"/>
    <w:rsid w:val="399D663C"/>
    <w:rsid w:val="39BF3113"/>
    <w:rsid w:val="39C0216A"/>
    <w:rsid w:val="39D9718E"/>
    <w:rsid w:val="39DB7374"/>
    <w:rsid w:val="39E92488"/>
    <w:rsid w:val="39E96AA9"/>
    <w:rsid w:val="3A183E5C"/>
    <w:rsid w:val="3A1E2469"/>
    <w:rsid w:val="3A31535B"/>
    <w:rsid w:val="3A4A3655"/>
    <w:rsid w:val="3A517E23"/>
    <w:rsid w:val="3A63048C"/>
    <w:rsid w:val="3A836438"/>
    <w:rsid w:val="3A8C1C1D"/>
    <w:rsid w:val="3AA609BA"/>
    <w:rsid w:val="3AAA1C17"/>
    <w:rsid w:val="3AB0495B"/>
    <w:rsid w:val="3AB93DEB"/>
    <w:rsid w:val="3ABD5DEE"/>
    <w:rsid w:val="3AC520C6"/>
    <w:rsid w:val="3ACF5B21"/>
    <w:rsid w:val="3AE578C5"/>
    <w:rsid w:val="3AF0532D"/>
    <w:rsid w:val="3AF87752"/>
    <w:rsid w:val="3AFF6974"/>
    <w:rsid w:val="3B005CDB"/>
    <w:rsid w:val="3B0125BF"/>
    <w:rsid w:val="3B1E2B70"/>
    <w:rsid w:val="3B241AE1"/>
    <w:rsid w:val="3B245E6D"/>
    <w:rsid w:val="3B281A9B"/>
    <w:rsid w:val="3B2E3644"/>
    <w:rsid w:val="3B312338"/>
    <w:rsid w:val="3B344F58"/>
    <w:rsid w:val="3B3616FD"/>
    <w:rsid w:val="3B4E4C98"/>
    <w:rsid w:val="3B585B17"/>
    <w:rsid w:val="3B6409B2"/>
    <w:rsid w:val="3B7010B2"/>
    <w:rsid w:val="3B710987"/>
    <w:rsid w:val="3B763F26"/>
    <w:rsid w:val="3B882F42"/>
    <w:rsid w:val="3B8C17C0"/>
    <w:rsid w:val="3B99189C"/>
    <w:rsid w:val="3B9F5704"/>
    <w:rsid w:val="3BB52241"/>
    <w:rsid w:val="3BBD7D90"/>
    <w:rsid w:val="3BC13358"/>
    <w:rsid w:val="3BC478ED"/>
    <w:rsid w:val="3BD5700A"/>
    <w:rsid w:val="3BF9276B"/>
    <w:rsid w:val="3C034C82"/>
    <w:rsid w:val="3C0863B9"/>
    <w:rsid w:val="3C08753D"/>
    <w:rsid w:val="3C1B0324"/>
    <w:rsid w:val="3C1E28BD"/>
    <w:rsid w:val="3C213F9F"/>
    <w:rsid w:val="3C3E2805"/>
    <w:rsid w:val="3C430C99"/>
    <w:rsid w:val="3C4D1D7D"/>
    <w:rsid w:val="3C533002"/>
    <w:rsid w:val="3C5F4C83"/>
    <w:rsid w:val="3C6060D1"/>
    <w:rsid w:val="3C740D90"/>
    <w:rsid w:val="3C7B42E0"/>
    <w:rsid w:val="3C7B738B"/>
    <w:rsid w:val="3C805325"/>
    <w:rsid w:val="3C88242C"/>
    <w:rsid w:val="3C8A3C61"/>
    <w:rsid w:val="3C8D7A42"/>
    <w:rsid w:val="3C9178C9"/>
    <w:rsid w:val="3C9A4ABB"/>
    <w:rsid w:val="3C9C7C85"/>
    <w:rsid w:val="3CA65E19"/>
    <w:rsid w:val="3CAD16C9"/>
    <w:rsid w:val="3CB42C45"/>
    <w:rsid w:val="3CD45671"/>
    <w:rsid w:val="3CD5085D"/>
    <w:rsid w:val="3CD64F45"/>
    <w:rsid w:val="3CDB4849"/>
    <w:rsid w:val="3CE55274"/>
    <w:rsid w:val="3CFE449C"/>
    <w:rsid w:val="3D09401E"/>
    <w:rsid w:val="3D3B749E"/>
    <w:rsid w:val="3D5200C7"/>
    <w:rsid w:val="3D5C1092"/>
    <w:rsid w:val="3D5C5392"/>
    <w:rsid w:val="3D6313C6"/>
    <w:rsid w:val="3D681E0B"/>
    <w:rsid w:val="3D7112EC"/>
    <w:rsid w:val="3D7A7E81"/>
    <w:rsid w:val="3D7F382F"/>
    <w:rsid w:val="3D801355"/>
    <w:rsid w:val="3D85696B"/>
    <w:rsid w:val="3D9A2417"/>
    <w:rsid w:val="3DAF5F60"/>
    <w:rsid w:val="3DC27784"/>
    <w:rsid w:val="3DD45157"/>
    <w:rsid w:val="3DD53087"/>
    <w:rsid w:val="3DDC1B5E"/>
    <w:rsid w:val="3DE25B6C"/>
    <w:rsid w:val="3DE41DD3"/>
    <w:rsid w:val="3DF83E33"/>
    <w:rsid w:val="3DFA4C63"/>
    <w:rsid w:val="3E077380"/>
    <w:rsid w:val="3E0E2387"/>
    <w:rsid w:val="3E1D6BA4"/>
    <w:rsid w:val="3E23488F"/>
    <w:rsid w:val="3E243004"/>
    <w:rsid w:val="3E286B24"/>
    <w:rsid w:val="3E377C66"/>
    <w:rsid w:val="3E530B58"/>
    <w:rsid w:val="3E543EF0"/>
    <w:rsid w:val="3E630EF3"/>
    <w:rsid w:val="3E906DBE"/>
    <w:rsid w:val="3EAF2C2A"/>
    <w:rsid w:val="3EC94A54"/>
    <w:rsid w:val="3ED1769E"/>
    <w:rsid w:val="3ED2185F"/>
    <w:rsid w:val="3EDF05EB"/>
    <w:rsid w:val="3EE31B9B"/>
    <w:rsid w:val="3EE33949"/>
    <w:rsid w:val="3EF0174C"/>
    <w:rsid w:val="3EF476F1"/>
    <w:rsid w:val="3EF81C13"/>
    <w:rsid w:val="3F033A0D"/>
    <w:rsid w:val="3F0673D9"/>
    <w:rsid w:val="3F1272F2"/>
    <w:rsid w:val="3F13624F"/>
    <w:rsid w:val="3F275F2C"/>
    <w:rsid w:val="3F2F4D90"/>
    <w:rsid w:val="3F3C64D5"/>
    <w:rsid w:val="3F446ADE"/>
    <w:rsid w:val="3F484A5E"/>
    <w:rsid w:val="3F4D432C"/>
    <w:rsid w:val="3F53354F"/>
    <w:rsid w:val="3F6800A0"/>
    <w:rsid w:val="3F724CCD"/>
    <w:rsid w:val="3F784F84"/>
    <w:rsid w:val="3F852345"/>
    <w:rsid w:val="3F936668"/>
    <w:rsid w:val="3F960B20"/>
    <w:rsid w:val="3F9C4D5C"/>
    <w:rsid w:val="3F9D1D4A"/>
    <w:rsid w:val="3FB60746"/>
    <w:rsid w:val="3FB73E22"/>
    <w:rsid w:val="3FB84DD6"/>
    <w:rsid w:val="3FCC7F5C"/>
    <w:rsid w:val="3FD40CF9"/>
    <w:rsid w:val="3FE85983"/>
    <w:rsid w:val="3FE945E8"/>
    <w:rsid w:val="400C5ECF"/>
    <w:rsid w:val="401144E6"/>
    <w:rsid w:val="40152228"/>
    <w:rsid w:val="401A339B"/>
    <w:rsid w:val="40215FCA"/>
    <w:rsid w:val="40277FDB"/>
    <w:rsid w:val="402A303B"/>
    <w:rsid w:val="40330901"/>
    <w:rsid w:val="40387CC5"/>
    <w:rsid w:val="406C29F5"/>
    <w:rsid w:val="4095597C"/>
    <w:rsid w:val="40965A4B"/>
    <w:rsid w:val="40A02B8A"/>
    <w:rsid w:val="40C23CEF"/>
    <w:rsid w:val="40C76A3C"/>
    <w:rsid w:val="40C902B3"/>
    <w:rsid w:val="40CD3D02"/>
    <w:rsid w:val="40D73786"/>
    <w:rsid w:val="40E137C9"/>
    <w:rsid w:val="40E204F1"/>
    <w:rsid w:val="40EF3533"/>
    <w:rsid w:val="40F57F6B"/>
    <w:rsid w:val="40FE00DF"/>
    <w:rsid w:val="410F6C78"/>
    <w:rsid w:val="411627AF"/>
    <w:rsid w:val="4117643C"/>
    <w:rsid w:val="411E42F7"/>
    <w:rsid w:val="411F7EE8"/>
    <w:rsid w:val="41272213"/>
    <w:rsid w:val="41316005"/>
    <w:rsid w:val="413848AB"/>
    <w:rsid w:val="413D22F2"/>
    <w:rsid w:val="41441A92"/>
    <w:rsid w:val="414A3DAF"/>
    <w:rsid w:val="4170110A"/>
    <w:rsid w:val="41727207"/>
    <w:rsid w:val="41754F6A"/>
    <w:rsid w:val="417C49FE"/>
    <w:rsid w:val="418D2B16"/>
    <w:rsid w:val="41962E1D"/>
    <w:rsid w:val="419A52AB"/>
    <w:rsid w:val="419B3AC2"/>
    <w:rsid w:val="419C61CD"/>
    <w:rsid w:val="41A02396"/>
    <w:rsid w:val="41A73354"/>
    <w:rsid w:val="41AF7801"/>
    <w:rsid w:val="41B04C61"/>
    <w:rsid w:val="41B31CF9"/>
    <w:rsid w:val="41B86666"/>
    <w:rsid w:val="41C56DF2"/>
    <w:rsid w:val="41D16D13"/>
    <w:rsid w:val="41D204F7"/>
    <w:rsid w:val="41DB1250"/>
    <w:rsid w:val="41EA623D"/>
    <w:rsid w:val="41EE4ADF"/>
    <w:rsid w:val="421B2AEF"/>
    <w:rsid w:val="42267415"/>
    <w:rsid w:val="42436E81"/>
    <w:rsid w:val="424F726D"/>
    <w:rsid w:val="425012F6"/>
    <w:rsid w:val="425F4FF1"/>
    <w:rsid w:val="42723962"/>
    <w:rsid w:val="427261A1"/>
    <w:rsid w:val="4293123A"/>
    <w:rsid w:val="42A81839"/>
    <w:rsid w:val="42A94EAA"/>
    <w:rsid w:val="42AF3336"/>
    <w:rsid w:val="42AF5830"/>
    <w:rsid w:val="42D02437"/>
    <w:rsid w:val="42D71A17"/>
    <w:rsid w:val="42FB5491"/>
    <w:rsid w:val="43476B9D"/>
    <w:rsid w:val="434E3053"/>
    <w:rsid w:val="43503578"/>
    <w:rsid w:val="435412BA"/>
    <w:rsid w:val="43566872"/>
    <w:rsid w:val="43645707"/>
    <w:rsid w:val="437F3437"/>
    <w:rsid w:val="438369FD"/>
    <w:rsid w:val="43853221"/>
    <w:rsid w:val="43A35D9D"/>
    <w:rsid w:val="43CC32AB"/>
    <w:rsid w:val="43CD4BC8"/>
    <w:rsid w:val="43D05F04"/>
    <w:rsid w:val="43F35431"/>
    <w:rsid w:val="43FD0316"/>
    <w:rsid w:val="441439A9"/>
    <w:rsid w:val="44184095"/>
    <w:rsid w:val="442A0DE4"/>
    <w:rsid w:val="442D0D2D"/>
    <w:rsid w:val="443910B9"/>
    <w:rsid w:val="444E7AB7"/>
    <w:rsid w:val="4450382F"/>
    <w:rsid w:val="4476700E"/>
    <w:rsid w:val="447B63D2"/>
    <w:rsid w:val="44952F1A"/>
    <w:rsid w:val="449A1098"/>
    <w:rsid w:val="44A60EAD"/>
    <w:rsid w:val="44A973E3"/>
    <w:rsid w:val="44BA339E"/>
    <w:rsid w:val="44BA6EFA"/>
    <w:rsid w:val="44BD5DC6"/>
    <w:rsid w:val="44BE2E8F"/>
    <w:rsid w:val="44BF70AF"/>
    <w:rsid w:val="44D67167"/>
    <w:rsid w:val="44DA759D"/>
    <w:rsid w:val="44EB17AA"/>
    <w:rsid w:val="45056DA9"/>
    <w:rsid w:val="4508410A"/>
    <w:rsid w:val="451445E0"/>
    <w:rsid w:val="451B5B91"/>
    <w:rsid w:val="4520176B"/>
    <w:rsid w:val="45290790"/>
    <w:rsid w:val="45354744"/>
    <w:rsid w:val="45371B26"/>
    <w:rsid w:val="453C2005"/>
    <w:rsid w:val="453C52A1"/>
    <w:rsid w:val="45412434"/>
    <w:rsid w:val="456F5F37"/>
    <w:rsid w:val="457F79FA"/>
    <w:rsid w:val="4597033D"/>
    <w:rsid w:val="45A60E00"/>
    <w:rsid w:val="45B96015"/>
    <w:rsid w:val="45C81AEB"/>
    <w:rsid w:val="45D40490"/>
    <w:rsid w:val="45DE2C28"/>
    <w:rsid w:val="45E62FA5"/>
    <w:rsid w:val="45F10DDE"/>
    <w:rsid w:val="45F2294E"/>
    <w:rsid w:val="46012189"/>
    <w:rsid w:val="460D2E47"/>
    <w:rsid w:val="462406C2"/>
    <w:rsid w:val="46250CEB"/>
    <w:rsid w:val="462F1B6A"/>
    <w:rsid w:val="463333B8"/>
    <w:rsid w:val="46333408"/>
    <w:rsid w:val="4635354C"/>
    <w:rsid w:val="464C1BF9"/>
    <w:rsid w:val="464E104B"/>
    <w:rsid w:val="46503FBA"/>
    <w:rsid w:val="465321F5"/>
    <w:rsid w:val="46614A63"/>
    <w:rsid w:val="4684570D"/>
    <w:rsid w:val="468C48C7"/>
    <w:rsid w:val="46937EF6"/>
    <w:rsid w:val="46957C1F"/>
    <w:rsid w:val="4698695F"/>
    <w:rsid w:val="46A25A47"/>
    <w:rsid w:val="46A272BB"/>
    <w:rsid w:val="46A44559"/>
    <w:rsid w:val="46A53C8F"/>
    <w:rsid w:val="46BF109C"/>
    <w:rsid w:val="46C84B9A"/>
    <w:rsid w:val="46D33C0B"/>
    <w:rsid w:val="46DA7239"/>
    <w:rsid w:val="46E22739"/>
    <w:rsid w:val="46FC7C9E"/>
    <w:rsid w:val="470533F0"/>
    <w:rsid w:val="47067B50"/>
    <w:rsid w:val="47293E4B"/>
    <w:rsid w:val="474632AD"/>
    <w:rsid w:val="47525B10"/>
    <w:rsid w:val="47575596"/>
    <w:rsid w:val="4760647F"/>
    <w:rsid w:val="477A0BC3"/>
    <w:rsid w:val="477C2B8D"/>
    <w:rsid w:val="4785375B"/>
    <w:rsid w:val="47867568"/>
    <w:rsid w:val="47981D85"/>
    <w:rsid w:val="47A143A2"/>
    <w:rsid w:val="47A97AA1"/>
    <w:rsid w:val="47AF4D11"/>
    <w:rsid w:val="47B02837"/>
    <w:rsid w:val="47B73BC5"/>
    <w:rsid w:val="47B87273"/>
    <w:rsid w:val="47C31F8A"/>
    <w:rsid w:val="47D042F4"/>
    <w:rsid w:val="47D4470C"/>
    <w:rsid w:val="47DE55F6"/>
    <w:rsid w:val="47DE73A4"/>
    <w:rsid w:val="47E10C42"/>
    <w:rsid w:val="47E251BA"/>
    <w:rsid w:val="47E86474"/>
    <w:rsid w:val="47EA7AF7"/>
    <w:rsid w:val="47F46BC7"/>
    <w:rsid w:val="47FB7F56"/>
    <w:rsid w:val="48082673"/>
    <w:rsid w:val="480C6483"/>
    <w:rsid w:val="4818077D"/>
    <w:rsid w:val="4861601B"/>
    <w:rsid w:val="48620246"/>
    <w:rsid w:val="48693111"/>
    <w:rsid w:val="48763B2E"/>
    <w:rsid w:val="487B278C"/>
    <w:rsid w:val="48877A3B"/>
    <w:rsid w:val="489A151D"/>
    <w:rsid w:val="489D7EF5"/>
    <w:rsid w:val="48AB197C"/>
    <w:rsid w:val="48B9571B"/>
    <w:rsid w:val="48C94ACF"/>
    <w:rsid w:val="48D32A07"/>
    <w:rsid w:val="48D60FB7"/>
    <w:rsid w:val="48E41A34"/>
    <w:rsid w:val="48FF6683"/>
    <w:rsid w:val="490B63E4"/>
    <w:rsid w:val="4910358D"/>
    <w:rsid w:val="491969FE"/>
    <w:rsid w:val="491B0651"/>
    <w:rsid w:val="49262DB0"/>
    <w:rsid w:val="49316F70"/>
    <w:rsid w:val="49354B73"/>
    <w:rsid w:val="49430694"/>
    <w:rsid w:val="494B067F"/>
    <w:rsid w:val="4958559D"/>
    <w:rsid w:val="496B5297"/>
    <w:rsid w:val="496B7702"/>
    <w:rsid w:val="496C1537"/>
    <w:rsid w:val="4971419F"/>
    <w:rsid w:val="49965004"/>
    <w:rsid w:val="49B75C30"/>
    <w:rsid w:val="49BA08BB"/>
    <w:rsid w:val="49C00123"/>
    <w:rsid w:val="49C12AD9"/>
    <w:rsid w:val="49C425C9"/>
    <w:rsid w:val="49CA0041"/>
    <w:rsid w:val="49E912DD"/>
    <w:rsid w:val="49F303F1"/>
    <w:rsid w:val="49F61983"/>
    <w:rsid w:val="49FC0479"/>
    <w:rsid w:val="4A0A7FEC"/>
    <w:rsid w:val="4A205F74"/>
    <w:rsid w:val="4A4134C4"/>
    <w:rsid w:val="4A4A0D21"/>
    <w:rsid w:val="4A565917"/>
    <w:rsid w:val="4A6E58D7"/>
    <w:rsid w:val="4A7600D6"/>
    <w:rsid w:val="4A82670C"/>
    <w:rsid w:val="4A8E30D4"/>
    <w:rsid w:val="4A904BD7"/>
    <w:rsid w:val="4A9602BB"/>
    <w:rsid w:val="4A9E35E1"/>
    <w:rsid w:val="4AAD6656"/>
    <w:rsid w:val="4AB42C34"/>
    <w:rsid w:val="4AC666BA"/>
    <w:rsid w:val="4ACB00B3"/>
    <w:rsid w:val="4AE0197E"/>
    <w:rsid w:val="4AE051E1"/>
    <w:rsid w:val="4B0C247A"/>
    <w:rsid w:val="4B104F5F"/>
    <w:rsid w:val="4B223655"/>
    <w:rsid w:val="4B2C0426"/>
    <w:rsid w:val="4B5856BF"/>
    <w:rsid w:val="4B6E5BCE"/>
    <w:rsid w:val="4B702A09"/>
    <w:rsid w:val="4B8E06C7"/>
    <w:rsid w:val="4B9A4B35"/>
    <w:rsid w:val="4B9C37FE"/>
    <w:rsid w:val="4BBD5522"/>
    <w:rsid w:val="4BC70D12"/>
    <w:rsid w:val="4BC93EC7"/>
    <w:rsid w:val="4BCF051C"/>
    <w:rsid w:val="4BCF5FC3"/>
    <w:rsid w:val="4BD101BC"/>
    <w:rsid w:val="4C0B6445"/>
    <w:rsid w:val="4C106F46"/>
    <w:rsid w:val="4C32342C"/>
    <w:rsid w:val="4C404189"/>
    <w:rsid w:val="4C516396"/>
    <w:rsid w:val="4C543C71"/>
    <w:rsid w:val="4C5C7A55"/>
    <w:rsid w:val="4C6A2F10"/>
    <w:rsid w:val="4C797801"/>
    <w:rsid w:val="4C8D1398"/>
    <w:rsid w:val="4CB107E4"/>
    <w:rsid w:val="4CB94D2B"/>
    <w:rsid w:val="4CCC39DE"/>
    <w:rsid w:val="4CD40D75"/>
    <w:rsid w:val="4CD85068"/>
    <w:rsid w:val="4CD95B69"/>
    <w:rsid w:val="4CE865CF"/>
    <w:rsid w:val="4D0E6DD4"/>
    <w:rsid w:val="4D580688"/>
    <w:rsid w:val="4D5D6FBD"/>
    <w:rsid w:val="4D6F1869"/>
    <w:rsid w:val="4D7038FF"/>
    <w:rsid w:val="4D73233C"/>
    <w:rsid w:val="4D866A22"/>
    <w:rsid w:val="4D925E17"/>
    <w:rsid w:val="4DA62997"/>
    <w:rsid w:val="4DB01BCC"/>
    <w:rsid w:val="4DC35387"/>
    <w:rsid w:val="4DE1199C"/>
    <w:rsid w:val="4DF25957"/>
    <w:rsid w:val="4DF71D69"/>
    <w:rsid w:val="4E035DB6"/>
    <w:rsid w:val="4E081CDD"/>
    <w:rsid w:val="4E08517B"/>
    <w:rsid w:val="4E141D71"/>
    <w:rsid w:val="4E1517F6"/>
    <w:rsid w:val="4E171177"/>
    <w:rsid w:val="4E1E76B5"/>
    <w:rsid w:val="4E1F24C4"/>
    <w:rsid w:val="4E233B24"/>
    <w:rsid w:val="4E331BD9"/>
    <w:rsid w:val="4E3A64D8"/>
    <w:rsid w:val="4E3C045A"/>
    <w:rsid w:val="4E401513"/>
    <w:rsid w:val="4E4833F3"/>
    <w:rsid w:val="4E683E6B"/>
    <w:rsid w:val="4E6A05F6"/>
    <w:rsid w:val="4E8F13F8"/>
    <w:rsid w:val="4EA21CBF"/>
    <w:rsid w:val="4EB0594F"/>
    <w:rsid w:val="4EC761BE"/>
    <w:rsid w:val="4EEC23CE"/>
    <w:rsid w:val="4EF1602C"/>
    <w:rsid w:val="4EFD0A57"/>
    <w:rsid w:val="4F165488"/>
    <w:rsid w:val="4F251D5C"/>
    <w:rsid w:val="4F4055E4"/>
    <w:rsid w:val="4F416B96"/>
    <w:rsid w:val="4F4A6712"/>
    <w:rsid w:val="4F5166AD"/>
    <w:rsid w:val="4F563CC4"/>
    <w:rsid w:val="4F574FB7"/>
    <w:rsid w:val="4F5C1280"/>
    <w:rsid w:val="4F6818D0"/>
    <w:rsid w:val="4F6C1739"/>
    <w:rsid w:val="4F736F6E"/>
    <w:rsid w:val="4FB5530E"/>
    <w:rsid w:val="4FB877DB"/>
    <w:rsid w:val="4FB94F32"/>
    <w:rsid w:val="4FC652ED"/>
    <w:rsid w:val="4FD30101"/>
    <w:rsid w:val="4FD33566"/>
    <w:rsid w:val="4FD82315"/>
    <w:rsid w:val="4FEB1F42"/>
    <w:rsid w:val="4FF260E2"/>
    <w:rsid w:val="4FF534DD"/>
    <w:rsid w:val="4FFF770D"/>
    <w:rsid w:val="50044470"/>
    <w:rsid w:val="50064707"/>
    <w:rsid w:val="50354221"/>
    <w:rsid w:val="50372F04"/>
    <w:rsid w:val="504428BE"/>
    <w:rsid w:val="50722D7F"/>
    <w:rsid w:val="50774734"/>
    <w:rsid w:val="50913000"/>
    <w:rsid w:val="5099655E"/>
    <w:rsid w:val="50B54E36"/>
    <w:rsid w:val="50DA20DD"/>
    <w:rsid w:val="50DB460A"/>
    <w:rsid w:val="50DC644B"/>
    <w:rsid w:val="50E13A61"/>
    <w:rsid w:val="50EC0D83"/>
    <w:rsid w:val="50F72903"/>
    <w:rsid w:val="51025EB1"/>
    <w:rsid w:val="5107796B"/>
    <w:rsid w:val="51357C48"/>
    <w:rsid w:val="51385D77"/>
    <w:rsid w:val="51414766"/>
    <w:rsid w:val="51436DF1"/>
    <w:rsid w:val="514E559A"/>
    <w:rsid w:val="5151639E"/>
    <w:rsid w:val="515F1555"/>
    <w:rsid w:val="51603752"/>
    <w:rsid w:val="51603EB2"/>
    <w:rsid w:val="519573A7"/>
    <w:rsid w:val="519B40E0"/>
    <w:rsid w:val="51D05FAF"/>
    <w:rsid w:val="51D6733E"/>
    <w:rsid w:val="51DE5488"/>
    <w:rsid w:val="51E755E3"/>
    <w:rsid w:val="51E90DD0"/>
    <w:rsid w:val="52080035"/>
    <w:rsid w:val="5208094B"/>
    <w:rsid w:val="52114133"/>
    <w:rsid w:val="5211535C"/>
    <w:rsid w:val="52120376"/>
    <w:rsid w:val="52125B1F"/>
    <w:rsid w:val="5213139D"/>
    <w:rsid w:val="521C62D4"/>
    <w:rsid w:val="52256C67"/>
    <w:rsid w:val="52263E21"/>
    <w:rsid w:val="522A794F"/>
    <w:rsid w:val="5234725D"/>
    <w:rsid w:val="52371527"/>
    <w:rsid w:val="52391473"/>
    <w:rsid w:val="524407FE"/>
    <w:rsid w:val="52505342"/>
    <w:rsid w:val="52522E68"/>
    <w:rsid w:val="527E3C5D"/>
    <w:rsid w:val="528B4597"/>
    <w:rsid w:val="529E356D"/>
    <w:rsid w:val="52A365B0"/>
    <w:rsid w:val="52AB07CA"/>
    <w:rsid w:val="52AC34BC"/>
    <w:rsid w:val="52B54EBB"/>
    <w:rsid w:val="52C35B14"/>
    <w:rsid w:val="52CB14DA"/>
    <w:rsid w:val="52F26072"/>
    <w:rsid w:val="530158B9"/>
    <w:rsid w:val="5311062D"/>
    <w:rsid w:val="531300AB"/>
    <w:rsid w:val="531E71EE"/>
    <w:rsid w:val="53294BD0"/>
    <w:rsid w:val="532E1F4B"/>
    <w:rsid w:val="53326AA9"/>
    <w:rsid w:val="534E1882"/>
    <w:rsid w:val="535A137A"/>
    <w:rsid w:val="535D7B69"/>
    <w:rsid w:val="53857452"/>
    <w:rsid w:val="53B029B4"/>
    <w:rsid w:val="53B10062"/>
    <w:rsid w:val="53CE29C2"/>
    <w:rsid w:val="53DF24DA"/>
    <w:rsid w:val="53EF4633"/>
    <w:rsid w:val="53F96CC8"/>
    <w:rsid w:val="53FE6C2E"/>
    <w:rsid w:val="541951FB"/>
    <w:rsid w:val="542C1497"/>
    <w:rsid w:val="54373CC8"/>
    <w:rsid w:val="54403C46"/>
    <w:rsid w:val="544467E1"/>
    <w:rsid w:val="54534906"/>
    <w:rsid w:val="545D202E"/>
    <w:rsid w:val="546450D5"/>
    <w:rsid w:val="546E7D01"/>
    <w:rsid w:val="54791C5F"/>
    <w:rsid w:val="548117E3"/>
    <w:rsid w:val="54815B22"/>
    <w:rsid w:val="548310F7"/>
    <w:rsid w:val="54837309"/>
    <w:rsid w:val="549653A3"/>
    <w:rsid w:val="54992FD0"/>
    <w:rsid w:val="54A85A6B"/>
    <w:rsid w:val="54AB647D"/>
    <w:rsid w:val="54B53220"/>
    <w:rsid w:val="54D212BE"/>
    <w:rsid w:val="54D47B64"/>
    <w:rsid w:val="54DC4C6B"/>
    <w:rsid w:val="54E56352"/>
    <w:rsid w:val="54F46459"/>
    <w:rsid w:val="550146D2"/>
    <w:rsid w:val="551B5793"/>
    <w:rsid w:val="55306D65"/>
    <w:rsid w:val="553700F3"/>
    <w:rsid w:val="553E0625"/>
    <w:rsid w:val="5540344C"/>
    <w:rsid w:val="554618F6"/>
    <w:rsid w:val="554D5DCF"/>
    <w:rsid w:val="55506C76"/>
    <w:rsid w:val="55666359"/>
    <w:rsid w:val="556A1B44"/>
    <w:rsid w:val="557C78A0"/>
    <w:rsid w:val="557E3F74"/>
    <w:rsid w:val="557E6525"/>
    <w:rsid w:val="557F21C6"/>
    <w:rsid w:val="55801A9A"/>
    <w:rsid w:val="558275C0"/>
    <w:rsid w:val="55A27C63"/>
    <w:rsid w:val="55AB61E1"/>
    <w:rsid w:val="55AD491E"/>
    <w:rsid w:val="55BC7249"/>
    <w:rsid w:val="55BD24E4"/>
    <w:rsid w:val="55BD4482"/>
    <w:rsid w:val="55C658EF"/>
    <w:rsid w:val="55DD1FDE"/>
    <w:rsid w:val="55EE10FA"/>
    <w:rsid w:val="55EE4C56"/>
    <w:rsid w:val="55F45FE4"/>
    <w:rsid w:val="55FF30A4"/>
    <w:rsid w:val="5606226D"/>
    <w:rsid w:val="56327239"/>
    <w:rsid w:val="56332FB1"/>
    <w:rsid w:val="56462CE4"/>
    <w:rsid w:val="56472027"/>
    <w:rsid w:val="56574EF1"/>
    <w:rsid w:val="565C2C0B"/>
    <w:rsid w:val="566F6428"/>
    <w:rsid w:val="568E3EB0"/>
    <w:rsid w:val="56A96DCF"/>
    <w:rsid w:val="56AC1EEC"/>
    <w:rsid w:val="56B05E5E"/>
    <w:rsid w:val="56B412A8"/>
    <w:rsid w:val="56B85264"/>
    <w:rsid w:val="56BA0FDC"/>
    <w:rsid w:val="56BD34E5"/>
    <w:rsid w:val="56C34335"/>
    <w:rsid w:val="56D05041"/>
    <w:rsid w:val="56D402F0"/>
    <w:rsid w:val="56D615BF"/>
    <w:rsid w:val="56DE059C"/>
    <w:rsid w:val="56EF512A"/>
    <w:rsid w:val="57014E5D"/>
    <w:rsid w:val="57182144"/>
    <w:rsid w:val="571D7F49"/>
    <w:rsid w:val="572451C1"/>
    <w:rsid w:val="57253625"/>
    <w:rsid w:val="572F449C"/>
    <w:rsid w:val="57330F6C"/>
    <w:rsid w:val="57464E64"/>
    <w:rsid w:val="575C2093"/>
    <w:rsid w:val="57640DCF"/>
    <w:rsid w:val="576D39E4"/>
    <w:rsid w:val="577B4C0F"/>
    <w:rsid w:val="57885129"/>
    <w:rsid w:val="57923D07"/>
    <w:rsid w:val="579D020C"/>
    <w:rsid w:val="57A4424A"/>
    <w:rsid w:val="57A557E8"/>
    <w:rsid w:val="57AE6D93"/>
    <w:rsid w:val="57BC556E"/>
    <w:rsid w:val="57D8796C"/>
    <w:rsid w:val="57DE5C36"/>
    <w:rsid w:val="57E22639"/>
    <w:rsid w:val="57E77EC0"/>
    <w:rsid w:val="57EE195B"/>
    <w:rsid w:val="57F16C7F"/>
    <w:rsid w:val="57F535F0"/>
    <w:rsid w:val="57F73FBF"/>
    <w:rsid w:val="580746F5"/>
    <w:rsid w:val="581630C8"/>
    <w:rsid w:val="582B21A6"/>
    <w:rsid w:val="584562F2"/>
    <w:rsid w:val="58456997"/>
    <w:rsid w:val="58457D81"/>
    <w:rsid w:val="58484700"/>
    <w:rsid w:val="58491CB9"/>
    <w:rsid w:val="58537EC8"/>
    <w:rsid w:val="585A3FBC"/>
    <w:rsid w:val="58607961"/>
    <w:rsid w:val="588B3A52"/>
    <w:rsid w:val="588C69A8"/>
    <w:rsid w:val="588C6C2F"/>
    <w:rsid w:val="589F492D"/>
    <w:rsid w:val="58A67A6A"/>
    <w:rsid w:val="58B06B3A"/>
    <w:rsid w:val="58B36A9C"/>
    <w:rsid w:val="58BB798C"/>
    <w:rsid w:val="58CB483C"/>
    <w:rsid w:val="58CE1D75"/>
    <w:rsid w:val="58D17C86"/>
    <w:rsid w:val="58E31EE2"/>
    <w:rsid w:val="58E80BC1"/>
    <w:rsid w:val="58ED7AA8"/>
    <w:rsid w:val="58F5279F"/>
    <w:rsid w:val="58FD4A0F"/>
    <w:rsid w:val="59044790"/>
    <w:rsid w:val="590D6ECD"/>
    <w:rsid w:val="5921455A"/>
    <w:rsid w:val="592941F7"/>
    <w:rsid w:val="592F3F03"/>
    <w:rsid w:val="593A4CCD"/>
    <w:rsid w:val="5942761D"/>
    <w:rsid w:val="59502516"/>
    <w:rsid w:val="595650EC"/>
    <w:rsid w:val="59575208"/>
    <w:rsid w:val="597161FA"/>
    <w:rsid w:val="598A769D"/>
    <w:rsid w:val="599155DB"/>
    <w:rsid w:val="59973856"/>
    <w:rsid w:val="59A0270B"/>
    <w:rsid w:val="59D91626"/>
    <w:rsid w:val="59FE6613"/>
    <w:rsid w:val="5A015FEE"/>
    <w:rsid w:val="5A166A87"/>
    <w:rsid w:val="5A1D717D"/>
    <w:rsid w:val="5A1F7AD4"/>
    <w:rsid w:val="5A317807"/>
    <w:rsid w:val="5A332B09"/>
    <w:rsid w:val="5A366C08"/>
    <w:rsid w:val="5A3B0686"/>
    <w:rsid w:val="5A3F3340"/>
    <w:rsid w:val="5A405C9C"/>
    <w:rsid w:val="5A442651"/>
    <w:rsid w:val="5A4A0C19"/>
    <w:rsid w:val="5A5963A4"/>
    <w:rsid w:val="5A633F2C"/>
    <w:rsid w:val="5A7277C2"/>
    <w:rsid w:val="5A754020"/>
    <w:rsid w:val="5A8A0F99"/>
    <w:rsid w:val="5A8E2EAB"/>
    <w:rsid w:val="5A9747BC"/>
    <w:rsid w:val="5A9F1D10"/>
    <w:rsid w:val="5AA56959"/>
    <w:rsid w:val="5AB55661"/>
    <w:rsid w:val="5AB6633D"/>
    <w:rsid w:val="5AB741B0"/>
    <w:rsid w:val="5AC01029"/>
    <w:rsid w:val="5AC051B0"/>
    <w:rsid w:val="5AC13672"/>
    <w:rsid w:val="5AC67E38"/>
    <w:rsid w:val="5ACC079C"/>
    <w:rsid w:val="5AD22D98"/>
    <w:rsid w:val="5AE6628C"/>
    <w:rsid w:val="5AE80481"/>
    <w:rsid w:val="5AEB20AC"/>
    <w:rsid w:val="5AF24A6F"/>
    <w:rsid w:val="5AFB0256"/>
    <w:rsid w:val="5B0B207A"/>
    <w:rsid w:val="5B103659"/>
    <w:rsid w:val="5B1A473F"/>
    <w:rsid w:val="5B1D2CFB"/>
    <w:rsid w:val="5B2C4911"/>
    <w:rsid w:val="5B4377F2"/>
    <w:rsid w:val="5B546059"/>
    <w:rsid w:val="5B6073A6"/>
    <w:rsid w:val="5B81713C"/>
    <w:rsid w:val="5B9938B6"/>
    <w:rsid w:val="5BA8592F"/>
    <w:rsid w:val="5BB13D97"/>
    <w:rsid w:val="5BB660F6"/>
    <w:rsid w:val="5BBC292E"/>
    <w:rsid w:val="5BBE1AD7"/>
    <w:rsid w:val="5BCE7220"/>
    <w:rsid w:val="5BD86FCF"/>
    <w:rsid w:val="5BDC6F33"/>
    <w:rsid w:val="5BDF38FA"/>
    <w:rsid w:val="5BE02382"/>
    <w:rsid w:val="5BE14D25"/>
    <w:rsid w:val="5BF95F88"/>
    <w:rsid w:val="5BFB00CD"/>
    <w:rsid w:val="5BFE2728"/>
    <w:rsid w:val="5C083151"/>
    <w:rsid w:val="5C157B4C"/>
    <w:rsid w:val="5C164F75"/>
    <w:rsid w:val="5C1D6295"/>
    <w:rsid w:val="5C1E771B"/>
    <w:rsid w:val="5C225E1C"/>
    <w:rsid w:val="5C4001D5"/>
    <w:rsid w:val="5C492B78"/>
    <w:rsid w:val="5C563555"/>
    <w:rsid w:val="5C58551F"/>
    <w:rsid w:val="5C5B0B6B"/>
    <w:rsid w:val="5C617E92"/>
    <w:rsid w:val="5C7A6C64"/>
    <w:rsid w:val="5C7D7937"/>
    <w:rsid w:val="5C853E3A"/>
    <w:rsid w:val="5C8E7193"/>
    <w:rsid w:val="5CAF6367"/>
    <w:rsid w:val="5CB309A7"/>
    <w:rsid w:val="5CB422FA"/>
    <w:rsid w:val="5CB62246"/>
    <w:rsid w:val="5CB70498"/>
    <w:rsid w:val="5CBE3E67"/>
    <w:rsid w:val="5CC97D55"/>
    <w:rsid w:val="5CCD4ED2"/>
    <w:rsid w:val="5CE172E1"/>
    <w:rsid w:val="5CEF2BAD"/>
    <w:rsid w:val="5D111F4B"/>
    <w:rsid w:val="5D261179"/>
    <w:rsid w:val="5D3513BC"/>
    <w:rsid w:val="5D4F6FFA"/>
    <w:rsid w:val="5D503B37"/>
    <w:rsid w:val="5D5E0913"/>
    <w:rsid w:val="5D720862"/>
    <w:rsid w:val="5D72167D"/>
    <w:rsid w:val="5D8756D0"/>
    <w:rsid w:val="5D9359F7"/>
    <w:rsid w:val="5D9B2F65"/>
    <w:rsid w:val="5D9E39BE"/>
    <w:rsid w:val="5DA30A1C"/>
    <w:rsid w:val="5DAC2975"/>
    <w:rsid w:val="5DBF3AD3"/>
    <w:rsid w:val="5DC170F4"/>
    <w:rsid w:val="5DCA3AC2"/>
    <w:rsid w:val="5DCA7D57"/>
    <w:rsid w:val="5DCC41AD"/>
    <w:rsid w:val="5DD23335"/>
    <w:rsid w:val="5DD766EF"/>
    <w:rsid w:val="5DDB1F64"/>
    <w:rsid w:val="5DF06B82"/>
    <w:rsid w:val="5DFF5B18"/>
    <w:rsid w:val="5E002EC5"/>
    <w:rsid w:val="5E053485"/>
    <w:rsid w:val="5E1D07CE"/>
    <w:rsid w:val="5E287173"/>
    <w:rsid w:val="5E2A2EEB"/>
    <w:rsid w:val="5E3E5F75"/>
    <w:rsid w:val="5E4047DF"/>
    <w:rsid w:val="5E530860"/>
    <w:rsid w:val="5E543F8E"/>
    <w:rsid w:val="5E567B88"/>
    <w:rsid w:val="5E6F680C"/>
    <w:rsid w:val="5E734892"/>
    <w:rsid w:val="5E826883"/>
    <w:rsid w:val="5E9003D3"/>
    <w:rsid w:val="5EAB402C"/>
    <w:rsid w:val="5EB84053"/>
    <w:rsid w:val="5EC7073A"/>
    <w:rsid w:val="5EC90F8E"/>
    <w:rsid w:val="5ED967C7"/>
    <w:rsid w:val="5EDD61AF"/>
    <w:rsid w:val="5EE16E47"/>
    <w:rsid w:val="5EE55E9E"/>
    <w:rsid w:val="5EF332DD"/>
    <w:rsid w:val="5EFF6126"/>
    <w:rsid w:val="5EFF81DC"/>
    <w:rsid w:val="5F102A07"/>
    <w:rsid w:val="5F250023"/>
    <w:rsid w:val="5F275E09"/>
    <w:rsid w:val="5F2809DA"/>
    <w:rsid w:val="5F3C34CB"/>
    <w:rsid w:val="5F4E490E"/>
    <w:rsid w:val="5F6366B5"/>
    <w:rsid w:val="5F6935C0"/>
    <w:rsid w:val="5F6F0391"/>
    <w:rsid w:val="5F775691"/>
    <w:rsid w:val="5FB54A36"/>
    <w:rsid w:val="5FB92779"/>
    <w:rsid w:val="5FB94527"/>
    <w:rsid w:val="5FCC1157"/>
    <w:rsid w:val="5FD5CB5D"/>
    <w:rsid w:val="5FD736CA"/>
    <w:rsid w:val="5FDE1691"/>
    <w:rsid w:val="5FEF1CF6"/>
    <w:rsid w:val="600339F4"/>
    <w:rsid w:val="60037571"/>
    <w:rsid w:val="600F2399"/>
    <w:rsid w:val="60224D70"/>
    <w:rsid w:val="60274E0E"/>
    <w:rsid w:val="602B08B8"/>
    <w:rsid w:val="602B28FF"/>
    <w:rsid w:val="605B738C"/>
    <w:rsid w:val="60630578"/>
    <w:rsid w:val="60793532"/>
    <w:rsid w:val="60865BF5"/>
    <w:rsid w:val="6089214B"/>
    <w:rsid w:val="609B29F9"/>
    <w:rsid w:val="60A872D0"/>
    <w:rsid w:val="60D62AC7"/>
    <w:rsid w:val="60DC62FC"/>
    <w:rsid w:val="60DF3AC5"/>
    <w:rsid w:val="60E6759D"/>
    <w:rsid w:val="60EA0735"/>
    <w:rsid w:val="60F01C18"/>
    <w:rsid w:val="60F90953"/>
    <w:rsid w:val="6106379C"/>
    <w:rsid w:val="610C0686"/>
    <w:rsid w:val="610F0176"/>
    <w:rsid w:val="611D0AE5"/>
    <w:rsid w:val="61265BEC"/>
    <w:rsid w:val="6129748A"/>
    <w:rsid w:val="613227E3"/>
    <w:rsid w:val="61381DD7"/>
    <w:rsid w:val="614032D4"/>
    <w:rsid w:val="61435CB8"/>
    <w:rsid w:val="614D53B1"/>
    <w:rsid w:val="618741B1"/>
    <w:rsid w:val="61937245"/>
    <w:rsid w:val="61970898"/>
    <w:rsid w:val="61976ECA"/>
    <w:rsid w:val="61987AD5"/>
    <w:rsid w:val="619D0F7C"/>
    <w:rsid w:val="61B13E60"/>
    <w:rsid w:val="61C62F2B"/>
    <w:rsid w:val="61CA5D5E"/>
    <w:rsid w:val="61EE5AF4"/>
    <w:rsid w:val="61F64540"/>
    <w:rsid w:val="62053A53"/>
    <w:rsid w:val="62317DEC"/>
    <w:rsid w:val="62414951"/>
    <w:rsid w:val="6265145E"/>
    <w:rsid w:val="627E6F2A"/>
    <w:rsid w:val="628C33BD"/>
    <w:rsid w:val="628E1C9B"/>
    <w:rsid w:val="6292105F"/>
    <w:rsid w:val="629A3B49"/>
    <w:rsid w:val="629D3C8C"/>
    <w:rsid w:val="62A414BE"/>
    <w:rsid w:val="62A67128"/>
    <w:rsid w:val="62AD10B2"/>
    <w:rsid w:val="62BC5D77"/>
    <w:rsid w:val="62C63895"/>
    <w:rsid w:val="62E07B89"/>
    <w:rsid w:val="62FC4A19"/>
    <w:rsid w:val="63100901"/>
    <w:rsid w:val="631D301E"/>
    <w:rsid w:val="63387E58"/>
    <w:rsid w:val="633E453C"/>
    <w:rsid w:val="636E387A"/>
    <w:rsid w:val="63870498"/>
    <w:rsid w:val="638F72AF"/>
    <w:rsid w:val="63AF6C45"/>
    <w:rsid w:val="63CE45CF"/>
    <w:rsid w:val="63F47351"/>
    <w:rsid w:val="641A130C"/>
    <w:rsid w:val="6429154F"/>
    <w:rsid w:val="643F48D2"/>
    <w:rsid w:val="64492999"/>
    <w:rsid w:val="645E569D"/>
    <w:rsid w:val="647178B2"/>
    <w:rsid w:val="647D6225"/>
    <w:rsid w:val="64803865"/>
    <w:rsid w:val="648067BE"/>
    <w:rsid w:val="64AB00EE"/>
    <w:rsid w:val="64B134C7"/>
    <w:rsid w:val="64B654D9"/>
    <w:rsid w:val="64BB3D66"/>
    <w:rsid w:val="64C031DA"/>
    <w:rsid w:val="64C03B57"/>
    <w:rsid w:val="64C919A1"/>
    <w:rsid w:val="64D05899"/>
    <w:rsid w:val="650224CC"/>
    <w:rsid w:val="65023A25"/>
    <w:rsid w:val="651F307E"/>
    <w:rsid w:val="6527279B"/>
    <w:rsid w:val="65297A59"/>
    <w:rsid w:val="652C12F7"/>
    <w:rsid w:val="653A078B"/>
    <w:rsid w:val="654C3747"/>
    <w:rsid w:val="655B17D7"/>
    <w:rsid w:val="6564650E"/>
    <w:rsid w:val="656C766F"/>
    <w:rsid w:val="657549C0"/>
    <w:rsid w:val="657A70A6"/>
    <w:rsid w:val="65853DC9"/>
    <w:rsid w:val="659550EE"/>
    <w:rsid w:val="6599305B"/>
    <w:rsid w:val="659C46CE"/>
    <w:rsid w:val="65A05841"/>
    <w:rsid w:val="65A86E3C"/>
    <w:rsid w:val="65AB2A34"/>
    <w:rsid w:val="65B337C6"/>
    <w:rsid w:val="65C46734"/>
    <w:rsid w:val="65CF3685"/>
    <w:rsid w:val="65EE47FE"/>
    <w:rsid w:val="65F83E57"/>
    <w:rsid w:val="661E7AFB"/>
    <w:rsid w:val="661F70AE"/>
    <w:rsid w:val="66270637"/>
    <w:rsid w:val="6631226D"/>
    <w:rsid w:val="664375E8"/>
    <w:rsid w:val="66471765"/>
    <w:rsid w:val="66501015"/>
    <w:rsid w:val="665532D2"/>
    <w:rsid w:val="665C20B0"/>
    <w:rsid w:val="666A648D"/>
    <w:rsid w:val="666B6C93"/>
    <w:rsid w:val="66896D8D"/>
    <w:rsid w:val="66943C9F"/>
    <w:rsid w:val="66AE6608"/>
    <w:rsid w:val="66B21CD0"/>
    <w:rsid w:val="66CA143D"/>
    <w:rsid w:val="66DE1DA5"/>
    <w:rsid w:val="66F347C2"/>
    <w:rsid w:val="670473E0"/>
    <w:rsid w:val="67073DC9"/>
    <w:rsid w:val="670A1B0C"/>
    <w:rsid w:val="670C0300"/>
    <w:rsid w:val="671270A7"/>
    <w:rsid w:val="671464E6"/>
    <w:rsid w:val="672901E4"/>
    <w:rsid w:val="67365086"/>
    <w:rsid w:val="675D7E8D"/>
    <w:rsid w:val="67611653"/>
    <w:rsid w:val="676C00D0"/>
    <w:rsid w:val="677446FB"/>
    <w:rsid w:val="67746F85"/>
    <w:rsid w:val="677D408C"/>
    <w:rsid w:val="6784366C"/>
    <w:rsid w:val="6794487B"/>
    <w:rsid w:val="679603FC"/>
    <w:rsid w:val="67B37B5B"/>
    <w:rsid w:val="67CA456B"/>
    <w:rsid w:val="67D51B4E"/>
    <w:rsid w:val="67E266DE"/>
    <w:rsid w:val="67E64BC1"/>
    <w:rsid w:val="67E778CC"/>
    <w:rsid w:val="67F65BEC"/>
    <w:rsid w:val="68040309"/>
    <w:rsid w:val="680447AD"/>
    <w:rsid w:val="680F58FF"/>
    <w:rsid w:val="681744E0"/>
    <w:rsid w:val="6817628E"/>
    <w:rsid w:val="682216EA"/>
    <w:rsid w:val="683A5BAA"/>
    <w:rsid w:val="683F0602"/>
    <w:rsid w:val="68503D9C"/>
    <w:rsid w:val="68572581"/>
    <w:rsid w:val="68676A91"/>
    <w:rsid w:val="688B5C74"/>
    <w:rsid w:val="688C4191"/>
    <w:rsid w:val="68946688"/>
    <w:rsid w:val="68A17768"/>
    <w:rsid w:val="68A2527C"/>
    <w:rsid w:val="68B34427"/>
    <w:rsid w:val="68C03460"/>
    <w:rsid w:val="68C63ACD"/>
    <w:rsid w:val="690F0B98"/>
    <w:rsid w:val="69305620"/>
    <w:rsid w:val="69340E79"/>
    <w:rsid w:val="696041DE"/>
    <w:rsid w:val="696E6382"/>
    <w:rsid w:val="697A259C"/>
    <w:rsid w:val="698E2580"/>
    <w:rsid w:val="699C0570"/>
    <w:rsid w:val="69A74365"/>
    <w:rsid w:val="69BF700A"/>
    <w:rsid w:val="69C2222A"/>
    <w:rsid w:val="69D72179"/>
    <w:rsid w:val="69DC36CE"/>
    <w:rsid w:val="69E01F40"/>
    <w:rsid w:val="69E95287"/>
    <w:rsid w:val="69F10D61"/>
    <w:rsid w:val="69F11830"/>
    <w:rsid w:val="6A060C88"/>
    <w:rsid w:val="6A1520D4"/>
    <w:rsid w:val="6A246A40"/>
    <w:rsid w:val="6A34524E"/>
    <w:rsid w:val="6A3B0B46"/>
    <w:rsid w:val="6A436A18"/>
    <w:rsid w:val="6A4B784D"/>
    <w:rsid w:val="6A5F21DD"/>
    <w:rsid w:val="6A793230"/>
    <w:rsid w:val="6A7C3B7D"/>
    <w:rsid w:val="6A8B3CC7"/>
    <w:rsid w:val="6A924736"/>
    <w:rsid w:val="6AA862B4"/>
    <w:rsid w:val="6AAE3317"/>
    <w:rsid w:val="6AAF4CD4"/>
    <w:rsid w:val="6ABE3859"/>
    <w:rsid w:val="6ACA0CAF"/>
    <w:rsid w:val="6ADA35A3"/>
    <w:rsid w:val="6AE23AD8"/>
    <w:rsid w:val="6AF64881"/>
    <w:rsid w:val="6B194BB7"/>
    <w:rsid w:val="6B1B2271"/>
    <w:rsid w:val="6B1E5B86"/>
    <w:rsid w:val="6B264A3A"/>
    <w:rsid w:val="6B513865"/>
    <w:rsid w:val="6B594E10"/>
    <w:rsid w:val="6B6F63E1"/>
    <w:rsid w:val="6B8A321B"/>
    <w:rsid w:val="6B934758"/>
    <w:rsid w:val="6B9E2823"/>
    <w:rsid w:val="6BA30B66"/>
    <w:rsid w:val="6BAE1754"/>
    <w:rsid w:val="6BD80673"/>
    <w:rsid w:val="6BE04F09"/>
    <w:rsid w:val="6BE20961"/>
    <w:rsid w:val="6BE85F55"/>
    <w:rsid w:val="6BEC4054"/>
    <w:rsid w:val="6BF334D1"/>
    <w:rsid w:val="6BF344D5"/>
    <w:rsid w:val="6BFA586E"/>
    <w:rsid w:val="6C065570"/>
    <w:rsid w:val="6C07486C"/>
    <w:rsid w:val="6C1331CB"/>
    <w:rsid w:val="6C225202"/>
    <w:rsid w:val="6C4E26F2"/>
    <w:rsid w:val="6C6E6A18"/>
    <w:rsid w:val="6C90660F"/>
    <w:rsid w:val="6C940230"/>
    <w:rsid w:val="6C9C4FB4"/>
    <w:rsid w:val="6CA76E89"/>
    <w:rsid w:val="6CB7636E"/>
    <w:rsid w:val="6CC46BBE"/>
    <w:rsid w:val="6CE4695B"/>
    <w:rsid w:val="6CE60925"/>
    <w:rsid w:val="6CEE7645"/>
    <w:rsid w:val="6CF76532"/>
    <w:rsid w:val="6D036DE1"/>
    <w:rsid w:val="6D09692C"/>
    <w:rsid w:val="6D116E29"/>
    <w:rsid w:val="6D203E37"/>
    <w:rsid w:val="6D2D2BB1"/>
    <w:rsid w:val="6D34343E"/>
    <w:rsid w:val="6D4C79DE"/>
    <w:rsid w:val="6D527D69"/>
    <w:rsid w:val="6D54588F"/>
    <w:rsid w:val="6D6325D4"/>
    <w:rsid w:val="6D6D06FE"/>
    <w:rsid w:val="6D6F0374"/>
    <w:rsid w:val="6D764AB3"/>
    <w:rsid w:val="6D7970A3"/>
    <w:rsid w:val="6D866288"/>
    <w:rsid w:val="6D8B130C"/>
    <w:rsid w:val="6D940395"/>
    <w:rsid w:val="6DBE4B28"/>
    <w:rsid w:val="6DCA02AD"/>
    <w:rsid w:val="6DF14730"/>
    <w:rsid w:val="6DF67F9C"/>
    <w:rsid w:val="6E05302D"/>
    <w:rsid w:val="6E0C43BB"/>
    <w:rsid w:val="6E2214E9"/>
    <w:rsid w:val="6E282C43"/>
    <w:rsid w:val="6E296D1B"/>
    <w:rsid w:val="6E3971A4"/>
    <w:rsid w:val="6E447C45"/>
    <w:rsid w:val="6E494CC8"/>
    <w:rsid w:val="6E602076"/>
    <w:rsid w:val="6E6F4BC0"/>
    <w:rsid w:val="6E7561C7"/>
    <w:rsid w:val="6E7A11A3"/>
    <w:rsid w:val="6E881DA1"/>
    <w:rsid w:val="6E93297A"/>
    <w:rsid w:val="6E985BB0"/>
    <w:rsid w:val="6EAB14DE"/>
    <w:rsid w:val="6EB011EB"/>
    <w:rsid w:val="6EBC36EB"/>
    <w:rsid w:val="6EC32CCC"/>
    <w:rsid w:val="6ED52E12"/>
    <w:rsid w:val="6EDF73DA"/>
    <w:rsid w:val="6EE82732"/>
    <w:rsid w:val="6EF47329"/>
    <w:rsid w:val="6F000361"/>
    <w:rsid w:val="6F154200"/>
    <w:rsid w:val="6F2E41A2"/>
    <w:rsid w:val="6F2F210F"/>
    <w:rsid w:val="6F2F6052"/>
    <w:rsid w:val="6F4119FB"/>
    <w:rsid w:val="6F562D90"/>
    <w:rsid w:val="6F651FD5"/>
    <w:rsid w:val="6F6D2C38"/>
    <w:rsid w:val="6F6E1857"/>
    <w:rsid w:val="6F7E6BF3"/>
    <w:rsid w:val="6F9208F0"/>
    <w:rsid w:val="6FAE71C8"/>
    <w:rsid w:val="6FD00A3F"/>
    <w:rsid w:val="6FEB3471"/>
    <w:rsid w:val="6FF12A61"/>
    <w:rsid w:val="6FF62C2D"/>
    <w:rsid w:val="70003F7C"/>
    <w:rsid w:val="70125088"/>
    <w:rsid w:val="701D3E0D"/>
    <w:rsid w:val="70216F6F"/>
    <w:rsid w:val="702F27B0"/>
    <w:rsid w:val="70450743"/>
    <w:rsid w:val="70503592"/>
    <w:rsid w:val="705F6A24"/>
    <w:rsid w:val="706F1805"/>
    <w:rsid w:val="706F53E3"/>
    <w:rsid w:val="707D692D"/>
    <w:rsid w:val="70875F7B"/>
    <w:rsid w:val="70930CB0"/>
    <w:rsid w:val="70953683"/>
    <w:rsid w:val="70A72179"/>
    <w:rsid w:val="70A96D44"/>
    <w:rsid w:val="70B054D2"/>
    <w:rsid w:val="70B52528"/>
    <w:rsid w:val="70BD2481"/>
    <w:rsid w:val="70BF00CC"/>
    <w:rsid w:val="70EA704E"/>
    <w:rsid w:val="70EE5FFA"/>
    <w:rsid w:val="70F14BAE"/>
    <w:rsid w:val="70F441DD"/>
    <w:rsid w:val="70F62D15"/>
    <w:rsid w:val="70F73101"/>
    <w:rsid w:val="70FF2DCA"/>
    <w:rsid w:val="710B095A"/>
    <w:rsid w:val="710F3A8C"/>
    <w:rsid w:val="711E068D"/>
    <w:rsid w:val="71235AA2"/>
    <w:rsid w:val="71261B6C"/>
    <w:rsid w:val="712B5B2F"/>
    <w:rsid w:val="71325EE7"/>
    <w:rsid w:val="713C3E96"/>
    <w:rsid w:val="713F23B2"/>
    <w:rsid w:val="71467BE4"/>
    <w:rsid w:val="715C0EDC"/>
    <w:rsid w:val="718575C1"/>
    <w:rsid w:val="71954F93"/>
    <w:rsid w:val="71A37ADC"/>
    <w:rsid w:val="71AA7506"/>
    <w:rsid w:val="71B21877"/>
    <w:rsid w:val="71B30355"/>
    <w:rsid w:val="71EE76C4"/>
    <w:rsid w:val="71F3472C"/>
    <w:rsid w:val="72024E0F"/>
    <w:rsid w:val="721103FC"/>
    <w:rsid w:val="72227D09"/>
    <w:rsid w:val="72285D9C"/>
    <w:rsid w:val="723229A4"/>
    <w:rsid w:val="726677B7"/>
    <w:rsid w:val="727F515C"/>
    <w:rsid w:val="72842772"/>
    <w:rsid w:val="72870774"/>
    <w:rsid w:val="728978F6"/>
    <w:rsid w:val="72A639B2"/>
    <w:rsid w:val="72B868C0"/>
    <w:rsid w:val="72D93B82"/>
    <w:rsid w:val="72E60A2C"/>
    <w:rsid w:val="730F03DF"/>
    <w:rsid w:val="73114357"/>
    <w:rsid w:val="73137F9A"/>
    <w:rsid w:val="732102D9"/>
    <w:rsid w:val="73217FC1"/>
    <w:rsid w:val="734E2D80"/>
    <w:rsid w:val="736D3E90"/>
    <w:rsid w:val="738600D8"/>
    <w:rsid w:val="7392524C"/>
    <w:rsid w:val="73AA3664"/>
    <w:rsid w:val="73AC02A6"/>
    <w:rsid w:val="73B13223"/>
    <w:rsid w:val="73C038FD"/>
    <w:rsid w:val="73D9089C"/>
    <w:rsid w:val="73E67832"/>
    <w:rsid w:val="73EC4A73"/>
    <w:rsid w:val="740A069E"/>
    <w:rsid w:val="74156A94"/>
    <w:rsid w:val="74275AAB"/>
    <w:rsid w:val="74360482"/>
    <w:rsid w:val="743D52CE"/>
    <w:rsid w:val="7442278E"/>
    <w:rsid w:val="74573A67"/>
    <w:rsid w:val="745A4B22"/>
    <w:rsid w:val="746C0B0E"/>
    <w:rsid w:val="747F3CCE"/>
    <w:rsid w:val="74905ACD"/>
    <w:rsid w:val="7498632E"/>
    <w:rsid w:val="74A57AF6"/>
    <w:rsid w:val="74A62D93"/>
    <w:rsid w:val="74BC30A8"/>
    <w:rsid w:val="74CB7579"/>
    <w:rsid w:val="74D547F4"/>
    <w:rsid w:val="74E120FE"/>
    <w:rsid w:val="74E4399C"/>
    <w:rsid w:val="74F51705"/>
    <w:rsid w:val="74FC0CE6"/>
    <w:rsid w:val="751E53BE"/>
    <w:rsid w:val="75241FEA"/>
    <w:rsid w:val="753336DD"/>
    <w:rsid w:val="753B10E2"/>
    <w:rsid w:val="7541409D"/>
    <w:rsid w:val="75437B2A"/>
    <w:rsid w:val="754E52B9"/>
    <w:rsid w:val="75526B58"/>
    <w:rsid w:val="755B649A"/>
    <w:rsid w:val="7564261E"/>
    <w:rsid w:val="75654BD9"/>
    <w:rsid w:val="756845CD"/>
    <w:rsid w:val="756B19C7"/>
    <w:rsid w:val="756B7C19"/>
    <w:rsid w:val="757346B5"/>
    <w:rsid w:val="758005BF"/>
    <w:rsid w:val="7581743D"/>
    <w:rsid w:val="75896735"/>
    <w:rsid w:val="758B3E18"/>
    <w:rsid w:val="75A629FF"/>
    <w:rsid w:val="75C46DC3"/>
    <w:rsid w:val="75D2195C"/>
    <w:rsid w:val="75F41DBF"/>
    <w:rsid w:val="7601057E"/>
    <w:rsid w:val="76016C28"/>
    <w:rsid w:val="7607074F"/>
    <w:rsid w:val="761E5D24"/>
    <w:rsid w:val="76217A94"/>
    <w:rsid w:val="762E6D06"/>
    <w:rsid w:val="76346CE5"/>
    <w:rsid w:val="764D37C3"/>
    <w:rsid w:val="76544B51"/>
    <w:rsid w:val="76680A00"/>
    <w:rsid w:val="766A24C8"/>
    <w:rsid w:val="76737630"/>
    <w:rsid w:val="76760624"/>
    <w:rsid w:val="76AA7422"/>
    <w:rsid w:val="76C515AB"/>
    <w:rsid w:val="76C669FB"/>
    <w:rsid w:val="76C70E7F"/>
    <w:rsid w:val="76CE0F6D"/>
    <w:rsid w:val="76D17F50"/>
    <w:rsid w:val="76E934EC"/>
    <w:rsid w:val="76EA5296"/>
    <w:rsid w:val="76F61765"/>
    <w:rsid w:val="76F854DD"/>
    <w:rsid w:val="77005421"/>
    <w:rsid w:val="77043E82"/>
    <w:rsid w:val="7715315B"/>
    <w:rsid w:val="771B430E"/>
    <w:rsid w:val="77227FAA"/>
    <w:rsid w:val="772632EC"/>
    <w:rsid w:val="773C1DD7"/>
    <w:rsid w:val="775B40B7"/>
    <w:rsid w:val="775C3CBE"/>
    <w:rsid w:val="77721384"/>
    <w:rsid w:val="77727B13"/>
    <w:rsid w:val="779F392F"/>
    <w:rsid w:val="77A2369A"/>
    <w:rsid w:val="77A8194D"/>
    <w:rsid w:val="77AE0291"/>
    <w:rsid w:val="77B75398"/>
    <w:rsid w:val="77BC6EFE"/>
    <w:rsid w:val="77BFB4D3"/>
    <w:rsid w:val="77C230BC"/>
    <w:rsid w:val="77DF606E"/>
    <w:rsid w:val="77DF669D"/>
    <w:rsid w:val="77E36F02"/>
    <w:rsid w:val="77EF68E0"/>
    <w:rsid w:val="77F42148"/>
    <w:rsid w:val="77FC2DAB"/>
    <w:rsid w:val="77FE3B0C"/>
    <w:rsid w:val="78291C04"/>
    <w:rsid w:val="783B6A59"/>
    <w:rsid w:val="78562D3C"/>
    <w:rsid w:val="7860158C"/>
    <w:rsid w:val="78656FCF"/>
    <w:rsid w:val="786A5CA0"/>
    <w:rsid w:val="787C2BB4"/>
    <w:rsid w:val="78872FBC"/>
    <w:rsid w:val="789064FA"/>
    <w:rsid w:val="78985E3B"/>
    <w:rsid w:val="789E0306"/>
    <w:rsid w:val="78A46F9B"/>
    <w:rsid w:val="78AC2A23"/>
    <w:rsid w:val="78AC6806"/>
    <w:rsid w:val="78B90C9C"/>
    <w:rsid w:val="78BB101F"/>
    <w:rsid w:val="78CC49E4"/>
    <w:rsid w:val="78D31F49"/>
    <w:rsid w:val="78DE02E6"/>
    <w:rsid w:val="78DF39A7"/>
    <w:rsid w:val="78FB7506"/>
    <w:rsid w:val="78FB7880"/>
    <w:rsid w:val="7900080C"/>
    <w:rsid w:val="79390E12"/>
    <w:rsid w:val="79403BC3"/>
    <w:rsid w:val="79463441"/>
    <w:rsid w:val="79492020"/>
    <w:rsid w:val="79660E24"/>
    <w:rsid w:val="79667075"/>
    <w:rsid w:val="796A42FA"/>
    <w:rsid w:val="79701CA2"/>
    <w:rsid w:val="79726BA3"/>
    <w:rsid w:val="79774A23"/>
    <w:rsid w:val="797A7C24"/>
    <w:rsid w:val="797F169A"/>
    <w:rsid w:val="799434C6"/>
    <w:rsid w:val="799C3B90"/>
    <w:rsid w:val="79B576B5"/>
    <w:rsid w:val="79BF22E2"/>
    <w:rsid w:val="79C1605A"/>
    <w:rsid w:val="79C21DD2"/>
    <w:rsid w:val="79E24222"/>
    <w:rsid w:val="79F226B7"/>
    <w:rsid w:val="79F71A7C"/>
    <w:rsid w:val="7A04695B"/>
    <w:rsid w:val="7A2E39A2"/>
    <w:rsid w:val="7A340F22"/>
    <w:rsid w:val="7A44420F"/>
    <w:rsid w:val="7A497529"/>
    <w:rsid w:val="7A52641F"/>
    <w:rsid w:val="7A5A3A47"/>
    <w:rsid w:val="7A60736B"/>
    <w:rsid w:val="7A680BCB"/>
    <w:rsid w:val="7A6D32DC"/>
    <w:rsid w:val="7A7E1F85"/>
    <w:rsid w:val="7A7E219D"/>
    <w:rsid w:val="7A8A1369"/>
    <w:rsid w:val="7A8D23E0"/>
    <w:rsid w:val="7AAF2A63"/>
    <w:rsid w:val="7AB431C4"/>
    <w:rsid w:val="7AB978D3"/>
    <w:rsid w:val="7AD47ED3"/>
    <w:rsid w:val="7AE00762"/>
    <w:rsid w:val="7AE31AA5"/>
    <w:rsid w:val="7AF20495"/>
    <w:rsid w:val="7AFD57B8"/>
    <w:rsid w:val="7B02359A"/>
    <w:rsid w:val="7B1C06F4"/>
    <w:rsid w:val="7B1F2119"/>
    <w:rsid w:val="7B305777"/>
    <w:rsid w:val="7B340AAD"/>
    <w:rsid w:val="7B455E0B"/>
    <w:rsid w:val="7B490069"/>
    <w:rsid w:val="7B5974FC"/>
    <w:rsid w:val="7B670E83"/>
    <w:rsid w:val="7B751F17"/>
    <w:rsid w:val="7B786BEC"/>
    <w:rsid w:val="7B843A51"/>
    <w:rsid w:val="7B912262"/>
    <w:rsid w:val="7B934F67"/>
    <w:rsid w:val="7B990833"/>
    <w:rsid w:val="7BB05179"/>
    <w:rsid w:val="7BB80E37"/>
    <w:rsid w:val="7BCC0F85"/>
    <w:rsid w:val="7BCE2CB0"/>
    <w:rsid w:val="7C00795F"/>
    <w:rsid w:val="7C016FEA"/>
    <w:rsid w:val="7C0641F8"/>
    <w:rsid w:val="7C0A6C99"/>
    <w:rsid w:val="7C1237D6"/>
    <w:rsid w:val="7C127041"/>
    <w:rsid w:val="7C30396B"/>
    <w:rsid w:val="7C572CA5"/>
    <w:rsid w:val="7C5B0167"/>
    <w:rsid w:val="7C725D31"/>
    <w:rsid w:val="7C9078A3"/>
    <w:rsid w:val="7C921F30"/>
    <w:rsid w:val="7C9F0DCA"/>
    <w:rsid w:val="7CA10626"/>
    <w:rsid w:val="7CA7776D"/>
    <w:rsid w:val="7CB54468"/>
    <w:rsid w:val="7CB81333"/>
    <w:rsid w:val="7CB8338F"/>
    <w:rsid w:val="7CBE4C46"/>
    <w:rsid w:val="7CBF58D2"/>
    <w:rsid w:val="7CD95DB0"/>
    <w:rsid w:val="7CF7373B"/>
    <w:rsid w:val="7D0B6AD3"/>
    <w:rsid w:val="7D3134F6"/>
    <w:rsid w:val="7D3905FD"/>
    <w:rsid w:val="7D3C5A67"/>
    <w:rsid w:val="7D4041D7"/>
    <w:rsid w:val="7D5520C1"/>
    <w:rsid w:val="7D6D5756"/>
    <w:rsid w:val="7D703615"/>
    <w:rsid w:val="7D80622C"/>
    <w:rsid w:val="7D861C88"/>
    <w:rsid w:val="7D8A44CF"/>
    <w:rsid w:val="7D9046C1"/>
    <w:rsid w:val="7DA008A8"/>
    <w:rsid w:val="7DB008BF"/>
    <w:rsid w:val="7DB17D28"/>
    <w:rsid w:val="7DBA7990"/>
    <w:rsid w:val="7DBF221D"/>
    <w:rsid w:val="7DC82822"/>
    <w:rsid w:val="7DD87E16"/>
    <w:rsid w:val="7DEB44D0"/>
    <w:rsid w:val="7DF00F37"/>
    <w:rsid w:val="7E2231F7"/>
    <w:rsid w:val="7E2B3D0F"/>
    <w:rsid w:val="7E2E1411"/>
    <w:rsid w:val="7E36223B"/>
    <w:rsid w:val="7E400ADF"/>
    <w:rsid w:val="7E7E276B"/>
    <w:rsid w:val="7E7F4735"/>
    <w:rsid w:val="7E7F5DA7"/>
    <w:rsid w:val="7E8905C4"/>
    <w:rsid w:val="7E891110"/>
    <w:rsid w:val="7E9A585D"/>
    <w:rsid w:val="7E9C7095"/>
    <w:rsid w:val="7EA10003"/>
    <w:rsid w:val="7EDC3936"/>
    <w:rsid w:val="7EE723E0"/>
    <w:rsid w:val="7EFD4C4B"/>
    <w:rsid w:val="7F140E59"/>
    <w:rsid w:val="7F147DAD"/>
    <w:rsid w:val="7F313615"/>
    <w:rsid w:val="7F317EC5"/>
    <w:rsid w:val="7F36090B"/>
    <w:rsid w:val="7F5F0D78"/>
    <w:rsid w:val="7F625BE9"/>
    <w:rsid w:val="7F70782C"/>
    <w:rsid w:val="7F742320"/>
    <w:rsid w:val="7F7D4723"/>
    <w:rsid w:val="7F802513"/>
    <w:rsid w:val="7F82742A"/>
    <w:rsid w:val="7F855D7C"/>
    <w:rsid w:val="7F8C0EB8"/>
    <w:rsid w:val="7F901788"/>
    <w:rsid w:val="7F9031EF"/>
    <w:rsid w:val="7F9166BE"/>
    <w:rsid w:val="7F9215FC"/>
    <w:rsid w:val="7F9B559F"/>
    <w:rsid w:val="7FA75CF2"/>
    <w:rsid w:val="7FC06324"/>
    <w:rsid w:val="7FC22B2C"/>
    <w:rsid w:val="7FC66CD0"/>
    <w:rsid w:val="7FCB7F38"/>
    <w:rsid w:val="7FDA60C7"/>
    <w:rsid w:val="7FE231CE"/>
    <w:rsid w:val="7FE936E9"/>
    <w:rsid w:val="7FEF3FCC"/>
    <w:rsid w:val="7FEF4935"/>
    <w:rsid w:val="8F5E7304"/>
    <w:rsid w:val="BF3F6681"/>
    <w:rsid w:val="DB7B4563"/>
    <w:rsid w:val="EFDFB208"/>
    <w:rsid w:val="FBFFD605"/>
    <w:rsid w:val="FDEB91D7"/>
    <w:rsid w:val="FFF7277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after="330" w:line="578" w:lineRule="auto"/>
      <w:jc w:val="both"/>
      <w:outlineLvl w:val="0"/>
    </w:pPr>
    <w:rPr>
      <w:rFonts w:cs="Times New Roman"/>
      <w:b/>
      <w:bCs/>
      <w:color w:val="auto"/>
      <w:kern w:val="44"/>
      <w:sz w:val="44"/>
      <w:szCs w:val="44"/>
    </w:rPr>
  </w:style>
  <w:style w:type="paragraph" w:styleId="3">
    <w:name w:val="heading 2"/>
    <w:basedOn w:val="1"/>
    <w:next w:val="1"/>
    <w:qFormat/>
    <w:uiPriority w:val="0"/>
    <w:pPr>
      <w:widowControl/>
      <w:tabs>
        <w:tab w:val="left" w:leader="dot" w:pos="480"/>
      </w:tabs>
      <w:snapToGrid w:val="0"/>
      <w:spacing w:before="31" w:beforeLines="10" w:after="31" w:afterLines="10" w:line="360" w:lineRule="auto"/>
      <w:ind w:firstLine="480" w:firstLineChars="200"/>
      <w:jc w:val="left"/>
      <w:outlineLvl w:val="1"/>
    </w:pPr>
    <w:rPr>
      <w:rFonts w:ascii="宋体" w:hAnsi="宋体" w:eastAsia="宋体" w:cs="宋体"/>
      <w:snapToGrid w:val="0"/>
      <w:sz w:val="24"/>
      <w:szCs w:val="24"/>
    </w:rPr>
  </w:style>
  <w:style w:type="paragraph" w:styleId="4">
    <w:name w:val="heading 3"/>
    <w:basedOn w:val="1"/>
    <w:next w:val="1"/>
    <w:qFormat/>
    <w:uiPriority w:val="0"/>
    <w:pPr>
      <w:keepNext/>
      <w:keepLines/>
      <w:widowControl/>
      <w:numPr>
        <w:ilvl w:val="2"/>
        <w:numId w:val="1"/>
      </w:numPr>
      <w:spacing w:before="120" w:after="120" w:line="360" w:lineRule="auto"/>
      <w:jc w:val="center"/>
      <w:outlineLvl w:val="2"/>
    </w:pPr>
    <w:rPr>
      <w:rFonts w:cs="Times New Roman"/>
      <w:b/>
      <w:color w:val="auto"/>
      <w:sz w:val="32"/>
      <w:szCs w:val="20"/>
    </w:rPr>
  </w:style>
  <w:style w:type="paragraph" w:styleId="5">
    <w:name w:val="heading 4"/>
    <w:basedOn w:val="1"/>
    <w:next w:val="6"/>
    <w:qFormat/>
    <w:uiPriority w:val="0"/>
    <w:pPr>
      <w:keepNext/>
      <w:keepLines/>
      <w:numPr>
        <w:ilvl w:val="3"/>
        <w:numId w:val="2"/>
      </w:numPr>
      <w:adjustRightInd w:val="0"/>
      <w:snapToGrid w:val="0"/>
      <w:spacing w:before="124" w:after="93" w:line="360" w:lineRule="auto"/>
      <w:outlineLvl w:val="3"/>
    </w:pPr>
    <w:rPr>
      <w:rFonts w:ascii="Times New Roman" w:hAnsi="Times New Roman" w:eastAsia="黑体" w:cs="宋体"/>
      <w:bCs/>
      <w:kern w:val="2"/>
      <w:sz w:val="28"/>
      <w:szCs w:val="30"/>
      <w:lang w:val="en-US" w:eastAsia="zh-CN" w:bidi="ar-SA"/>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annotation text"/>
    <w:basedOn w:val="1"/>
    <w:qFormat/>
    <w:uiPriority w:val="0"/>
    <w:pPr>
      <w:jc w:val="left"/>
    </w:pPr>
  </w:style>
  <w:style w:type="paragraph" w:styleId="8">
    <w:name w:val="Body Text 3"/>
    <w:basedOn w:val="1"/>
    <w:qFormat/>
    <w:uiPriority w:val="0"/>
    <w:pPr>
      <w:jc w:val="both"/>
    </w:pPr>
    <w:rPr>
      <w:rFonts w:ascii="宋体" w:eastAsia="宋体" w:cs="Times New Roman"/>
      <w:color w:val="auto"/>
      <w:kern w:val="2"/>
      <w:sz w:val="20"/>
      <w:szCs w:val="20"/>
      <w:lang w:bidi="ar-SA"/>
    </w:rPr>
  </w:style>
  <w:style w:type="paragraph" w:styleId="9">
    <w:name w:val="Body Text"/>
    <w:basedOn w:val="1"/>
    <w:next w:val="1"/>
    <w:qFormat/>
    <w:uiPriority w:val="0"/>
    <w:pPr>
      <w:spacing w:after="120"/>
      <w:jc w:val="both"/>
    </w:pPr>
    <w:rPr>
      <w:rFonts w:cs="Times New Roman"/>
      <w:color w:val="auto"/>
      <w:kern w:val="2"/>
      <w:sz w:val="21"/>
    </w:rPr>
  </w:style>
  <w:style w:type="paragraph" w:styleId="10">
    <w:name w:val="Body Text Indent"/>
    <w:basedOn w:val="1"/>
    <w:qFormat/>
    <w:uiPriority w:val="0"/>
    <w:pPr>
      <w:spacing w:after="120"/>
      <w:ind w:left="420" w:leftChars="200"/>
      <w:jc w:val="both"/>
    </w:pPr>
    <w:rPr>
      <w:rFonts w:cs="Times New Roman"/>
      <w:color w:val="auto"/>
      <w:kern w:val="2"/>
      <w:sz w:val="21"/>
    </w:rPr>
  </w:style>
  <w:style w:type="paragraph" w:styleId="11">
    <w:name w:val="toc 3"/>
    <w:basedOn w:val="1"/>
    <w:next w:val="1"/>
    <w:semiHidden/>
    <w:qFormat/>
    <w:uiPriority w:val="0"/>
    <w:pPr>
      <w:ind w:left="840" w:leftChars="400"/>
    </w:pPr>
  </w:style>
  <w:style w:type="paragraph" w:styleId="12">
    <w:name w:val="Plain Text"/>
    <w:basedOn w:val="1"/>
    <w:qFormat/>
    <w:uiPriority w:val="0"/>
    <w:pPr>
      <w:jc w:val="both"/>
    </w:pPr>
    <w:rPr>
      <w:rFonts w:ascii="宋体" w:hAnsi="Courier New" w:cs="Times New Roman"/>
      <w:color w:val="auto"/>
      <w:kern w:val="2"/>
      <w:sz w:val="21"/>
      <w:szCs w:val="20"/>
    </w:rPr>
  </w:style>
  <w:style w:type="paragraph" w:styleId="13">
    <w:name w:val="Body Text Indent 2"/>
    <w:basedOn w:val="1"/>
    <w:qFormat/>
    <w:uiPriority w:val="0"/>
    <w:pPr>
      <w:spacing w:line="500" w:lineRule="exact"/>
      <w:ind w:firstLine="540" w:firstLineChars="200"/>
      <w:jc w:val="both"/>
    </w:pPr>
    <w:rPr>
      <w:rFonts w:ascii="宋体" w:hAnsi="宋体" w:cs="Times New Roman"/>
      <w:color w:val="auto"/>
      <w:kern w:val="2"/>
      <w:sz w:val="27"/>
      <w:szCs w:val="27"/>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semiHidden/>
    <w:qFormat/>
    <w:uiPriority w:val="0"/>
    <w:pPr>
      <w:tabs>
        <w:tab w:val="right" w:leader="dot" w:pos="8805"/>
      </w:tabs>
      <w:spacing w:line="440" w:lineRule="exact"/>
      <w:jc w:val="center"/>
    </w:pPr>
    <w:rPr>
      <w:rFonts w:ascii="Times New Roman" w:hAnsi="Times New Roman" w:eastAsia="宋体" w:cs="Times New Roman"/>
      <w:kern w:val="2"/>
      <w:sz w:val="20"/>
      <w:szCs w:val="20"/>
      <w:lang w:val="en-US"/>
    </w:rPr>
  </w:style>
  <w:style w:type="paragraph" w:styleId="17">
    <w:name w:val="Subtitle"/>
    <w:basedOn w:val="1"/>
    <w:next w:val="1"/>
    <w:qFormat/>
    <w:uiPriority w:val="11"/>
    <w:pPr>
      <w:spacing w:before="240" w:after="60" w:line="312" w:lineRule="auto"/>
      <w:jc w:val="center"/>
      <w:outlineLvl w:val="1"/>
    </w:pPr>
    <w:rPr>
      <w:rFonts w:ascii="Arial" w:hAnsi="Arial" w:eastAsia="黑体"/>
      <w:b/>
      <w:bCs/>
      <w:sz w:val="32"/>
      <w:szCs w:val="32"/>
    </w:rPr>
  </w:style>
  <w:style w:type="paragraph" w:styleId="18">
    <w:name w:val="footnote text"/>
    <w:basedOn w:val="1"/>
    <w:next w:val="1"/>
    <w:qFormat/>
    <w:uiPriority w:val="99"/>
    <w:pPr>
      <w:adjustRightInd w:val="0"/>
      <w:snapToGrid w:val="0"/>
      <w:spacing w:line="420" w:lineRule="atLeast"/>
      <w:ind w:firstLine="454"/>
      <w:textAlignment w:val="baseline"/>
    </w:pPr>
    <w:rPr>
      <w:rFonts w:ascii="Times New Roman" w:hAnsi="Times New Roman" w:eastAsia="宋体" w:cs="Times New Roman"/>
      <w:color w:val="auto"/>
      <w:sz w:val="18"/>
      <w:szCs w:val="20"/>
    </w:rPr>
  </w:style>
  <w:style w:type="paragraph" w:styleId="19">
    <w:name w:val="toc 2"/>
    <w:basedOn w:val="1"/>
    <w:next w:val="1"/>
    <w:qFormat/>
    <w:uiPriority w:val="0"/>
    <w:pPr>
      <w:ind w:left="420" w:leftChars="200"/>
    </w:pPr>
  </w:style>
  <w:style w:type="paragraph" w:styleId="20">
    <w:name w:val="Body Text First Indent"/>
    <w:basedOn w:val="1"/>
    <w:unhideWhenUsed/>
    <w:qFormat/>
    <w:uiPriority w:val="0"/>
    <w:pPr>
      <w:ind w:firstLine="420" w:firstLineChars="100"/>
    </w:pPr>
    <w:rPr>
      <w:lang w:val="en-US" w:eastAsia="zh-CN"/>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annotation reference"/>
    <w:qFormat/>
    <w:uiPriority w:val="0"/>
    <w:rPr>
      <w:sz w:val="21"/>
      <w:szCs w:val="21"/>
    </w:rPr>
  </w:style>
  <w:style w:type="character" w:styleId="25">
    <w:name w:val="footnote reference"/>
    <w:qFormat/>
    <w:uiPriority w:val="0"/>
    <w:rPr>
      <w:vertAlign w:val="superscript"/>
    </w:rPr>
  </w:style>
  <w:style w:type="character" w:customStyle="1" w:styleId="26">
    <w:name w:val="正文文本 (17) + 间距 0 pt"/>
    <w:qFormat/>
    <w:uiPriority w:val="99"/>
    <w:rPr>
      <w:rFonts w:ascii="MingLiU" w:eastAsia="MingLiU" w:cs="MingLiU"/>
      <w:spacing w:val="0"/>
      <w:sz w:val="22"/>
      <w:szCs w:val="22"/>
      <w:u w:val="single"/>
    </w:rPr>
  </w:style>
  <w:style w:type="character" w:customStyle="1" w:styleId="27">
    <w:name w:val="正文文本 (14)_"/>
    <w:link w:val="28"/>
    <w:qFormat/>
    <w:locked/>
    <w:uiPriority w:val="99"/>
    <w:rPr>
      <w:rFonts w:ascii="MingLiU" w:eastAsia="MingLiU" w:cs="Times New Roman"/>
      <w:color w:val="auto"/>
      <w:sz w:val="18"/>
      <w:szCs w:val="18"/>
    </w:rPr>
  </w:style>
  <w:style w:type="paragraph" w:customStyle="1" w:styleId="28">
    <w:name w:val="正文文本 (14)"/>
    <w:basedOn w:val="1"/>
    <w:link w:val="27"/>
    <w:qFormat/>
    <w:uiPriority w:val="99"/>
    <w:pPr>
      <w:shd w:val="clear" w:color="auto" w:fill="FFFFFF"/>
      <w:spacing w:before="300" w:line="300" w:lineRule="exact"/>
      <w:jc w:val="distribute"/>
    </w:pPr>
    <w:rPr>
      <w:rFonts w:ascii="MingLiU" w:eastAsia="MingLiU" w:cs="Times New Roman"/>
      <w:color w:val="auto"/>
      <w:sz w:val="18"/>
      <w:szCs w:val="18"/>
    </w:rPr>
  </w:style>
  <w:style w:type="character" w:customStyle="1" w:styleId="29">
    <w:name w:val="正文文本 (2) + 10 pt23"/>
    <w:qFormat/>
    <w:uiPriority w:val="99"/>
    <w:rPr>
      <w:rFonts w:ascii="MingLiU" w:eastAsia="MingLiU" w:cs="MingLiU"/>
      <w:b/>
      <w:bCs/>
      <w:spacing w:val="0"/>
      <w:sz w:val="20"/>
      <w:szCs w:val="20"/>
      <w:u w:val="none"/>
    </w:rPr>
  </w:style>
  <w:style w:type="character" w:customStyle="1" w:styleId="30">
    <w:name w:val="正文文本 (2) + 10 pt37"/>
    <w:qFormat/>
    <w:uiPriority w:val="99"/>
    <w:rPr>
      <w:rFonts w:ascii="MingLiU" w:eastAsia="MingLiU" w:cs="MingLiU"/>
      <w:spacing w:val="0"/>
      <w:sz w:val="20"/>
      <w:szCs w:val="20"/>
      <w:u w:val="none"/>
    </w:rPr>
  </w:style>
  <w:style w:type="character" w:customStyle="1" w:styleId="31">
    <w:name w:val="正文文本 (2) + 间距 0 pt3"/>
    <w:qFormat/>
    <w:uiPriority w:val="99"/>
    <w:rPr>
      <w:rFonts w:ascii="MingLiU" w:eastAsia="MingLiU" w:cs="MingLiU"/>
      <w:spacing w:val="0"/>
      <w:sz w:val="22"/>
      <w:szCs w:val="22"/>
      <w:u w:val="none"/>
    </w:rPr>
  </w:style>
  <w:style w:type="character" w:customStyle="1" w:styleId="32">
    <w:name w:val="正文文本 (24) + 间距 3 pt"/>
    <w:qFormat/>
    <w:uiPriority w:val="99"/>
    <w:rPr>
      <w:rFonts w:ascii="MingLiU" w:eastAsia="MingLiU" w:cs="MingLiU"/>
      <w:spacing w:val="60"/>
      <w:sz w:val="42"/>
      <w:szCs w:val="42"/>
      <w:u w:val="none"/>
    </w:rPr>
  </w:style>
  <w:style w:type="character" w:customStyle="1" w:styleId="33">
    <w:name w:val="正文文本 (13) + 间距 3 pt"/>
    <w:qFormat/>
    <w:uiPriority w:val="99"/>
    <w:rPr>
      <w:rFonts w:ascii="MingLiU" w:eastAsia="MingLiU" w:cs="MingLiU"/>
      <w:spacing w:val="70"/>
      <w:sz w:val="56"/>
      <w:szCs w:val="56"/>
      <w:u w:val="none"/>
    </w:rPr>
  </w:style>
  <w:style w:type="character" w:customStyle="1" w:styleId="34">
    <w:name w:val="正文文本 (2) + 10 pt24"/>
    <w:qFormat/>
    <w:uiPriority w:val="99"/>
    <w:rPr>
      <w:rFonts w:ascii="MingLiU" w:eastAsia="MingLiU" w:cs="MingLiU"/>
      <w:b/>
      <w:bCs/>
      <w:spacing w:val="0"/>
      <w:sz w:val="20"/>
      <w:szCs w:val="20"/>
      <w:u w:val="none"/>
    </w:rPr>
  </w:style>
  <w:style w:type="character" w:customStyle="1" w:styleId="35">
    <w:name w:val="正文文本 (2)1 Char"/>
    <w:link w:val="36"/>
    <w:qFormat/>
    <w:uiPriority w:val="0"/>
    <w:rPr>
      <w:rFonts w:ascii="MingLiU" w:hAnsi="MingLiU" w:eastAsia="MingLiU" w:cs="Times New Roman"/>
      <w:color w:val="auto"/>
      <w:spacing w:val="20"/>
      <w:sz w:val="22"/>
      <w:szCs w:val="22"/>
      <w:lang w:bidi="ar-SA"/>
    </w:rPr>
  </w:style>
  <w:style w:type="paragraph" w:customStyle="1" w:styleId="36">
    <w:name w:val="正文文本 (2)1"/>
    <w:basedOn w:val="1"/>
    <w:link w:val="35"/>
    <w:qFormat/>
    <w:uiPriority w:val="0"/>
    <w:pPr>
      <w:shd w:val="clear" w:color="auto" w:fill="FFFFFF"/>
      <w:spacing w:before="300" w:line="439" w:lineRule="exact"/>
      <w:jc w:val="distribute"/>
    </w:pPr>
    <w:rPr>
      <w:rFonts w:ascii="MingLiU" w:hAnsi="MingLiU" w:eastAsia="MingLiU" w:cs="Times New Roman"/>
      <w:color w:val="auto"/>
      <w:spacing w:val="20"/>
      <w:sz w:val="22"/>
      <w:szCs w:val="22"/>
      <w:lang w:bidi="ar-SA"/>
    </w:rPr>
  </w:style>
  <w:style w:type="character" w:customStyle="1" w:styleId="37">
    <w:name w:val="正文文本 (7) + 间距 0 pt"/>
    <w:qFormat/>
    <w:uiPriority w:val="99"/>
    <w:rPr>
      <w:rFonts w:ascii="MingLiU" w:eastAsia="MingLiU" w:cs="MingLiU"/>
      <w:spacing w:val="0"/>
      <w:sz w:val="22"/>
      <w:szCs w:val="22"/>
      <w:u w:val="none"/>
    </w:rPr>
  </w:style>
  <w:style w:type="character" w:customStyle="1" w:styleId="38">
    <w:name w:val="正文文本 (2) + 10 pt16"/>
    <w:qFormat/>
    <w:uiPriority w:val="99"/>
    <w:rPr>
      <w:rFonts w:ascii="MingLiU" w:eastAsia="MingLiU" w:cs="MingLiU"/>
      <w:spacing w:val="40"/>
      <w:sz w:val="20"/>
      <w:szCs w:val="20"/>
      <w:u w:val="none"/>
    </w:rPr>
  </w:style>
  <w:style w:type="character" w:customStyle="1" w:styleId="39">
    <w:name w:val="正文文本 (2) + Sylfaen10"/>
    <w:qFormat/>
    <w:uiPriority w:val="99"/>
    <w:rPr>
      <w:rFonts w:ascii="Sylfaen" w:hAnsi="Sylfaen" w:eastAsia="MingLiU" w:cs="Sylfaen"/>
      <w:spacing w:val="20"/>
      <w:sz w:val="14"/>
      <w:szCs w:val="14"/>
      <w:u w:val="none"/>
      <w:lang w:val="en-US" w:eastAsia="en-US"/>
    </w:rPr>
  </w:style>
  <w:style w:type="character" w:customStyle="1" w:styleId="40">
    <w:name w:val="正文文本 (2) + 10 pt34"/>
    <w:qFormat/>
    <w:uiPriority w:val="99"/>
    <w:rPr>
      <w:rFonts w:ascii="MingLiU" w:eastAsia="MingLiU" w:cs="MingLiU"/>
      <w:spacing w:val="-20"/>
      <w:sz w:val="20"/>
      <w:szCs w:val="20"/>
      <w:u w:val="none"/>
      <w:lang w:val="en-US" w:eastAsia="en-US"/>
    </w:rPr>
  </w:style>
  <w:style w:type="character" w:customStyle="1" w:styleId="41">
    <w:name w:val="标题 1 Char1"/>
    <w:qFormat/>
    <w:locked/>
    <w:uiPriority w:val="0"/>
    <w:rPr>
      <w:b/>
      <w:bCs/>
      <w:kern w:val="44"/>
      <w:sz w:val="44"/>
      <w:szCs w:val="44"/>
    </w:rPr>
  </w:style>
  <w:style w:type="character" w:customStyle="1" w:styleId="42">
    <w:name w:val="页眉或页脚 + 间距 0 pt"/>
    <w:qFormat/>
    <w:uiPriority w:val="99"/>
    <w:rPr>
      <w:rFonts w:ascii="MingLiU" w:eastAsia="MingLiU" w:cs="MingLiU"/>
      <w:spacing w:val="0"/>
      <w:sz w:val="20"/>
      <w:szCs w:val="20"/>
      <w:u w:val="none"/>
    </w:rPr>
  </w:style>
  <w:style w:type="character" w:customStyle="1" w:styleId="43">
    <w:name w:val="正文文本 (5) + 间距 -1 pt"/>
    <w:qFormat/>
    <w:uiPriority w:val="99"/>
    <w:rPr>
      <w:rFonts w:ascii="MingLiU" w:eastAsia="MingLiU" w:cs="MingLiU"/>
      <w:spacing w:val="-20"/>
      <w:sz w:val="20"/>
      <w:szCs w:val="20"/>
      <w:u w:val="none"/>
      <w:lang w:val="en-US" w:eastAsia="en-US"/>
    </w:rPr>
  </w:style>
  <w:style w:type="character" w:customStyle="1" w:styleId="44">
    <w:name w:val="正文文本 (5)_"/>
    <w:link w:val="45"/>
    <w:qFormat/>
    <w:locked/>
    <w:uiPriority w:val="99"/>
    <w:rPr>
      <w:rFonts w:ascii="MingLiU" w:eastAsia="MingLiU" w:cs="Times New Roman"/>
      <w:color w:val="auto"/>
      <w:sz w:val="20"/>
      <w:szCs w:val="20"/>
    </w:rPr>
  </w:style>
  <w:style w:type="paragraph" w:customStyle="1" w:styleId="45">
    <w:name w:val="正文文本 (5)1"/>
    <w:basedOn w:val="1"/>
    <w:link w:val="44"/>
    <w:qFormat/>
    <w:uiPriority w:val="99"/>
    <w:pPr>
      <w:shd w:val="clear" w:color="auto" w:fill="FFFFFF"/>
      <w:spacing w:before="5100" w:line="240" w:lineRule="atLeast"/>
    </w:pPr>
    <w:rPr>
      <w:rFonts w:ascii="MingLiU" w:eastAsia="MingLiU" w:cs="Times New Roman"/>
      <w:color w:val="auto"/>
      <w:sz w:val="20"/>
      <w:szCs w:val="20"/>
    </w:rPr>
  </w:style>
  <w:style w:type="character" w:customStyle="1" w:styleId="46">
    <w:name w:val="正文文本 (2) + 间距 0 pt5"/>
    <w:qFormat/>
    <w:uiPriority w:val="99"/>
    <w:rPr>
      <w:rFonts w:ascii="MingLiU" w:eastAsia="MingLiU" w:cs="MingLiU"/>
      <w:spacing w:val="0"/>
      <w:sz w:val="22"/>
      <w:szCs w:val="22"/>
      <w:u w:val="none"/>
    </w:rPr>
  </w:style>
  <w:style w:type="character" w:customStyle="1" w:styleId="47">
    <w:name w:val="正文文本 (2) + 间距 -1 pt"/>
    <w:qFormat/>
    <w:uiPriority w:val="99"/>
    <w:rPr>
      <w:rFonts w:ascii="MingLiU" w:eastAsia="MingLiU" w:cs="MingLiU"/>
      <w:spacing w:val="-20"/>
      <w:sz w:val="22"/>
      <w:szCs w:val="22"/>
      <w:u w:val="none"/>
    </w:rPr>
  </w:style>
  <w:style w:type="character" w:customStyle="1" w:styleId="48">
    <w:name w:val="正文文本 (17) + 间距 0 pt1"/>
    <w:qFormat/>
    <w:uiPriority w:val="99"/>
    <w:rPr>
      <w:rFonts w:ascii="MingLiU" w:eastAsia="MingLiU" w:cs="MingLiU"/>
      <w:spacing w:val="0"/>
      <w:sz w:val="22"/>
      <w:szCs w:val="22"/>
      <w:u w:val="none"/>
    </w:rPr>
  </w:style>
  <w:style w:type="character" w:customStyle="1" w:styleId="49">
    <w:name w:val="正文文本 (2) + 10 pt27"/>
    <w:qFormat/>
    <w:uiPriority w:val="99"/>
    <w:rPr>
      <w:rFonts w:ascii="MingLiU" w:eastAsia="MingLiU" w:cs="MingLiU"/>
      <w:spacing w:val="0"/>
      <w:w w:val="100"/>
      <w:sz w:val="20"/>
      <w:szCs w:val="20"/>
      <w:u w:val="none"/>
      <w:lang w:val="en-US" w:eastAsia="en-US"/>
    </w:rPr>
  </w:style>
  <w:style w:type="character" w:customStyle="1" w:styleId="50">
    <w:name w:val="表格标题 (5)_"/>
    <w:link w:val="51"/>
    <w:qFormat/>
    <w:locked/>
    <w:uiPriority w:val="99"/>
    <w:rPr>
      <w:rFonts w:ascii="MingLiU" w:eastAsia="MingLiU" w:cs="Times New Roman"/>
      <w:color w:val="auto"/>
      <w:sz w:val="22"/>
      <w:szCs w:val="22"/>
    </w:rPr>
  </w:style>
  <w:style w:type="paragraph" w:customStyle="1" w:styleId="51">
    <w:name w:val="表格标题 (5)"/>
    <w:basedOn w:val="1"/>
    <w:link w:val="50"/>
    <w:qFormat/>
    <w:uiPriority w:val="99"/>
    <w:pPr>
      <w:shd w:val="clear" w:color="auto" w:fill="FFFFFF"/>
      <w:spacing w:line="240" w:lineRule="atLeast"/>
    </w:pPr>
    <w:rPr>
      <w:rFonts w:ascii="MingLiU" w:eastAsia="MingLiU" w:cs="Times New Roman"/>
      <w:color w:val="auto"/>
      <w:sz w:val="22"/>
      <w:szCs w:val="22"/>
    </w:rPr>
  </w:style>
  <w:style w:type="character" w:customStyle="1" w:styleId="52">
    <w:name w:val="正文文本 (2) + 10 pt371"/>
    <w:qFormat/>
    <w:uiPriority w:val="0"/>
    <w:rPr>
      <w:rFonts w:ascii="MingLiU" w:hAnsi="MingLiU" w:eastAsia="MingLiU" w:cs="MingLiU"/>
      <w:spacing w:val="0"/>
      <w:sz w:val="20"/>
      <w:szCs w:val="20"/>
      <w:u w:val="none"/>
      <w:lang w:bidi="ar-SA"/>
    </w:rPr>
  </w:style>
  <w:style w:type="character" w:customStyle="1" w:styleId="53">
    <w:name w:val="正文文本 (2) + Sylfaen13"/>
    <w:qFormat/>
    <w:uiPriority w:val="99"/>
    <w:rPr>
      <w:rFonts w:ascii="Sylfaen" w:hAnsi="Sylfaen" w:eastAsia="MingLiU" w:cs="Sylfaen"/>
      <w:spacing w:val="0"/>
      <w:sz w:val="14"/>
      <w:szCs w:val="14"/>
      <w:u w:val="none"/>
      <w:lang w:val="en-US" w:eastAsia="en-US"/>
    </w:rPr>
  </w:style>
  <w:style w:type="paragraph" w:customStyle="1" w:styleId="54">
    <w:name w:val="正文文本 (7)"/>
    <w:basedOn w:val="1"/>
    <w:qFormat/>
    <w:uiPriority w:val="99"/>
    <w:pPr>
      <w:shd w:val="clear" w:color="auto" w:fill="FFFFFF"/>
      <w:spacing w:before="120" w:after="300" w:line="240" w:lineRule="atLeast"/>
      <w:jc w:val="center"/>
    </w:pPr>
    <w:rPr>
      <w:rFonts w:ascii="MingLiU" w:eastAsia="MingLiU" w:cs="Times New Roman"/>
      <w:color w:val="auto"/>
      <w:spacing w:val="10"/>
      <w:sz w:val="22"/>
      <w:szCs w:val="22"/>
    </w:rPr>
  </w:style>
  <w:style w:type="paragraph" w:customStyle="1" w:styleId="55">
    <w:name w:val="Table Paragraph"/>
    <w:basedOn w:val="1"/>
    <w:qFormat/>
    <w:uiPriority w:val="1"/>
  </w:style>
  <w:style w:type="paragraph" w:customStyle="1" w:styleId="56">
    <w:name w:val="CM63"/>
    <w:basedOn w:val="57"/>
    <w:next w:val="1"/>
    <w:qFormat/>
    <w:uiPriority w:val="0"/>
    <w:pPr>
      <w:spacing w:after="903" w:afterLines="0"/>
    </w:pPr>
    <w:rPr>
      <w:rFonts w:cs="Times New Roman"/>
      <w:color w:val="auto"/>
    </w:rPr>
  </w:style>
  <w:style w:type="paragraph" w:customStyle="1" w:styleId="57">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页眉或页脚"/>
    <w:basedOn w:val="1"/>
    <w:qFormat/>
    <w:uiPriority w:val="99"/>
    <w:pPr>
      <w:shd w:val="clear" w:color="auto" w:fill="FFFFFF"/>
      <w:spacing w:line="240" w:lineRule="atLeast"/>
    </w:pPr>
    <w:rPr>
      <w:rFonts w:ascii="MingLiU" w:eastAsia="MingLiU" w:cs="Times New Roman"/>
      <w:color w:val="auto"/>
      <w:spacing w:val="10"/>
      <w:sz w:val="20"/>
      <w:szCs w:val="20"/>
    </w:rPr>
  </w:style>
  <w:style w:type="paragraph" w:customStyle="1" w:styleId="60">
    <w:name w:val="样式 标题 2 + Times New Roman 四号 非加粗 段前: 5 磅 段后: 0 磅 行距: 固定值 20..."/>
    <w:basedOn w:val="3"/>
    <w:qFormat/>
    <w:uiPriority w:val="0"/>
    <w:pPr>
      <w:spacing w:before="100" w:after="0" w:line="400" w:lineRule="exact"/>
      <w:jc w:val="both"/>
    </w:pPr>
    <w:rPr>
      <w:rFonts w:ascii="Times New Roman" w:hAnsi="Times New Roman"/>
      <w:sz w:val="28"/>
      <w:szCs w:val="28"/>
      <w:lang w:val="en-US" w:eastAsia="zh-CN"/>
    </w:rPr>
  </w:style>
  <w:style w:type="paragraph" w:customStyle="1" w:styleId="61">
    <w:name w:val="正文文本 (19)"/>
    <w:basedOn w:val="1"/>
    <w:qFormat/>
    <w:uiPriority w:val="99"/>
    <w:pPr>
      <w:shd w:val="clear" w:color="auto" w:fill="FFFFFF"/>
      <w:spacing w:line="559" w:lineRule="exact"/>
    </w:pPr>
    <w:rPr>
      <w:rFonts w:ascii="MingLiU" w:eastAsia="MingLiU" w:cs="Times New Roman"/>
      <w:b/>
      <w:bCs/>
      <w:color w:val="auto"/>
      <w:spacing w:val="10"/>
      <w:sz w:val="22"/>
      <w:szCs w:val="22"/>
    </w:rPr>
  </w:style>
  <w:style w:type="paragraph" w:customStyle="1" w:styleId="62">
    <w:name w:val="表格1"/>
    <w:basedOn w:val="1"/>
    <w:qFormat/>
    <w:uiPriority w:val="0"/>
    <w:pPr>
      <w:adjustRightInd w:val="0"/>
      <w:spacing w:line="420" w:lineRule="atLeast"/>
      <w:ind w:left="284"/>
      <w:jc w:val="both"/>
      <w:textAlignment w:val="baseline"/>
    </w:pPr>
    <w:rPr>
      <w:rFonts w:ascii="Times New Roman" w:hAnsi="Times New Roman" w:eastAsia="宋体" w:cs="Times New Roman"/>
      <w:color w:val="auto"/>
      <w:sz w:val="21"/>
      <w:szCs w:val="20"/>
      <w:lang w:val="en-US"/>
    </w:rPr>
  </w:style>
  <w:style w:type="paragraph" w:customStyle="1" w:styleId="63">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color w:val="auto"/>
      <w:spacing w:val="20"/>
      <w:kern w:val="28"/>
      <w:sz w:val="21"/>
      <w:szCs w:val="20"/>
      <w:lang w:val="en-US"/>
    </w:rPr>
  </w:style>
  <w:style w:type="paragraph" w:customStyle="1" w:styleId="64">
    <w:name w:val="正文文本 (13)"/>
    <w:basedOn w:val="1"/>
    <w:qFormat/>
    <w:uiPriority w:val="99"/>
    <w:pPr>
      <w:shd w:val="clear" w:color="auto" w:fill="FFFFFF"/>
      <w:spacing w:line="240" w:lineRule="atLeast"/>
    </w:pPr>
    <w:rPr>
      <w:rFonts w:ascii="MingLiU" w:eastAsia="MingLiU" w:cs="Times New Roman"/>
      <w:color w:val="auto"/>
      <w:spacing w:val="40"/>
      <w:sz w:val="56"/>
      <w:szCs w:val="56"/>
    </w:rPr>
  </w:style>
  <w:style w:type="paragraph" w:customStyle="1" w:styleId="65">
    <w:name w:val="正文文本 (24)"/>
    <w:basedOn w:val="1"/>
    <w:qFormat/>
    <w:uiPriority w:val="99"/>
    <w:pPr>
      <w:shd w:val="clear" w:color="auto" w:fill="FFFFFF"/>
      <w:spacing w:after="600" w:line="240" w:lineRule="atLeast"/>
      <w:jc w:val="center"/>
    </w:pPr>
    <w:rPr>
      <w:rFonts w:ascii="MingLiU" w:eastAsia="MingLiU" w:cs="Times New Roman"/>
      <w:color w:val="auto"/>
      <w:spacing w:val="30"/>
      <w:sz w:val="42"/>
      <w:szCs w:val="42"/>
    </w:rPr>
  </w:style>
  <w:style w:type="paragraph" w:customStyle="1" w:styleId="66">
    <w:name w:val="表格标题"/>
    <w:basedOn w:val="1"/>
    <w:qFormat/>
    <w:uiPriority w:val="99"/>
    <w:pPr>
      <w:shd w:val="clear" w:color="auto" w:fill="FFFFFF"/>
      <w:spacing w:line="322" w:lineRule="exact"/>
      <w:jc w:val="distribute"/>
    </w:pPr>
    <w:rPr>
      <w:rFonts w:ascii="MingLiU" w:eastAsia="MingLiU" w:cs="Times New Roman"/>
      <w:color w:val="auto"/>
      <w:sz w:val="20"/>
      <w:szCs w:val="20"/>
    </w:rPr>
  </w:style>
  <w:style w:type="paragraph" w:customStyle="1" w:styleId="67">
    <w:name w:val="正文文本 (17)"/>
    <w:basedOn w:val="1"/>
    <w:qFormat/>
    <w:uiPriority w:val="99"/>
    <w:pPr>
      <w:shd w:val="clear" w:color="auto" w:fill="FFFFFF"/>
      <w:spacing w:line="240" w:lineRule="atLeast"/>
      <w:jc w:val="distribute"/>
    </w:pPr>
    <w:rPr>
      <w:rFonts w:ascii="MingLiU" w:eastAsia="MingLiU" w:cs="Times New Roman"/>
      <w:color w:val="auto"/>
      <w:spacing w:val="-10"/>
      <w:sz w:val="22"/>
      <w:szCs w:val="22"/>
    </w:rPr>
  </w:style>
  <w:style w:type="table" w:customStyle="1" w:styleId="68">
    <w:name w:val="Table Normal"/>
    <w:unhideWhenUsed/>
    <w:qFormat/>
    <w:uiPriority w:val="0"/>
    <w:tblPr>
      <w:tblCellMar>
        <w:top w:w="0" w:type="dxa"/>
        <w:left w:w="0" w:type="dxa"/>
        <w:bottom w:w="0" w:type="dxa"/>
        <w:right w:w="0" w:type="dxa"/>
      </w:tblCellMar>
    </w:tblPr>
  </w:style>
  <w:style w:type="character" w:customStyle="1" w:styleId="69">
    <w:name w:val="font11"/>
    <w:qFormat/>
    <w:uiPriority w:val="0"/>
    <w:rPr>
      <w:rFonts w:hint="eastAsia" w:ascii="仿宋" w:hAnsi="仿宋" w:eastAsia="仿宋" w:cs="仿宋"/>
      <w:color w:val="000000"/>
      <w:kern w:val="0"/>
      <w:sz w:val="21"/>
      <w:szCs w:val="21"/>
      <w:u w:val="none"/>
    </w:rPr>
  </w:style>
  <w:style w:type="paragraph" w:customStyle="1" w:styleId="70">
    <w:name w:val="WPSOffice手动目录 2"/>
    <w:qFormat/>
    <w:uiPriority w:val="0"/>
    <w:pPr>
      <w:ind w:leftChars="200"/>
    </w:pPr>
    <w:rPr>
      <w:rFonts w:asciiTheme="minorHAnsi" w:hAnsiTheme="minorHAnsi" w:eastAsiaTheme="minorEastAsia" w:cstheme="minorBidi"/>
      <w:sz w:val="20"/>
      <w:szCs w:val="20"/>
    </w:rPr>
  </w:style>
  <w:style w:type="paragraph" w:customStyle="1" w:styleId="71">
    <w:name w:val="样式 标题 3 + (中文) 黑体 小四 非加粗 段前: 7.8 磅 段后: 0 磅 行距: 固定值 20 磅"/>
    <w:basedOn w:val="4"/>
    <w:qFormat/>
    <w:uiPriority w:val="0"/>
    <w:pPr>
      <w:spacing w:before="0" w:after="0" w:line="400" w:lineRule="exact"/>
    </w:pPr>
    <w:rPr>
      <w:rFonts w:eastAsia="黑体" w:cs="宋体"/>
      <w:b w:val="0"/>
      <w:sz w:val="24"/>
      <w:szCs w:val="20"/>
    </w:rPr>
  </w:style>
  <w:style w:type="paragraph" w:customStyle="1" w:styleId="72">
    <w:name w:val="居中格式"/>
    <w:basedOn w:val="1"/>
    <w:next w:val="73"/>
    <w:qFormat/>
    <w:uiPriority w:val="0"/>
    <w:pPr>
      <w:jc w:val="center"/>
    </w:pPr>
    <w:rPr>
      <w:rFonts w:ascii="宋体" w:hAnsi="宋体" w:eastAsia="宋体"/>
      <w:sz w:val="24"/>
    </w:rPr>
  </w:style>
  <w:style w:type="paragraph" w:customStyle="1" w:styleId="73">
    <w:name w:val="正文文本格式"/>
    <w:basedOn w:val="1"/>
    <w:qFormat/>
    <w:uiPriority w:val="0"/>
    <w:pPr>
      <w:spacing w:line="360" w:lineRule="auto"/>
      <w:ind w:firstLine="480" w:firstLineChars="200"/>
    </w:pPr>
    <w:rPr>
      <w:rFonts w:ascii="宋体" w:hAnsi="宋体" w:eastAsia="宋体"/>
      <w:sz w:val="28"/>
      <w:szCs w:val="24"/>
    </w:rPr>
  </w:style>
  <w:style w:type="paragraph" w:customStyle="1" w:styleId="74">
    <w:name w:val="表格字体"/>
    <w:basedOn w:val="1"/>
    <w:next w:val="75"/>
    <w:qFormat/>
    <w:uiPriority w:val="2"/>
    <w:pPr>
      <w:snapToGrid w:val="0"/>
      <w:jc w:val="center"/>
    </w:pPr>
    <w:rPr>
      <w:rFonts w:ascii="Times New Roman" w:hAnsi="Times New Roman" w:eastAsia="微软雅黑"/>
    </w:rPr>
  </w:style>
  <w:style w:type="paragraph" w:customStyle="1" w:styleId="75">
    <w:name w:val="正文（技术标）"/>
    <w:basedOn w:val="1"/>
    <w:qFormat/>
    <w:uiPriority w:val="0"/>
    <w:pPr>
      <w:spacing w:line="360" w:lineRule="auto"/>
      <w:ind w:firstLine="200" w:firstLineChars="200"/>
    </w:pPr>
    <w:rPr>
      <w:rFonts w:ascii="Times New Roman" w:hAnsi="Times New Roman"/>
      <w:sz w:val="24"/>
    </w:rPr>
  </w:style>
  <w:style w:type="paragraph" w:styleId="76">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134</Pages>
  <Words>24237</Words>
  <Characters>25515</Characters>
  <Lines>1</Lines>
  <Paragraphs>1</Paragraphs>
  <TotalTime>0</TotalTime>
  <ScaleCrop>false</ScaleCrop>
  <LinksUpToDate>false</LinksUpToDate>
  <CharactersWithSpaces>26098</CharactersWithSpaces>
  <Application>WPS Office_12.1.23540.23540_F1E327BC-269C-435d-A152-05C5408002CA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2022-12-16T08:00:00Z</dcterms:created>
  <dc:creator>kkk</dc:creator>
  <cp:lastModifiedBy>何达</cp:lastModifiedBy>
  <cp:lastPrinted>2025-10-22T09:26:00Z</cp:lastPrinted>
  <dcterms:modified xsi:type="dcterms:W3CDTF">2025-11-13T20:12:10Z</dcterms:modified>
  <dc:title>C:\Users\HDJ\Desktop\å¹¿ä¸œçœ†æ°´è¿’å·¥ç¨‰æŒ½å·¥æ‰łæ€⁄æŒ⁄ä»¶è„…æœ¬ï¼‹2022å¹´ç›‹å“°å‘‚ç¨¿ï¼›20221212.doc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757C812ADFCD24431ACB15697CF3217C_43</vt:lpwstr>
  </property>
  <property fmtid="{D5CDD505-2E9C-101B-9397-08002B2CF9AE}" pid="4" name="KSOTemplateDocerSaveRecord">
    <vt:lpwstr>eyJoZGlkIjoiOTIxMjQyM2E1ZWVjMjJiZGY0Y2JkMDQwMjA2MjI3ODQiLCJ1c2VySWQiOiIyODA2MTAxNzkifQ==</vt:lpwstr>
  </property>
</Properties>
</file>